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30C0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301515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61618</w:t>
      </w:r>
    </w:p>
    <w:p w14:paraId="749B617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7F79FD4" w14:textId="77777777" w:rsidR="001154E7" w:rsidRDefault="001154E7">
      <w:pPr>
        <w:adjustRightInd w:val="0"/>
        <w:snapToGrid w:val="0"/>
        <w:spacing w:line="360" w:lineRule="auto"/>
        <w:jc w:val="both"/>
        <w:rPr>
          <w:rFonts w:ascii="Book Antiqua" w:hAnsi="Book Antiqua"/>
        </w:rPr>
      </w:pPr>
    </w:p>
    <w:p w14:paraId="41BB2A1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Basic Study</w:t>
      </w:r>
    </w:p>
    <w:p w14:paraId="444B407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Oncogenic </w:t>
      </w:r>
      <w:proofErr w:type="spellStart"/>
      <w:r>
        <w:rPr>
          <w:rFonts w:ascii="Book Antiqua" w:eastAsia="Book Antiqua" w:hAnsi="Book Antiqua" w:cs="Book Antiqua"/>
          <w:b/>
          <w:color w:val="000000"/>
        </w:rPr>
        <w:t>tuftelin</w:t>
      </w:r>
      <w:proofErr w:type="spellEnd"/>
      <w:r>
        <w:rPr>
          <w:rFonts w:ascii="Book Antiqua" w:eastAsia="Book Antiqua" w:hAnsi="Book Antiqua" w:cs="Book Antiqua"/>
          <w:b/>
          <w:color w:val="000000"/>
        </w:rPr>
        <w:t xml:space="preserve"> 1</w:t>
      </w:r>
      <w:r>
        <w:rPr>
          <w:rFonts w:ascii="Book Antiqua" w:eastAsia="Book Antiqua" w:hAnsi="Book Antiqua" w:cs="Book Antiqua"/>
          <w:b/>
          <w:bCs/>
          <w:color w:val="000000"/>
        </w:rPr>
        <w:t xml:space="preserve"> as a potential molecular-targeted for inhibiting hepatocellular carcinoma growth</w:t>
      </w:r>
    </w:p>
    <w:p w14:paraId="15F4522C" w14:textId="77777777" w:rsidR="001154E7" w:rsidRDefault="001154E7">
      <w:pPr>
        <w:adjustRightInd w:val="0"/>
        <w:snapToGrid w:val="0"/>
        <w:spacing w:line="360" w:lineRule="auto"/>
        <w:jc w:val="both"/>
        <w:rPr>
          <w:rFonts w:ascii="Book Antiqua" w:hAnsi="Book Antiqua"/>
        </w:rPr>
      </w:pPr>
    </w:p>
    <w:p w14:paraId="5901260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Wu MN </w:t>
      </w:r>
      <w:r>
        <w:rPr>
          <w:rFonts w:ascii="Book Antiqua" w:eastAsia="宋体" w:hAnsi="Book Antiqua" w:cs="宋体"/>
          <w:i/>
          <w:iCs/>
          <w:color w:val="000000"/>
          <w:lang w:eastAsia="zh-CN"/>
        </w:rPr>
        <w:t>et al</w:t>
      </w:r>
      <w:r>
        <w:rPr>
          <w:rFonts w:ascii="Book Antiqua" w:eastAsia="宋体" w:hAnsi="Book Antiqua" w:cs="宋体"/>
          <w:color w:val="000000"/>
          <w:lang w:eastAsia="zh-CN"/>
        </w:rPr>
        <w:t xml:space="preserve">. </w:t>
      </w:r>
      <w:r>
        <w:rPr>
          <w:rFonts w:ascii="Book Antiqua" w:eastAsia="Book Antiqua" w:hAnsi="Book Antiqua" w:cs="Book Antiqua"/>
          <w:color w:val="000000"/>
        </w:rPr>
        <w:t>TUFT1 in HCC</w:t>
      </w:r>
    </w:p>
    <w:p w14:paraId="1C1C64F6" w14:textId="77777777" w:rsidR="001154E7" w:rsidRDefault="001154E7">
      <w:pPr>
        <w:adjustRightInd w:val="0"/>
        <w:snapToGrid w:val="0"/>
        <w:spacing w:line="360" w:lineRule="auto"/>
        <w:jc w:val="both"/>
        <w:rPr>
          <w:rFonts w:ascii="Book Antiqua" w:hAnsi="Book Antiqua"/>
        </w:rPr>
      </w:pPr>
    </w:p>
    <w:p w14:paraId="0859EE5D" w14:textId="77777777" w:rsidR="001154E7" w:rsidRDefault="00ED61B9">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-Na Wu, Wen-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Wen-</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Ye, Li Wang, Ying Chen,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Yang, Deng-Fu Yao, Min Yao</w:t>
      </w:r>
    </w:p>
    <w:p w14:paraId="7D1A13B6" w14:textId="77777777" w:rsidR="001154E7" w:rsidRDefault="001154E7">
      <w:pPr>
        <w:adjustRightInd w:val="0"/>
        <w:snapToGrid w:val="0"/>
        <w:spacing w:line="360" w:lineRule="auto"/>
        <w:jc w:val="both"/>
        <w:rPr>
          <w:rFonts w:ascii="Book Antiqua" w:hAnsi="Book Antiqua"/>
        </w:rPr>
      </w:pPr>
    </w:p>
    <w:p w14:paraId="6C733A94" w14:textId="1FEEBBF0" w:rsidR="001154E7" w:rsidRDefault="00ED61B9">
      <w:pPr>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-Na Wu, Wen-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Deng-Fu Yao, </w:t>
      </w:r>
      <w:r>
        <w:rPr>
          <w:rFonts w:ascii="Book Antiqua" w:eastAsia="Book Antiqua" w:hAnsi="Book Antiqua" w:cs="Book Antiqua"/>
          <w:color w:val="000000"/>
        </w:rPr>
        <w:t xml:space="preserve">Research Center of Clinical Medicine, </w:t>
      </w:r>
      <w:r w:rsidR="005159DF">
        <w:rPr>
          <w:rFonts w:ascii="Book Antiqua" w:hAnsi="Book Antiqua" w:cs="Book Antiqua" w:hint="eastAsia"/>
          <w:color w:val="000000"/>
          <w:lang w:eastAsia="zh-CN"/>
        </w:rPr>
        <w:t xml:space="preserve">The </w:t>
      </w:r>
      <w:r>
        <w:rPr>
          <w:rFonts w:ascii="Book Antiqua" w:eastAsia="Book Antiqua" w:hAnsi="Book Antiqua" w:cs="Book Antiqua"/>
          <w:color w:val="000000"/>
        </w:rPr>
        <w:t>Affiliated Hospital of Nantong University, Nantong 226001, Jiangsu Province, China</w:t>
      </w:r>
    </w:p>
    <w:p w14:paraId="1B9B3D93" w14:textId="77777777" w:rsidR="001154E7" w:rsidRDefault="001154E7">
      <w:pPr>
        <w:adjustRightInd w:val="0"/>
        <w:snapToGrid w:val="0"/>
        <w:spacing w:line="360" w:lineRule="auto"/>
        <w:jc w:val="both"/>
        <w:rPr>
          <w:rFonts w:ascii="Book Antiqua" w:hAnsi="Book Antiqua"/>
        </w:rPr>
      </w:pPr>
    </w:p>
    <w:p w14:paraId="2D95E2F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Wen-</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Ye, Min Yao, </w:t>
      </w:r>
      <w:r>
        <w:rPr>
          <w:rFonts w:ascii="Book Antiqua" w:eastAsia="Book Antiqua" w:hAnsi="Book Antiqua" w:cs="Book Antiqua"/>
          <w:color w:val="000000"/>
        </w:rPr>
        <w:t xml:space="preserve">Department of Medical Immunology, Medical School of Nantong University, Nantong 226001, </w:t>
      </w:r>
      <w:proofErr w:type="gramStart"/>
      <w:r>
        <w:rPr>
          <w:rFonts w:ascii="Book Antiqua" w:eastAsia="Book Antiqua" w:hAnsi="Book Antiqua" w:cs="Book Antiqua"/>
          <w:color w:val="000000"/>
        </w:rPr>
        <w:t>Jiangsu</w:t>
      </w:r>
      <w:proofErr w:type="gramEnd"/>
      <w:r>
        <w:rPr>
          <w:rFonts w:ascii="Book Antiqua" w:eastAsia="Book Antiqua" w:hAnsi="Book Antiqua" w:cs="Book Antiqua"/>
          <w:color w:val="000000"/>
        </w:rPr>
        <w:t xml:space="preserve"> Province, China</w:t>
      </w:r>
    </w:p>
    <w:p w14:paraId="6A3181F6" w14:textId="77777777" w:rsidR="001154E7" w:rsidRDefault="001154E7">
      <w:pPr>
        <w:adjustRightInd w:val="0"/>
        <w:snapToGrid w:val="0"/>
        <w:spacing w:line="360" w:lineRule="auto"/>
        <w:jc w:val="both"/>
        <w:rPr>
          <w:rFonts w:ascii="Book Antiqua" w:hAnsi="Book Antiqua"/>
        </w:rPr>
      </w:pPr>
    </w:p>
    <w:p w14:paraId="08539ED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Li Wang, </w:t>
      </w:r>
      <w:r>
        <w:rPr>
          <w:rFonts w:ascii="Book Antiqua" w:eastAsia="Book Antiqua" w:hAnsi="Book Antiqua" w:cs="Book Antiqua"/>
          <w:color w:val="000000"/>
        </w:rPr>
        <w:t>Department of Medical Informatics, Medical School of Nantong University, Nantong 226001, Jiangsu Province, China</w:t>
      </w:r>
    </w:p>
    <w:p w14:paraId="0B01B491" w14:textId="77777777" w:rsidR="001154E7" w:rsidRDefault="001154E7">
      <w:pPr>
        <w:adjustRightInd w:val="0"/>
        <w:snapToGrid w:val="0"/>
        <w:spacing w:line="360" w:lineRule="auto"/>
        <w:jc w:val="both"/>
        <w:rPr>
          <w:rFonts w:ascii="Book Antiqua" w:hAnsi="Book Antiqua"/>
        </w:rPr>
      </w:pPr>
    </w:p>
    <w:p w14:paraId="5B78C7F6" w14:textId="75EEE9F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Ying Chen, </w:t>
      </w:r>
      <w:r>
        <w:rPr>
          <w:rFonts w:ascii="Book Antiqua" w:eastAsia="Book Antiqua" w:hAnsi="Book Antiqua" w:cs="Book Antiqua"/>
          <w:color w:val="000000"/>
        </w:rPr>
        <w:t xml:space="preserve">Department of Oncology, </w:t>
      </w:r>
      <w:r w:rsidR="005159DF">
        <w:rPr>
          <w:rFonts w:ascii="Book Antiqua" w:hAnsi="Book Antiqua" w:cs="Book Antiqua" w:hint="eastAsia"/>
          <w:color w:val="000000"/>
          <w:lang w:eastAsia="zh-CN"/>
        </w:rPr>
        <w:t xml:space="preserve">The </w:t>
      </w:r>
      <w:r>
        <w:rPr>
          <w:rFonts w:ascii="Book Antiqua" w:eastAsia="Book Antiqua" w:hAnsi="Book Antiqua" w:cs="Book Antiqua"/>
          <w:color w:val="000000"/>
        </w:rPr>
        <w:t>Affiliated Second Hospital of Nantong University, Nantong 226001, Jiangsu Province, China</w:t>
      </w:r>
    </w:p>
    <w:p w14:paraId="439C056E" w14:textId="77777777" w:rsidR="001154E7" w:rsidRDefault="001154E7">
      <w:pPr>
        <w:adjustRightInd w:val="0"/>
        <w:snapToGrid w:val="0"/>
        <w:spacing w:line="360" w:lineRule="auto"/>
        <w:jc w:val="both"/>
        <w:rPr>
          <w:rFonts w:ascii="Book Antiqua" w:hAnsi="Book Antiqua"/>
        </w:rPr>
      </w:pPr>
    </w:p>
    <w:p w14:paraId="5389175D" w14:textId="77777777" w:rsidR="001154E7" w:rsidRDefault="00ED61B9">
      <w:pPr>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Department of Molecular Biology, Life Science School of Nantong University, Nantong 226009, Jiangsu Province, China</w:t>
      </w:r>
    </w:p>
    <w:p w14:paraId="4D5232C9" w14:textId="77777777" w:rsidR="001154E7" w:rsidRDefault="001154E7">
      <w:pPr>
        <w:adjustRightInd w:val="0"/>
        <w:snapToGrid w:val="0"/>
        <w:spacing w:line="360" w:lineRule="auto"/>
        <w:jc w:val="both"/>
        <w:rPr>
          <w:rFonts w:ascii="Book Antiqua" w:hAnsi="Book Antiqua"/>
        </w:rPr>
      </w:pPr>
    </w:p>
    <w:p w14:paraId="6573275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Wu MN,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WJ, and Ye WX contributed equally to this work and wrote the first draft; Wang L, Chen Y, and Yang J contributed to the methodology, data </w:t>
      </w:r>
      <w:proofErr w:type="spellStart"/>
      <w:r>
        <w:rPr>
          <w:rFonts w:ascii="Book Antiqua" w:eastAsia="Book Antiqua" w:hAnsi="Book Antiqua" w:cs="Book Antiqua"/>
          <w:color w:val="000000"/>
        </w:rPr>
        <w:t>curation</w:t>
      </w:r>
      <w:proofErr w:type="spellEnd"/>
      <w:r>
        <w:rPr>
          <w:rFonts w:ascii="Book Antiqua" w:eastAsia="Book Antiqua" w:hAnsi="Book Antiqua" w:cs="Book Antiqua"/>
          <w:color w:val="000000"/>
        </w:rPr>
        <w:t xml:space="preserve">, and formal analysis; Yao M and Yao DF revised the manuscript. All authors approved the final version of the manuscript. </w:t>
      </w:r>
    </w:p>
    <w:p w14:paraId="0DB99BD6" w14:textId="77777777" w:rsidR="001154E7" w:rsidRDefault="001154E7">
      <w:pPr>
        <w:adjustRightInd w:val="0"/>
        <w:snapToGrid w:val="0"/>
        <w:spacing w:line="360" w:lineRule="auto"/>
        <w:jc w:val="both"/>
        <w:rPr>
          <w:rFonts w:ascii="Book Antiqua" w:hAnsi="Book Antiqua"/>
        </w:rPr>
      </w:pPr>
    </w:p>
    <w:p w14:paraId="249C290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Projects of the Ministry of Science and Technology, National Key Research and Development Program, No. 2018YFC0116902; National Natural Science Foundation of China, No. 81673241, No. 31872738, No. 81873915.</w:t>
      </w:r>
    </w:p>
    <w:p w14:paraId="15DF9611" w14:textId="77777777" w:rsidR="001154E7" w:rsidRDefault="001154E7">
      <w:pPr>
        <w:adjustRightInd w:val="0"/>
        <w:snapToGrid w:val="0"/>
        <w:spacing w:line="360" w:lineRule="auto"/>
        <w:jc w:val="both"/>
        <w:rPr>
          <w:rFonts w:ascii="Book Antiqua" w:hAnsi="Book Antiqua"/>
        </w:rPr>
      </w:pPr>
    </w:p>
    <w:p w14:paraId="3D8CC273" w14:textId="69929766"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Deng-Fu Yao, MD, PhD, Director, Full Professor, </w:t>
      </w:r>
      <w:r>
        <w:rPr>
          <w:rFonts w:ascii="Book Antiqua" w:eastAsia="Book Antiqua" w:hAnsi="Book Antiqua" w:cs="Book Antiqua"/>
          <w:color w:val="000000"/>
        </w:rPr>
        <w:t xml:space="preserve">Research Center of Clinical Medicine, </w:t>
      </w:r>
      <w:r w:rsidR="005159DF">
        <w:rPr>
          <w:rFonts w:ascii="Book Antiqua" w:hAnsi="Book Antiqua" w:cs="Book Antiqua" w:hint="eastAsia"/>
          <w:color w:val="000000"/>
          <w:lang w:eastAsia="zh-CN"/>
        </w:rPr>
        <w:t xml:space="preserve">The </w:t>
      </w:r>
      <w:r>
        <w:rPr>
          <w:rFonts w:ascii="Book Antiqua" w:eastAsia="Book Antiqua" w:hAnsi="Book Antiqua" w:cs="Book Antiqua"/>
          <w:color w:val="000000"/>
        </w:rPr>
        <w:t>Affiliated Hospital of Nantong University, No. 20 West Temple Road, Nantong 226001, Jiangsu Province, China. yaodf@ahnmc.com</w:t>
      </w:r>
    </w:p>
    <w:p w14:paraId="5C0C7910" w14:textId="77777777" w:rsidR="001154E7" w:rsidRDefault="001154E7">
      <w:pPr>
        <w:adjustRightInd w:val="0"/>
        <w:snapToGrid w:val="0"/>
        <w:spacing w:line="360" w:lineRule="auto"/>
        <w:jc w:val="both"/>
        <w:rPr>
          <w:rFonts w:ascii="Book Antiqua" w:hAnsi="Book Antiqua"/>
        </w:rPr>
      </w:pPr>
    </w:p>
    <w:p w14:paraId="658D38F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2020</w:t>
      </w:r>
    </w:p>
    <w:p w14:paraId="75D074D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6, 2021</w:t>
      </w:r>
    </w:p>
    <w:p w14:paraId="591F2CA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19, 2021</w:t>
      </w:r>
    </w:p>
    <w:p w14:paraId="1C00E6B3" w14:textId="3408DD41"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D57C6C">
        <w:rPr>
          <w:rFonts w:ascii="Book Antiqua" w:hAnsi="Book Antiqua"/>
          <w:color w:val="000000"/>
          <w:shd w:val="clear" w:color="auto" w:fill="FFFFFF"/>
        </w:rPr>
        <w:t>June 21</w:t>
      </w:r>
      <w:r w:rsidR="00D57C6C">
        <w:rPr>
          <w:rFonts w:ascii="Book Antiqua" w:hAnsi="Book Antiqua" w:hint="eastAsia"/>
          <w:color w:val="000000"/>
          <w:shd w:val="clear" w:color="auto" w:fill="FFFFFF"/>
          <w:lang w:eastAsia="zh-CN"/>
        </w:rPr>
        <w:t>, 2021</w:t>
      </w:r>
    </w:p>
    <w:p w14:paraId="699F274F" w14:textId="77777777" w:rsidR="001154E7" w:rsidRDefault="001154E7">
      <w:pPr>
        <w:adjustRightInd w:val="0"/>
        <w:snapToGrid w:val="0"/>
        <w:spacing w:line="360" w:lineRule="auto"/>
        <w:jc w:val="both"/>
        <w:rPr>
          <w:rFonts w:ascii="Book Antiqua" w:hAnsi="Book Antiqua"/>
        </w:rPr>
        <w:sectPr w:rsidR="001154E7">
          <w:footerReference w:type="default" r:id="rId8"/>
          <w:pgSz w:w="12240" w:h="15840"/>
          <w:pgMar w:top="1440" w:right="1440" w:bottom="1440" w:left="1440" w:header="720" w:footer="720" w:gutter="0"/>
          <w:cols w:space="720"/>
          <w:docGrid w:linePitch="360"/>
        </w:sectPr>
      </w:pPr>
    </w:p>
    <w:p w14:paraId="19B3EA1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627B5B8"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5C730D0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Abnormal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 </w:t>
      </w:r>
      <w:r>
        <w:rPr>
          <w:rFonts w:ascii="Book Antiqua" w:eastAsia="Book Antiqua" w:hAnsi="Book Antiqua" w:cs="Book Antiqua"/>
          <w:color w:val="000000"/>
          <w:shd w:val="clear" w:color="auto" w:fill="FFFFFF"/>
        </w:rPr>
        <w:t xml:space="preserve">has been reported in multiple cancers and exhibits oncogenic roles in tumor progression. </w:t>
      </w:r>
      <w:r>
        <w:rPr>
          <w:rFonts w:ascii="Book Antiqua" w:eastAsia="Book Antiqua" w:hAnsi="Book Antiqua" w:cs="Book Antiqua"/>
          <w:color w:val="000000"/>
        </w:rPr>
        <w:t xml:space="preserve">However, limited data are available on the relationship between TUFT1 and hepatocellular carcinoma (HCC), and </w:t>
      </w:r>
      <w:r>
        <w:rPr>
          <w:rFonts w:ascii="Book Antiqua" w:eastAsia="Book Antiqua" w:hAnsi="Book Antiqua" w:cs="Book Antiqua"/>
          <w:color w:val="000000"/>
          <w:shd w:val="clear" w:color="auto" w:fill="FFFFFF"/>
        </w:rPr>
        <w:t xml:space="preserve">the exact biological mechanism of </w:t>
      </w:r>
      <w:r>
        <w:rPr>
          <w:rFonts w:ascii="Book Antiqua" w:eastAsia="Book Antiqua" w:hAnsi="Book Antiqua" w:cs="Book Antiqua"/>
          <w:color w:val="000000"/>
        </w:rPr>
        <w:t>TUFT1</w:t>
      </w:r>
      <w:r>
        <w:rPr>
          <w:rFonts w:ascii="Book Antiqua" w:eastAsia="Book Antiqua" w:hAnsi="Book Antiqua" w:cs="Book Antiqua"/>
          <w:color w:val="000000"/>
          <w:shd w:val="clear" w:color="auto" w:fill="FFFFFF"/>
        </w:rPr>
        <w:t xml:space="preserve"> is still poorly understood in HCC.</w:t>
      </w:r>
    </w:p>
    <w:p w14:paraId="44C71CA2" w14:textId="77777777" w:rsidR="001154E7" w:rsidRDefault="001154E7">
      <w:pPr>
        <w:adjustRightInd w:val="0"/>
        <w:snapToGrid w:val="0"/>
        <w:spacing w:line="360" w:lineRule="auto"/>
        <w:jc w:val="both"/>
        <w:rPr>
          <w:rFonts w:ascii="Book Antiqua" w:hAnsi="Book Antiqua"/>
        </w:rPr>
      </w:pPr>
    </w:p>
    <w:p w14:paraId="25A245F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14:paraId="5D623F9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investigate TUFT1 expression in HCC and how interfering </w:t>
      </w:r>
      <w:r>
        <w:rPr>
          <w:rFonts w:ascii="Book Antiqua" w:eastAsia="Book Antiqua" w:hAnsi="Book Antiqua" w:cs="Book Antiqua"/>
          <w:i/>
          <w:iCs/>
          <w:color w:val="000000"/>
        </w:rPr>
        <w:t>TUFT1</w:t>
      </w:r>
      <w:r>
        <w:rPr>
          <w:rFonts w:ascii="Book Antiqua" w:eastAsia="Book Antiqua" w:hAnsi="Book Antiqua" w:cs="Book Antiqua"/>
          <w:color w:val="000000"/>
        </w:rPr>
        <w:t xml:space="preserve"> transcription affects HCC growth.</w:t>
      </w:r>
    </w:p>
    <w:p w14:paraId="1D2F36B0" w14:textId="77777777" w:rsidR="001154E7" w:rsidRDefault="001154E7">
      <w:pPr>
        <w:adjustRightInd w:val="0"/>
        <w:snapToGrid w:val="0"/>
        <w:spacing w:line="360" w:lineRule="auto"/>
        <w:jc w:val="both"/>
        <w:rPr>
          <w:rFonts w:ascii="Book Antiqua" w:hAnsi="Book Antiqua"/>
        </w:rPr>
      </w:pPr>
    </w:p>
    <w:p w14:paraId="3751D0C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14:paraId="58C46AF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TUFT1 in HCC and non-HCC tissues based on databases of the Cancer Genome Atlas and </w:t>
      </w:r>
      <w:proofErr w:type="spellStart"/>
      <w:r>
        <w:rPr>
          <w:rFonts w:ascii="Book Antiqua" w:eastAsia="Book Antiqua" w:hAnsi="Book Antiqua" w:cs="Book Antiqua"/>
          <w:color w:val="000000"/>
        </w:rPr>
        <w:t>Oncomine</w:t>
      </w:r>
      <w:proofErr w:type="spellEnd"/>
      <w:r>
        <w:rPr>
          <w:rFonts w:ascii="Book Antiqua" w:eastAsia="Book Antiqua" w:hAnsi="Book Antiqua" w:cs="Book Antiqua"/>
          <w:color w:val="000000"/>
        </w:rPr>
        <w:t xml:space="preserve"> were analyzed, and TUFT1 in human HCC tissues on microarray were detected by immunohistochemistry for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overall survival, and disease-free survival. HCC cells were transfected with constructed vectors of </w:t>
      </w:r>
      <w:r>
        <w:rPr>
          <w:rFonts w:ascii="Book Antiqua" w:eastAsia="Book Antiqua" w:hAnsi="Book Antiqua" w:cs="Book Antiqua"/>
          <w:i/>
          <w:iCs/>
          <w:color w:val="000000"/>
        </w:rPr>
        <w:t>TUFT1</w:t>
      </w:r>
      <w:r>
        <w:rPr>
          <w:rFonts w:ascii="Book Antiqua" w:eastAsia="Book Antiqua" w:hAnsi="Book Antiqua" w:cs="Book Antiqua"/>
          <w:color w:val="000000"/>
        </w:rPr>
        <w:t xml:space="preserve"> that interfere or over-express TUFT1 for analyzing the biological behaviors of HCC cells. Proliferation, invasion, migration, and apoptosis of cells were detected by cell counting kit-8, scratch assay,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tests, and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and confirmed by Western blotting, respectively. </w:t>
      </w:r>
    </w:p>
    <w:p w14:paraId="02496B4B" w14:textId="77777777" w:rsidR="001154E7" w:rsidRDefault="001154E7">
      <w:pPr>
        <w:adjustRightInd w:val="0"/>
        <w:snapToGrid w:val="0"/>
        <w:spacing w:line="360" w:lineRule="auto"/>
        <w:jc w:val="both"/>
        <w:rPr>
          <w:rFonts w:ascii="Book Antiqua" w:hAnsi="Book Antiqua"/>
        </w:rPr>
      </w:pPr>
    </w:p>
    <w:p w14:paraId="55A5C7A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14:paraId="53E84BD9" w14:textId="1179A1E6"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Abnormal TUFT1 levels in databases expressed in HCC at messenger RNA (mRNA) level and HCC tissues were mainly located in cytoplasm and membrane. The level of TUFT1 expression in the HCC group was significantly higher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18.563</w:t>
      </w:r>
      <w:r w:rsidR="00015DB1">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than that in the non-cancerous group, closely related to clinical staging, size, vascular invasion of tumor, hepatitis B e-antigen positive, and ascites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of HCC patients, and negatively to HCC patients’ overall survival and disease-free survival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After interfering with </w:t>
      </w:r>
      <w:r>
        <w:rPr>
          <w:rFonts w:ascii="Book Antiqua" w:eastAsia="Book Antiqua" w:hAnsi="Book Antiqua" w:cs="Book Antiqua"/>
          <w:i/>
          <w:iCs/>
          <w:color w:val="000000"/>
        </w:rPr>
        <w:t>TUFT1</w:t>
      </w:r>
      <w:r>
        <w:rPr>
          <w:rFonts w:ascii="Book Antiqua" w:eastAsia="Book Antiqua" w:hAnsi="Book Antiqua" w:cs="Book Antiqua"/>
          <w:color w:val="000000"/>
        </w:rPr>
        <w:t xml:space="preserve"> transcription at mRNA level in the MHCC-97H cells by </w:t>
      </w:r>
      <w:r>
        <w:rPr>
          <w:rFonts w:ascii="Book Antiqua" w:eastAsia="Book Antiqua" w:hAnsi="Book Antiqua" w:cs="Book Antiqua"/>
          <w:color w:val="000000"/>
        </w:rPr>
        <w:lastRenderedPageBreak/>
        <w:t xml:space="preserve">the specific TUFT1-short hairpin RNA, cell proliferation, invasion, and metastasis were significantly inhibited with increasing apoptosis rate. In contrast, proliferation, invasion, and migration were significantly enhanced after over-expression of TUFT1 mRNA in Hep3B cells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11B2A4F1" w14:textId="77777777" w:rsidR="001154E7" w:rsidRDefault="001154E7">
      <w:pPr>
        <w:adjustRightInd w:val="0"/>
        <w:snapToGrid w:val="0"/>
        <w:spacing w:line="360" w:lineRule="auto"/>
        <w:jc w:val="both"/>
        <w:rPr>
          <w:rFonts w:ascii="Book Antiqua" w:hAnsi="Book Antiqua"/>
        </w:rPr>
      </w:pPr>
    </w:p>
    <w:p w14:paraId="0D6E749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617C745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Oncogenic</w:t>
      </w:r>
      <w:r>
        <w:rPr>
          <w:rFonts w:ascii="Book Antiqua" w:eastAsia="Book Antiqua" w:hAnsi="Book Antiqua" w:cs="Book Antiqua"/>
          <w:i/>
          <w:iCs/>
          <w:color w:val="000000"/>
        </w:rPr>
        <w:t xml:space="preserve"> </w:t>
      </w:r>
      <w:r>
        <w:rPr>
          <w:rFonts w:ascii="Book Antiqua" w:eastAsia="Book Antiqua" w:hAnsi="Book Antiqua" w:cs="Book Antiqua"/>
          <w:color w:val="000000"/>
        </w:rPr>
        <w:t>TUFT1 was associated with the progression of HCC and could be a potential molecular-target for inhibiting HCC growth.</w:t>
      </w:r>
    </w:p>
    <w:p w14:paraId="7E8713A0" w14:textId="77777777" w:rsidR="001154E7" w:rsidRDefault="001154E7">
      <w:pPr>
        <w:adjustRightInd w:val="0"/>
        <w:snapToGrid w:val="0"/>
        <w:spacing w:line="360" w:lineRule="auto"/>
        <w:jc w:val="both"/>
        <w:rPr>
          <w:rFonts w:ascii="Book Antiqua" w:hAnsi="Book Antiqua"/>
        </w:rPr>
      </w:pPr>
    </w:p>
    <w:p w14:paraId="1F08D6E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Prognosis; Molecular-target; Growth</w:t>
      </w:r>
    </w:p>
    <w:p w14:paraId="3129972A" w14:textId="77777777" w:rsidR="001154E7" w:rsidRDefault="001154E7">
      <w:pPr>
        <w:adjustRightInd w:val="0"/>
        <w:snapToGrid w:val="0"/>
        <w:spacing w:line="360" w:lineRule="auto"/>
        <w:jc w:val="both"/>
        <w:rPr>
          <w:rFonts w:ascii="Book Antiqua" w:hAnsi="Book Antiqua" w:hint="eastAsia"/>
          <w:lang w:eastAsia="zh-CN"/>
        </w:rPr>
      </w:pPr>
    </w:p>
    <w:p w14:paraId="2D97EFC6" w14:textId="77777777" w:rsidR="005B4E31" w:rsidRPr="00026CB8" w:rsidRDefault="005B4E31" w:rsidP="005B4E31">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A594424" w14:textId="77777777" w:rsidR="005B4E31" w:rsidRDefault="005B4E31">
      <w:pPr>
        <w:adjustRightInd w:val="0"/>
        <w:snapToGrid w:val="0"/>
        <w:spacing w:line="360" w:lineRule="auto"/>
        <w:jc w:val="both"/>
        <w:rPr>
          <w:rFonts w:ascii="Book Antiqua" w:hAnsi="Book Antiqua" w:hint="eastAsia"/>
          <w:lang w:eastAsia="zh-CN"/>
        </w:rPr>
      </w:pPr>
    </w:p>
    <w:p w14:paraId="63AB520C" w14:textId="77777777" w:rsidR="00B9498D" w:rsidRDefault="00B9498D">
      <w:pPr>
        <w:adjustRightInd w:val="0"/>
        <w:snapToGrid w:val="0"/>
        <w:spacing w:line="360" w:lineRule="auto"/>
        <w:jc w:val="both"/>
        <w:rPr>
          <w:rFonts w:ascii="Book Antiqua" w:hAnsi="Book Antiqua" w:cs="Book Antiqua" w:hint="eastAsia"/>
          <w:color w:val="000000"/>
          <w:lang w:eastAsia="zh-CN"/>
        </w:rPr>
      </w:pPr>
      <w:r w:rsidRPr="00B9498D">
        <w:rPr>
          <w:rFonts w:ascii="Book Antiqua" w:hAnsi="Book Antiqua" w:cs="Book Antiqua" w:hint="eastAsia"/>
          <w:b/>
          <w:color w:val="000000"/>
          <w:lang w:eastAsia="zh-CN"/>
        </w:rPr>
        <w:t xml:space="preserve">Citation: </w:t>
      </w:r>
      <w:r w:rsidR="00ED61B9">
        <w:rPr>
          <w:rFonts w:ascii="Book Antiqua" w:eastAsia="Book Antiqua" w:hAnsi="Book Antiqua" w:cs="Book Antiqua"/>
          <w:color w:val="000000"/>
        </w:rPr>
        <w:t xml:space="preserve">Wu MN, </w:t>
      </w:r>
      <w:proofErr w:type="spellStart"/>
      <w:r w:rsidR="00ED61B9">
        <w:rPr>
          <w:rFonts w:ascii="Book Antiqua" w:eastAsia="Book Antiqua" w:hAnsi="Book Antiqua" w:cs="Book Antiqua"/>
          <w:color w:val="000000"/>
        </w:rPr>
        <w:t>Zheng</w:t>
      </w:r>
      <w:proofErr w:type="spellEnd"/>
      <w:r w:rsidR="00ED61B9">
        <w:rPr>
          <w:rFonts w:ascii="Book Antiqua" w:eastAsia="Book Antiqua" w:hAnsi="Book Antiqua" w:cs="Book Antiqua"/>
          <w:color w:val="000000"/>
        </w:rPr>
        <w:t xml:space="preserve"> WJ, Ye WX, Wang L, Chen Y, Yang J, Yao DF, Yao M. Oncogenic </w:t>
      </w:r>
      <w:proofErr w:type="spellStart"/>
      <w:r w:rsidR="00ED61B9">
        <w:rPr>
          <w:rFonts w:ascii="Book Antiqua" w:eastAsia="Book Antiqua" w:hAnsi="Book Antiqua" w:cs="Book Antiqua"/>
          <w:color w:val="000000"/>
        </w:rPr>
        <w:t>tuftelin</w:t>
      </w:r>
      <w:proofErr w:type="spellEnd"/>
      <w:r w:rsidR="00ED61B9">
        <w:rPr>
          <w:rFonts w:ascii="Book Antiqua" w:eastAsia="Book Antiqua" w:hAnsi="Book Antiqua" w:cs="Book Antiqua"/>
          <w:color w:val="000000"/>
        </w:rPr>
        <w:t xml:space="preserve"> 1 as a potential molecular-targeted for inhibiting hepatocellular carcinoma growth. </w:t>
      </w:r>
      <w:r w:rsidR="00ED61B9">
        <w:rPr>
          <w:rFonts w:ascii="Book Antiqua" w:eastAsia="Book Antiqua" w:hAnsi="Book Antiqua" w:cs="Book Antiqua"/>
          <w:i/>
          <w:iCs/>
          <w:color w:val="000000"/>
        </w:rPr>
        <w:t xml:space="preserve">World J </w:t>
      </w:r>
      <w:proofErr w:type="spellStart"/>
      <w:r w:rsidR="00ED61B9">
        <w:rPr>
          <w:rFonts w:ascii="Book Antiqua" w:eastAsia="Book Antiqua" w:hAnsi="Book Antiqua" w:cs="Book Antiqua"/>
          <w:i/>
          <w:iCs/>
          <w:color w:val="000000"/>
        </w:rPr>
        <w:t>Gastroenterol</w:t>
      </w:r>
      <w:proofErr w:type="spellEnd"/>
      <w:r w:rsidR="00ED61B9">
        <w:rPr>
          <w:rFonts w:ascii="Book Antiqua" w:eastAsia="Book Antiqua" w:hAnsi="Book Antiqua" w:cs="Book Antiqua"/>
          <w:color w:val="000000"/>
        </w:rPr>
        <w:t xml:space="preserve"> 2021; </w:t>
      </w:r>
      <w:r w:rsidR="00D57C6C" w:rsidRPr="002E5F7B">
        <w:rPr>
          <w:rFonts w:ascii="Book Antiqua" w:eastAsia="Book Antiqua" w:hAnsi="Book Antiqua" w:cs="Book Antiqua"/>
          <w:color w:val="000000"/>
        </w:rPr>
        <w:t>2</w:t>
      </w:r>
      <w:r w:rsidR="00D57C6C" w:rsidRPr="002E5F7B">
        <w:rPr>
          <w:rFonts w:ascii="Book Antiqua" w:eastAsia="Book Antiqua" w:hAnsi="Book Antiqua" w:cs="Book Antiqua" w:hint="eastAsia"/>
          <w:color w:val="000000"/>
        </w:rPr>
        <w:t>7</w:t>
      </w:r>
      <w:r w:rsidR="00D57C6C" w:rsidRPr="002E5F7B">
        <w:rPr>
          <w:rFonts w:ascii="Book Antiqua" w:eastAsia="Book Antiqua" w:hAnsi="Book Antiqua" w:cs="Book Antiqua"/>
          <w:color w:val="000000"/>
        </w:rPr>
        <w:t>(</w:t>
      </w:r>
      <w:r w:rsidR="00D57C6C">
        <w:rPr>
          <w:rFonts w:ascii="Book Antiqua" w:hAnsi="Book Antiqua" w:cs="Book Antiqua" w:hint="eastAsia"/>
          <w:color w:val="000000"/>
          <w:lang w:eastAsia="zh-CN"/>
        </w:rPr>
        <w:t>23</w:t>
      </w:r>
      <w:r w:rsidR="00D57C6C" w:rsidRPr="002E5F7B">
        <w:rPr>
          <w:rFonts w:ascii="Book Antiqua" w:eastAsia="Book Antiqua" w:hAnsi="Book Antiqua" w:cs="Book Antiqua"/>
          <w:color w:val="000000"/>
        </w:rPr>
        <w:t xml:space="preserve">): </w:t>
      </w:r>
      <w:r>
        <w:rPr>
          <w:rFonts w:ascii="Book Antiqua" w:hAnsi="Book Antiqua" w:hint="eastAsia"/>
        </w:rPr>
        <w:t>3327</w:t>
      </w:r>
      <w:r>
        <w:rPr>
          <w:rFonts w:ascii="Book Antiqua" w:hAnsi="Book Antiqua" w:hint="eastAsia"/>
          <w:lang w:eastAsia="zh-CN"/>
        </w:rPr>
        <w:t>-</w:t>
      </w:r>
      <w:r>
        <w:rPr>
          <w:rFonts w:ascii="Book Antiqua" w:hAnsi="Book Antiqua" w:hint="eastAsia"/>
        </w:rPr>
        <w:t>3341</w:t>
      </w:r>
      <w:r w:rsidR="00D57C6C" w:rsidRPr="002E5F7B">
        <w:rPr>
          <w:rFonts w:ascii="Book Antiqua" w:eastAsia="Book Antiqua" w:hAnsi="Book Antiqua" w:cs="Book Antiqua"/>
          <w:color w:val="000000"/>
        </w:rPr>
        <w:t xml:space="preserve"> </w:t>
      </w:r>
    </w:p>
    <w:p w14:paraId="08E41183" w14:textId="4C04B571" w:rsidR="00B9498D" w:rsidRDefault="00D57C6C">
      <w:pPr>
        <w:adjustRightInd w:val="0"/>
        <w:snapToGrid w:val="0"/>
        <w:spacing w:line="360" w:lineRule="auto"/>
        <w:jc w:val="both"/>
        <w:rPr>
          <w:rFonts w:ascii="Book Antiqua" w:hAnsi="Book Antiqua" w:cs="Book Antiqua" w:hint="eastAsia"/>
          <w:color w:val="000000"/>
          <w:lang w:eastAsia="zh-CN"/>
        </w:rPr>
      </w:pPr>
      <w:r w:rsidRPr="00B9498D">
        <w:rPr>
          <w:rFonts w:ascii="Book Antiqua" w:eastAsia="Book Antiqua" w:hAnsi="Book Antiqua" w:cs="Book Antiqua"/>
          <w:b/>
          <w:color w:val="000000"/>
        </w:rPr>
        <w:t>URL:</w:t>
      </w:r>
      <w:r w:rsidRPr="002E5F7B">
        <w:rPr>
          <w:rFonts w:ascii="Book Antiqua" w:eastAsia="Book Antiqua" w:hAnsi="Book Antiqua" w:cs="Book Antiqua"/>
          <w:color w:val="000000"/>
        </w:rPr>
        <w:t xml:space="preserve"> </w:t>
      </w:r>
      <w:hyperlink r:id="rId9" w:history="1">
        <w:r w:rsidR="00B9498D" w:rsidRPr="0031765D">
          <w:rPr>
            <w:rStyle w:val="aa"/>
            <w:rFonts w:ascii="Book Antiqua" w:eastAsia="Book Antiqua" w:hAnsi="Book Antiqua" w:cs="Book Antiqua"/>
          </w:rPr>
          <w:t>https://www.wjgnet.com/1007-9327/full/v2</w:t>
        </w:r>
        <w:r w:rsidR="00B9498D" w:rsidRPr="0031765D">
          <w:rPr>
            <w:rStyle w:val="aa"/>
            <w:rFonts w:ascii="Book Antiqua" w:eastAsia="Book Antiqua" w:hAnsi="Book Antiqua" w:cs="Book Antiqua" w:hint="eastAsia"/>
          </w:rPr>
          <w:t>7</w:t>
        </w:r>
        <w:r w:rsidR="00B9498D" w:rsidRPr="0031765D">
          <w:rPr>
            <w:rStyle w:val="aa"/>
            <w:rFonts w:ascii="Book Antiqua" w:eastAsia="Book Antiqua" w:hAnsi="Book Antiqua" w:cs="Book Antiqua"/>
          </w:rPr>
          <w:t>/i</w:t>
        </w:r>
        <w:r w:rsidR="00B9498D" w:rsidRPr="0031765D">
          <w:rPr>
            <w:rStyle w:val="aa"/>
            <w:rFonts w:ascii="Book Antiqua" w:hAnsi="Book Antiqua" w:cs="Book Antiqua" w:hint="eastAsia"/>
            <w:lang w:eastAsia="zh-CN"/>
          </w:rPr>
          <w:t>23</w:t>
        </w:r>
        <w:r w:rsidR="00B9498D" w:rsidRPr="0031765D">
          <w:rPr>
            <w:rStyle w:val="aa"/>
            <w:rFonts w:ascii="Book Antiqua" w:eastAsia="Book Antiqua" w:hAnsi="Book Antiqua" w:cs="Book Antiqua"/>
          </w:rPr>
          <w:t>/</w:t>
        </w:r>
        <w:r w:rsidR="00B9498D" w:rsidRPr="0031765D">
          <w:rPr>
            <w:rStyle w:val="aa"/>
            <w:rFonts w:ascii="Book Antiqua" w:hAnsi="Book Antiqua" w:cs="Book Antiqua" w:hint="eastAsia"/>
            <w:lang w:eastAsia="zh-CN"/>
          </w:rPr>
          <w:t>3327</w:t>
        </w:r>
        <w:r w:rsidR="00B9498D" w:rsidRPr="0031765D">
          <w:rPr>
            <w:rStyle w:val="aa"/>
            <w:rFonts w:ascii="Book Antiqua" w:eastAsia="Book Antiqua" w:hAnsi="Book Antiqua" w:cs="Book Antiqua"/>
          </w:rPr>
          <w:t>.htm</w:t>
        </w:r>
      </w:hyperlink>
      <w:r w:rsidRPr="002E5F7B">
        <w:rPr>
          <w:rFonts w:ascii="Book Antiqua" w:eastAsia="Book Antiqua" w:hAnsi="Book Antiqua" w:cs="Book Antiqua"/>
          <w:color w:val="000000"/>
        </w:rPr>
        <w:t xml:space="preserve"> </w:t>
      </w:r>
    </w:p>
    <w:p w14:paraId="2398FD07" w14:textId="30807A6D" w:rsidR="001154E7" w:rsidRPr="00B9498D" w:rsidRDefault="00D57C6C">
      <w:pPr>
        <w:adjustRightInd w:val="0"/>
        <w:snapToGrid w:val="0"/>
        <w:spacing w:line="360" w:lineRule="auto"/>
        <w:jc w:val="both"/>
        <w:rPr>
          <w:rFonts w:ascii="Book Antiqua" w:hAnsi="Book Antiqua" w:hint="eastAsia"/>
          <w:lang w:eastAsia="zh-CN"/>
        </w:rPr>
      </w:pPr>
      <w:r w:rsidRPr="00B9498D">
        <w:rPr>
          <w:rFonts w:ascii="Book Antiqua" w:eastAsia="Book Antiqua" w:hAnsi="Book Antiqua" w:cs="Book Antiqua"/>
          <w:b/>
          <w:color w:val="000000"/>
        </w:rPr>
        <w:t xml:space="preserve">DOI: </w:t>
      </w:r>
      <w:r w:rsidRPr="002E5F7B">
        <w:rPr>
          <w:rFonts w:ascii="Book Antiqua" w:eastAsia="Book Antiqua" w:hAnsi="Book Antiqua" w:cs="Book Antiqua"/>
          <w:color w:val="000000"/>
        </w:rPr>
        <w:t>https://dx.doi.org/10.3748/wjg.v2</w:t>
      </w:r>
      <w:r w:rsidRPr="002E5F7B">
        <w:rPr>
          <w:rFonts w:ascii="Book Antiqua" w:eastAsia="Book Antiqua" w:hAnsi="Book Antiqua" w:cs="Book Antiqua" w:hint="eastAsia"/>
          <w:color w:val="000000"/>
        </w:rPr>
        <w:t>7</w:t>
      </w:r>
      <w:r w:rsidRPr="002E5F7B">
        <w:rPr>
          <w:rFonts w:ascii="Book Antiqua" w:eastAsia="Book Antiqua" w:hAnsi="Book Antiqua" w:cs="Book Antiqua"/>
          <w:color w:val="000000"/>
        </w:rPr>
        <w:t>.i</w:t>
      </w:r>
      <w:r>
        <w:rPr>
          <w:rFonts w:ascii="Book Antiqua" w:hAnsi="Book Antiqua" w:cs="Book Antiqua" w:hint="eastAsia"/>
          <w:color w:val="000000"/>
          <w:lang w:eastAsia="zh-CN"/>
        </w:rPr>
        <w:t>23</w:t>
      </w:r>
      <w:r w:rsidRPr="002E5F7B">
        <w:rPr>
          <w:rFonts w:ascii="Book Antiqua" w:eastAsia="Book Antiqua" w:hAnsi="Book Antiqua" w:cs="Book Antiqua"/>
          <w:color w:val="000000"/>
        </w:rPr>
        <w:t>.</w:t>
      </w:r>
      <w:r w:rsidR="00B9498D">
        <w:rPr>
          <w:rFonts w:ascii="Book Antiqua" w:hAnsi="Book Antiqua" w:cs="Book Antiqua" w:hint="eastAsia"/>
          <w:color w:val="000000"/>
          <w:lang w:eastAsia="zh-CN"/>
        </w:rPr>
        <w:t>3327</w:t>
      </w:r>
    </w:p>
    <w:p w14:paraId="3F2FB60E" w14:textId="77777777" w:rsidR="001154E7" w:rsidRDefault="001154E7">
      <w:pPr>
        <w:adjustRightInd w:val="0"/>
        <w:snapToGrid w:val="0"/>
        <w:spacing w:line="360" w:lineRule="auto"/>
        <w:jc w:val="both"/>
        <w:rPr>
          <w:rFonts w:ascii="Book Antiqua" w:hAnsi="Book Antiqua"/>
        </w:rPr>
      </w:pPr>
    </w:p>
    <w:p w14:paraId="24681FF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Tuftelin1 (TUFT1) has been reported to be regulated by hypoxia and involved in the Hedgehog signaling pathway, with over-expression in hepatocellular carcinoma (HCC) tissues or cell lines. Abnormal TUFT1 level was significantly related to tumor size, vascular invasion, positive hepatitis B e-antigen, advanced tumor-node-metastasis stage of HCC, patients with ascites, and shorter overall survival and disease-free survival. Interfering </w:t>
      </w:r>
      <w:r>
        <w:rPr>
          <w:rFonts w:ascii="Book Antiqua" w:eastAsia="Book Antiqua" w:hAnsi="Book Antiqua" w:cs="Book Antiqua"/>
          <w:i/>
          <w:iCs/>
          <w:color w:val="000000"/>
        </w:rPr>
        <w:t>TUFT1</w:t>
      </w:r>
      <w:r>
        <w:rPr>
          <w:rFonts w:ascii="Book Antiqua" w:eastAsia="Book Antiqua" w:hAnsi="Book Antiqua" w:cs="Book Antiqua"/>
          <w:color w:val="000000"/>
        </w:rPr>
        <w:t xml:space="preserve"> transcription</w:t>
      </w:r>
      <w:r>
        <w:rPr>
          <w:rFonts w:ascii="Book Antiqua" w:eastAsia="Book Antiqua" w:hAnsi="Book Antiqua" w:cs="Book Antiqua"/>
          <w:i/>
          <w:iCs/>
          <w:color w:val="000000"/>
        </w:rPr>
        <w:t xml:space="preserve"> </w:t>
      </w:r>
      <w:r>
        <w:rPr>
          <w:rFonts w:ascii="Book Antiqua" w:eastAsia="Book Antiqua" w:hAnsi="Book Antiqua" w:cs="Book Antiqua"/>
          <w:color w:val="000000"/>
        </w:rPr>
        <w:t>could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markedly suppress the growth and metastasis of high TUFT1 MHCC-97H cell lines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through accelerating apoptosis. Moreover, increasing TUFT1 expression might promote the growth and metastasis of low TUFT1 Hep3B cell lines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data suggested that TUFT1 is involved in HCC </w:t>
      </w:r>
      <w:r>
        <w:rPr>
          <w:rFonts w:ascii="Book Antiqua" w:eastAsia="Book Antiqua" w:hAnsi="Book Antiqua" w:cs="Book Antiqua"/>
          <w:color w:val="000000"/>
        </w:rPr>
        <w:lastRenderedPageBreak/>
        <w:t xml:space="preserve">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mechanism of inhibiting apoptosis and might serve as a potential therapeutic target for inhibiting HCC growth. </w:t>
      </w:r>
    </w:p>
    <w:p w14:paraId="499FEBC6" w14:textId="77777777" w:rsidR="001154E7" w:rsidRDefault="001154E7">
      <w:pPr>
        <w:adjustRightInd w:val="0"/>
        <w:snapToGrid w:val="0"/>
        <w:spacing w:line="360" w:lineRule="auto"/>
        <w:jc w:val="both"/>
        <w:rPr>
          <w:rFonts w:ascii="Book Antiqua" w:hAnsi="Book Antiqua"/>
        </w:rPr>
      </w:pPr>
    </w:p>
    <w:p w14:paraId="1724F3F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FB0B0F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Hepatocellular carcinoma (HCC) is </w:t>
      </w:r>
      <w:r>
        <w:rPr>
          <w:rFonts w:ascii="Book Antiqua" w:eastAsia="Book Antiqua" w:hAnsi="Book Antiqua" w:cs="Book Antiqua"/>
          <w:color w:val="000000"/>
        </w:rPr>
        <w:t xml:space="preserve">usually lethal because of late diagnosis and early </w:t>
      </w:r>
      <w:proofErr w:type="gramStart"/>
      <w:r>
        <w:rPr>
          <w:rFonts w:ascii="Book Antiqua" w:eastAsia="Book Antiqua" w:hAnsi="Book Antiqua" w:cs="Book Antiqua"/>
          <w:color w:val="000000"/>
        </w:rPr>
        <w:t>metastasis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HCC is still one of</w:t>
      </w:r>
      <w:r>
        <w:rPr>
          <w:rFonts w:ascii="Book Antiqua" w:eastAsia="Book Antiqua" w:hAnsi="Book Antiqua" w:cs="Book Antiqua"/>
          <w:color w:val="000000"/>
          <w:shd w:val="clear" w:color="auto" w:fill="FFFFFF"/>
        </w:rPr>
        <w:t xml:space="preserve"> the most common cancers with</w:t>
      </w:r>
      <w:r>
        <w:rPr>
          <w:rFonts w:ascii="Book Antiqua" w:eastAsia="Book Antiqua" w:hAnsi="Book Antiqua" w:cs="Book Antiqua"/>
          <w:color w:val="000000"/>
        </w:rPr>
        <w:t xml:space="preserve"> increasing incidence </w:t>
      </w:r>
      <w:r>
        <w:rPr>
          <w:rFonts w:ascii="Book Antiqua" w:eastAsia="Book Antiqua" w:hAnsi="Book Antiqua" w:cs="Book Antiqua"/>
          <w:color w:val="000000"/>
          <w:shd w:val="clear" w:color="auto" w:fill="FFFFFF"/>
        </w:rPr>
        <w:t xml:space="preserve">in the inshore area of the Yangtze </w:t>
      </w:r>
      <w:proofErr w:type="gramStart"/>
      <w:r>
        <w:rPr>
          <w:rFonts w:ascii="Book Antiqua" w:eastAsia="Book Antiqua" w:hAnsi="Book Antiqua" w:cs="Book Antiqua"/>
          <w:color w:val="000000"/>
          <w:shd w:val="clear" w:color="auto" w:fill="FFFFFF"/>
        </w:rPr>
        <w:t>River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Aberrant up-regulated or down-regulated expression of many genes was identified during malignant transformation of hepatocytes in patients with chronic inflammation or damage by hepatitis B viruses (HBV), hepatitis C viruses (HCV), toxic intake, liver cirrhosis, and non-alcoholic fatty liver disease</w:t>
      </w:r>
      <w:r>
        <w:rPr>
          <w:rFonts w:ascii="Book Antiqua" w:eastAsia="Book Antiqua" w:hAnsi="Book Antiqua" w:cs="Book Antiqua"/>
          <w:color w:val="000000"/>
          <w:vertAlign w:val="superscript"/>
        </w:rPr>
        <w:t>[3,4]</w:t>
      </w:r>
      <w:r>
        <w:rPr>
          <w:rFonts w:ascii="Book Antiqua" w:eastAsia="Book Antiqua" w:hAnsi="Book Antiqua" w:cs="Book Antiqua"/>
          <w:color w:val="000000"/>
        </w:rPr>
        <w:t>. Given the limited effective therapies available for HCC patients with advanced stages, surgical resection and radiofrequency ablation are still the most common curative treatments for early stage patients, but the prognosis as overall survival (OS) or disease free survival (DFS) rate is very poor</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Therefore, the pathogenesis and feasible therapeutic treatments of HCC need urgent </w:t>
      </w:r>
      <w:proofErr w:type="gramStart"/>
      <w:r>
        <w:rPr>
          <w:rFonts w:ascii="Book Antiqua" w:eastAsia="Book Antiqua" w:hAnsi="Book Antiqua" w:cs="Book Antiqua"/>
          <w:color w:val="000000"/>
        </w:rPr>
        <w:t>investigation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Recently,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w:t>
      </w:r>
      <w:r>
        <w:rPr>
          <w:rFonts w:ascii="Book Antiqua" w:eastAsia="Book Antiqua" w:hAnsi="Book Antiqua" w:cs="Book Antiqua"/>
          <w:color w:val="000000"/>
          <w:shd w:val="clear" w:color="auto" w:fill="FFFFFF"/>
        </w:rPr>
        <w:t xml:space="preserve"> has been reported to be elevated during multiple cancer types, and </w:t>
      </w:r>
      <w:r>
        <w:rPr>
          <w:rFonts w:ascii="Book Antiqua" w:eastAsia="Book Antiqua" w:hAnsi="Book Antiqua" w:cs="Book Antiqua"/>
          <w:color w:val="000000"/>
        </w:rPr>
        <w:t xml:space="preserve">the abnormal expression of TUFT1 has attracted medical </w:t>
      </w:r>
      <w:proofErr w:type="gramStart"/>
      <w:r>
        <w:rPr>
          <w:rFonts w:ascii="Book Antiqua" w:eastAsia="Book Antiqua" w:hAnsi="Book Antiqua" w:cs="Book Antiqua"/>
          <w:color w:val="000000"/>
        </w:rPr>
        <w:t>attention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TUFT1 was first identified and sequenced from a bovine </w:t>
      </w:r>
      <w:proofErr w:type="spellStart"/>
      <w:r>
        <w:rPr>
          <w:rFonts w:ascii="Book Antiqua" w:eastAsia="Book Antiqua" w:hAnsi="Book Antiqua" w:cs="Book Antiqua"/>
          <w:color w:val="000000"/>
        </w:rPr>
        <w:t>ameloblast</w:t>
      </w:r>
      <w:proofErr w:type="spellEnd"/>
      <w:r>
        <w:rPr>
          <w:rFonts w:ascii="Book Antiqua" w:eastAsia="Book Antiqua" w:hAnsi="Book Antiqua" w:cs="Book Antiqua"/>
          <w:color w:val="000000"/>
        </w:rPr>
        <w:t xml:space="preserve">-enriched complementary DNA library with a highly conserved gene localized in chromosome 1q21-31 that contains 13 exons encoding an acidic, phosphorylated glycoprotein of 390 amino acids and plays a critical role in the development and mineralization of </w:t>
      </w:r>
      <w:proofErr w:type="gramStart"/>
      <w:r>
        <w:rPr>
          <w:rFonts w:ascii="Book Antiqua" w:eastAsia="Book Antiqua" w:hAnsi="Book Antiqua" w:cs="Book Antiqua"/>
          <w:color w:val="000000"/>
        </w:rPr>
        <w:t>enamel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3882945B"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TUFT1 belongs to the enamel associated teeth proteins and is thought to play a role in enamel mineralization. Also, </w:t>
      </w:r>
      <w:r>
        <w:rPr>
          <w:rFonts w:ascii="Book Antiqua" w:eastAsia="Book Antiqua" w:hAnsi="Book Antiqua" w:cs="Book Antiqua"/>
          <w:color w:val="000000"/>
        </w:rPr>
        <w:t xml:space="preserve">TUFT1 is expressed in embryonic stem cells, </w:t>
      </w:r>
      <w:r>
        <w:rPr>
          <w:rFonts w:ascii="Book Antiqua" w:eastAsia="Book Antiqua" w:hAnsi="Book Antiqua" w:cs="Book Antiqua"/>
          <w:color w:val="000000"/>
          <w:shd w:val="clear" w:color="auto" w:fill="FFFFFF"/>
        </w:rPr>
        <w:t>neuronal cells,</w:t>
      </w:r>
      <w:r>
        <w:rPr>
          <w:rFonts w:ascii="Book Antiqua" w:eastAsia="Book Antiqua" w:hAnsi="Book Antiqua" w:cs="Book Antiqua"/>
          <w:color w:val="000000"/>
        </w:rPr>
        <w:t xml:space="preserve"> and non-mineralizing tissues like eyes, brain, adrenal gland, lung, liver, kidneys, testis, and tumor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TUFT1 can modulate the </w:t>
      </w:r>
      <w:proofErr w:type="spellStart"/>
      <w:r>
        <w:rPr>
          <w:rFonts w:ascii="Book Antiqua" w:eastAsia="Book Antiqua" w:hAnsi="Book Antiqua" w:cs="Book Antiqua"/>
          <w:color w:val="000000"/>
        </w:rPr>
        <w:t>Rab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GTPase</w:t>
      </w:r>
      <w:proofErr w:type="spellEnd"/>
      <w:r>
        <w:rPr>
          <w:rFonts w:ascii="Book Antiqua" w:eastAsia="Book Antiqua" w:hAnsi="Book Antiqua" w:cs="Book Antiqua"/>
          <w:color w:val="000000"/>
        </w:rPr>
        <w:t xml:space="preserve">-regulated process to activate the mammalian target of </w:t>
      </w:r>
      <w:proofErr w:type="spellStart"/>
      <w:r>
        <w:rPr>
          <w:rFonts w:ascii="Book Antiqua" w:eastAsia="Book Antiqua" w:hAnsi="Book Antiqua" w:cs="Book Antiqua"/>
          <w:color w:val="000000"/>
        </w:rPr>
        <w:t>rapamycin</w:t>
      </w:r>
      <w:proofErr w:type="spellEnd"/>
      <w:r>
        <w:rPr>
          <w:rFonts w:ascii="Book Antiqua" w:eastAsia="Book Antiqua" w:hAnsi="Book Antiqua" w:cs="Book Antiqua"/>
          <w:color w:val="000000"/>
        </w:rPr>
        <w:t xml:space="preserve"> complex 1 signaling that is activated in many cancers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and associated with poor prognosis in breast or pancreatic cancer and thyroid carcinoma</w:t>
      </w:r>
      <w:r>
        <w:rPr>
          <w:rFonts w:ascii="Book Antiqua" w:eastAsia="Book Antiqua" w:hAnsi="Book Antiqua" w:cs="Book Antiqua"/>
          <w:color w:val="000000"/>
          <w:vertAlign w:val="superscript"/>
        </w:rPr>
        <w:t>[10,11,14]</w:t>
      </w:r>
      <w:r>
        <w:rPr>
          <w:rFonts w:ascii="Book Antiqua" w:eastAsia="Book Antiqua" w:hAnsi="Book Antiqua" w:cs="Book Antiqua"/>
          <w:color w:val="000000"/>
        </w:rPr>
        <w:t>. In addition, TUFT1 is correlated with the metastasis and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which could be regulated by hypoxia that enhanced TUFT1 by down-regulating miR-671-5p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interaction with 3'-ultranslated region of TUFT1 messenger RNA (mRNA) rather than by directly promoting hypoxia </w:t>
      </w:r>
      <w:r>
        <w:rPr>
          <w:rFonts w:ascii="Book Antiqua" w:eastAsia="Book Antiqua" w:hAnsi="Book Antiqua" w:cs="Book Antiqua"/>
          <w:color w:val="000000"/>
        </w:rPr>
        <w:lastRenderedPageBreak/>
        <w:t>inducible factor-1α (HIF-1α) binding to TUFT1 promoter, and the Hedgehog signaling pathway</w:t>
      </w:r>
      <w:r>
        <w:rPr>
          <w:rFonts w:ascii="Book Antiqua" w:eastAsia="Book Antiqua" w:hAnsi="Book Antiqua" w:cs="Book Antiqua"/>
          <w:color w:val="000000"/>
          <w:vertAlign w:val="superscript"/>
        </w:rPr>
        <w:t>[17-19]</w:t>
      </w:r>
      <w:r>
        <w:rPr>
          <w:rFonts w:ascii="Book Antiqua" w:eastAsia="Book Antiqua" w:hAnsi="Book Antiqua" w:cs="Book Antiqua"/>
          <w:color w:val="000000"/>
        </w:rPr>
        <w:t>. Abnormal TUFT1</w:t>
      </w:r>
      <w:r>
        <w:rPr>
          <w:rFonts w:ascii="Book Antiqua" w:eastAsia="Book Antiqua" w:hAnsi="Book Antiqua" w:cs="Book Antiqua"/>
          <w:color w:val="000000"/>
          <w:shd w:val="clear" w:color="auto" w:fill="FFFFFF"/>
        </w:rPr>
        <w:t xml:space="preserve"> has been reported in multiple cancers and exhibits oncogenic roles in tumor </w:t>
      </w:r>
      <w:proofErr w:type="gramStart"/>
      <w:r>
        <w:rPr>
          <w:rFonts w:ascii="Book Antiqua" w:eastAsia="Book Antiqua" w:hAnsi="Book Antiqua" w:cs="Book Antiqua"/>
          <w:color w:val="000000"/>
          <w:shd w:val="clear" w:color="auto" w:fill="FFFFFF"/>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17,20]</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However, limited data are available on the relationship between TUFT1 and HCC, and </w:t>
      </w:r>
      <w:r>
        <w:rPr>
          <w:rFonts w:ascii="Book Antiqua" w:eastAsia="Book Antiqua" w:hAnsi="Book Antiqua" w:cs="Book Antiqua"/>
          <w:color w:val="000000"/>
          <w:shd w:val="clear" w:color="auto" w:fill="FFFFFF"/>
        </w:rPr>
        <w:t xml:space="preserve">the exact biological mechanism of </w:t>
      </w:r>
      <w:r>
        <w:rPr>
          <w:rFonts w:ascii="Book Antiqua" w:eastAsia="Book Antiqua" w:hAnsi="Book Antiqua" w:cs="Book Antiqua"/>
          <w:color w:val="000000"/>
        </w:rPr>
        <w:t>TUFT1 in HCC</w:t>
      </w:r>
      <w:r>
        <w:rPr>
          <w:rFonts w:ascii="Book Antiqua" w:eastAsia="Book Antiqua" w:hAnsi="Book Antiqua" w:cs="Book Antiqua"/>
          <w:color w:val="000000"/>
          <w:shd w:val="clear" w:color="auto" w:fill="FFFFFF"/>
        </w:rPr>
        <w:t xml:space="preserve"> is still poorly understood. </w:t>
      </w:r>
      <w:r>
        <w:rPr>
          <w:rFonts w:ascii="Book Antiqua" w:eastAsia="Book Antiqua" w:hAnsi="Book Antiqua" w:cs="Book Antiqua"/>
          <w:color w:val="000000"/>
        </w:rPr>
        <w:t xml:space="preserve">In this present study, the landscape of TUFT1 expression in human HCC tissues was investigated, and its molecular mechanism was confirmed through intervening or over-expressing TUFT1 activation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0482349D" w14:textId="77777777" w:rsidR="001154E7" w:rsidRDefault="001154E7">
      <w:pPr>
        <w:adjustRightInd w:val="0"/>
        <w:snapToGrid w:val="0"/>
        <w:spacing w:line="360" w:lineRule="auto"/>
        <w:jc w:val="both"/>
        <w:rPr>
          <w:rFonts w:ascii="Book Antiqua" w:hAnsi="Book Antiqua"/>
        </w:rPr>
      </w:pPr>
    </w:p>
    <w:p w14:paraId="12291E7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E81796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Bioinformatics analysis</w:t>
      </w:r>
    </w:p>
    <w:p w14:paraId="581ACED6" w14:textId="1D6DDDE9"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Differential expressions of TUFT1 mRNA between HCC and normal liver tissues were collected according to the bioinformatics data from the </w:t>
      </w:r>
      <w:r>
        <w:rPr>
          <w:rFonts w:ascii="Book Antiqua" w:eastAsia="Book Antiqua" w:hAnsi="Book Antiqua" w:cs="Book Antiqua"/>
          <w:color w:val="000000"/>
          <w:shd w:val="clear" w:color="auto" w:fill="FFFFFF"/>
        </w:rPr>
        <w:t xml:space="preserve">Gene Expression Profiling Interactive Analysis (GEPIA) </w:t>
      </w:r>
      <w:r>
        <w:rPr>
          <w:rFonts w:ascii="Book Antiqua" w:eastAsia="Book Antiqua" w:hAnsi="Book Antiqua" w:cs="Book Antiqua"/>
          <w:color w:val="000000"/>
        </w:rPr>
        <w:t xml:space="preserve">public </w:t>
      </w:r>
      <w:proofErr w:type="gramStart"/>
      <w:r>
        <w:rPr>
          <w:rFonts w:ascii="Book Antiqua" w:eastAsia="Book Antiqua" w:hAnsi="Book Antiqua" w:cs="Book Antiqua"/>
          <w:color w:val="000000"/>
        </w:rPr>
        <w:t>Website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21] </w:t>
      </w:r>
      <w:r>
        <w:rPr>
          <w:rFonts w:ascii="Book Antiqua" w:eastAsia="Book Antiqua" w:hAnsi="Book Antiqua" w:cs="Book Antiqua"/>
          <w:color w:val="000000"/>
        </w:rPr>
        <w:t>(</w:t>
      </w:r>
      <w:r>
        <w:rPr>
          <w:rFonts w:ascii="Book Antiqua" w:eastAsia="Book Antiqua" w:hAnsi="Book Antiqua" w:cs="Book Antiqua"/>
          <w:color w:val="000000"/>
          <w:u w:color="0000FF"/>
        </w:rPr>
        <w:t>http://GEPIA.cancer-pku.cn/detail.php</w:t>
      </w:r>
      <w:r>
        <w:rPr>
          <w:rFonts w:ascii="Book Antiqua" w:eastAsia="Book Antiqua" w:hAnsi="Book Antiqua" w:cs="Book Antiqua"/>
          <w:color w:val="000000"/>
        </w:rPr>
        <w:t xml:space="preserve">) and the </w:t>
      </w:r>
      <w:proofErr w:type="spellStart"/>
      <w:r>
        <w:rPr>
          <w:rFonts w:ascii="Book Antiqua" w:eastAsia="Book Antiqua" w:hAnsi="Book Antiqua" w:cs="Book Antiqua"/>
          <w:color w:val="000000"/>
        </w:rPr>
        <w:t>Oncomine</w:t>
      </w:r>
      <w:proofErr w:type="spellEnd"/>
      <w:r>
        <w:rPr>
          <w:rFonts w:ascii="Book Antiqua" w:eastAsia="Book Antiqua" w:hAnsi="Book Antiqua" w:cs="Book Antiqua"/>
          <w:color w:val="000000"/>
        </w:rPr>
        <w:t xml:space="preserve"> database (</w:t>
      </w:r>
      <w:r>
        <w:rPr>
          <w:rFonts w:ascii="Book Antiqua" w:eastAsia="Book Antiqua" w:hAnsi="Book Antiqua" w:cs="Book Antiqua"/>
          <w:color w:val="000000"/>
          <w:u w:color="0000FF"/>
        </w:rPr>
        <w:t>https://www.Oncomine.org/resource</w:t>
      </w:r>
      <w:r>
        <w:rPr>
          <w:rFonts w:ascii="Book Antiqua" w:eastAsia="Book Antiqua" w:hAnsi="Book Antiqua" w:cs="Book Antiqua"/>
          <w:color w:val="000000"/>
        </w:rPr>
        <w:t>).</w:t>
      </w:r>
    </w:p>
    <w:p w14:paraId="177DDBF5" w14:textId="77777777" w:rsidR="001154E7" w:rsidRDefault="001154E7">
      <w:pPr>
        <w:adjustRightInd w:val="0"/>
        <w:snapToGrid w:val="0"/>
        <w:spacing w:line="360" w:lineRule="auto"/>
        <w:jc w:val="both"/>
        <w:rPr>
          <w:rFonts w:ascii="Book Antiqua" w:hAnsi="Book Antiqua"/>
        </w:rPr>
      </w:pPr>
    </w:p>
    <w:p w14:paraId="526C154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Liver tissues and clinical data</w:t>
      </w:r>
    </w:p>
    <w:p w14:paraId="1779256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This study was approved by the Ethics Committee permission (TDFY2018-025) at the Affiliated Hospital of Nantong University, China from Jan 2009 to Dec 2014, and the prior written informed consent was obtained from HCC patients according to the Helsinki Declaration of World Medical Association. A total 132 pairs of self-controlled HCC tissues (HCC group) and their </w:t>
      </w:r>
      <w:proofErr w:type="spellStart"/>
      <w:r>
        <w:rPr>
          <w:rFonts w:ascii="Book Antiqua" w:eastAsia="Book Antiqua" w:hAnsi="Book Antiqua" w:cs="Book Antiqua"/>
          <w:color w:val="000000"/>
        </w:rPr>
        <w:t>para</w:t>
      </w:r>
      <w:proofErr w:type="spellEnd"/>
      <w:r>
        <w:rPr>
          <w:rFonts w:ascii="Book Antiqua" w:eastAsia="Book Antiqua" w:hAnsi="Book Antiqua" w:cs="Book Antiqua"/>
          <w:color w:val="000000"/>
        </w:rPr>
        <w:t xml:space="preserve">-cancerous tissues (2 cm to cancer, Para-C group) were collected from patients with HCC after post-operation, frozen in liquid nitrogen, and kept at – 85 </w:t>
      </w:r>
      <w:r>
        <w:rPr>
          <w:rFonts w:ascii="Cambria Math" w:eastAsia="Book Antiqua" w:hAnsi="Cambria Math" w:cs="Book Antiqua"/>
          <w:color w:val="000000"/>
        </w:rPr>
        <w:t>°</w:t>
      </w:r>
      <w:r>
        <w:rPr>
          <w:rFonts w:ascii="Book Antiqua" w:eastAsia="Book Antiqua" w:hAnsi="Book Antiqua" w:cs="Book Antiqua"/>
          <w:color w:val="000000"/>
        </w:rPr>
        <w:t xml:space="preserve">C until used. According to their medical records, the patients were 111 males and 21 females with 21-79-years-old (average 60.04 ± 15.8 years). Serum alpha-fetoprotein (AFP) concentrations were 104 cases with ≥ 20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and 28 cases with &lt; 20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There were 120 cases with positive HBV surface antigen and 45 cases with positive hepatitis B e-antigen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There were 106 cases with tumor size ≥ 3.0 cm, 58 cases with vascular invasion, and 32 cases with ascites. </w:t>
      </w:r>
    </w:p>
    <w:p w14:paraId="1D9BB2E3"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According to the 2019 edition of the diagnosis and treatment of primary liver cancer, there were three groups: Well (I), medium (II), and poor (III) differentiation. HCC patients were divided into I-IV stages, with 59 cases at I-II, and 73 cases at III-IV staging on the tumor-node-metastasis (TNM) classification of the International Union </w:t>
      </w:r>
      <w:proofErr w:type="gramStart"/>
      <w:r>
        <w:rPr>
          <w:rFonts w:ascii="Book Antiqua" w:eastAsia="Book Antiqua" w:hAnsi="Book Antiqua" w:cs="Book Antiqua"/>
          <w:color w:val="000000"/>
        </w:rPr>
        <w:t>Against</w:t>
      </w:r>
      <w:proofErr w:type="gramEnd"/>
      <w:r>
        <w:rPr>
          <w:rFonts w:ascii="Book Antiqua" w:eastAsia="Book Antiqua" w:hAnsi="Book Antiqua" w:cs="Book Antiqua"/>
          <w:color w:val="000000"/>
        </w:rPr>
        <w:t xml:space="preserve"> Cancer. All patients underwent histopathology and did not receive radiation or chemotherapy prior to surgery. HCC patients had regular follow-up from operation to death until Jan 2020. Diagnosis of HCC was confirmed with the criteria set by the Chinese National Collaborative Cancer Research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792A6E3A" w14:textId="77777777" w:rsidR="001154E7" w:rsidRDefault="001154E7">
      <w:pPr>
        <w:adjustRightInd w:val="0"/>
        <w:snapToGrid w:val="0"/>
        <w:spacing w:line="360" w:lineRule="auto"/>
        <w:jc w:val="both"/>
        <w:rPr>
          <w:rFonts w:ascii="Book Antiqua" w:hAnsi="Book Antiqua"/>
        </w:rPr>
      </w:pPr>
    </w:p>
    <w:p w14:paraId="6BD3970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Tissue microarray</w:t>
      </w:r>
    </w:p>
    <w:p w14:paraId="2F55365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Tissue microarrays (TMA) were constructed by the Departments of Pathology, Affiliated Hospital of Nantong University, China, containing formalin-fixed and paraffin-embedded specimens from 132 HCC tissues and their non-cancerous tissues. Tissue cores </w:t>
      </w:r>
      <w:r>
        <w:rPr>
          <w:rFonts w:ascii="Book Antiqua" w:eastAsia="Book Antiqua" w:hAnsi="Book Antiqua" w:cs="Book Antiqua"/>
          <w:color w:val="000000"/>
          <w:shd w:val="clear" w:color="auto" w:fill="FFFFFF"/>
        </w:rPr>
        <w:t xml:space="preserve">(1.5 mm) </w:t>
      </w:r>
      <w:r>
        <w:rPr>
          <w:rFonts w:ascii="Book Antiqua" w:eastAsia="Book Antiqua" w:hAnsi="Book Antiqua" w:cs="Book Antiqua"/>
          <w:color w:val="000000"/>
        </w:rPr>
        <w:t xml:space="preserve">from the </w:t>
      </w:r>
      <w:r>
        <w:rPr>
          <w:rFonts w:ascii="Book Antiqua" w:eastAsia="Book Antiqua" w:hAnsi="Book Antiqua" w:cs="Book Antiqua"/>
          <w:color w:val="000000"/>
          <w:shd w:val="clear" w:color="auto" w:fill="FFFFFF"/>
        </w:rPr>
        <w:t>representative</w:t>
      </w:r>
      <w:r>
        <w:rPr>
          <w:rFonts w:ascii="Book Antiqua" w:eastAsia="Book Antiqua" w:hAnsi="Book Antiqua" w:cs="Book Antiqua"/>
          <w:color w:val="000000"/>
        </w:rPr>
        <w:t xml:space="preserve"> areas were constructed into the TMA slices. </w:t>
      </w:r>
    </w:p>
    <w:p w14:paraId="73118E60" w14:textId="77777777" w:rsidR="001154E7" w:rsidRDefault="001154E7">
      <w:pPr>
        <w:adjustRightInd w:val="0"/>
        <w:snapToGrid w:val="0"/>
        <w:spacing w:line="360" w:lineRule="auto"/>
        <w:jc w:val="both"/>
        <w:rPr>
          <w:rFonts w:ascii="Book Antiqua" w:hAnsi="Book Antiqua"/>
        </w:rPr>
      </w:pPr>
    </w:p>
    <w:p w14:paraId="038FE79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Immunohistochemistry</w:t>
      </w:r>
    </w:p>
    <w:p w14:paraId="42B58438"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Immunohistochemistry staining was determined for assessing TUFT1 expression by </w:t>
      </w:r>
      <w:proofErr w:type="spellStart"/>
      <w:r>
        <w:rPr>
          <w:rFonts w:ascii="Book Antiqua" w:eastAsia="Book Antiqua" w:hAnsi="Book Antiqua" w:cs="Book Antiqua"/>
          <w:color w:val="000000"/>
          <w:shd w:val="clear" w:color="auto" w:fill="FFFFFF"/>
        </w:rPr>
        <w:t>GTVision</w:t>
      </w:r>
      <w:r>
        <w:rPr>
          <w:rFonts w:ascii="Book Antiqua" w:eastAsia="Book Antiqua" w:hAnsi="Book Antiqua" w:cs="Book Antiqua"/>
          <w:color w:val="000000"/>
          <w:shd w:val="clear" w:color="auto" w:fill="FFFFFF"/>
          <w:vertAlign w:val="superscript"/>
        </w:rPr>
        <w:t>TM</w:t>
      </w:r>
      <w:proofErr w:type="spellEnd"/>
      <w:r>
        <w:rPr>
          <w:rFonts w:ascii="Book Antiqua" w:eastAsia="Book Antiqua" w:hAnsi="Book Antiqua" w:cs="Book Antiqua"/>
          <w:color w:val="000000"/>
          <w:shd w:val="clear" w:color="auto" w:fill="FFFFFF"/>
          <w:vertAlign w:val="superscript"/>
        </w:rPr>
        <w:t xml:space="preserve"> </w:t>
      </w:r>
      <w:r>
        <w:rPr>
          <w:rFonts w:ascii="Book Antiqua" w:eastAsia="Book Antiqua" w:hAnsi="Book Antiqua" w:cs="Book Antiqua"/>
          <w:color w:val="000000"/>
        </w:rPr>
        <w:t>III</w:t>
      </w:r>
      <w:r>
        <w:rPr>
          <w:rFonts w:ascii="Book Antiqua" w:eastAsia="Book Antiqua" w:hAnsi="Book Antiqua" w:cs="Book Antiqua"/>
          <w:color w:val="000000"/>
          <w:shd w:val="clear" w:color="auto" w:fill="FFFFFF"/>
        </w:rPr>
        <w:t xml:space="preserve"> Detection System/</w:t>
      </w:r>
      <w:proofErr w:type="spellStart"/>
      <w:r>
        <w:rPr>
          <w:rFonts w:ascii="Book Antiqua" w:eastAsia="Book Antiqua" w:hAnsi="Book Antiqua" w:cs="Book Antiqua"/>
          <w:color w:val="000000"/>
          <w:shd w:val="clear" w:color="auto" w:fill="FFFFFF"/>
        </w:rPr>
        <w:t>Mo&amp;Rb</w:t>
      </w:r>
      <w:proofErr w:type="spellEnd"/>
      <w:r>
        <w:rPr>
          <w:rFonts w:ascii="Book Antiqua" w:eastAsia="Book Antiqua" w:hAnsi="Book Antiqua" w:cs="Book Antiqua"/>
          <w:color w:val="000000"/>
          <w:shd w:val="clear" w:color="auto" w:fill="FFFFFF"/>
        </w:rPr>
        <w:t xml:space="preserve"> (GK600710) according to the manufacturer′s protocol. TMA slices were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dewaxed</w:t>
      </w:r>
      <w:proofErr w:type="spellEnd"/>
      <w:r>
        <w:rPr>
          <w:rFonts w:ascii="Book Antiqua" w:eastAsia="Book Antiqua" w:hAnsi="Book Antiqua" w:cs="Book Antiqua"/>
          <w:color w:val="000000"/>
        </w:rPr>
        <w:t xml:space="preserve"> and rehydrated, underwent antigen retrieval, and were </w:t>
      </w:r>
      <w:r>
        <w:rPr>
          <w:rFonts w:ascii="Book Antiqua" w:eastAsia="Book Antiqua" w:hAnsi="Book Antiqua" w:cs="Book Antiqua"/>
          <w:color w:val="000000"/>
          <w:shd w:val="clear" w:color="auto" w:fill="FFFFFF"/>
        </w:rPr>
        <w:t xml:space="preserve">blocked </w:t>
      </w:r>
      <w:r>
        <w:rPr>
          <w:rFonts w:ascii="Book Antiqua" w:eastAsia="Book Antiqua" w:hAnsi="Book Antiqua" w:cs="Book Antiqua"/>
          <w:color w:val="000000"/>
        </w:rPr>
        <w:t>e</w:t>
      </w:r>
      <w:r>
        <w:rPr>
          <w:rFonts w:ascii="Book Antiqua" w:eastAsia="Book Antiqua" w:hAnsi="Book Antiqua" w:cs="Book Antiqua"/>
          <w:color w:val="000000"/>
          <w:shd w:val="clear" w:color="auto" w:fill="FFFFFF"/>
        </w:rPr>
        <w:t>ndogenous peroxidase and antibody nonspecific binding with 3% H</w:t>
      </w:r>
      <w:r>
        <w:rPr>
          <w:rFonts w:ascii="Book Antiqua" w:eastAsia="Book Antiqua" w:hAnsi="Book Antiqua" w:cs="Book Antiqua"/>
          <w:color w:val="000000"/>
          <w:shd w:val="clear" w:color="auto" w:fill="FFFFFF"/>
          <w:vertAlign w:val="subscript"/>
        </w:rPr>
        <w:t>2</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2</w:t>
      </w:r>
      <w:r>
        <w:rPr>
          <w:rFonts w:ascii="Book Antiqua" w:eastAsia="Book Antiqua" w:hAnsi="Book Antiqua" w:cs="Book Antiqua"/>
          <w:color w:val="000000"/>
          <w:shd w:val="clear" w:color="auto" w:fill="FFFFFF"/>
        </w:rPr>
        <w:t xml:space="preserve"> and 10% goat serum, respectively. Slices were incubated with the primary </w:t>
      </w:r>
      <w:r>
        <w:rPr>
          <w:rFonts w:ascii="Book Antiqua" w:eastAsia="Book Antiqua" w:hAnsi="Book Antiqua" w:cs="Book Antiqua"/>
          <w:color w:val="000000"/>
        </w:rPr>
        <w:t xml:space="preserve">anti-human TUFT1 </w:t>
      </w:r>
      <w:r>
        <w:rPr>
          <w:rFonts w:ascii="Book Antiqua" w:eastAsia="Book Antiqua" w:hAnsi="Book Antiqua" w:cs="Book Antiqua"/>
          <w:color w:val="000000"/>
          <w:shd w:val="clear" w:color="auto" w:fill="FFFFFF"/>
        </w:rPr>
        <w:t>antibody (</w:t>
      </w:r>
      <w:r>
        <w:rPr>
          <w:rFonts w:ascii="Book Antiqua" w:eastAsia="Book Antiqua" w:hAnsi="Book Antiqua" w:cs="Book Antiqua"/>
          <w:color w:val="000000"/>
        </w:rPr>
        <w:t xml:space="preserve">1: 250,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United Kingdom</w:t>
      </w:r>
      <w:r>
        <w:rPr>
          <w:rFonts w:ascii="Book Antiqua" w:eastAsia="Book Antiqua" w:hAnsi="Book Antiqua" w:cs="Book Antiqua"/>
          <w:color w:val="000000"/>
          <w:shd w:val="clear" w:color="auto" w:fill="FFFFFF"/>
        </w:rPr>
        <w:t>) overnight at</w:t>
      </w:r>
      <w:r>
        <w:rPr>
          <w:rFonts w:ascii="Book Antiqua" w:eastAsia="Book Antiqua" w:hAnsi="Book Antiqua" w:cs="Book Antiqua"/>
          <w:color w:val="000000"/>
        </w:rPr>
        <w:t xml:space="preserve"> 4 °C. The slices after incubated with horseradish peroxidase (HRP)-conjugated goat anti-rabbit immunoglobulin G (Everest Biotech, Oxford, United Kingdom) were stained with </w:t>
      </w:r>
      <w:proofErr w:type="spellStart"/>
      <w:r>
        <w:rPr>
          <w:rFonts w:ascii="Book Antiqua" w:eastAsia="Book Antiqua" w:hAnsi="Book Antiqua" w:cs="Book Antiqua"/>
          <w:color w:val="000000"/>
        </w:rPr>
        <w:t>diamino-benzidine</w:t>
      </w:r>
      <w:proofErr w:type="spellEnd"/>
      <w:r>
        <w:rPr>
          <w:rFonts w:ascii="Book Antiqua" w:eastAsia="Book Antiqua" w:hAnsi="Book Antiqua" w:cs="Book Antiqua"/>
          <w:color w:val="000000"/>
        </w:rPr>
        <w:t xml:space="preserve">, and counterstained with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cleared in xylene, and covered. The levels of TUFT1 expression were calculated with the Image-Pro </w:t>
      </w:r>
      <w:proofErr w:type="gramStart"/>
      <w:r>
        <w:rPr>
          <w:rFonts w:ascii="Book Antiqua" w:eastAsia="Book Antiqua" w:hAnsi="Book Antiqua" w:cs="Book Antiqua"/>
          <w:color w:val="000000"/>
        </w:rPr>
        <w:t>Plus</w:t>
      </w:r>
      <w:proofErr w:type="gramEnd"/>
      <w:r>
        <w:rPr>
          <w:rFonts w:ascii="Book Antiqua" w:eastAsia="Book Antiqua" w:hAnsi="Book Antiqua" w:cs="Book Antiqua"/>
          <w:color w:val="000000"/>
        </w:rPr>
        <w:t xml:space="preserve"> 6.0 software (Media Cybernetics, Rockville, MD, United States). Blinded evaluations of TUFT1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and independent observation by two independent pathologists </w:t>
      </w:r>
      <w:r>
        <w:rPr>
          <w:rFonts w:ascii="Book Antiqua" w:eastAsia="Book Antiqua" w:hAnsi="Book Antiqua" w:cs="Book Antiqua"/>
          <w:color w:val="000000"/>
        </w:rPr>
        <w:lastRenderedPageBreak/>
        <w:t>were carried out simultaneously, and the score was calculated by the sum of staining intensities and the rates of 100 positive cells. TUFT1 level in HCC tissues was divided into low and high expression.</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The expressing intensities of TUFT1 were divided into four categories: 0, negative; 1, weakly positive; 2, moderate positive; and 3, strongly positive.</w:t>
      </w:r>
    </w:p>
    <w:p w14:paraId="489E40CB" w14:textId="77777777" w:rsidR="001154E7" w:rsidRDefault="001154E7">
      <w:pPr>
        <w:adjustRightInd w:val="0"/>
        <w:snapToGrid w:val="0"/>
        <w:spacing w:line="360" w:lineRule="auto"/>
        <w:jc w:val="both"/>
        <w:rPr>
          <w:rFonts w:ascii="Book Antiqua" w:hAnsi="Book Antiqua"/>
        </w:rPr>
      </w:pPr>
    </w:p>
    <w:p w14:paraId="7A288D8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Cell culture</w:t>
      </w:r>
    </w:p>
    <w:p w14:paraId="00CA4F7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All human HCC (Hep3B, MHCC-97L, MHCC-97H, BEL-7404, HepG2, HCCLM3, and SMMC-7721) cells and LO2 cell line were purchased from the </w:t>
      </w:r>
      <w:proofErr w:type="spellStart"/>
      <w:r>
        <w:rPr>
          <w:rFonts w:ascii="Book Antiqua" w:eastAsia="Book Antiqua" w:hAnsi="Book Antiqua" w:cs="Book Antiqua"/>
          <w:color w:val="000000"/>
        </w:rPr>
        <w:t>Zhongqiao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Xinzhou</w:t>
      </w:r>
      <w:proofErr w:type="spellEnd"/>
      <w:r>
        <w:rPr>
          <w:rFonts w:ascii="Book Antiqua" w:eastAsia="Book Antiqua" w:hAnsi="Book Antiqua" w:cs="Book Antiqua"/>
          <w:color w:val="000000"/>
        </w:rPr>
        <w:t xml:space="preserve"> Science and Technology Co. (Shanghai, China). HCC cells were divided into three groups: Control, negative control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or NC), and intervening (sh-TUFT1 or over-expressing) groups. HCC (MHCC-97L, MHCC-97H, BEL-7404, HepG2, and HCCLM3) cells in high glucose Dulbecco’s modified Eagle’s Medium with 10% fetal bovine serum (FBS,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xml:space="preserve"> Laboratories, Gaithersburg, MD, United States), SMMC-7721 and LO2 cell lines in Roswell Park Memorial Institute-1640 medium with 10% FBS, and Hep3B cells in Minimal Essential Medium with 15% FBS were cultured containing 100 U/mL of penicillin/streptomycin at 37 °C with 5% of CO</w:t>
      </w:r>
      <w:r>
        <w:rPr>
          <w:rFonts w:ascii="Book Antiqua" w:eastAsia="Book Antiqua" w:hAnsi="Book Antiqua" w:cs="Book Antiqua"/>
          <w:color w:val="000000"/>
          <w:vertAlign w:val="subscript"/>
        </w:rPr>
        <w:t>2</w:t>
      </w:r>
      <w:r>
        <w:rPr>
          <w:rFonts w:ascii="Book Antiqua" w:eastAsia="Book Antiqua" w:hAnsi="Book Antiqua" w:cs="Book Antiqua"/>
          <w:color w:val="000000"/>
        </w:rPr>
        <w:t>. Cell density to about 85% was used to next cell passage.</w:t>
      </w:r>
    </w:p>
    <w:p w14:paraId="6C57060E" w14:textId="77777777" w:rsidR="001154E7" w:rsidRDefault="001154E7">
      <w:pPr>
        <w:adjustRightInd w:val="0"/>
        <w:snapToGrid w:val="0"/>
        <w:spacing w:line="360" w:lineRule="auto"/>
        <w:jc w:val="both"/>
        <w:rPr>
          <w:rFonts w:ascii="Book Antiqua" w:hAnsi="Book Antiqua"/>
        </w:rPr>
      </w:pPr>
    </w:p>
    <w:p w14:paraId="61903D0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Plasmid coding short hairpin RNA against TUFT1</w:t>
      </w:r>
    </w:p>
    <w:p w14:paraId="7581F0C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Specific short hairpin RNA (</w:t>
      </w:r>
      <w:proofErr w:type="spellStart"/>
      <w:r>
        <w:rPr>
          <w:rFonts w:ascii="Book Antiqua" w:eastAsia="Book Antiqua" w:hAnsi="Book Antiqua" w:cs="Book Antiqua"/>
          <w:color w:val="000000"/>
        </w:rPr>
        <w:t>shRNA</w:t>
      </w:r>
      <w:proofErr w:type="spellEnd"/>
      <w:r>
        <w:rPr>
          <w:rFonts w:ascii="Book Antiqua" w:eastAsia="Book Antiqua" w:hAnsi="Book Antiqua" w:cs="Book Antiqua"/>
          <w:color w:val="000000"/>
        </w:rPr>
        <w:t>) targeting sites of</w:t>
      </w:r>
      <w:r>
        <w:rPr>
          <w:rFonts w:ascii="Book Antiqua" w:eastAsia="Book Antiqua" w:hAnsi="Book Antiqua" w:cs="Book Antiqua"/>
          <w:i/>
          <w:iCs/>
          <w:color w:val="000000"/>
        </w:rPr>
        <w:t xml:space="preserve"> TUFT1</w:t>
      </w:r>
      <w:r>
        <w:rPr>
          <w:rFonts w:ascii="Book Antiqua" w:eastAsia="Book Antiqua" w:hAnsi="Book Antiqua" w:cs="Book Antiqua"/>
          <w:color w:val="000000"/>
        </w:rPr>
        <w:t xml:space="preserve"> sequence (</w:t>
      </w:r>
      <w:proofErr w:type="spellStart"/>
      <w:r>
        <w:rPr>
          <w:rFonts w:ascii="Book Antiqua" w:eastAsia="Book Antiqua" w:hAnsi="Book Antiqua" w:cs="Book Antiqua"/>
          <w:color w:val="000000"/>
        </w:rPr>
        <w:t>GenBank</w:t>
      </w:r>
      <w:proofErr w:type="spellEnd"/>
      <w:r>
        <w:rPr>
          <w:rFonts w:ascii="Book Antiqua" w:eastAsia="Book Antiqua" w:hAnsi="Book Antiqua" w:cs="Book Antiqua"/>
          <w:color w:val="000000"/>
        </w:rPr>
        <w:t>: AH009496.2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were designed and synthesized (Guangzhou </w:t>
      </w:r>
      <w:proofErr w:type="spellStart"/>
      <w:r>
        <w:rPr>
          <w:rFonts w:ascii="Book Antiqua" w:eastAsia="Book Antiqua" w:hAnsi="Book Antiqua" w:cs="Book Antiqua"/>
          <w:color w:val="000000"/>
        </w:rPr>
        <w:t>Cyagen</w:t>
      </w:r>
      <w:proofErr w:type="spellEnd"/>
      <w:r>
        <w:rPr>
          <w:rFonts w:ascii="Book Antiqua" w:eastAsia="Book Antiqua" w:hAnsi="Book Antiqua" w:cs="Book Antiqua"/>
          <w:color w:val="000000"/>
        </w:rPr>
        <w:t xml:space="preserve"> Biotechnology Co., Ltd., China) and used to construct </w:t>
      </w:r>
      <w:proofErr w:type="spellStart"/>
      <w:r>
        <w:rPr>
          <w:rFonts w:ascii="Book Antiqua" w:eastAsia="Book Antiqua" w:hAnsi="Book Antiqua" w:cs="Book Antiqua"/>
          <w:color w:val="000000"/>
        </w:rPr>
        <w:t>lentivirus</w:t>
      </w:r>
      <w:proofErr w:type="spellEnd"/>
      <w:r>
        <w:rPr>
          <w:rFonts w:ascii="Book Antiqua" w:eastAsia="Book Antiqua" w:hAnsi="Book Antiqua" w:cs="Book Antiqua"/>
          <w:color w:val="000000"/>
        </w:rPr>
        <w:t xml:space="preserve"> LV-U6 &gt; Scramble-</w:t>
      </w:r>
      <w:proofErr w:type="spellStart"/>
      <w:r>
        <w:rPr>
          <w:rFonts w:ascii="Book Antiqua" w:eastAsia="Book Antiqua" w:hAnsi="Book Antiqua" w:cs="Book Antiqua"/>
          <w:color w:val="000000"/>
        </w:rPr>
        <w:t>shRNA</w:t>
      </w:r>
      <w:proofErr w:type="spellEnd"/>
      <w:r>
        <w:rPr>
          <w:rFonts w:ascii="Book Antiqua" w:eastAsia="Book Antiqua" w:hAnsi="Book Antiqua" w:cs="Book Antiqua"/>
          <w:color w:val="000000"/>
        </w:rPr>
        <w:t>-PGK &gt; enhanced green fluorescent protein (EGFP)/T2A/</w:t>
      </w:r>
      <w:proofErr w:type="spellStart"/>
      <w:r>
        <w:rPr>
          <w:rFonts w:ascii="Book Antiqua" w:eastAsia="Book Antiqua" w:hAnsi="Book Antiqua" w:cs="Book Antiqua"/>
          <w:color w:val="000000"/>
        </w:rPr>
        <w:t>Puro</w:t>
      </w:r>
      <w:proofErr w:type="spellEnd"/>
      <w:r>
        <w:rPr>
          <w:rFonts w:ascii="Book Antiqua" w:eastAsia="Book Antiqua" w:hAnsi="Book Antiqua" w:cs="Book Antiqua"/>
          <w:color w:val="000000"/>
        </w:rPr>
        <w:t xml:space="preserve"> vector. Inserted interfering sequences in plasmids were TUFT1-shRNA1: 5’-AGAAGCTCCGG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GAGGATATAACTCGAGTTATATCCTCCCGGAGCTCT-3’, TUFT1-shRNA2: 5’-TGA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GGTGGACACCTGTATAAACTCGAGTTTATACAGGTGTCCACCTCA-3’, and TUFT1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-shRNA3: 5’-GATTCACGAGAAGAATATTAACTCGAGTTAATATTCTTCTCGTGAA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TC-3’, respectively. TUFT1-negative plasmid was constructed similarly with a </w:t>
      </w:r>
      <w:proofErr w:type="spellStart"/>
      <w:r>
        <w:rPr>
          <w:rFonts w:ascii="Book Antiqua" w:eastAsia="Book Antiqua" w:hAnsi="Book Antiqua" w:cs="Book Antiqua"/>
          <w:color w:val="000000"/>
        </w:rPr>
        <w:t>shRNA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sequence that does not suppress TUFT1 expression, and the Scramble vector (</w:t>
      </w:r>
      <w:proofErr w:type="spellStart"/>
      <w:r>
        <w:rPr>
          <w:rFonts w:ascii="Book Antiqua" w:eastAsia="Book Antiqua" w:hAnsi="Book Antiqua" w:cs="Book Antiqua"/>
          <w:color w:val="000000"/>
        </w:rPr>
        <w:t>Cyagen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Santa Clara, CA, United States) as a control. All inserted sequences were confirmed by sequencing.</w:t>
      </w:r>
    </w:p>
    <w:p w14:paraId="1500290B" w14:textId="77777777" w:rsidR="001154E7" w:rsidRDefault="001154E7">
      <w:pPr>
        <w:adjustRightInd w:val="0"/>
        <w:snapToGrid w:val="0"/>
        <w:spacing w:line="360" w:lineRule="auto"/>
        <w:jc w:val="both"/>
        <w:rPr>
          <w:rFonts w:ascii="Book Antiqua" w:hAnsi="Book Antiqua"/>
        </w:rPr>
      </w:pPr>
    </w:p>
    <w:p w14:paraId="4233379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Expressing TUFT1 plasmid</w:t>
      </w:r>
    </w:p>
    <w:p w14:paraId="41E80587" w14:textId="7FAF44C8"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The exon sequence of TUFT1 gene (</w:t>
      </w:r>
      <w:proofErr w:type="spellStart"/>
      <w:r>
        <w:rPr>
          <w:rFonts w:ascii="Book Antiqua" w:eastAsia="Book Antiqua" w:hAnsi="Book Antiqua" w:cs="Book Antiqua"/>
          <w:color w:val="000000"/>
        </w:rPr>
        <w:t>GenBank</w:t>
      </w:r>
      <w:proofErr w:type="spellEnd"/>
      <w:r>
        <w:rPr>
          <w:rFonts w:ascii="Book Antiqua" w:eastAsia="Book Antiqua" w:hAnsi="Book Antiqua" w:cs="Book Antiqua"/>
          <w:color w:val="000000"/>
        </w:rPr>
        <w:t>: AH009496.2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was inserted into the Scramble vector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Shanghai, China) to construct pEX-4 (</w:t>
      </w:r>
      <w:proofErr w:type="spellStart"/>
      <w:r>
        <w:rPr>
          <w:rFonts w:ascii="Book Antiqua" w:eastAsia="Book Antiqua" w:hAnsi="Book Antiqua" w:cs="Book Antiqua"/>
          <w:color w:val="000000"/>
        </w:rPr>
        <w:t>pGCMV</w:t>
      </w:r>
      <w:proofErr w:type="spellEnd"/>
      <w:r>
        <w:rPr>
          <w:rFonts w:ascii="Book Antiqua" w:eastAsia="Book Antiqua" w:hAnsi="Book Antiqua" w:cs="Book Antiqua"/>
          <w:color w:val="000000"/>
        </w:rPr>
        <w:t>/MCS/</w:t>
      </w:r>
      <w:r w:rsidR="00243BF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T2A/EGFP/ Neo) vector. Negative or control plasmids were equal to above vectors. </w:t>
      </w:r>
    </w:p>
    <w:p w14:paraId="7D28E0EF" w14:textId="77777777" w:rsidR="001154E7" w:rsidRDefault="001154E7">
      <w:pPr>
        <w:adjustRightInd w:val="0"/>
        <w:snapToGrid w:val="0"/>
        <w:spacing w:line="360" w:lineRule="auto"/>
        <w:jc w:val="both"/>
        <w:rPr>
          <w:rFonts w:ascii="Book Antiqua" w:hAnsi="Book Antiqua"/>
        </w:rPr>
      </w:pPr>
    </w:p>
    <w:p w14:paraId="244A295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Cell transfection</w:t>
      </w:r>
    </w:p>
    <w:p w14:paraId="4C1F988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Human MHCC-97H cell line in high glucose Dulbecco’s modified Eagle’s Medium with 10% of FBS or Hep3B cell line in MEM with 15% of FBS was cultured at 37 °C with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When Hep3B cells up to optimal confluence over 70% were transfected at time, the cells of blank, negative control, and TUFT1 over-expressing groups were transfected with corresponding plasmids using </w:t>
      </w:r>
      <w:proofErr w:type="spellStart"/>
      <w:r>
        <w:rPr>
          <w:rFonts w:ascii="Book Antiqua" w:eastAsia="Book Antiqua" w:hAnsi="Book Antiqua" w:cs="Book Antiqua"/>
          <w:color w:val="000000"/>
        </w:rPr>
        <w:t>Lipofectamine</w:t>
      </w:r>
      <w:proofErr w:type="spellEnd"/>
      <w:r>
        <w:rPr>
          <w:rFonts w:ascii="Book Antiqua" w:eastAsia="Book Antiqua" w:hAnsi="Book Antiqua" w:cs="Book Antiqua"/>
          <w:color w:val="000000"/>
        </w:rPr>
        <w:t xml:space="preserve"> 3000 (Invitrogen, USA) according to the manufacturer’s instructions. MHCC-97H cells were also divided into blank, negative control, and sh-TUFT1 groups. They were transfected with corresponding plasmids using </w:t>
      </w:r>
      <w:proofErr w:type="spellStart"/>
      <w:r>
        <w:rPr>
          <w:rFonts w:ascii="Book Antiqua" w:eastAsia="Book Antiqua" w:hAnsi="Book Antiqua" w:cs="Book Antiqua"/>
          <w:color w:val="000000"/>
        </w:rPr>
        <w:t>polybrene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Cyagen</w:t>
      </w:r>
      <w:proofErr w:type="spellEnd"/>
      <w:r>
        <w:rPr>
          <w:rFonts w:ascii="Book Antiqua" w:eastAsia="Book Antiqua" w:hAnsi="Book Antiqua" w:cs="Book Antiqua"/>
          <w:color w:val="000000"/>
        </w:rPr>
        <w:t xml:space="preserve">) according to the manufacturer’s instructions. </w:t>
      </w:r>
    </w:p>
    <w:p w14:paraId="732B9BA1" w14:textId="77777777" w:rsidR="001154E7" w:rsidRDefault="001154E7">
      <w:pPr>
        <w:adjustRightInd w:val="0"/>
        <w:snapToGrid w:val="0"/>
        <w:spacing w:line="360" w:lineRule="auto"/>
        <w:jc w:val="both"/>
        <w:rPr>
          <w:rFonts w:ascii="Book Antiqua" w:hAnsi="Book Antiqua"/>
        </w:rPr>
      </w:pPr>
    </w:p>
    <w:p w14:paraId="6AFE63DA"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Western blotting</w:t>
      </w:r>
    </w:p>
    <w:p w14:paraId="3C497F7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Western blot analysis was performed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Briefly, 50 µg of purified protein from transfected cells was separated on electrophoresis of 10% sodium dodecyl sulfate-polyacrylamide gel, transferred to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fluoride membranes (Millipore, Burlington, MA, United States), blocked in 5% of nonfat dry milk in </w:t>
      </w:r>
      <w:proofErr w:type="spellStart"/>
      <w:r>
        <w:rPr>
          <w:rFonts w:ascii="Book Antiqua" w:eastAsia="Book Antiqua" w:hAnsi="Book Antiqua" w:cs="Book Antiqua"/>
          <w:color w:val="000000"/>
        </w:rPr>
        <w:t>Tris</w:t>
      </w:r>
      <w:proofErr w:type="spellEnd"/>
      <w:r>
        <w:rPr>
          <w:rFonts w:ascii="Book Antiqua" w:eastAsia="Book Antiqua" w:hAnsi="Book Antiqua" w:cs="Book Antiqua"/>
          <w:color w:val="000000"/>
        </w:rPr>
        <w:t xml:space="preserve">-buffered saline (pH 7.5, 100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NaCl</w:t>
      </w:r>
      <w:proofErr w:type="spellEnd"/>
      <w:r>
        <w:rPr>
          <w:rFonts w:ascii="Book Antiqua" w:eastAsia="Book Antiqua" w:hAnsi="Book Antiqua" w:cs="Book Antiqua"/>
          <w:color w:val="000000"/>
        </w:rPr>
        <w:t xml:space="preserve">, 50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Tris</w:t>
      </w:r>
      <w:proofErr w:type="spellEnd"/>
      <w:r>
        <w:rPr>
          <w:rFonts w:ascii="Book Antiqua" w:eastAsia="Book Antiqua" w:hAnsi="Book Antiqua" w:cs="Book Antiqua"/>
          <w:color w:val="000000"/>
        </w:rPr>
        <w:t>, 0.1% Tween-20), and incubated with anti-human TUFT1 antibodies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overnight at 4 °C, followed by HRP conjugated immunoglobulin G (Everest Biotech, Oxford, United Kingdom). Alterations of proteins were analyzed by Quantity-one software (Bio-Rad, Laboratories, </w:t>
      </w:r>
      <w:proofErr w:type="gramStart"/>
      <w:r>
        <w:rPr>
          <w:rFonts w:ascii="Book Antiqua" w:eastAsia="Book Antiqua" w:hAnsi="Book Antiqua" w:cs="Book Antiqua"/>
          <w:color w:val="000000"/>
        </w:rPr>
        <w:lastRenderedPageBreak/>
        <w:t>Hercules</w:t>
      </w:r>
      <w:proofErr w:type="gramEnd"/>
      <w:r>
        <w:rPr>
          <w:rFonts w:ascii="Book Antiqua" w:eastAsia="Book Antiqua" w:hAnsi="Book Antiqua" w:cs="Book Antiqua"/>
          <w:color w:val="000000"/>
        </w:rPr>
        <w:t xml:space="preserve">, CA, United States) with </w:t>
      </w:r>
      <w:proofErr w:type="spellStart"/>
      <w:r>
        <w:rPr>
          <w:rFonts w:ascii="Book Antiqua" w:eastAsia="Book Antiqua" w:hAnsi="Book Antiqua" w:cs="Book Antiqua"/>
          <w:color w:val="000000"/>
        </w:rPr>
        <w:t>Immobilon</w:t>
      </w:r>
      <w:proofErr w:type="spellEnd"/>
      <w:r>
        <w:rPr>
          <w:rFonts w:ascii="Book Antiqua" w:eastAsia="Book Antiqua" w:hAnsi="Book Antiqua" w:cs="Book Antiqua"/>
          <w:color w:val="000000"/>
        </w:rPr>
        <w:t xml:space="preserve"> ECL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HRP Substrate (Millipore) and quantified using Gel-Pro Analyzer software.</w:t>
      </w:r>
    </w:p>
    <w:p w14:paraId="6AAC7111" w14:textId="77777777" w:rsidR="001154E7" w:rsidRDefault="001154E7">
      <w:pPr>
        <w:adjustRightInd w:val="0"/>
        <w:snapToGrid w:val="0"/>
        <w:spacing w:line="360" w:lineRule="auto"/>
        <w:jc w:val="both"/>
        <w:rPr>
          <w:rFonts w:ascii="Book Antiqua" w:hAnsi="Book Antiqua"/>
        </w:rPr>
      </w:pPr>
    </w:p>
    <w:p w14:paraId="747A7BC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CCK-8 assay</w:t>
      </w:r>
    </w:p>
    <w:p w14:paraId="19EB82F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Cell counting kit (CCK-8) </w:t>
      </w:r>
      <w:r>
        <w:rPr>
          <w:rFonts w:ascii="Book Antiqua" w:eastAsia="Book Antiqua" w:hAnsi="Book Antiqua" w:cs="Book Antiqua"/>
          <w:color w:val="000000"/>
          <w:shd w:val="clear" w:color="auto" w:fill="FFFFFF"/>
        </w:rPr>
        <w:t>was employed to evaluate HCC cell proliferation.</w:t>
      </w:r>
      <w:r>
        <w:rPr>
          <w:rFonts w:ascii="Book Antiqua" w:eastAsia="Book Antiqua" w:hAnsi="Book Antiqua" w:cs="Book Antiqua"/>
          <w:color w:val="000000"/>
        </w:rPr>
        <w:t xml:space="preserve"> There were three groups in the experiment: Blank, negative control, sh-TUFT1 intervention or TUFT1 over-expressing groups. Cells from different treatment groups were counted, adjusted to concentration 4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/mL, and seeded in a 96-well plate with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/per well. Cells were seeded in triplicate for each group. The 96-well plate was placed in the incubator (37 °C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cells were cultured till the appropriate time. Then,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CCK-8 </w:t>
      </w:r>
      <w:proofErr w:type="gramStart"/>
      <w:r>
        <w:rPr>
          <w:rFonts w:ascii="Book Antiqua" w:eastAsia="Book Antiqua" w:hAnsi="Book Antiqua" w:cs="Book Antiqua"/>
          <w:color w:val="000000"/>
        </w:rPr>
        <w:t>solution</w:t>
      </w:r>
      <w:proofErr w:type="gramEnd"/>
      <w:r>
        <w:rPr>
          <w:rFonts w:ascii="Book Antiqua" w:eastAsia="Book Antiqua" w:hAnsi="Book Antiqua" w:cs="Book Antiqua"/>
          <w:color w:val="000000"/>
        </w:rPr>
        <w:t xml:space="preserve"> was added in each well, and the culture plate was incubated for 1-4 h. The absorbance (A) at 450 nm was detected using a plate reader. </w:t>
      </w:r>
    </w:p>
    <w:p w14:paraId="7B0D344B" w14:textId="77777777" w:rsidR="001154E7" w:rsidRDefault="001154E7">
      <w:pPr>
        <w:adjustRightInd w:val="0"/>
        <w:snapToGrid w:val="0"/>
        <w:spacing w:line="360" w:lineRule="auto"/>
        <w:jc w:val="both"/>
        <w:rPr>
          <w:rFonts w:ascii="Book Antiqua" w:hAnsi="Book Antiqua"/>
        </w:rPr>
      </w:pPr>
    </w:p>
    <w:p w14:paraId="449C224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Detection of apoptosis</w:t>
      </w:r>
    </w:p>
    <w:p w14:paraId="34DBA92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Cell culture and experiment groups were set up as described above. Cells were cultured in a 6-well plate at about 70% confluence. Cells were aspirated and placed in a centrifuge tube, centrifuged at 1000 rpm for 5 min, rinsed with phosphate-buffered saline twice, and centrifuged again at 1000 rpm for 5 min. Cells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with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Alexa</w:t>
      </w:r>
      <w:proofErr w:type="spellEnd"/>
      <w:r>
        <w:rPr>
          <w:rFonts w:ascii="Book Antiqua" w:eastAsia="Book Antiqua" w:hAnsi="Book Antiqua" w:cs="Book Antiqua"/>
          <w:color w:val="000000"/>
        </w:rPr>
        <w:t xml:space="preserve"> Fluor 647 staining solution were mixed in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binding buffer, collected, and placed in dark at room temperature for 10 min. Then, 400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binding buffer and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propidium</w:t>
      </w:r>
      <w:proofErr w:type="spellEnd"/>
      <w:r>
        <w:rPr>
          <w:rFonts w:ascii="Book Antiqua" w:eastAsia="Book Antiqua" w:hAnsi="Book Antiqua" w:cs="Book Antiqua"/>
          <w:color w:val="000000"/>
        </w:rPr>
        <w:t xml:space="preserve"> iodide were mixed and placed in the dark at room temperature for 10 min. Fluorescent microscope observation or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was conducted within 1 h. FL2 channel was used to detect the yellow fluorescence of </w:t>
      </w:r>
      <w:proofErr w:type="spellStart"/>
      <w:r>
        <w:rPr>
          <w:rFonts w:ascii="Book Antiqua" w:eastAsia="Book Antiqua" w:hAnsi="Book Antiqua" w:cs="Book Antiqua"/>
          <w:color w:val="000000"/>
        </w:rPr>
        <w:t>propidium</w:t>
      </w:r>
      <w:proofErr w:type="spellEnd"/>
      <w:r>
        <w:rPr>
          <w:rFonts w:ascii="Book Antiqua" w:eastAsia="Book Antiqua" w:hAnsi="Book Antiqua" w:cs="Book Antiqua"/>
          <w:color w:val="000000"/>
        </w:rPr>
        <w:t xml:space="preserve"> iodide with excitation wavelength of 488 nm. FL4 channel was used to detect the red fluorescence of </w:t>
      </w:r>
      <w:proofErr w:type="spellStart"/>
      <w:r>
        <w:rPr>
          <w:rFonts w:ascii="Book Antiqua" w:eastAsia="Book Antiqua" w:hAnsi="Book Antiqua" w:cs="Book Antiqua"/>
          <w:color w:val="000000"/>
        </w:rPr>
        <w:t>Alexa</w:t>
      </w:r>
      <w:proofErr w:type="spellEnd"/>
      <w:r>
        <w:rPr>
          <w:rFonts w:ascii="Book Antiqua" w:eastAsia="Book Antiqua" w:hAnsi="Book Antiqua" w:cs="Book Antiqua"/>
          <w:color w:val="000000"/>
        </w:rPr>
        <w:t xml:space="preserve"> Fluor 647 with emission wavelength of 640 nm. Cells without apoptotic induction were used as control for fluorescence compensation to remove spectral overlap and determine the position of cross-over.</w:t>
      </w:r>
    </w:p>
    <w:p w14:paraId="69F603B4" w14:textId="77777777" w:rsidR="001154E7" w:rsidRDefault="001154E7">
      <w:pPr>
        <w:adjustRightInd w:val="0"/>
        <w:snapToGrid w:val="0"/>
        <w:spacing w:line="360" w:lineRule="auto"/>
        <w:jc w:val="both"/>
        <w:rPr>
          <w:rFonts w:ascii="Book Antiqua" w:hAnsi="Book Antiqua"/>
        </w:rPr>
      </w:pPr>
    </w:p>
    <w:p w14:paraId="1DF900D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u w:color="0000FF"/>
        </w:rPr>
        <w:t>Cell invasion</w:t>
      </w:r>
    </w:p>
    <w:p w14:paraId="74A2C40C" w14:textId="77777777" w:rsidR="001154E7" w:rsidRDefault="00ED61B9">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lastRenderedPageBreak/>
        <w:t>Transwell</w:t>
      </w:r>
      <w:proofErr w:type="spellEnd"/>
      <w:r>
        <w:rPr>
          <w:rFonts w:ascii="Book Antiqua" w:eastAsia="Book Antiqua" w:hAnsi="Book Antiqua" w:cs="Book Antiqua"/>
          <w:color w:val="000000"/>
        </w:rPr>
        <w:t xml:space="preserve"> assays were performed to examine the invasion of cells transfected with small interfering RNA that targeted TUFT1 or a scrambled negative control. Cell invasion was defined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polycarbonate membrane inserts (Millipore). Cells (1</w:t>
      </w:r>
      <w:r>
        <w:rPr>
          <w:rFonts w:ascii="MS Gothic" w:eastAsia="MS Gothic" w:hAnsi="MS Gothic" w:cs="MS Gothic" w:hint="eastAsia"/>
          <w:color w:val="000000"/>
        </w:rPr>
        <w:t> </w:t>
      </w:r>
      <w:r>
        <w:rPr>
          <w:rFonts w:ascii="Book Antiqua" w:eastAsia="Book Antiqua" w:hAnsi="Book Antiqua" w:cs="Book Antiqua"/>
          <w:color w:val="000000"/>
        </w:rPr>
        <w:t>×</w:t>
      </w:r>
      <w:r>
        <w:rPr>
          <w:rFonts w:ascii="MS Gothic" w:eastAsia="MS Gothic" w:hAnsi="MS Gothic" w:cs="MS Gothic" w:hint="eastAsia"/>
          <w:color w:val="000000"/>
        </w:rPr>
        <w:t> </w:t>
      </w:r>
      <w:r>
        <w:rPr>
          <w:rFonts w:ascii="Book Antiqua" w:eastAsia="Book Antiqua" w:hAnsi="Book Antiqua" w:cs="Book Antiqua"/>
          <w:color w:val="000000"/>
        </w:rPr>
        <w:t>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serum-free medium were placed into the upper chamber of an insert coated with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TheWell</w:t>
      </w:r>
      <w:proofErr w:type="spellEnd"/>
      <w:r>
        <w:rPr>
          <w:rFonts w:ascii="Book Antiqua" w:eastAsia="Book Antiqua" w:hAnsi="Book Antiqua" w:cs="Book Antiqua"/>
          <w:color w:val="000000"/>
        </w:rPr>
        <w:t xml:space="preserve"> Bioscience Inc., North Brunswick, NJ, United States). Medium containing 10% FBS was added to the lower chamber to stimulate invasion, and the cells remaining on the upper membrane were removed with cotton wool after cultivation for 48-72 h. Cells that had invaded through the membrane were stained with methanol and 0.1% crystal violet, imaged, and counted using an IX71 inverted microscope (Olympus, Tokyo, Japan). Each assay was repeatedly conducted three times.</w:t>
      </w:r>
    </w:p>
    <w:p w14:paraId="2347EF2E" w14:textId="77777777" w:rsidR="001154E7" w:rsidRDefault="001154E7">
      <w:pPr>
        <w:adjustRightInd w:val="0"/>
        <w:snapToGrid w:val="0"/>
        <w:spacing w:line="360" w:lineRule="auto"/>
        <w:jc w:val="both"/>
        <w:rPr>
          <w:rFonts w:ascii="Book Antiqua" w:hAnsi="Book Antiqua"/>
        </w:rPr>
      </w:pPr>
    </w:p>
    <w:p w14:paraId="19AF841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Scratch migration assay</w:t>
      </w:r>
    </w:p>
    <w:p w14:paraId="7D6A372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To measure the logarithmic growth period, cells were seeded on plates for scratch analysis. When the cell growth density was about 90%, t</w:t>
      </w:r>
      <w:r>
        <w:rPr>
          <w:rFonts w:ascii="Book Antiqua" w:eastAsia="Book Antiqua" w:hAnsi="Book Antiqua" w:cs="Book Antiqua"/>
          <w:color w:val="000000"/>
          <w:shd w:val="clear" w:color="auto" w:fill="FFFFFF"/>
        </w:rPr>
        <w:t xml:space="preserve">he scratch migration assay was performed to test cell migration. Using the ruler perpendicular to the ix-hole plate, with the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spear head along the ruler, a scratch was made, keeping strength as far as possible. A picture was taken, and the cells were allowed to continue to grow; a picture was taken every 24 h. The images were then compared, and the data analyzed. </w:t>
      </w:r>
    </w:p>
    <w:p w14:paraId="6ED37942" w14:textId="77777777" w:rsidR="001154E7" w:rsidRDefault="001154E7">
      <w:pPr>
        <w:adjustRightInd w:val="0"/>
        <w:snapToGrid w:val="0"/>
        <w:spacing w:line="360" w:lineRule="auto"/>
        <w:jc w:val="both"/>
        <w:rPr>
          <w:rFonts w:ascii="Book Antiqua" w:hAnsi="Book Antiqua"/>
        </w:rPr>
      </w:pPr>
    </w:p>
    <w:p w14:paraId="41DFD6E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43454F56" w14:textId="55875AB6"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Statistical analysis was performed by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8.0 software</w:t>
      </w:r>
      <w:r>
        <w:rPr>
          <w:rFonts w:ascii="Book Antiqua" w:eastAsia="Book Antiqua" w:hAnsi="Book Antiqua" w:cs="Book Antiqua"/>
          <w:color w:val="000000"/>
          <w:shd w:val="clear" w:color="auto" w:fill="FFFFFF"/>
        </w:rPr>
        <w:t> (</w:t>
      </w:r>
      <w:proofErr w:type="spellStart"/>
      <w:r>
        <w:rPr>
          <w:rFonts w:ascii="Book Antiqua" w:eastAsia="Book Antiqua" w:hAnsi="Book Antiqua" w:cs="Book Antiqua"/>
          <w:color w:val="000000"/>
          <w:shd w:val="clear" w:color="auto" w:fill="FFFFFF"/>
        </w:rPr>
        <w:t>GraphPad</w:t>
      </w:r>
      <w:proofErr w:type="spellEnd"/>
      <w:r>
        <w:rPr>
          <w:rFonts w:ascii="Book Antiqua" w:eastAsia="Book Antiqua" w:hAnsi="Book Antiqua" w:cs="Book Antiqua"/>
          <w:color w:val="000000"/>
          <w:shd w:val="clear" w:color="auto" w:fill="FFFFFF"/>
        </w:rPr>
        <w:t xml:space="preserve"> Co. Ltd., San Diego, CA, </w:t>
      </w:r>
      <w:proofErr w:type="gramStart"/>
      <w:r>
        <w:rPr>
          <w:rFonts w:ascii="Book Antiqua" w:eastAsia="Book Antiqua" w:hAnsi="Book Antiqua" w:cs="Book Antiqua"/>
          <w:color w:val="000000"/>
          <w:shd w:val="clear" w:color="auto" w:fill="FFFFFF"/>
        </w:rPr>
        <w:t>Unites</w:t>
      </w:r>
      <w:proofErr w:type="gramEnd"/>
      <w:r>
        <w:rPr>
          <w:rFonts w:ascii="Book Antiqua" w:eastAsia="Book Antiqua" w:hAnsi="Book Antiqua" w:cs="Book Antiqua"/>
          <w:color w:val="000000"/>
          <w:shd w:val="clear" w:color="auto" w:fill="FFFFFF"/>
        </w:rPr>
        <w:t xml:space="preserve"> States) </w:t>
      </w:r>
      <w:r>
        <w:rPr>
          <w:rFonts w:ascii="Book Antiqua" w:eastAsia="Book Antiqua" w:hAnsi="Book Antiqua" w:cs="Book Antiqua"/>
          <w:color w:val="000000"/>
        </w:rPr>
        <w:t>and SPSS statistical package Version 25.0 (</w:t>
      </w:r>
      <w:r>
        <w:rPr>
          <w:rFonts w:ascii="Book Antiqua" w:eastAsia="Book Antiqua" w:hAnsi="Book Antiqua" w:cs="Book Antiqua"/>
          <w:color w:val="000000"/>
          <w:shd w:val="clear" w:color="auto" w:fill="FFFFFF"/>
        </w:rPr>
        <w:t xml:space="preserve">SPSS Inc., Armonk, NY, United States). The </w:t>
      </w:r>
      <w:r>
        <w:rPr>
          <w:rFonts w:ascii="Book Antiqua" w:eastAsia="Book Antiqua" w:hAnsi="Book Antiqua" w:cs="Book Antiqua"/>
          <w:color w:val="000000"/>
        </w:rPr>
        <w:t xml:space="preserve">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a rank-sum test,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and Fisher's exact probability test were used for categorical </w:t>
      </w:r>
      <w:proofErr w:type="gramStart"/>
      <w:r>
        <w:rPr>
          <w:rFonts w:ascii="Book Antiqua" w:eastAsia="Book Antiqua" w:hAnsi="Book Antiqua" w:cs="Book Antiqua"/>
          <w:color w:val="000000"/>
        </w:rPr>
        <w:t>variables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Cumulative survival curves of OS and DFS were calculated using the Kaplan–Meier method and compared by the log-rank test. The Cox proportional hazards model was used to determine independent factors of recurrence based on the variables selected by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w:t>
      </w:r>
      <w:r>
        <w:rPr>
          <w:rFonts w:ascii="Book Antiqua" w:eastAsia="Book Antiqua" w:hAnsi="Book Antiqua" w:cs="Book Antiqua"/>
          <w:color w:val="000000"/>
          <w:shd w:val="clear" w:color="auto" w:fill="FFFFFF"/>
        </w:rPr>
        <w:t xml:space="preserve"> Estimated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95% confidence intervals (C</w:t>
      </w:r>
      <w:r w:rsidR="005159DF">
        <w:rPr>
          <w:rFonts w:ascii="Book Antiqua"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 xml:space="preserve">s) with hazard ratio (HR) were combined to evaluate the prognostic and </w:t>
      </w:r>
      <w:proofErr w:type="spellStart"/>
      <w:r>
        <w:rPr>
          <w:rFonts w:ascii="Book Antiqua" w:eastAsia="Book Antiqua" w:hAnsi="Book Antiqua" w:cs="Book Antiqua"/>
          <w:color w:val="000000"/>
          <w:shd w:val="clear" w:color="auto" w:fill="FFFFFF"/>
        </w:rPr>
        <w:t>clinicopathologic</w:t>
      </w:r>
      <w:proofErr w:type="spellEnd"/>
      <w:r>
        <w:rPr>
          <w:rFonts w:ascii="Book Antiqua" w:eastAsia="Book Antiqua" w:hAnsi="Book Antiqua" w:cs="Book Antiqua"/>
          <w:color w:val="000000"/>
          <w:shd w:val="clear" w:color="auto" w:fill="FFFFFF"/>
        </w:rPr>
        <w:t xml:space="preserve"> values according to the Tierney </w:t>
      </w:r>
      <w:proofErr w:type="gramStart"/>
      <w:r>
        <w:rPr>
          <w:rFonts w:ascii="Book Antiqua" w:eastAsia="Book Antiqua" w:hAnsi="Book Antiqua" w:cs="Book Antiqua"/>
          <w:color w:val="000000"/>
          <w:shd w:val="clear" w:color="auto" w:fill="FFFFFF"/>
        </w:rPr>
        <w:t>method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All the </w:t>
      </w:r>
      <w:r>
        <w:rPr>
          <w:rFonts w:ascii="Book Antiqua" w:eastAsia="Book Antiqua" w:hAnsi="Book Antiqua" w:cs="Book Antiqua"/>
          <w:color w:val="000000"/>
        </w:rPr>
        <w:lastRenderedPageBreak/>
        <w:t xml:space="preserve">significant predictors of recurrence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 were analyzed in a logistic regression model to show an independent value at the multivariate analysis. A two-tailed value of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w:t>
      </w:r>
    </w:p>
    <w:p w14:paraId="55017F24" w14:textId="77777777" w:rsidR="001154E7" w:rsidRDefault="001154E7">
      <w:pPr>
        <w:adjustRightInd w:val="0"/>
        <w:snapToGrid w:val="0"/>
        <w:spacing w:line="360" w:lineRule="auto"/>
        <w:jc w:val="both"/>
        <w:rPr>
          <w:rFonts w:ascii="Book Antiqua" w:hAnsi="Book Antiqua"/>
        </w:rPr>
      </w:pPr>
    </w:p>
    <w:p w14:paraId="35776D4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41A9326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TUFT1 in bioinformatics database</w:t>
      </w:r>
    </w:p>
    <w:p w14:paraId="12FECCC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The comparative analysis of TUFT1 mRNA box diagrams between HCC (</w:t>
      </w:r>
      <w:r>
        <w:rPr>
          <w:rFonts w:ascii="Book Antiqua" w:eastAsia="Book Antiqua" w:hAnsi="Book Antiqua" w:cs="Book Antiqua"/>
          <w:i/>
          <w:iCs/>
          <w:color w:val="000000"/>
        </w:rPr>
        <w:t>n</w:t>
      </w:r>
      <w:r>
        <w:rPr>
          <w:rFonts w:ascii="Book Antiqua" w:eastAsia="Book Antiqua" w:hAnsi="Book Antiqua" w:cs="Book Antiqua"/>
          <w:color w:val="000000"/>
        </w:rPr>
        <w:t xml:space="preserve"> = 594) and normal liver (</w:t>
      </w:r>
      <w:r>
        <w:rPr>
          <w:rFonts w:ascii="Book Antiqua" w:eastAsia="Book Antiqua" w:hAnsi="Book Antiqua" w:cs="Book Antiqua"/>
          <w:i/>
          <w:iCs/>
          <w:color w:val="000000"/>
        </w:rPr>
        <w:t>n</w:t>
      </w:r>
      <w:r>
        <w:rPr>
          <w:rFonts w:ascii="Book Antiqua" w:eastAsia="Book Antiqua" w:hAnsi="Book Antiqua" w:cs="Book Antiqua"/>
          <w:color w:val="000000"/>
        </w:rPr>
        <w:t xml:space="preserve"> = 270) tissues from the bioinformatics websites are shown in Figure 1. In the Cancer Genome Atlas database (Figure 1A) from the GEPIA public website, the levels of TUFT1 mRNA expression in the HCC group were significantly higher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than those in the normal group. Based on the </w:t>
      </w:r>
      <w:proofErr w:type="spellStart"/>
      <w:r>
        <w:rPr>
          <w:rFonts w:ascii="Book Antiqua" w:eastAsia="Book Antiqua" w:hAnsi="Book Antiqua" w:cs="Book Antiqua"/>
          <w:color w:val="000000"/>
        </w:rPr>
        <w:t>Oncomine</w:t>
      </w:r>
      <w:proofErr w:type="spellEnd"/>
      <w:r>
        <w:rPr>
          <w:rFonts w:ascii="Book Antiqua" w:eastAsia="Book Antiqua" w:hAnsi="Book Antiqua" w:cs="Book Antiqua"/>
          <w:color w:val="000000"/>
        </w:rPr>
        <w:t xml:space="preserve"> database (Figure 1B)</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levels of TUFT1 mRNA expression in the HCC group were also significantly higher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than those in the normal group. The data from online databases indicated that hepatic TUFT1 should be over-expressing status in HCC progression. </w:t>
      </w:r>
    </w:p>
    <w:p w14:paraId="54025C02" w14:textId="77777777" w:rsidR="001154E7" w:rsidRDefault="001154E7">
      <w:pPr>
        <w:adjustRightInd w:val="0"/>
        <w:snapToGrid w:val="0"/>
        <w:spacing w:line="360" w:lineRule="auto"/>
        <w:jc w:val="both"/>
        <w:rPr>
          <w:rFonts w:ascii="Book Antiqua" w:hAnsi="Book Antiqua"/>
        </w:rPr>
      </w:pPr>
    </w:p>
    <w:p w14:paraId="7990ACA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TUFT1 expression in Human HCC tissues</w:t>
      </w:r>
    </w:p>
    <w:p w14:paraId="3E3BE958" w14:textId="44AFD6AD"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immunohistochemistry</w:t>
      </w:r>
      <w:r>
        <w:rPr>
          <w:rFonts w:ascii="Book Antiqua" w:eastAsia="Book Antiqua" w:hAnsi="Book Antiqua" w:cs="Book Antiqua"/>
          <w:color w:val="000000"/>
        </w:rPr>
        <w:t xml:space="preserve"> analysis of hepatic TUFT1 expression in 132 cases of HCC and their non- HCC tissue microarray with clinical staging and prognosis is shown in Figure 2. The cellular distribution of hepatic TUFT1 expression was mainly located in cytoplasm and cell membrane. The intensity of TUFT1 staining was stronger in the HCC group (Figure 2A and A1) than that in the non-HCC group (Figure 2B and B1). </w:t>
      </w:r>
      <w:r>
        <w:rPr>
          <w:rFonts w:ascii="Book Antiqua" w:eastAsia="Book Antiqua" w:hAnsi="Book Antiqua" w:cs="Book Antiqua"/>
          <w:color w:val="000000"/>
          <w:shd w:val="clear" w:color="auto" w:fill="FFFFFF"/>
        </w:rPr>
        <w:t>The</w:t>
      </w:r>
      <w:r>
        <w:rPr>
          <w:rFonts w:ascii="Book Antiqua" w:eastAsia="Book Antiqua" w:hAnsi="Book Antiqua" w:cs="Book Antiqua"/>
          <w:color w:val="000000"/>
        </w:rPr>
        <w:t xml:space="preserve"> positive rate of TUFT1 in the HCC group (87.1%, 115/132) was significantly higher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 xml:space="preserve">2 </w:t>
      </w:r>
      <w:r>
        <w:rPr>
          <w:rFonts w:ascii="Book Antiqua" w:eastAsia="Book Antiqua" w:hAnsi="Book Antiqua" w:cs="Book Antiqua"/>
          <w:color w:val="000000"/>
        </w:rPr>
        <w:t xml:space="preserve">= 18.563,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than that in the non-HCC group (64.4%, 85/132). Comparative analysis of TUFT1 expressions in the HCC or non-HCC tissues is summarized in Table 1. The significant difference (</w:t>
      </w:r>
      <w:r>
        <w:rPr>
          <w:rFonts w:ascii="Book Antiqua" w:eastAsia="Book Antiqua" w:hAnsi="Book Antiqua" w:cs="Book Antiqua"/>
          <w:i/>
          <w:iCs/>
          <w:color w:val="000000"/>
        </w:rPr>
        <w:t xml:space="preserve">Z </w:t>
      </w:r>
      <w:r>
        <w:rPr>
          <w:rFonts w:ascii="Book Antiqua" w:eastAsia="Book Antiqua" w:hAnsi="Book Antiqua" w:cs="Book Antiqua"/>
          <w:color w:val="000000"/>
        </w:rPr>
        <w:t>= 4.911,</w:t>
      </w:r>
      <w:r>
        <w:rPr>
          <w:rFonts w:ascii="Book Antiqua" w:eastAsia="Book Antiqua" w:hAnsi="Book Antiqua" w:cs="Book Antiqua"/>
          <w:color w:val="000000"/>
          <w:vertAlign w:val="superscript"/>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of TUFT1 staining scores was found between HCC and non-HCC tissues by Z test, with higher expression in 50.0% HCC tissues (2-3 scores, 66/132), and low or no expression in 76.5% their non-HCC tissues (0-1 scores, 101/132). Regarding the relationship between TUFT1 and HCC staging (Figure 2C and D), there was lower/no TUFT1 staining in non-HCC tissues (Figure 2C1 and D1) </w:t>
      </w:r>
      <w:r>
        <w:rPr>
          <w:rFonts w:ascii="Book Antiqua" w:eastAsia="Book Antiqua" w:hAnsi="Book Antiqua" w:cs="Book Antiqua"/>
          <w:color w:val="000000"/>
        </w:rPr>
        <w:lastRenderedPageBreak/>
        <w:t>with brown staining of TUFT1 gradually increasing from stage</w:t>
      </w:r>
      <w:r>
        <w:rPr>
          <w:rFonts w:ascii="MS Gothic" w:eastAsia="MS Gothic" w:hAnsi="MS Gothic" w:cs="MS Gothic" w:hint="eastAsia"/>
          <w:color w:val="000000"/>
        </w:rPr>
        <w:t> </w:t>
      </w:r>
      <w:r>
        <w:rPr>
          <w:rFonts w:ascii="Book Antiqua" w:eastAsia="Book Antiqua" w:hAnsi="Book Antiqua" w:cs="Book Antiqua"/>
          <w:color w:val="000000"/>
        </w:rPr>
        <w:t>I</w:t>
      </w:r>
      <w:r>
        <w:rPr>
          <w:rFonts w:ascii="MS Gothic" w:eastAsia="MS Gothic" w:hAnsi="MS Gothic" w:cs="MS Gothic" w:hint="eastAsia"/>
          <w:color w:val="000000"/>
        </w:rPr>
        <w:t> </w:t>
      </w:r>
      <w:r>
        <w:rPr>
          <w:rFonts w:ascii="Book Antiqua" w:eastAsia="Book Antiqua" w:hAnsi="Book Antiqua" w:cs="Book Antiqua"/>
          <w:color w:val="000000"/>
        </w:rPr>
        <w:t xml:space="preserve">to IV (Figure 2C2-5 or Figure </w:t>
      </w:r>
      <w:r w:rsidR="005159DF">
        <w:rPr>
          <w:rFonts w:ascii="Book Antiqua" w:hAnsi="Book Antiqua" w:cs="Book Antiqua" w:hint="eastAsia"/>
          <w:color w:val="000000"/>
          <w:lang w:eastAsia="zh-CN"/>
        </w:rPr>
        <w:t>2</w:t>
      </w:r>
      <w:r>
        <w:rPr>
          <w:rFonts w:ascii="Book Antiqua" w:eastAsia="Book Antiqua" w:hAnsi="Book Antiqua" w:cs="Book Antiqua"/>
          <w:color w:val="000000"/>
        </w:rPr>
        <w:t xml:space="preserve">D2-5). </w:t>
      </w:r>
    </w:p>
    <w:p w14:paraId="1B739FD3" w14:textId="77777777" w:rsidR="001154E7" w:rsidRDefault="001154E7">
      <w:pPr>
        <w:adjustRightInd w:val="0"/>
        <w:snapToGrid w:val="0"/>
        <w:spacing w:line="360" w:lineRule="auto"/>
        <w:jc w:val="both"/>
        <w:rPr>
          <w:rFonts w:ascii="Book Antiqua" w:hAnsi="Book Antiqua"/>
        </w:rPr>
      </w:pPr>
    </w:p>
    <w:p w14:paraId="3DC726BD" w14:textId="77777777" w:rsidR="001154E7" w:rsidRDefault="00ED61B9">
      <w:pPr>
        <w:adjustRightInd w:val="0"/>
        <w:snapToGrid w:val="0"/>
        <w:spacing w:line="360" w:lineRule="auto"/>
        <w:jc w:val="both"/>
        <w:rPr>
          <w:rFonts w:ascii="Book Antiqua" w:hAnsi="Book Antiqua"/>
        </w:rPr>
      </w:pPr>
      <w:proofErr w:type="spellStart"/>
      <w:r>
        <w:rPr>
          <w:rFonts w:ascii="Book Antiqua" w:eastAsia="Book Antiqua" w:hAnsi="Book Antiqua" w:cs="Book Antiqua"/>
          <w:b/>
          <w:bCs/>
          <w:i/>
          <w:iCs/>
          <w:color w:val="000000"/>
        </w:rPr>
        <w:t>Clinicopathologic</w:t>
      </w:r>
      <w:proofErr w:type="spellEnd"/>
      <w:r>
        <w:rPr>
          <w:rFonts w:ascii="Book Antiqua" w:eastAsia="Book Antiqua" w:hAnsi="Book Antiqua" w:cs="Book Antiqua"/>
          <w:b/>
          <w:bCs/>
          <w:i/>
          <w:iCs/>
          <w:color w:val="000000"/>
        </w:rPr>
        <w:t xml:space="preserve"> features and prognostic value of TUFT1</w:t>
      </w:r>
    </w:p>
    <w:p w14:paraId="1C25E64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of TUFT1 expression in 132 HCC patients are shown in Table 2. The higher TUFT1 level was associated with tumor size, vascular invasion,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advanced TNM stage of HCC, and ascites of patients. However, no significant difference was found between TUFT1 and age, sex, AFP level, HBV surface antigen, and Edmondson-Steiner grading. Analysis of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or multivariate Cox regression of TUFT1 in HCC tissues (Table 3) was significantly correlated with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tumor size, vascular invasion, ascites, TNM stage, and AFP level with OS of patients, and further confirmed that TUFT1, tumor size, vascular invasion, ascites, and TNM stage were independent predictive factors for OS. On the contrary, TUFT1 and TNM stage </w:t>
      </w:r>
      <w:r>
        <w:rPr>
          <w:rFonts w:ascii="Book Antiqua" w:eastAsia="Book Antiqua" w:hAnsi="Book Antiqua" w:cs="Book Antiqua"/>
          <w:color w:val="000000"/>
          <w:shd w:val="clear" w:color="auto" w:fill="FFFFFF"/>
        </w:rPr>
        <w:t xml:space="preserve">should be independent prognostic factors for </w:t>
      </w:r>
      <w:r>
        <w:rPr>
          <w:rFonts w:ascii="Book Antiqua" w:eastAsia="Book Antiqua" w:hAnsi="Book Antiqua" w:cs="Book Antiqua"/>
          <w:color w:val="000000"/>
        </w:rPr>
        <w:t>DFS</w:t>
      </w:r>
      <w:r>
        <w:rPr>
          <w:rFonts w:ascii="Book Antiqua" w:eastAsia="Book Antiqua" w:hAnsi="Book Antiqua" w:cs="Book Antiqua"/>
          <w:color w:val="000000"/>
          <w:shd w:val="clear" w:color="auto" w:fill="FFFFFF"/>
        </w:rPr>
        <w:t xml:space="preserve"> of HCC</w:t>
      </w:r>
      <w:r>
        <w:rPr>
          <w:rFonts w:ascii="Book Antiqua" w:eastAsia="Book Antiqua" w:hAnsi="Book Antiqua" w:cs="Book Antiqua"/>
          <w:color w:val="000000"/>
        </w:rPr>
        <w:t>. The OS or DFS of HCC with high or low TUFT1 was analyzed at early or advanced HCC (Figure 3A or Figure 3B). C</w:t>
      </w:r>
      <w:r>
        <w:rPr>
          <w:rFonts w:ascii="Book Antiqua" w:eastAsia="Book Antiqua" w:hAnsi="Book Antiqua" w:cs="Book Antiqua"/>
          <w:color w:val="000000"/>
          <w:shd w:val="clear" w:color="auto" w:fill="FFFFFF"/>
        </w:rPr>
        <w:t>ompared to low TUFT1 group,</w:t>
      </w:r>
      <w:r>
        <w:rPr>
          <w:rFonts w:ascii="Book Antiqua" w:eastAsia="Book Antiqua" w:hAnsi="Book Antiqua" w:cs="Book Antiqua"/>
          <w:color w:val="000000"/>
        </w:rPr>
        <w:t xml:space="preserve"> the cases with high TUFT1 expression had significantly decreased OS and DFS,</w:t>
      </w:r>
      <w:r>
        <w:rPr>
          <w:rFonts w:ascii="Book Antiqua" w:eastAsia="Book Antiqua" w:hAnsi="Book Antiqua" w:cs="Book Antiqua"/>
          <w:color w:val="000000"/>
          <w:shd w:val="clear" w:color="auto" w:fill="FFFFFF"/>
        </w:rPr>
        <w:t xml:space="preserve"> suggesting </w:t>
      </w:r>
      <w:r>
        <w:rPr>
          <w:rFonts w:ascii="Book Antiqua" w:eastAsia="Book Antiqua" w:hAnsi="Book Antiqua" w:cs="Book Antiqua"/>
          <w:color w:val="000000"/>
        </w:rPr>
        <w:t>that TUFT1 should be a promoter or prognostic marker for HCC.</w:t>
      </w:r>
    </w:p>
    <w:p w14:paraId="74FFB516" w14:textId="77777777" w:rsidR="001154E7" w:rsidRDefault="001154E7">
      <w:pPr>
        <w:adjustRightInd w:val="0"/>
        <w:snapToGrid w:val="0"/>
        <w:spacing w:line="360" w:lineRule="auto"/>
        <w:jc w:val="both"/>
        <w:rPr>
          <w:rFonts w:ascii="Book Antiqua" w:hAnsi="Book Antiqua"/>
        </w:rPr>
      </w:pPr>
    </w:p>
    <w:p w14:paraId="10D30CE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Effects of interfering TUFT1 transcription on HCC cells</w:t>
      </w:r>
    </w:p>
    <w:p w14:paraId="0BA2896F" w14:textId="28CB8D88"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Screening TUFU1 and interfering TUFT1 mRNA transcription on effects of HCC cell lines are shown in Figure 4. Differential expressions of TUFT1 among different HCC cell lines were screened (Figure 4A). The relative ratio from TUFT1 to </w:t>
      </w:r>
      <w:r>
        <w:rPr>
          <w:rFonts w:ascii="Book Antiqua" w:hAnsi="Book Antiqua"/>
          <w:color w:val="202124"/>
          <w:shd w:val="clear" w:color="auto" w:fill="FFFFFF"/>
        </w:rPr>
        <w:t>glyceraldehyde 3-phosphate dehydrogenase</w:t>
      </w:r>
      <w:r>
        <w:rPr>
          <w:rFonts w:ascii="Book Antiqua" w:eastAsia="Book Antiqua" w:hAnsi="Book Antiqua" w:cs="Book Antiqua"/>
          <w:color w:val="000000"/>
        </w:rPr>
        <w:t xml:space="preserve"> showed Hep3B cells with lowest and MHCC-97H cells with strongest level of TUFT1 expression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4A1). Based on the status of TUFT1 expression in the MHCC-97H or Hep3B cells, the MHCC-97H cells were chosen to be used for interfering TUFT1 mRNA transcription with shRNA1-3 (Figure 4B left), and the most significantly inhibiting effect was shRNA3 (sh-3) plasmid for TUFT1 (Figure 4B1 left). The Hep3B cells were selected to over-express TUFT1 with constructed </w:t>
      </w:r>
      <w:r>
        <w:rPr>
          <w:rFonts w:ascii="Book Antiqua" w:eastAsia="Book Antiqua" w:hAnsi="Book Antiqua" w:cs="Book Antiqua"/>
          <w:color w:val="000000"/>
        </w:rPr>
        <w:lastRenderedPageBreak/>
        <w:t>pEX-4 (</w:t>
      </w:r>
      <w:proofErr w:type="spellStart"/>
      <w:r>
        <w:rPr>
          <w:rFonts w:ascii="Book Antiqua" w:eastAsia="Book Antiqua" w:hAnsi="Book Antiqua" w:cs="Book Antiqua"/>
          <w:color w:val="000000"/>
        </w:rPr>
        <w:t>pGCMV</w:t>
      </w:r>
      <w:proofErr w:type="spellEnd"/>
      <w:r>
        <w:rPr>
          <w:rFonts w:ascii="Book Antiqua" w:eastAsia="Book Antiqua" w:hAnsi="Book Antiqua" w:cs="Book Antiqua"/>
          <w:color w:val="000000"/>
        </w:rPr>
        <w:t>/MCS/T2A/EGFP/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Neo) plasmid (Figure 4B right) and showed markedly increasing TUFT1 expression (Figure 4B1 right). Using a different style of TUFT1 interference, the TUFT1-shRNA3 significantly suppressed proliferation of MHCC-97H cells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4C), and TUFT1 activation markedly increased proliferation of Hep3B cells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4D). The results confirmed that TUFT1 could promote HCC cell proliferation.</w:t>
      </w:r>
    </w:p>
    <w:p w14:paraId="757F0B70" w14:textId="77777777" w:rsidR="001154E7" w:rsidRDefault="001154E7">
      <w:pPr>
        <w:adjustRightInd w:val="0"/>
        <w:snapToGrid w:val="0"/>
        <w:spacing w:line="360" w:lineRule="auto"/>
        <w:jc w:val="both"/>
        <w:rPr>
          <w:rFonts w:ascii="Book Antiqua" w:hAnsi="Book Antiqua"/>
        </w:rPr>
      </w:pPr>
    </w:p>
    <w:p w14:paraId="25E6B6A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Effects of TUFT1 on healing, invasion, and migration of HCC cells</w:t>
      </w:r>
    </w:p>
    <w:p w14:paraId="1EFA2552" w14:textId="1D91E7A1"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According to the above results, the effects of higher or lower level of TUFT1 on the healing, invasion, and migration of HCC cells were further observed. The effects of different TUFT1 levels on the healing, invasion, and migration of the MHCC-97H or Hep3B cells are shown in Figure 5. The healing abilities of the MHCC-97H cells transfected with the TUFT1-shRNA3 plasmid were averaged down to 50% in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group (Figure 5A), and the healing abilities in the sh-RNA3 group were significantly inhibited compared with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-NC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5A1). However, the healing abilities of the Hep3B cells transfected with the over-expressing TUFT1 plasmid were averaged up to 200% in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group (Figure 5B); and the healing abilities of the Hep3B cells were significantly improved compared with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-NC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5B1). Compared with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group, the migration or invasion abilities of the MHCC-97H cells were significantly suppressed (Figure 5C); and the migration or invasion abilities of the MHCC-97H cells were down to 50% or 30% less than those in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-NC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5C1). However, the migration or invasion abilities of the Hep3B cells were significantly increased compared with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group (Figure 5D); and the migration and invasion abilities of the Hep3B cells were up to 200% or 300% more than those in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-NC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5D1)]. </w:t>
      </w:r>
    </w:p>
    <w:p w14:paraId="7D768FE7" w14:textId="77777777" w:rsidR="001154E7" w:rsidRDefault="001154E7">
      <w:pPr>
        <w:adjustRightInd w:val="0"/>
        <w:snapToGrid w:val="0"/>
        <w:spacing w:line="360" w:lineRule="auto"/>
        <w:jc w:val="both"/>
        <w:rPr>
          <w:rFonts w:ascii="Book Antiqua" w:hAnsi="Book Antiqua"/>
        </w:rPr>
      </w:pPr>
    </w:p>
    <w:p w14:paraId="487B9E4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Anti-apoptotic mechanism of TUFT1</w:t>
      </w:r>
    </w:p>
    <w:p w14:paraId="49750D3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After the MHCC-97H cells were transfected with the most effective TUFT1-shRNA3 plasmid, the relationship between TUFT1 expression and apoptosis of MHCC-97H cells </w:t>
      </w:r>
      <w:r>
        <w:rPr>
          <w:rFonts w:ascii="Book Antiqua" w:eastAsia="Book Antiqua" w:hAnsi="Book Antiqua" w:cs="Book Antiqua"/>
          <w:color w:val="000000"/>
        </w:rPr>
        <w:lastRenderedPageBreak/>
        <w:t xml:space="preserve">was determined (Figure 6). After the MHCC-97H cells were transfected with the more specific TUFT1-shRNA3 plasmid, the numbers of the apoptotic cells in the sh-TUFT1 group (Figure 6A2) were markedly increased than those in the control (Figure 6A) or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-NC groups (Figure 6A1). The ratio of the apoptotic cells in the sh-TUFT1 group was significantly higher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Figure 6B) than those in the control or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groups. </w:t>
      </w:r>
    </w:p>
    <w:p w14:paraId="2A8A0DD8" w14:textId="77777777" w:rsidR="001154E7" w:rsidRDefault="00ED61B9">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Speculations based on the above data and the possible mechanism of TUFT1 promoting the </w:t>
      </w:r>
      <w:proofErr w:type="gramStart"/>
      <w:r>
        <w:rPr>
          <w:rFonts w:ascii="Book Antiqua" w:eastAsia="Book Antiqua" w:hAnsi="Book Antiqua" w:cs="Book Antiqua"/>
          <w:color w:val="000000"/>
        </w:rPr>
        <w:t>progression of HCC are</w:t>
      </w:r>
      <w:proofErr w:type="gramEnd"/>
      <w:r>
        <w:rPr>
          <w:rFonts w:ascii="Book Antiqua" w:eastAsia="Book Antiqua" w:hAnsi="Book Antiqua" w:cs="Book Antiqua"/>
          <w:color w:val="000000"/>
        </w:rPr>
        <w:t xml:space="preserve"> shown in Figure 6C. </w:t>
      </w:r>
      <w:proofErr w:type="gramStart"/>
      <w:r>
        <w:rPr>
          <w:rFonts w:ascii="Book Antiqua" w:eastAsia="Book Antiqua" w:hAnsi="Book Antiqua" w:cs="Book Antiqua"/>
          <w:color w:val="000000"/>
        </w:rPr>
        <w:t>Aberrant up-regulating or down-regulating expressions of TUFT1 was</w:t>
      </w:r>
      <w:proofErr w:type="gramEnd"/>
      <w:r>
        <w:rPr>
          <w:rFonts w:ascii="Book Antiqua" w:eastAsia="Book Antiqua" w:hAnsi="Book Antiqua" w:cs="Book Antiqua"/>
          <w:color w:val="000000"/>
        </w:rPr>
        <w:t xml:space="preserve"> associated with the biological features of HCC. Increased hepatic TUFT1 expression promoted the proliferation, growth, and metastasis of HCC by inhibiting tumor cell apoptosis. </w:t>
      </w:r>
    </w:p>
    <w:p w14:paraId="0D41D6C9" w14:textId="77777777" w:rsidR="001154E7" w:rsidRDefault="001154E7">
      <w:pPr>
        <w:adjustRightInd w:val="0"/>
        <w:snapToGrid w:val="0"/>
        <w:spacing w:line="360" w:lineRule="auto"/>
        <w:ind w:firstLineChars="100" w:firstLine="240"/>
        <w:jc w:val="both"/>
        <w:rPr>
          <w:rFonts w:ascii="Book Antiqua" w:hAnsi="Book Antiqua"/>
        </w:rPr>
      </w:pPr>
    </w:p>
    <w:p w14:paraId="31D9A32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0554E99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Carcinogenesis of hepatocytes is a multi-factor, multi-step, and complex process with major risk factors including chronic infections with HBV or hepatitis C virus, exposure to dietary toxin, hereditary liver disease, and non-alcoholic fatty liver disease of any </w:t>
      </w:r>
      <w:proofErr w:type="gramStart"/>
      <w:r>
        <w:rPr>
          <w:rFonts w:ascii="Book Antiqua" w:eastAsia="Book Antiqua" w:hAnsi="Book Antiqua" w:cs="Book Antiqua"/>
          <w:color w:val="000000"/>
        </w:rPr>
        <w:t>etiology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2,27]</w:t>
      </w:r>
      <w:r>
        <w:rPr>
          <w:rFonts w:ascii="Book Antiqua" w:eastAsia="Book Antiqua" w:hAnsi="Book Antiqua" w:cs="Book Antiqua"/>
          <w:color w:val="000000"/>
        </w:rPr>
        <w:t xml:space="preserve">. Despite the urgent need for molecular targeted anti-HCC agents, the therapeutic strategies are difficult to be identified. Accumulating data have demonstrated that many kinds of abnormal signaling pathways are associated with HCC by interacting with highly complex genetic aberrations such as abnormal methylation, histone modification, and chromosome </w:t>
      </w:r>
      <w:proofErr w:type="gramStart"/>
      <w:r>
        <w:rPr>
          <w:rFonts w:ascii="Book Antiqua" w:eastAsia="Book Antiqua" w:hAnsi="Book Antiqua" w:cs="Book Antiqua"/>
          <w:color w:val="000000"/>
        </w:rPr>
        <w:t>remodeling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Recently, TUFT1 has been shown to exist in many tissues and has been </w:t>
      </w:r>
      <w:r>
        <w:rPr>
          <w:rFonts w:ascii="Book Antiqua" w:eastAsia="Book Antiqua" w:hAnsi="Book Antiqua" w:cs="Book Antiqua"/>
          <w:color w:val="000000"/>
          <w:shd w:val="clear" w:color="auto" w:fill="FFFFFF"/>
        </w:rPr>
        <w:t xml:space="preserve">identified as a useful biomarker associated with poor prognosis in several </w:t>
      </w:r>
      <w:proofErr w:type="gramStart"/>
      <w:r>
        <w:rPr>
          <w:rFonts w:ascii="Book Antiqua" w:eastAsia="Book Antiqua" w:hAnsi="Book Antiqua" w:cs="Book Antiqua"/>
          <w:color w:val="000000"/>
          <w:shd w:val="clear" w:color="auto" w:fill="FFFFFF"/>
        </w:rPr>
        <w:t>cancers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29-31]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However, only limited studied were available on the relationship between TUFT1 and HCC. In this study, the alterations of TUFT1 expression in HCC tissues and if the oncogenic TUFT1 might promote HCC growth and metastasis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an anti-apoptotic mechanism were investigated.</w:t>
      </w:r>
    </w:p>
    <w:p w14:paraId="2592C25E"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TUFT1 was originally discovered and mostly studied in the tooth, where it plays an important role in the initial stages of the mineralization of ectodermal </w:t>
      </w:r>
      <w:proofErr w:type="gramStart"/>
      <w:r>
        <w:rPr>
          <w:rFonts w:ascii="Book Antiqua" w:eastAsia="Book Antiqua" w:hAnsi="Book Antiqua" w:cs="Book Antiqua"/>
          <w:color w:val="000000"/>
          <w:shd w:val="clear" w:color="auto" w:fill="FFFFFF"/>
        </w:rPr>
        <w:t>enamel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12,29]</w:t>
      </w:r>
      <w:r>
        <w:rPr>
          <w:rFonts w:ascii="Book Antiqua" w:eastAsia="Book Antiqua" w:hAnsi="Book Antiqua" w:cs="Book Antiqua"/>
          <w:color w:val="000000"/>
          <w:shd w:val="clear" w:color="auto" w:fill="FFFFFF"/>
        </w:rPr>
        <w:t xml:space="preserve">. Even though TUFT1 is widely distributed and expressed in different embryonic and adult </w:t>
      </w:r>
      <w:r>
        <w:rPr>
          <w:rFonts w:ascii="Book Antiqua" w:eastAsia="Book Antiqua" w:hAnsi="Book Antiqua" w:cs="Book Antiqua"/>
          <w:color w:val="000000"/>
          <w:shd w:val="clear" w:color="auto" w:fill="FFFFFF"/>
        </w:rPr>
        <w:lastRenderedPageBreak/>
        <w:t xml:space="preserve">tissues, TUFT1 has been shown to be associated with cellular adaptation to hypoxia and recently even with cell </w:t>
      </w:r>
      <w:proofErr w:type="gramStart"/>
      <w:r>
        <w:rPr>
          <w:rFonts w:ascii="Book Antiqua" w:eastAsia="Book Antiqua" w:hAnsi="Book Antiqua" w:cs="Book Antiqua"/>
          <w:color w:val="000000"/>
          <w:shd w:val="clear" w:color="auto" w:fill="FFFFFF"/>
        </w:rPr>
        <w:t>differentiation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32]</w:t>
      </w:r>
      <w:r>
        <w:rPr>
          <w:rFonts w:ascii="Book Antiqua" w:eastAsia="Book Antiqua" w:hAnsi="Book Antiqua" w:cs="Book Antiqua"/>
          <w:color w:val="000000"/>
          <w:shd w:val="clear" w:color="auto" w:fill="FFFFFF"/>
        </w:rPr>
        <w:t xml:space="preserve">. TUFT1 activation is related to the progression of tumors, and </w:t>
      </w:r>
      <w:r>
        <w:rPr>
          <w:rFonts w:ascii="Book Antiqua" w:eastAsia="Book Antiqua" w:hAnsi="Book Antiqua" w:cs="Book Antiqua"/>
          <w:color w:val="000000"/>
        </w:rPr>
        <w:t xml:space="preserve">abnormal TUFT1 has </w:t>
      </w:r>
      <w:r>
        <w:rPr>
          <w:rFonts w:ascii="Book Antiqua" w:eastAsia="Book Antiqua" w:hAnsi="Book Antiqua" w:cs="Book Antiqua"/>
          <w:color w:val="000000"/>
          <w:shd w:val="clear" w:color="auto" w:fill="FFFFFF"/>
        </w:rPr>
        <w:t xml:space="preserve">been reported in </w:t>
      </w:r>
      <w:r>
        <w:rPr>
          <w:rFonts w:ascii="Book Antiqua" w:eastAsia="Book Antiqua" w:hAnsi="Book Antiqua" w:cs="Book Antiqua"/>
          <w:color w:val="000000"/>
        </w:rPr>
        <w:t xml:space="preserve">breast, lung, pancreatic, and thyroid </w:t>
      </w:r>
      <w:proofErr w:type="gramStart"/>
      <w:r>
        <w:rPr>
          <w:rFonts w:ascii="Book Antiqua" w:eastAsia="Book Antiqua" w:hAnsi="Book Antiqua" w:cs="Book Antiqua"/>
          <w:color w:val="000000"/>
        </w:rPr>
        <w:t>carcinoma</w:t>
      </w:r>
      <w:r>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10,11,13]</w:t>
      </w:r>
      <w:r>
        <w:rPr>
          <w:rFonts w:ascii="Book Antiqua" w:eastAsia="Book Antiqua" w:hAnsi="Book Antiqua" w:cs="Book Antiqua"/>
          <w:color w:val="000000"/>
          <w:shd w:val="clear" w:color="auto" w:fill="FFFFFF"/>
        </w:rPr>
        <w:t xml:space="preserve">. TUFT1 expression was significantly higher in the HCC tissues than in non-HCC tissues, with invasion and metastasis of </w:t>
      </w:r>
      <w:proofErr w:type="gramStart"/>
      <w:r>
        <w:rPr>
          <w:rFonts w:ascii="Book Antiqua" w:eastAsia="Book Antiqua" w:hAnsi="Book Antiqua" w:cs="Book Antiqua"/>
          <w:color w:val="000000"/>
          <w:shd w:val="clear" w:color="auto" w:fill="FFFFFF"/>
        </w:rPr>
        <w:t>tumors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14]</w:t>
      </w:r>
      <w:r>
        <w:rPr>
          <w:rFonts w:ascii="Book Antiqua" w:eastAsia="Book Antiqua" w:hAnsi="Book Antiqua" w:cs="Book Antiqua"/>
          <w:color w:val="000000"/>
        </w:rPr>
        <w:t>. In this study, the comparative analysis of TUFT1 in HCC and non-HCC tissues showed high TUFT1 expression related to tumor size, vascular invasion, advanced TNM stage of HCC, and HBV replication or ascites formation of HCC patients, suggesting that abnormal TUFT1</w:t>
      </w:r>
      <w:r>
        <w:rPr>
          <w:rFonts w:ascii="Book Antiqua" w:eastAsia="Book Antiqua" w:hAnsi="Book Antiqua" w:cs="Book Antiqua"/>
          <w:color w:val="000000"/>
          <w:shd w:val="clear" w:color="auto" w:fill="FFFFFF"/>
        </w:rPr>
        <w:t xml:space="preserve"> activation could play oncogenic roles in the progression of HCC.</w:t>
      </w:r>
    </w:p>
    <w:p w14:paraId="0A374893"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TUFT1 expression in tissue hypoxia was associated with activations of signaling pathways and poor outcome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Previous studies have indicated high HIF-1α level </w:t>
      </w:r>
      <w:r>
        <w:rPr>
          <w:rFonts w:ascii="Book Antiqua" w:eastAsia="Book Antiqua" w:hAnsi="Book Antiqua" w:cs="Book Antiqua"/>
          <w:color w:val="000000"/>
          <w:shd w:val="clear" w:color="auto" w:fill="FFFFFF"/>
        </w:rPr>
        <w:t xml:space="preserve">in the </w:t>
      </w:r>
      <w:r>
        <w:rPr>
          <w:rFonts w:ascii="Book Antiqua" w:eastAsia="Book Antiqua" w:hAnsi="Book Antiqua" w:cs="Book Antiqua"/>
          <w:color w:val="000000"/>
        </w:rPr>
        <w:t>hypoxic microenvironment of HCC</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because of tissue hypoxia inducing HIF-1α expression and binding to TUFT1 promoter, thereby promoting tumor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activation of the Rac1/β-catenin, mitogen activated protein kinase, calcium/phosphatidylinositol 3 kinase/AKT,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mammalian target of </w:t>
      </w:r>
      <w:proofErr w:type="spellStart"/>
      <w:r>
        <w:rPr>
          <w:rFonts w:ascii="Book Antiqua" w:eastAsia="Book Antiqua" w:hAnsi="Book Antiqua" w:cs="Book Antiqua"/>
          <w:color w:val="000000"/>
        </w:rPr>
        <w:t>rapamycin</w:t>
      </w:r>
      <w:proofErr w:type="spellEnd"/>
      <w:r>
        <w:rPr>
          <w:rFonts w:ascii="Book Antiqua" w:eastAsia="Book Antiqua" w:hAnsi="Book Antiqua" w:cs="Book Antiqua"/>
          <w:color w:val="000000"/>
        </w:rPr>
        <w:t>/glycogen synthase kinase 3β, and HIF1-SNAIL signaling pathway</w:t>
      </w:r>
      <w:r>
        <w:rPr>
          <w:rFonts w:ascii="Book Antiqua" w:eastAsia="Book Antiqua" w:hAnsi="Book Antiqua" w:cs="Book Antiqua"/>
          <w:color w:val="000000"/>
          <w:vertAlign w:val="superscript"/>
        </w:rPr>
        <w:t>[11,14,18]</w:t>
      </w:r>
      <w:r>
        <w:rPr>
          <w:rFonts w:ascii="Book Antiqua" w:eastAsia="Book Antiqua" w:hAnsi="Book Antiqua" w:cs="Book Antiqua"/>
          <w:color w:val="000000"/>
        </w:rPr>
        <w:t>. In this study, T</w:t>
      </w:r>
      <w:r>
        <w:rPr>
          <w:rFonts w:ascii="Book Antiqua" w:eastAsia="Book Antiqua" w:hAnsi="Book Antiqua" w:cs="Book Antiqua"/>
          <w:color w:val="000000"/>
          <w:shd w:val="clear" w:color="auto" w:fill="FFFFFF"/>
        </w:rPr>
        <w:t>UFT1 level was shown to be positively correlated with tumor size, histological grade, and lymph node metastasis rate, and e</w:t>
      </w:r>
      <w:r>
        <w:rPr>
          <w:rFonts w:ascii="Book Antiqua" w:eastAsia="Book Antiqua" w:hAnsi="Book Antiqua" w:cs="Book Antiqua"/>
          <w:color w:val="000000"/>
        </w:rPr>
        <w:t xml:space="preserve">levated TUFT1 levels were related to unfavorable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characteristics and poor survival. </w:t>
      </w:r>
      <w:r>
        <w:rPr>
          <w:rFonts w:ascii="Book Antiqua" w:eastAsia="Book Antiqua" w:hAnsi="Book Antiqua" w:cs="Book Antiqua"/>
          <w:color w:val="000000"/>
          <w:shd w:val="clear" w:color="auto" w:fill="FFFFFF"/>
        </w:rPr>
        <w:t xml:space="preserve">Furthermore, the </w:t>
      </w:r>
      <w:proofErr w:type="spellStart"/>
      <w:r>
        <w:rPr>
          <w:rFonts w:ascii="Book Antiqua" w:eastAsia="Book Antiqua" w:hAnsi="Book Antiqua" w:cs="Book Antiqua"/>
          <w:color w:val="000000"/>
          <w:shd w:val="clear" w:color="auto" w:fill="FFFFFF"/>
        </w:rPr>
        <w:t>univariate</w:t>
      </w:r>
      <w:proofErr w:type="spellEnd"/>
      <w:r>
        <w:rPr>
          <w:rFonts w:ascii="Book Antiqua" w:eastAsia="Book Antiqua" w:hAnsi="Book Antiqua" w:cs="Book Antiqua"/>
          <w:color w:val="000000"/>
          <w:shd w:val="clear" w:color="auto" w:fill="FFFFFF"/>
        </w:rPr>
        <w:t xml:space="preserve"> and multivariate analysis of clinical data indicated that </w:t>
      </w:r>
      <w:r>
        <w:rPr>
          <w:rFonts w:ascii="Book Antiqua" w:eastAsia="Book Antiqua" w:hAnsi="Book Antiqua" w:cs="Book Antiqua"/>
          <w:color w:val="000000"/>
        </w:rPr>
        <w:t xml:space="preserve">TUFT1 could </w:t>
      </w:r>
      <w:r>
        <w:rPr>
          <w:rFonts w:ascii="Book Antiqua" w:eastAsia="Book Antiqua" w:hAnsi="Book Antiqua" w:cs="Book Antiqua"/>
          <w:color w:val="000000"/>
          <w:shd w:val="clear" w:color="auto" w:fill="FFFFFF"/>
        </w:rPr>
        <w:t>be an independent prognostic marker for HCC.</w:t>
      </w:r>
    </w:p>
    <w:p w14:paraId="05E7DA44" w14:textId="77777777" w:rsidR="001154E7" w:rsidRDefault="00ED61B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The levels of inhibiting or expressing TUFT1 might alter the biological features of HCC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12,23]</w:t>
      </w:r>
      <w:r>
        <w:rPr>
          <w:rFonts w:ascii="Book Antiqua" w:eastAsia="Book Antiqua" w:hAnsi="Book Antiqua" w:cs="Book Antiqua"/>
          <w:color w:val="000000"/>
          <w:shd w:val="clear" w:color="auto" w:fill="FFFFFF"/>
        </w:rPr>
        <w:t xml:space="preserve">. In this study, </w:t>
      </w:r>
      <w:r>
        <w:rPr>
          <w:rFonts w:ascii="Book Antiqua" w:eastAsia="Book Antiqua" w:hAnsi="Book Antiqua" w:cs="Book Antiqua"/>
          <w:color w:val="000000"/>
        </w:rPr>
        <w:t xml:space="preserve">evidence from different cell line studies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suggested that the higher or lower TUFT1 level could affect the biological behaviors of HCC cells. The MHCC-97H cells with high TUFT1 expression were transfected with the specific interfering shRNA3 plasmid, and the proliferation, healing, invasion, and migration abilities of the cells were significantly inhibited less than those in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group. However, the Hep3B cells with low TUFT1 expression were transfected with the over-expressing TUFT1 plasmid, and those abilities of the cells were significant increased </w:t>
      </w:r>
      <w:r>
        <w:rPr>
          <w:rFonts w:ascii="Book Antiqua" w:eastAsia="Book Antiqua" w:hAnsi="Book Antiqua" w:cs="Book Antiqua"/>
          <w:color w:val="000000"/>
        </w:rPr>
        <w:lastRenderedPageBreak/>
        <w:t xml:space="preserve">compared to those in the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-NC group. These results have confirmed that TUFT1 could promote the growth and metastasis of HCC cells</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an anti-apoptosis mechanism, suggesting that TUFT1 might function as a potential therapeutic target for inhibiting HCC growth.</w:t>
      </w:r>
    </w:p>
    <w:p w14:paraId="2AAD1249" w14:textId="77777777" w:rsidR="001154E7" w:rsidRDefault="001154E7">
      <w:pPr>
        <w:adjustRightInd w:val="0"/>
        <w:snapToGrid w:val="0"/>
        <w:spacing w:line="360" w:lineRule="auto"/>
        <w:jc w:val="both"/>
        <w:rPr>
          <w:rFonts w:ascii="Book Antiqua" w:hAnsi="Book Antiqua"/>
        </w:rPr>
      </w:pPr>
    </w:p>
    <w:p w14:paraId="4CA33B1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2D1F6AA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conclusion, high </w:t>
      </w:r>
      <w:r>
        <w:rPr>
          <w:rFonts w:ascii="Book Antiqua" w:eastAsia="Book Antiqua" w:hAnsi="Book Antiqua" w:cs="Book Antiqua"/>
          <w:color w:val="000000"/>
          <w:shd w:val="clear" w:color="auto" w:fill="FFFFFF"/>
        </w:rPr>
        <w:t>TUFT1 levels based on human specimen studies were associated with HCC progression. Further inhibiting</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TUFT1 </w:t>
      </w:r>
      <w:r>
        <w:rPr>
          <w:rFonts w:ascii="Book Antiqua" w:eastAsia="Book Antiqua" w:hAnsi="Book Antiqua" w:cs="Book Antiqua"/>
          <w:i/>
          <w:iCs/>
          <w:color w:val="000000"/>
          <w:shd w:val="clear" w:color="auto" w:fill="FFFFFF"/>
        </w:rPr>
        <w:t xml:space="preserve">in vitro </w:t>
      </w:r>
      <w:r>
        <w:rPr>
          <w:rFonts w:ascii="Book Antiqua" w:eastAsia="Book Antiqua" w:hAnsi="Book Antiqua" w:cs="Book Antiqua"/>
          <w:color w:val="000000"/>
          <w:shd w:val="clear" w:color="auto" w:fill="FFFFFF"/>
        </w:rPr>
        <w:t>could significantly alleviate the proliferation and metastasis of HCC cells. Moreover, TUFT1 over-expression could promote the proliferation and metastasis of HCC cells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Furthermore, TUFT1 inhibition led to significant changes of cell apoptosis rate. More</w:t>
      </w:r>
      <w:r>
        <w:rPr>
          <w:rFonts w:ascii="Book Antiqua" w:eastAsia="Book Antiqua" w:hAnsi="Book Antiqua" w:cs="Book Antiqua"/>
          <w:color w:val="000000"/>
        </w:rPr>
        <w:t xml:space="preserve"> studies in future are needed to clarify the molecular mechanisms underlying the TUFT1 up-regulation contribution to the progression of HCC. However, high expression of TUFT1 could </w:t>
      </w:r>
      <w:r>
        <w:rPr>
          <w:rFonts w:ascii="Book Antiqua" w:eastAsia="Book Antiqua" w:hAnsi="Book Antiqua" w:cs="Book Antiqua"/>
          <w:color w:val="000000"/>
          <w:shd w:val="clear" w:color="auto" w:fill="FFFFFF"/>
        </w:rPr>
        <w:t>be considered as a novel effective molecular target for inhibiting HCC growth.</w:t>
      </w:r>
    </w:p>
    <w:p w14:paraId="294C4FF5" w14:textId="77777777" w:rsidR="001154E7" w:rsidRDefault="001154E7">
      <w:pPr>
        <w:adjustRightInd w:val="0"/>
        <w:snapToGrid w:val="0"/>
        <w:spacing w:line="360" w:lineRule="auto"/>
        <w:jc w:val="both"/>
        <w:rPr>
          <w:rFonts w:ascii="Book Antiqua" w:hAnsi="Book Antiqua"/>
        </w:rPr>
      </w:pPr>
    </w:p>
    <w:p w14:paraId="6FA42D1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861AE7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266E8ADC" w14:textId="77777777" w:rsidR="001154E7" w:rsidRDefault="00ED61B9">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w:t>
      </w:r>
      <w:r>
        <w:rPr>
          <w:rFonts w:ascii="Book Antiqua" w:eastAsia="Book Antiqua" w:hAnsi="Book Antiqua" w:cs="Book Antiqua"/>
          <w:color w:val="000000"/>
          <w:shd w:val="clear" w:color="auto" w:fill="FFFFFF"/>
        </w:rPr>
        <w:t xml:space="preserve"> has been reported to be elevated in multiple cancer types, and its </w:t>
      </w:r>
      <w:r>
        <w:rPr>
          <w:rFonts w:ascii="Book Antiqua" w:eastAsia="Book Antiqua" w:hAnsi="Book Antiqua" w:cs="Book Antiqua"/>
          <w:color w:val="000000"/>
        </w:rPr>
        <w:t>abnormal expression has attracted medical attention as a novel oncogenic biomarker. However, the relationship between TUFT1 and hepatocellular carcinoma (HCC) remains to be identified. In this study, the levels of</w:t>
      </w:r>
      <w:r>
        <w:rPr>
          <w:rFonts w:ascii="Book Antiqua" w:eastAsia="Book Antiqua" w:hAnsi="Book Antiqua" w:cs="Book Antiqua"/>
          <w:i/>
          <w:iCs/>
          <w:color w:val="000000"/>
        </w:rPr>
        <w:t xml:space="preserve"> </w:t>
      </w:r>
      <w:r>
        <w:rPr>
          <w:rFonts w:ascii="Book Antiqua" w:eastAsia="Book Antiqua" w:hAnsi="Book Antiqua" w:cs="Book Antiqua"/>
          <w:color w:val="000000"/>
        </w:rPr>
        <w:t>TUFT1 in HCC tissues were investigated and the roles of TUFT1 expression were explored</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by intervening in </w:t>
      </w:r>
      <w:r>
        <w:rPr>
          <w:rFonts w:ascii="Book Antiqua" w:eastAsia="Book Antiqua" w:hAnsi="Book Antiqua" w:cs="Book Antiqua"/>
          <w:i/>
          <w:iCs/>
          <w:color w:val="000000"/>
        </w:rPr>
        <w:t>TUFT1</w:t>
      </w:r>
      <w:r>
        <w:rPr>
          <w:rFonts w:ascii="Book Antiqua" w:eastAsia="Book Antiqua" w:hAnsi="Book Antiqua" w:cs="Book Antiqua"/>
          <w:color w:val="000000"/>
        </w:rPr>
        <w:t xml:space="preserve"> activation of HCC cell lines.</w:t>
      </w:r>
    </w:p>
    <w:p w14:paraId="79D1D0EB" w14:textId="77777777" w:rsidR="001154E7" w:rsidRDefault="001154E7">
      <w:pPr>
        <w:adjustRightInd w:val="0"/>
        <w:snapToGrid w:val="0"/>
        <w:spacing w:line="360" w:lineRule="auto"/>
        <w:jc w:val="both"/>
        <w:rPr>
          <w:rFonts w:ascii="Book Antiqua" w:hAnsi="Book Antiqua"/>
        </w:rPr>
      </w:pPr>
    </w:p>
    <w:p w14:paraId="0148ADA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5C3A90E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TUFT1 was first identified and sequenced from a bovine </w:t>
      </w:r>
      <w:proofErr w:type="spellStart"/>
      <w:r>
        <w:rPr>
          <w:rFonts w:ascii="Book Antiqua" w:eastAsia="Book Antiqua" w:hAnsi="Book Antiqua" w:cs="Book Antiqua"/>
          <w:color w:val="000000"/>
        </w:rPr>
        <w:t>ameloblast</w:t>
      </w:r>
      <w:proofErr w:type="spellEnd"/>
      <w:r>
        <w:rPr>
          <w:rFonts w:ascii="Book Antiqua" w:eastAsia="Book Antiqua" w:hAnsi="Book Antiqua" w:cs="Book Antiqua"/>
          <w:color w:val="000000"/>
        </w:rPr>
        <w:t xml:space="preserve">-enriched complementary DNA library with a highly conserved gene localized in chromosome 1q21-31 that contained 13 exons, encoding an acidic, phosphorylated glycoprotein of 390 amino acids, and it plays a critical role in the development and mineralization of </w:t>
      </w:r>
      <w:r>
        <w:rPr>
          <w:rFonts w:ascii="Book Antiqua" w:eastAsia="Book Antiqua" w:hAnsi="Book Antiqua" w:cs="Book Antiqua"/>
          <w:color w:val="000000"/>
        </w:rPr>
        <w:lastRenderedPageBreak/>
        <w:t>enamel. Recently, TUFT1</w:t>
      </w:r>
      <w:r>
        <w:rPr>
          <w:rFonts w:ascii="Book Antiqua" w:eastAsia="Book Antiqua" w:hAnsi="Book Antiqua" w:cs="Book Antiqua"/>
          <w:color w:val="000000"/>
          <w:shd w:val="clear" w:color="auto" w:fill="FFFFFF"/>
        </w:rPr>
        <w:t xml:space="preserve"> has been reported to be elevated in multiple cancers, and </w:t>
      </w:r>
      <w:r>
        <w:rPr>
          <w:rFonts w:ascii="Book Antiqua" w:eastAsia="Book Antiqua" w:hAnsi="Book Antiqua" w:cs="Book Antiqua"/>
          <w:color w:val="000000"/>
        </w:rPr>
        <w:t>abnormal TUFT1 has attracted medical attention for HCC.</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However, limited data is available on the relationship between TUFT1 and HCC, and </w:t>
      </w:r>
      <w:r>
        <w:rPr>
          <w:rFonts w:ascii="Book Antiqua" w:eastAsia="Book Antiqua" w:hAnsi="Book Antiqua" w:cs="Book Antiqua"/>
          <w:color w:val="000000"/>
          <w:shd w:val="clear" w:color="auto" w:fill="FFFFFF"/>
        </w:rPr>
        <w:t xml:space="preserve">the exact biological mechanism of </w:t>
      </w:r>
      <w:r>
        <w:rPr>
          <w:rFonts w:ascii="Book Antiqua" w:eastAsia="Book Antiqua" w:hAnsi="Book Antiqua" w:cs="Book Antiqua"/>
          <w:color w:val="000000"/>
        </w:rPr>
        <w:t>TUFT1</w:t>
      </w:r>
      <w:r>
        <w:rPr>
          <w:rFonts w:ascii="Book Antiqua" w:eastAsia="Book Antiqua" w:hAnsi="Book Antiqua" w:cs="Book Antiqua"/>
          <w:color w:val="000000"/>
          <w:shd w:val="clear" w:color="auto" w:fill="FFFFFF"/>
        </w:rPr>
        <w:t xml:space="preserve"> is still poorly understood in HCC.</w:t>
      </w:r>
    </w:p>
    <w:p w14:paraId="4DD587FE" w14:textId="77777777" w:rsidR="001154E7" w:rsidRDefault="001154E7">
      <w:pPr>
        <w:adjustRightInd w:val="0"/>
        <w:snapToGrid w:val="0"/>
        <w:spacing w:line="360" w:lineRule="auto"/>
        <w:jc w:val="both"/>
        <w:rPr>
          <w:rFonts w:ascii="Book Antiqua" w:hAnsi="Book Antiqua"/>
        </w:rPr>
      </w:pPr>
    </w:p>
    <w:p w14:paraId="13CF08A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088C697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The pathogenesis and feasible therapeutic treatments of HCC need urgent investigation. Abnormal TUFT1</w:t>
      </w:r>
      <w:r>
        <w:rPr>
          <w:rFonts w:ascii="Book Antiqua" w:eastAsia="Book Antiqua" w:hAnsi="Book Antiqua" w:cs="Book Antiqua"/>
          <w:color w:val="000000"/>
          <w:shd w:val="clear" w:color="auto" w:fill="FFFFFF"/>
        </w:rPr>
        <w:t xml:space="preserve"> has been reported in multiple cancers, and it exhibits oncogenic roles in tumor progression. </w:t>
      </w:r>
      <w:r>
        <w:rPr>
          <w:rFonts w:ascii="Book Antiqua" w:eastAsia="Book Antiqua" w:hAnsi="Book Antiqua" w:cs="Book Antiqua"/>
          <w:color w:val="000000"/>
        </w:rPr>
        <w:t xml:space="preserve">In this study, the landscape of TUFT1 expression in human HCC tissues was investigated, and its mechanism was confirmed through intervening or over-expressing TUFT1 activation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0DB65F1C" w14:textId="77777777" w:rsidR="001154E7" w:rsidRDefault="001154E7">
      <w:pPr>
        <w:adjustRightInd w:val="0"/>
        <w:snapToGrid w:val="0"/>
        <w:spacing w:line="360" w:lineRule="auto"/>
        <w:jc w:val="both"/>
        <w:rPr>
          <w:rFonts w:ascii="Book Antiqua" w:hAnsi="Book Antiqua"/>
        </w:rPr>
      </w:pPr>
    </w:p>
    <w:p w14:paraId="286B721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3D04A9A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TUFT1 on databases of the Cancer Genome Atlas and </w:t>
      </w:r>
      <w:proofErr w:type="spellStart"/>
      <w:r>
        <w:rPr>
          <w:rFonts w:ascii="Book Antiqua" w:eastAsia="Book Antiqua" w:hAnsi="Book Antiqua" w:cs="Book Antiqua"/>
          <w:color w:val="000000"/>
        </w:rPr>
        <w:t>Oncomine</w:t>
      </w:r>
      <w:proofErr w:type="spellEnd"/>
      <w:r>
        <w:rPr>
          <w:rFonts w:ascii="Book Antiqua" w:eastAsia="Book Antiqua" w:hAnsi="Book Antiqua" w:cs="Book Antiqua"/>
          <w:color w:val="000000"/>
        </w:rPr>
        <w:t xml:space="preserve"> or in HCC tissues were analyzed for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overall survival, and disease-free survival. High and low expressing HCC cell lines were screened among different HCC cell lines and transfected with constructed vectors that interfere or over-express </w:t>
      </w:r>
      <w:r>
        <w:rPr>
          <w:rFonts w:ascii="Book Antiqua" w:eastAsia="Book Antiqua" w:hAnsi="Book Antiqua" w:cs="Book Antiqua"/>
          <w:i/>
          <w:iCs/>
          <w:color w:val="000000"/>
        </w:rPr>
        <w:t>TUFT1</w:t>
      </w:r>
      <w:r>
        <w:rPr>
          <w:rFonts w:ascii="Book Antiqua" w:eastAsia="Book Antiqua" w:hAnsi="Book Antiqua" w:cs="Book Antiqua"/>
          <w:color w:val="000000"/>
        </w:rPr>
        <w:t xml:space="preserve"> to analyze biological behaviors. Proliferation, invasion, migration, and apoptosis of cells were detected by CCK-8, scratch assay,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tests, and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respectively, and confirmed by Western blotting. </w:t>
      </w:r>
    </w:p>
    <w:p w14:paraId="76EE636E" w14:textId="77777777" w:rsidR="001154E7" w:rsidRDefault="001154E7">
      <w:pPr>
        <w:adjustRightInd w:val="0"/>
        <w:snapToGrid w:val="0"/>
        <w:spacing w:line="360" w:lineRule="auto"/>
        <w:jc w:val="both"/>
        <w:rPr>
          <w:rFonts w:ascii="Book Antiqua" w:hAnsi="Book Antiqua"/>
        </w:rPr>
      </w:pPr>
    </w:p>
    <w:p w14:paraId="3269706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120988D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research results confirmed that </w:t>
      </w:r>
      <w:r>
        <w:rPr>
          <w:rFonts w:ascii="Book Antiqua" w:eastAsia="Book Antiqua" w:hAnsi="Book Antiqua" w:cs="Book Antiqua"/>
          <w:color w:val="000000"/>
        </w:rPr>
        <w:t xml:space="preserve">TUFT1 was over-expressed in HCC tissues, and its expression was significantly related to tumor size, vascular invasion, </w:t>
      </w:r>
      <w:proofErr w:type="gramStart"/>
      <w:r>
        <w:rPr>
          <w:rFonts w:ascii="Book Antiqua" w:eastAsia="Book Antiqua" w:hAnsi="Book Antiqua" w:cs="Book Antiqua"/>
          <w:color w:val="000000"/>
        </w:rPr>
        <w:t>positive</w:t>
      </w:r>
      <w:proofErr w:type="gramEnd"/>
      <w:r>
        <w:rPr>
          <w:rFonts w:ascii="Book Antiqua" w:eastAsia="Book Antiqua" w:hAnsi="Book Antiqua" w:cs="Book Antiqua"/>
          <w:color w:val="000000"/>
        </w:rPr>
        <w:t xml:space="preserve"> hepatitis B e-antigen, advanced tumor-node-metastasis staging, ascites, shorter overall survival, and disease-free survival of HCC patients. Novel </w:t>
      </w:r>
      <w:r>
        <w:rPr>
          <w:rFonts w:ascii="Book Antiqua" w:eastAsia="Book Antiqua" w:hAnsi="Book Antiqua" w:cs="Book Antiqua"/>
          <w:color w:val="000000"/>
          <w:shd w:val="clear" w:color="auto" w:fill="FFFFFF"/>
        </w:rPr>
        <w:t>findings</w:t>
      </w:r>
      <w:r>
        <w:rPr>
          <w:rFonts w:ascii="Book Antiqua" w:eastAsia="Book Antiqua" w:hAnsi="Book Antiqua" w:cs="Book Antiqua"/>
          <w:color w:val="000000"/>
        </w:rPr>
        <w:t xml:space="preserve"> were that interfering with </w:t>
      </w:r>
      <w:r>
        <w:rPr>
          <w:rFonts w:ascii="Book Antiqua" w:eastAsia="Book Antiqua" w:hAnsi="Book Antiqua" w:cs="Book Antiqua"/>
          <w:i/>
          <w:iCs/>
          <w:color w:val="000000"/>
        </w:rPr>
        <w:t>TUFT1</w:t>
      </w:r>
      <w:r>
        <w:rPr>
          <w:rFonts w:ascii="Book Antiqua" w:eastAsia="Book Antiqua" w:hAnsi="Book Antiqua" w:cs="Book Antiqua"/>
          <w:color w:val="000000"/>
        </w:rPr>
        <w:t xml:space="preserve"> gene transcription could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markedly suppress the proliferation and metastasis of the higher TUFT1 MHCC-97H cell lines through an apoptosis mechanism. Moreover, </w:t>
      </w:r>
      <w:r>
        <w:rPr>
          <w:rFonts w:ascii="Book Antiqua" w:eastAsia="Book Antiqua" w:hAnsi="Book Antiqua" w:cs="Book Antiqua"/>
          <w:color w:val="000000"/>
        </w:rPr>
        <w:lastRenderedPageBreak/>
        <w:t>over-expressing TUFT1 promoted the growth and metastasis of the lower TUFT1 Hep3B cell lines</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w:t>
      </w:r>
    </w:p>
    <w:p w14:paraId="12D46CA4" w14:textId="77777777" w:rsidR="001154E7" w:rsidRDefault="001154E7">
      <w:pPr>
        <w:adjustRightInd w:val="0"/>
        <w:snapToGrid w:val="0"/>
        <w:spacing w:line="360" w:lineRule="auto"/>
        <w:jc w:val="both"/>
        <w:rPr>
          <w:rFonts w:ascii="Book Antiqua" w:hAnsi="Book Antiqua"/>
        </w:rPr>
      </w:pPr>
    </w:p>
    <w:p w14:paraId="7A5887B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315AB9B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Based on human specimen studies, </w:t>
      </w:r>
      <w:r>
        <w:rPr>
          <w:rFonts w:ascii="Book Antiqua" w:eastAsia="Book Antiqua" w:hAnsi="Book Antiqua" w:cs="Book Antiqua"/>
          <w:color w:val="000000"/>
        </w:rPr>
        <w:t xml:space="preserve">high </w:t>
      </w:r>
      <w:r>
        <w:rPr>
          <w:rFonts w:ascii="Book Antiqua" w:eastAsia="Book Antiqua" w:hAnsi="Book Antiqua" w:cs="Book Antiqua"/>
          <w:color w:val="000000"/>
          <w:shd w:val="clear" w:color="auto" w:fill="FFFFFF"/>
        </w:rPr>
        <w:t xml:space="preserve">TUFT1 levels were associated with HCC progression, inhibiting TUFT1 affected proliferation and metastasis, over-expressing TUFT1 promoted proliferation and metastasis, and interfering activation of TUFT1 led to significant increase in cell apoptosis. </w:t>
      </w:r>
      <w:r>
        <w:rPr>
          <w:rFonts w:ascii="Book Antiqua" w:eastAsia="Book Antiqua" w:hAnsi="Book Antiqua" w:cs="Book Antiqua"/>
          <w:color w:val="000000"/>
        </w:rPr>
        <w:t xml:space="preserve">TUFT1 could </w:t>
      </w:r>
      <w:r>
        <w:rPr>
          <w:rFonts w:ascii="Book Antiqua" w:eastAsia="Book Antiqua" w:hAnsi="Book Antiqua" w:cs="Book Antiqua"/>
          <w:color w:val="000000"/>
          <w:shd w:val="clear" w:color="auto" w:fill="FFFFFF"/>
        </w:rPr>
        <w:t>be a novel useful target for HCC effective therapy.</w:t>
      </w:r>
      <w:r>
        <w:rPr>
          <w:rFonts w:ascii="Book Antiqua" w:eastAsia="Book Antiqua" w:hAnsi="Book Antiqua" w:cs="Book Antiqua"/>
          <w:color w:val="000000"/>
        </w:rPr>
        <w:t xml:space="preserve"> </w:t>
      </w:r>
    </w:p>
    <w:p w14:paraId="00946E17" w14:textId="77777777" w:rsidR="001154E7" w:rsidRDefault="001154E7">
      <w:pPr>
        <w:adjustRightInd w:val="0"/>
        <w:snapToGrid w:val="0"/>
        <w:spacing w:line="360" w:lineRule="auto"/>
        <w:jc w:val="both"/>
        <w:rPr>
          <w:rFonts w:ascii="Book Antiqua" w:hAnsi="Book Antiqua"/>
        </w:rPr>
      </w:pPr>
    </w:p>
    <w:p w14:paraId="5950277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7306180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Basic and clinical studies have confirmed that the a</w:t>
      </w:r>
      <w:r>
        <w:rPr>
          <w:rFonts w:ascii="Book Antiqua" w:eastAsia="Book Antiqua" w:hAnsi="Book Antiqua" w:cs="Book Antiqua"/>
          <w:color w:val="000000"/>
          <w:shd w:val="clear" w:color="auto" w:fill="FFFFFF"/>
        </w:rPr>
        <w:t xml:space="preserve">lterations of oncogenic TUFT1 expression might promote HCC growth and metastasis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an anti-apoptotic mechanism, and abnormal </w:t>
      </w:r>
      <w:r>
        <w:rPr>
          <w:rFonts w:ascii="Book Antiqua" w:eastAsia="Book Antiqua" w:hAnsi="Book Antiqua" w:cs="Book Antiqua"/>
          <w:color w:val="000000"/>
        </w:rPr>
        <w:t>TUFT1 level could be</w:t>
      </w:r>
      <w:r>
        <w:rPr>
          <w:rFonts w:ascii="Book Antiqua" w:eastAsia="Book Antiqua" w:hAnsi="Book Antiqua" w:cs="Book Antiqua"/>
          <w:color w:val="000000"/>
          <w:shd w:val="clear" w:color="auto" w:fill="FFFFFF"/>
        </w:rPr>
        <w:t xml:space="preserve"> a new prognostic marker or</w:t>
      </w:r>
      <w:r>
        <w:rPr>
          <w:rFonts w:ascii="Book Antiqua" w:eastAsia="Book Antiqua" w:hAnsi="Book Antiqua" w:cs="Book Antiqua"/>
          <w:color w:val="000000"/>
        </w:rPr>
        <w:t xml:space="preserve"> potential molecular target for HCC therapy. </w:t>
      </w:r>
      <w:r>
        <w:rPr>
          <w:rFonts w:ascii="Book Antiqua" w:eastAsia="Book Antiqua" w:hAnsi="Book Antiqua" w:cs="Book Antiqua"/>
          <w:color w:val="000000"/>
          <w:shd w:val="clear" w:color="auto" w:fill="FFFFFF"/>
        </w:rPr>
        <w:t>More</w:t>
      </w:r>
      <w:r>
        <w:rPr>
          <w:rFonts w:ascii="Book Antiqua" w:eastAsia="Book Antiqua" w:hAnsi="Book Antiqua" w:cs="Book Antiqua"/>
          <w:color w:val="000000"/>
        </w:rPr>
        <w:t xml:space="preserve"> studies in the future are needed to clarify the molecular mechanisms underlying TUFT1 up-regulation contribution to the progression of HCC. </w:t>
      </w:r>
    </w:p>
    <w:p w14:paraId="4BD3D0A1" w14:textId="77777777" w:rsidR="001154E7" w:rsidRDefault="001154E7">
      <w:pPr>
        <w:adjustRightInd w:val="0"/>
        <w:snapToGrid w:val="0"/>
        <w:spacing w:line="360" w:lineRule="auto"/>
        <w:jc w:val="both"/>
        <w:rPr>
          <w:rFonts w:ascii="Book Antiqua" w:hAnsi="Book Antiqua"/>
        </w:rPr>
      </w:pPr>
    </w:p>
    <w:p w14:paraId="17F78A7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0E8849E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All authors thank Professor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-Zhen Dong of Nantong University for comments on earlier drafts of the manuscript.</w:t>
      </w:r>
    </w:p>
    <w:p w14:paraId="1D89009C" w14:textId="77777777" w:rsidR="001154E7" w:rsidRDefault="001154E7">
      <w:pPr>
        <w:adjustRightInd w:val="0"/>
        <w:snapToGrid w:val="0"/>
        <w:spacing w:line="360" w:lineRule="auto"/>
        <w:jc w:val="both"/>
        <w:rPr>
          <w:rFonts w:ascii="Book Antiqua" w:hAnsi="Book Antiqua"/>
        </w:rPr>
      </w:pPr>
    </w:p>
    <w:p w14:paraId="2BE92FA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2BD5B80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Singal</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Lampertico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Nahon</w:t>
      </w:r>
      <w:proofErr w:type="spellEnd"/>
      <w:r>
        <w:rPr>
          <w:rFonts w:ascii="Book Antiqua" w:eastAsia="Book Antiqua" w:hAnsi="Book Antiqua" w:cs="Book Antiqua"/>
          <w:color w:val="000000"/>
        </w:rPr>
        <w:t xml:space="preserve"> P. Epidemiology and surveillance for hepatocellular carcinoma: New trends.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250-261 [PMID: 31954490 DOI: 10.1016/j.jhep.2019.08.025]</w:t>
      </w:r>
    </w:p>
    <w:p w14:paraId="41013A9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Chen JG</w:t>
      </w:r>
      <w:r>
        <w:rPr>
          <w:rFonts w:ascii="Book Antiqua" w:eastAsia="Book Antiqua" w:hAnsi="Book Antiqua" w:cs="Book Antiqua"/>
          <w:color w:val="000000"/>
        </w:rPr>
        <w:t xml:space="preserve">, Zhu J, Zhang YH, Zhang YX, Yao DF, Chen YS, Lu JH, Ding LL, Chen HZ, Zhu CY, Yang LP, Zhu YR,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FL. Cancer survival in </w:t>
      </w:r>
      <w:proofErr w:type="spellStart"/>
      <w:r>
        <w:rPr>
          <w:rFonts w:ascii="Book Antiqua" w:eastAsia="Book Antiqua" w:hAnsi="Book Antiqua" w:cs="Book Antiqua"/>
          <w:color w:val="000000"/>
        </w:rPr>
        <w:t>Qidong</w:t>
      </w:r>
      <w:proofErr w:type="spellEnd"/>
      <w:r>
        <w:rPr>
          <w:rFonts w:ascii="Book Antiqua" w:eastAsia="Book Antiqua" w:hAnsi="Book Antiqua" w:cs="Book Antiqua"/>
          <w:color w:val="000000"/>
        </w:rPr>
        <w:t xml:space="preserve"> between 1972 and 2011: A population-based analysis.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944-954 [PMID: 28588795 DOI: 10.3892/mco.2017.1234]</w:t>
      </w:r>
    </w:p>
    <w:p w14:paraId="67314AC1" w14:textId="77777777" w:rsidR="001154E7" w:rsidRDefault="00ED61B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Petruzziello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Epidemiology of Hepatitis B Virus (HBV) and Hepatitis C Virus (HCV)</w:t>
      </w:r>
      <w:proofErr w:type="gramEnd"/>
      <w:r>
        <w:rPr>
          <w:rFonts w:ascii="Book Antiqua" w:eastAsia="Book Antiqua" w:hAnsi="Book Antiqua" w:cs="Book Antiqua"/>
          <w:color w:val="000000"/>
        </w:rPr>
        <w:t xml:space="preserve"> Related Hepatocellular Carcinoma. </w:t>
      </w:r>
      <w:r>
        <w:rPr>
          <w:rFonts w:ascii="Book Antiqua" w:eastAsia="Book Antiqua" w:hAnsi="Book Antiqua" w:cs="Book Antiqua"/>
          <w:i/>
          <w:iCs/>
          <w:color w:val="000000"/>
        </w:rPr>
        <w:t xml:space="preserve">Open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26-32 [PMID: 29541276 DOI: 10.2174/1874357901812010026]</w:t>
      </w:r>
    </w:p>
    <w:p w14:paraId="690DCC2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Younossi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Arrese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Chander</w:t>
      </w:r>
      <w:proofErr w:type="spellEnd"/>
      <w:r>
        <w:rPr>
          <w:rFonts w:ascii="Book Antiqua" w:eastAsia="Book Antiqua" w:hAnsi="Book Antiqua" w:cs="Book Antiqua"/>
          <w:color w:val="000000"/>
        </w:rPr>
        <w:t xml:space="preserve"> Sharma B, </w:t>
      </w:r>
      <w:proofErr w:type="spellStart"/>
      <w:r>
        <w:rPr>
          <w:rFonts w:ascii="Book Antiqua" w:eastAsia="Book Antiqua" w:hAnsi="Book Antiqua" w:cs="Book Antiqua"/>
          <w:color w:val="000000"/>
        </w:rPr>
        <w:t>Mostafa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Wai</w:t>
      </w:r>
      <w:proofErr w:type="spellEnd"/>
      <w:r>
        <w:rPr>
          <w:rFonts w:ascii="Book Antiqua" w:eastAsia="Book Antiqua" w:hAnsi="Book Antiqua" w:cs="Book Antiqua"/>
          <w:color w:val="000000"/>
        </w:rPr>
        <w:t xml:space="preserve">-Sun Wong V, </w:t>
      </w:r>
      <w:proofErr w:type="spellStart"/>
      <w:r>
        <w:rPr>
          <w:rFonts w:ascii="Book Antiqua" w:eastAsia="Book Antiqua" w:hAnsi="Book Antiqua" w:cs="Book Antiqua"/>
          <w:color w:val="000000"/>
        </w:rPr>
        <w:t>Yilmaz</w:t>
      </w:r>
      <w:proofErr w:type="spellEnd"/>
      <w:r>
        <w:rPr>
          <w:rFonts w:ascii="Book Antiqua" w:eastAsia="Book Antiqua" w:hAnsi="Book Antiqua" w:cs="Book Antiqua"/>
          <w:color w:val="000000"/>
        </w:rPr>
        <w:t xml:space="preserve"> Y, George J, Fan J,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MB. </w:t>
      </w:r>
      <w:proofErr w:type="gramStart"/>
      <w:r>
        <w:rPr>
          <w:rFonts w:ascii="Book Antiqua" w:eastAsia="Book Antiqua" w:hAnsi="Book Antiqua" w:cs="Book Antiqua"/>
          <w:color w:val="000000"/>
        </w:rPr>
        <w:t xml:space="preserve">Global Perspectives on Nonalcoholic Fatty Liver Disease and Nonalcoholic </w:t>
      </w:r>
      <w:proofErr w:type="spellStart"/>
      <w:r>
        <w:rPr>
          <w:rFonts w:ascii="Book Antiqua" w:eastAsia="Book Antiqua" w:hAnsi="Book Antiqua" w:cs="Book Antiqua"/>
          <w:color w:val="000000"/>
        </w:rPr>
        <w:t>Steatohepatitis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2672-2682 [PMID: 30179269 DOI: 10.1002/hep.30251]</w:t>
      </w:r>
    </w:p>
    <w:p w14:paraId="515D6ED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Chen S</w:t>
      </w:r>
      <w:r>
        <w:rPr>
          <w:rFonts w:ascii="Book Antiqua" w:eastAsia="Book Antiqua" w:hAnsi="Book Antiqua" w:cs="Book Antiqua"/>
          <w:color w:val="000000"/>
        </w:rPr>
        <w:t xml:space="preserve">, Cao Q, Wen W, Wang H. Targeted therapy for hepatocellular carcinoma: Challenges and opportunities.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460</w:t>
      </w:r>
      <w:r>
        <w:rPr>
          <w:rFonts w:ascii="Book Antiqua" w:eastAsia="Book Antiqua" w:hAnsi="Book Antiqua" w:cs="Book Antiqua"/>
          <w:color w:val="000000"/>
        </w:rPr>
        <w:t>: 1-9 [PMID: 31207320 DOI: 10.1016/j.canlet.2019.114428]</w:t>
      </w:r>
    </w:p>
    <w:p w14:paraId="087258A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Tang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Hallouch</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Chernyak</w:t>
      </w:r>
      <w:proofErr w:type="spellEnd"/>
      <w:r>
        <w:rPr>
          <w:rFonts w:ascii="Book Antiqua" w:eastAsia="Book Antiqua" w:hAnsi="Book Antiqua" w:cs="Book Antiqua"/>
          <w:color w:val="000000"/>
        </w:rPr>
        <w:t xml:space="preserve"> V, Kamaya A,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Epidemiology of hepatocellular carcinoma: target population for surveillance and diagnosis.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13-25 [PMID: 28647765 DOI: 10.1007/s00261-017-1209-1]</w:t>
      </w:r>
    </w:p>
    <w:p w14:paraId="25BF754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Chung W</w:t>
      </w:r>
      <w:r>
        <w:rPr>
          <w:rFonts w:ascii="Book Antiqua" w:eastAsia="Book Antiqua" w:hAnsi="Book Antiqua" w:cs="Book Antiqua"/>
          <w:color w:val="000000"/>
        </w:rPr>
        <w:t xml:space="preserve">, Kim M, de la Monte S, </w:t>
      </w:r>
      <w:proofErr w:type="spellStart"/>
      <w:r>
        <w:rPr>
          <w:rFonts w:ascii="Book Antiqua" w:eastAsia="Book Antiqua" w:hAnsi="Book Antiqua" w:cs="Book Antiqua"/>
          <w:color w:val="000000"/>
        </w:rPr>
        <w:t>Longato</w:t>
      </w:r>
      <w:proofErr w:type="spellEnd"/>
      <w:r>
        <w:rPr>
          <w:rFonts w:ascii="Book Antiqua" w:eastAsia="Book Antiqua" w:hAnsi="Book Antiqua" w:cs="Book Antiqua"/>
          <w:color w:val="000000"/>
        </w:rPr>
        <w:t xml:space="preserve"> L, Carlson R, Slagle BL, Dong X, Wands JR. Activation of signal transduction pathways during hepatic </w:t>
      </w:r>
      <w:proofErr w:type="spellStart"/>
      <w:r>
        <w:rPr>
          <w:rFonts w:ascii="Book Antiqua" w:eastAsia="Book Antiqua" w:hAnsi="Book Antiqua" w:cs="Book Antiqua"/>
          <w:color w:val="000000"/>
        </w:rPr>
        <w:t>oncogenesis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370</w:t>
      </w:r>
      <w:r>
        <w:rPr>
          <w:rFonts w:ascii="Book Antiqua" w:eastAsia="Book Antiqua" w:hAnsi="Book Antiqua" w:cs="Book Antiqua"/>
          <w:color w:val="000000"/>
        </w:rPr>
        <w:t>: 1-9 [PMID: 26433160 DOI: 10.1016/j.canlet.2015.09.016]</w:t>
      </w:r>
    </w:p>
    <w:p w14:paraId="3D03F020" w14:textId="77777777" w:rsidR="001154E7" w:rsidRDefault="00ED61B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Lin YH</w:t>
      </w:r>
      <w:r>
        <w:rPr>
          <w:rFonts w:ascii="Book Antiqua" w:eastAsia="Book Antiqua" w:hAnsi="Book Antiqua" w:cs="Book Antiqua"/>
          <w:color w:val="000000"/>
        </w:rPr>
        <w:t xml:space="preserve">, Wu MH,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CT, Lin KH.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Long Non-Coding RNAs as Mediators of Tumor Microenvironment and Liver Cancer Cell Communication.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30477236 DOI: 10.3390/ijms19123742]</w:t>
      </w:r>
    </w:p>
    <w:p w14:paraId="5B1FDDB4"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Qin Y</w:t>
      </w:r>
      <w:r>
        <w:rPr>
          <w:rFonts w:ascii="Book Antiqua" w:eastAsia="Book Antiqua" w:hAnsi="Book Antiqua" w:cs="Book Antiqua"/>
          <w:color w:val="000000"/>
        </w:rPr>
        <w:t xml:space="preserve">, Liao P. Hepatitis B virus vaccine breakthrough infection: surveillance of S gene mutants of HBV.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115-121 [PMID: 29895151 DOI: 10.4149/av_2018_210]</w:t>
      </w:r>
    </w:p>
    <w:p w14:paraId="708939A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Zhou B</w:t>
      </w:r>
      <w:r>
        <w:rPr>
          <w:rFonts w:ascii="Book Antiqua" w:eastAsia="Book Antiqua" w:hAnsi="Book Antiqua" w:cs="Book Antiqua"/>
          <w:color w:val="000000"/>
        </w:rPr>
        <w:t xml:space="preserve">, Zhan H, Tin L, Liu 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Dong Y, Li X, Wu L,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 TUFT1 regulates metastasis of pancreatic cancer through HIF1-Snail pathway induced 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transition.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382</w:t>
      </w:r>
      <w:r>
        <w:rPr>
          <w:rFonts w:ascii="Book Antiqua" w:eastAsia="Book Antiqua" w:hAnsi="Book Antiqua" w:cs="Book Antiqua"/>
          <w:color w:val="000000"/>
        </w:rPr>
        <w:t>: 11-20 [PMID: 27566398 DOI: 10.1016/j.canlet.2016.08.017]</w:t>
      </w:r>
    </w:p>
    <w:p w14:paraId="5B76824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Liu W</w:t>
      </w:r>
      <w:r>
        <w:rPr>
          <w:rFonts w:ascii="Book Antiqua" w:eastAsia="Book Antiqua" w:hAnsi="Book Antiqua" w:cs="Book Antiqua"/>
          <w:color w:val="000000"/>
        </w:rPr>
        <w:t xml:space="preserve">, Chen G, Sun L, Zhang Y, Han J, Dai Y, He J, Shi S, Chen B. TUFT1 Promotes Triple Negative Breast Cancer Metastasis, </w:t>
      </w:r>
      <w:proofErr w:type="spellStart"/>
      <w:r>
        <w:rPr>
          <w:rFonts w:ascii="Book Antiqua" w:eastAsia="Book Antiqua" w:hAnsi="Book Antiqua" w:cs="Book Antiqua"/>
          <w:color w:val="000000"/>
        </w:rPr>
        <w:t>Stemness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Chemoresistance</w:t>
      </w:r>
      <w:proofErr w:type="spellEnd"/>
      <w:r>
        <w:rPr>
          <w:rFonts w:ascii="Book Antiqua" w:eastAsia="Book Antiqua" w:hAnsi="Book Antiqua" w:cs="Book Antiqua"/>
          <w:color w:val="000000"/>
        </w:rPr>
        <w:t xml:space="preserve"> by Up-</w:t>
      </w:r>
      <w:r>
        <w:rPr>
          <w:rFonts w:ascii="Book Antiqua" w:eastAsia="Book Antiqua" w:hAnsi="Book Antiqua" w:cs="Book Antiqua"/>
          <w:color w:val="000000"/>
        </w:rPr>
        <w:lastRenderedPageBreak/>
        <w:t xml:space="preserve">Regulating the Rac1/β-Catenin Pathway.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617 [PMID: 31338333 DOI: 10.3389/fonc.2019.00617]</w:t>
      </w:r>
    </w:p>
    <w:p w14:paraId="6C70D54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Delgado S</w:t>
      </w:r>
      <w:r>
        <w:rPr>
          <w:rFonts w:ascii="Book Antiqua" w:eastAsia="Book Antiqua" w:hAnsi="Book Antiqua" w:cs="Book Antiqua"/>
          <w:color w:val="000000"/>
        </w:rPr>
        <w:t xml:space="preserve">, Deutsch D, Sire JY. Evolutionary Analysis of the Mammalian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Sequence Reveals Features of Functional Importance.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84</w:t>
      </w:r>
      <w:r>
        <w:rPr>
          <w:rFonts w:ascii="Book Antiqua" w:eastAsia="Book Antiqua" w:hAnsi="Book Antiqua" w:cs="Book Antiqua"/>
          <w:color w:val="000000"/>
        </w:rPr>
        <w:t>: 214-224 [PMID: 28409196 DOI: 10.1007/s00239-017-9789-5]</w:t>
      </w:r>
    </w:p>
    <w:p w14:paraId="3FB3E05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W</w:t>
      </w:r>
      <w:r>
        <w:rPr>
          <w:rFonts w:ascii="Book Antiqua" w:eastAsia="Book Antiqua" w:hAnsi="Book Antiqua" w:cs="Book Antiqua"/>
          <w:color w:val="000000"/>
        </w:rPr>
        <w:t xml:space="preserve">, Zhang L, Jin Z, Zhao M, Li Z, Chen G, Sun L, Chen B. TUFT1 is expressed in breast cancer and involved in cancer cell proliferation and survival.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74962-74974 [PMID: 29088838 DOI: 10.18632/oncotarget.20472]</w:t>
      </w:r>
    </w:p>
    <w:p w14:paraId="72B121E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Liu H</w:t>
      </w:r>
      <w:r>
        <w:rPr>
          <w:rFonts w:ascii="Book Antiqua" w:eastAsia="Book Antiqua" w:hAnsi="Book Antiqua" w:cs="Book Antiqua"/>
          <w:color w:val="000000"/>
        </w:rPr>
        <w:t xml:space="preserve">, Zhu J, Mao Z, Zhang G, Hu X, Chen F. Tuft1 promotes thyroid carcinoma cell invasion and proliferation and suppresses apoptosis through the </w:t>
      </w:r>
      <w:proofErr w:type="spellStart"/>
      <w:r>
        <w:rPr>
          <w:rFonts w:ascii="Book Antiqua" w:eastAsia="Book Antiqua" w:hAnsi="Book Antiqua" w:cs="Book Antiqua"/>
          <w:color w:val="000000"/>
        </w:rPr>
        <w:t>Akt-mTOR</w:t>
      </w:r>
      <w:proofErr w:type="spellEnd"/>
      <w:r>
        <w:rPr>
          <w:rFonts w:ascii="Book Antiqua" w:eastAsia="Book Antiqua" w:hAnsi="Book Antiqua" w:cs="Book Antiqua"/>
          <w:color w:val="000000"/>
        </w:rPr>
        <w:t xml:space="preserve">/GSK3β signaling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4376-4384 [PMID: 30662679]</w:t>
      </w:r>
    </w:p>
    <w:p w14:paraId="106F31CE"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Shilo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Cohen G, </w:t>
      </w:r>
      <w:proofErr w:type="spellStart"/>
      <w:r>
        <w:rPr>
          <w:rFonts w:ascii="Book Antiqua" w:eastAsia="Book Antiqua" w:hAnsi="Book Antiqua" w:cs="Book Antiqua"/>
          <w:color w:val="000000"/>
        </w:rPr>
        <w:t>Blumenfeld</w:t>
      </w:r>
      <w:proofErr w:type="spellEnd"/>
      <w:r>
        <w:rPr>
          <w:rFonts w:ascii="Book Antiqua" w:eastAsia="Book Antiqua" w:hAnsi="Book Antiqua" w:cs="Book Antiqua"/>
          <w:color w:val="000000"/>
        </w:rPr>
        <w:t xml:space="preserve"> A, Goren K, </w:t>
      </w:r>
      <w:proofErr w:type="spellStart"/>
      <w:r>
        <w:rPr>
          <w:rFonts w:ascii="Book Antiqua" w:eastAsia="Book Antiqua" w:hAnsi="Book Antiqua" w:cs="Book Antiqua"/>
          <w:color w:val="000000"/>
        </w:rPr>
        <w:t>Hanhan</w:t>
      </w:r>
      <w:proofErr w:type="spellEnd"/>
      <w:r>
        <w:rPr>
          <w:rFonts w:ascii="Book Antiqua" w:eastAsia="Book Antiqua" w:hAnsi="Book Antiqua" w:cs="Book Antiqua"/>
          <w:color w:val="000000"/>
        </w:rPr>
        <w:t xml:space="preserve"> S, Sharon S, Haze A, Deutsch D, </w:t>
      </w:r>
      <w:proofErr w:type="spellStart"/>
      <w:r>
        <w:rPr>
          <w:rFonts w:ascii="Book Antiqua" w:eastAsia="Book Antiqua" w:hAnsi="Book Antiqua" w:cs="Book Antiqua"/>
          <w:color w:val="000000"/>
        </w:rPr>
        <w:t>Lazarovici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Is Required for NGF-Induced Differentiation of PC12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135-143 [PMID: 30903486 DOI: 10.1007/s12031-019-01292-1]</w:t>
      </w:r>
    </w:p>
    <w:p w14:paraId="14D6620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Kawasaki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Isogaya</w:t>
      </w:r>
      <w:proofErr w:type="spellEnd"/>
      <w:r>
        <w:rPr>
          <w:rFonts w:ascii="Book Antiqua" w:eastAsia="Book Antiqua" w:hAnsi="Book Antiqua" w:cs="Book Antiqua"/>
          <w:color w:val="000000"/>
        </w:rPr>
        <w:t xml:space="preserve"> K, Dan S, </w:t>
      </w:r>
      <w:proofErr w:type="spellStart"/>
      <w:r>
        <w:rPr>
          <w:rFonts w:ascii="Book Antiqua" w:eastAsia="Book Antiqua" w:hAnsi="Book Antiqua" w:cs="Book Antiqua"/>
          <w:color w:val="000000"/>
        </w:rPr>
        <w:t>Yamori</w:t>
      </w:r>
      <w:proofErr w:type="spellEnd"/>
      <w:r>
        <w:rPr>
          <w:rFonts w:ascii="Book Antiqua" w:eastAsia="Book Antiqua" w:hAnsi="Book Antiqua" w:cs="Book Antiqua"/>
          <w:color w:val="000000"/>
        </w:rPr>
        <w:t xml:space="preserve"> T, Takano H, Yao R,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Y, Taguchi L, </w:t>
      </w:r>
      <w:proofErr w:type="spellStart"/>
      <w:r>
        <w:rPr>
          <w:rFonts w:ascii="Book Antiqua" w:eastAsia="Book Antiqua" w:hAnsi="Book Antiqua" w:cs="Book Antiqua"/>
          <w:color w:val="000000"/>
        </w:rPr>
        <w:t>Morikawa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Heldin</w:t>
      </w:r>
      <w:proofErr w:type="spellEnd"/>
      <w:r>
        <w:rPr>
          <w:rFonts w:ascii="Book Antiqua" w:eastAsia="Book Antiqua" w:hAnsi="Book Antiqua" w:cs="Book Antiqua"/>
          <w:color w:val="000000"/>
        </w:rPr>
        <w:t xml:space="preserve"> CH, Noda T, </w:t>
      </w:r>
      <w:proofErr w:type="spellStart"/>
      <w:r>
        <w:rPr>
          <w:rFonts w:ascii="Book Antiqua" w:eastAsia="Book Antiqua" w:hAnsi="Book Antiqua" w:cs="Book Antiqua"/>
          <w:color w:val="000000"/>
        </w:rPr>
        <w:t>Ehata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Miyazono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Koinuma</w:t>
      </w:r>
      <w:proofErr w:type="spellEnd"/>
      <w:r>
        <w:rPr>
          <w:rFonts w:ascii="Book Antiqua" w:eastAsia="Book Antiqua" w:hAnsi="Book Antiqua" w:cs="Book Antiqua"/>
          <w:color w:val="000000"/>
        </w:rPr>
        <w:t xml:space="preserve"> D. TUFT1 interacts with RABGAP1 and regulates mTORC1 signaling.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 [PMID: 29423269 DOI: 10.1038/s41421-017-0001-2]</w:t>
      </w:r>
    </w:p>
    <w:p w14:paraId="7F7ACD1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Ma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ZK,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HM, Kong Y. MiR-671-5p plays a promising role in restraining osteosarcoma cell characteristics through targeting TUFT1.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e22490 [PMID: 32115852 DOI: 10.1002/jbt.22490]</w:t>
      </w:r>
    </w:p>
    <w:p w14:paraId="251A56C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Dou C</w:t>
      </w:r>
      <w:r>
        <w:rPr>
          <w:rFonts w:ascii="Book Antiqua" w:eastAsia="Book Antiqua" w:hAnsi="Book Antiqua" w:cs="Book Antiqua"/>
          <w:color w:val="000000"/>
        </w:rPr>
        <w:t xml:space="preserve">, Zhou Z,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Q, Liu Z,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Y, Wang Y, Li Q, Wang L, Yang W, Liu Q,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K. Hypoxia-induced TUFT1 promotes the growth and metastasis of hepatocellular carcinoma by activating the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/PI3K/AKT pathway.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1239-1255 [PMID: 30250300 DOI: 10.1038/s41388-018-0505-8]</w:t>
      </w:r>
    </w:p>
    <w:p w14:paraId="7E7EDF8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Qin Y</w:t>
      </w:r>
      <w:r>
        <w:rPr>
          <w:rFonts w:ascii="Book Antiqua" w:eastAsia="Book Antiqua" w:hAnsi="Book Antiqua" w:cs="Book Antiqua"/>
          <w:color w:val="000000"/>
        </w:rPr>
        <w:t xml:space="preserve">, Liu HJ, Li M,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DH, Tang YH, Yang 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KL, Yang JH,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WL, Zhang Q, Liu YR, Yang G, Sun T, Yang C. </w:t>
      </w:r>
      <w:proofErr w:type="spellStart"/>
      <w:r>
        <w:rPr>
          <w:rFonts w:ascii="Book Antiqua" w:eastAsia="Book Antiqua" w:hAnsi="Book Antiqua" w:cs="Book Antiqua"/>
          <w:color w:val="000000"/>
        </w:rPr>
        <w:t>Salidroside</w:t>
      </w:r>
      <w:proofErr w:type="spellEnd"/>
      <w:r>
        <w:rPr>
          <w:rFonts w:ascii="Book Antiqua" w:eastAsia="Book Antiqua" w:hAnsi="Book Antiqua" w:cs="Book Antiqua"/>
          <w:color w:val="000000"/>
        </w:rPr>
        <w:t xml:space="preserve"> improves the hypoxic tumor microenvironment and reverses the drug resistance of platinum drugs </w:t>
      </w:r>
      <w:r>
        <w:rPr>
          <w:rFonts w:ascii="Book Antiqua" w:eastAsia="Book Antiqua" w:hAnsi="Book Antiqua" w:cs="Book Antiqua"/>
          <w:i/>
          <w:iCs/>
          <w:color w:val="000000"/>
        </w:rPr>
        <w:t>via</w:t>
      </w:r>
      <w:r>
        <w:rPr>
          <w:rFonts w:ascii="Book Antiqua" w:eastAsia="Book Antiqua" w:hAnsi="Book Antiqua" w:cs="Book Antiqua"/>
          <w:color w:val="000000"/>
        </w:rPr>
        <w:t xml:space="preserve"> HIF-1α </w:t>
      </w:r>
      <w:r>
        <w:rPr>
          <w:rFonts w:ascii="Book Antiqua" w:eastAsia="Book Antiqua" w:hAnsi="Book Antiqua" w:cs="Book Antiqua"/>
          <w:color w:val="000000"/>
        </w:rPr>
        <w:lastRenderedPageBreak/>
        <w:t xml:space="preserve">signaling pathway.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25-36 [PMID: 30396856 DOI: 10.1016/j.ebiom.2018.10.069]</w:t>
      </w:r>
    </w:p>
    <w:p w14:paraId="6452782A" w14:textId="77777777" w:rsidR="001154E7" w:rsidRDefault="00ED61B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Li ZJ</w:t>
      </w:r>
      <w:r>
        <w:rPr>
          <w:rFonts w:ascii="Book Antiqua" w:eastAsia="Book Antiqua" w:hAnsi="Book Antiqua" w:cs="Book Antiqua"/>
          <w:color w:val="000000"/>
        </w:rPr>
        <w:t xml:space="preserve">, Li JS, Li DY, </w:t>
      </w:r>
      <w:proofErr w:type="spellStart"/>
      <w:r>
        <w:rPr>
          <w:rFonts w:ascii="Book Antiqua" w:eastAsia="Book Antiqua" w:hAnsi="Book Antiqua" w:cs="Book Antiqua"/>
          <w:color w:val="000000"/>
        </w:rPr>
        <w:t>Pu</w:t>
      </w:r>
      <w:proofErr w:type="spellEnd"/>
      <w:r>
        <w:rPr>
          <w:rFonts w:ascii="Book Antiqua" w:eastAsia="Book Antiqua" w:hAnsi="Book Antiqua" w:cs="Book Antiqua"/>
          <w:color w:val="000000"/>
        </w:rPr>
        <w:t xml:space="preserve"> T. [Effect of TUTF1 expression on the proliferation, apoptosis and prognosis of hepatocellular carcinoma cells].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Zang</w:t>
      </w:r>
      <w:proofErr w:type="spellEnd"/>
      <w:r>
        <w:rPr>
          <w:rFonts w:ascii="Book Antiqua" w:eastAsia="Book Antiqua" w:hAnsi="Book Antiqua" w:cs="Book Antiqua"/>
          <w:i/>
          <w:iCs/>
          <w:color w:val="000000"/>
        </w:rPr>
        <w:t xml:space="preserve"> Bing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879-884 [PMID: 31941243 DOI: 10.3760/cma.j.issn.1007-3418.2019.11.011]</w:t>
      </w:r>
    </w:p>
    <w:p w14:paraId="4AD8C497"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Tang Z</w:t>
      </w:r>
      <w:r>
        <w:rPr>
          <w:rFonts w:ascii="Book Antiqua" w:eastAsia="Book Antiqua" w:hAnsi="Book Antiqua" w:cs="Book Antiqua"/>
          <w:color w:val="000000"/>
        </w:rPr>
        <w:t xml:space="preserve">, Li C, Kang B,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G, Li C, Zhang Z. GEPIA: a web server for cancer and normal gene expression profiling and interactive analyses.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W98-W102 [PMID: 28407145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/gkx247]</w:t>
      </w:r>
    </w:p>
    <w:p w14:paraId="78FAACD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DY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ZG, Zhou J, Fan J,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Q. 2019 Chinese clinical guidelines for the management of hepatocellular carcinoma: updates and insights.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452-463 [PMID: 32832496 DOI: 10.21037/hbsn-20-480]</w:t>
      </w:r>
    </w:p>
    <w:p w14:paraId="43C4D79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Mao Z</w:t>
      </w:r>
      <w:r>
        <w:rPr>
          <w:rFonts w:ascii="Book Antiqua" w:eastAsia="Book Antiqua" w:hAnsi="Book Antiqua" w:cs="Book Antiqua"/>
          <w:color w:val="000000"/>
        </w:rPr>
        <w:t xml:space="preserve">, Shay B, </w:t>
      </w:r>
      <w:proofErr w:type="spellStart"/>
      <w:r>
        <w:rPr>
          <w:rFonts w:ascii="Book Antiqua" w:eastAsia="Book Antiqua" w:hAnsi="Book Antiqua" w:cs="Book Antiqua"/>
          <w:color w:val="000000"/>
        </w:rPr>
        <w:t>Hekmati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Fermon</w:t>
      </w:r>
      <w:proofErr w:type="spellEnd"/>
      <w:r>
        <w:rPr>
          <w:rFonts w:ascii="Book Antiqua" w:eastAsia="Book Antiqua" w:hAnsi="Book Antiqua" w:cs="Book Antiqua"/>
          <w:color w:val="000000"/>
        </w:rPr>
        <w:t xml:space="preserve"> E, Taylor A, </w:t>
      </w:r>
      <w:proofErr w:type="spellStart"/>
      <w:r>
        <w:rPr>
          <w:rFonts w:ascii="Book Antiqua" w:eastAsia="Book Antiqua" w:hAnsi="Book Antiqua" w:cs="Book Antiqua"/>
          <w:color w:val="000000"/>
        </w:rPr>
        <w:t>Dafni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Heikinheimo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Lustmann</w:t>
      </w:r>
      <w:proofErr w:type="spellEnd"/>
      <w:r>
        <w:rPr>
          <w:rFonts w:ascii="Book Antiqua" w:eastAsia="Book Antiqua" w:hAnsi="Book Antiqua" w:cs="Book Antiqua"/>
          <w:color w:val="000000"/>
        </w:rPr>
        <w:t xml:space="preserve"> J, Fisher LW, Young MF, Deutsch D. The human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gene: cloning and characterization. </w:t>
      </w:r>
      <w:r>
        <w:rPr>
          <w:rFonts w:ascii="Book Antiqua" w:eastAsia="Book Antiqua" w:hAnsi="Book Antiqua" w:cs="Book Antiqua"/>
          <w:i/>
          <w:iCs/>
          <w:color w:val="000000"/>
        </w:rPr>
        <w:t>Gene</w:t>
      </w:r>
      <w:r>
        <w:rPr>
          <w:rFonts w:ascii="Book Antiqua" w:eastAsia="Book Antiqua" w:hAnsi="Book Antiqua" w:cs="Book Antiqua"/>
          <w:color w:val="000000"/>
        </w:rPr>
        <w:t xml:space="preserve"> 2001; </w:t>
      </w:r>
      <w:r>
        <w:rPr>
          <w:rFonts w:ascii="Book Antiqua" w:eastAsia="Book Antiqua" w:hAnsi="Book Antiqua" w:cs="Book Antiqua"/>
          <w:b/>
          <w:bCs/>
          <w:color w:val="000000"/>
        </w:rPr>
        <w:t>279</w:t>
      </w:r>
      <w:r>
        <w:rPr>
          <w:rFonts w:ascii="Book Antiqua" w:eastAsia="Book Antiqua" w:hAnsi="Book Antiqua" w:cs="Book Antiqua"/>
          <w:color w:val="000000"/>
        </w:rPr>
        <w:t>: 181-196 [PMID: 11733143 DOI: 10.1016/s0378-1119(01)00749-1]</w:t>
      </w:r>
    </w:p>
    <w:p w14:paraId="718EC970" w14:textId="77777777" w:rsidR="001154E7" w:rsidRDefault="00ED61B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Fang M</w:t>
      </w:r>
      <w:r>
        <w:rPr>
          <w:rFonts w:ascii="Book Antiqua" w:eastAsia="Book Antiqua" w:hAnsi="Book Antiqua" w:cs="Book Antiqua"/>
          <w:color w:val="000000"/>
        </w:rPr>
        <w:t xml:space="preserve">, Yao M, Yang J,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WJ, Wang L, Yao DF.</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Abnormal CD44 activation of hepatocytes with nonalcoholic fatty accumulation in rat </w:t>
      </w:r>
      <w:proofErr w:type="spellStart"/>
      <w:r>
        <w:rPr>
          <w:rFonts w:ascii="Book Antiqua" w:eastAsia="Book Antiqua" w:hAnsi="Book Antiqua" w:cs="Book Antiqua"/>
          <w:color w:val="000000"/>
        </w:rPr>
        <w:t>hepatocarcinogenesis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66-76 [PMID: 31966914 DOI: 10.4251/wjgo.v12.i1.66]</w:t>
      </w:r>
    </w:p>
    <w:p w14:paraId="0DD2BFE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Yao D, Dong Z, Wu W,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Yao N, Li S,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Y, Wang Z, Shi G. Characteristics of hepatic </w:t>
      </w:r>
      <w:proofErr w:type="spellStart"/>
      <w:r>
        <w:rPr>
          <w:rFonts w:ascii="Book Antiqua" w:eastAsia="Book Antiqua" w:hAnsi="Book Antiqua" w:cs="Book Antiqua"/>
          <w:color w:val="000000"/>
        </w:rPr>
        <w:t>igf</w:t>
      </w:r>
      <w:proofErr w:type="spellEnd"/>
      <w:r>
        <w:rPr>
          <w:rFonts w:ascii="Book Antiqua" w:eastAsia="Book Antiqua" w:hAnsi="Book Antiqua" w:cs="Book Antiqua"/>
          <w:color w:val="000000"/>
        </w:rPr>
        <w:t xml:space="preserve">-ii expression and monitored levels of circulating </w:t>
      </w:r>
      <w:proofErr w:type="spellStart"/>
      <w:r>
        <w:rPr>
          <w:rFonts w:ascii="Book Antiqua" w:eastAsia="Book Antiqua" w:hAnsi="Book Antiqua" w:cs="Book Antiqua"/>
          <w:color w:val="000000"/>
        </w:rPr>
        <w:t>igf</w:t>
      </w:r>
      <w:proofErr w:type="spellEnd"/>
      <w:r>
        <w:rPr>
          <w:rFonts w:ascii="Book Antiqua" w:eastAsia="Book Antiqua" w:hAnsi="Book Antiqua" w:cs="Book Antiqua"/>
          <w:color w:val="000000"/>
        </w:rPr>
        <w:t xml:space="preserve">-ii mRNA in metastasis of hepatocellular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134</w:t>
      </w:r>
      <w:r>
        <w:rPr>
          <w:rFonts w:ascii="Book Antiqua" w:eastAsia="Book Antiqua" w:hAnsi="Book Antiqua" w:cs="Book Antiqua"/>
          <w:color w:val="000000"/>
        </w:rPr>
        <w:t>: 799-806 [PMID: 20959664 DOI: 10.1309/AJCPTFDSE2V3LCZP]</w:t>
      </w:r>
    </w:p>
    <w:p w14:paraId="6917EDA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Tierney JF</w:t>
      </w:r>
      <w:r>
        <w:rPr>
          <w:rFonts w:ascii="Book Antiqua" w:eastAsia="Book Antiqua" w:hAnsi="Book Antiqua" w:cs="Book Antiqua"/>
          <w:color w:val="000000"/>
        </w:rPr>
        <w:t xml:space="preserve">, Stewart LA, </w:t>
      </w:r>
      <w:proofErr w:type="spellStart"/>
      <w:r>
        <w:rPr>
          <w:rFonts w:ascii="Book Antiqua" w:eastAsia="Book Antiqua" w:hAnsi="Book Antiqua" w:cs="Book Antiqua"/>
          <w:color w:val="000000"/>
        </w:rPr>
        <w:t>Ghersi</w:t>
      </w:r>
      <w:proofErr w:type="spellEnd"/>
      <w:r>
        <w:rPr>
          <w:rFonts w:ascii="Book Antiqua" w:eastAsia="Book Antiqua" w:hAnsi="Book Antiqua" w:cs="Book Antiqua"/>
          <w:color w:val="000000"/>
        </w:rPr>
        <w:t xml:space="preserve"> D, Burdett S, </w:t>
      </w:r>
      <w:proofErr w:type="spellStart"/>
      <w:r>
        <w:rPr>
          <w:rFonts w:ascii="Book Antiqua" w:eastAsia="Book Antiqua" w:hAnsi="Book Antiqua" w:cs="Book Antiqua"/>
          <w:color w:val="000000"/>
        </w:rPr>
        <w:t>Sydes</w:t>
      </w:r>
      <w:proofErr w:type="spellEnd"/>
      <w:r>
        <w:rPr>
          <w:rFonts w:ascii="Book Antiqua" w:eastAsia="Book Antiqua" w:hAnsi="Book Antiqua" w:cs="Book Antiqua"/>
          <w:color w:val="000000"/>
        </w:rPr>
        <w:t xml:space="preserve"> MR. Practical methods for incorporating summary time-to-event data into meta-analysis. </w:t>
      </w:r>
      <w:r>
        <w:rPr>
          <w:rFonts w:ascii="Book Antiqua" w:eastAsia="Book Antiqua" w:hAnsi="Book Antiqua" w:cs="Book Antiqua"/>
          <w:i/>
          <w:iCs/>
          <w:color w:val="000000"/>
        </w:rPr>
        <w:t>Trials</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16 [PMID: 17555582 DOI: 10.1186/1745-6215-8-16]</w:t>
      </w:r>
    </w:p>
    <w:p w14:paraId="56062F56" w14:textId="77777777" w:rsidR="001154E7" w:rsidRDefault="00ED61B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27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2019.</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7-34 [PMID: 30620402 DOI: 10.3322/caac.21551]</w:t>
      </w:r>
    </w:p>
    <w:p w14:paraId="4652CB2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Kanda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Hirotsu</w:t>
      </w:r>
      <w:proofErr w:type="spellEnd"/>
      <w:r>
        <w:rPr>
          <w:rFonts w:ascii="Book Antiqua" w:eastAsia="Book Antiqua" w:hAnsi="Book Antiqua" w:cs="Book Antiqua"/>
          <w:color w:val="000000"/>
        </w:rPr>
        <w:t xml:space="preserve"> Y, Moriyama M,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Molecular Mechanisms Driving Progression of Liver Cirrhosis towards Hepatocellular Carcinoma in Chronic </w:t>
      </w:r>
      <w:r>
        <w:rPr>
          <w:rFonts w:ascii="Book Antiqua" w:eastAsia="Book Antiqua" w:hAnsi="Book Antiqua" w:cs="Book Antiqua"/>
          <w:color w:val="000000"/>
        </w:rPr>
        <w:lastRenderedPageBreak/>
        <w:t xml:space="preserve">Hepatitis B and C Infections: A Review.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30889843 DOI: 10.3390/</w:t>
      </w:r>
      <w:proofErr w:type="spellStart"/>
      <w:r>
        <w:rPr>
          <w:rFonts w:ascii="Book Antiqua" w:eastAsia="Book Antiqua" w:hAnsi="Book Antiqua" w:cs="Book Antiqua"/>
          <w:color w:val="000000"/>
        </w:rPr>
        <w:t>ijms</w:t>
      </w:r>
      <w:proofErr w:type="spellEnd"/>
      <w:r>
        <w:rPr>
          <w:rFonts w:ascii="Book Antiqua" w:eastAsia="Book Antiqua" w:hAnsi="Book Antiqua" w:cs="Book Antiqua"/>
          <w:color w:val="000000"/>
        </w:rPr>
        <w:t>]</w:t>
      </w:r>
    </w:p>
    <w:p w14:paraId="7147CFD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Januszyk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Januszyk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Wierzbik-Strońska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Boroń</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Grabarek</w:t>
      </w:r>
      <w:proofErr w:type="spellEnd"/>
      <w:r>
        <w:rPr>
          <w:rFonts w:ascii="Book Antiqua" w:eastAsia="Book Antiqua" w:hAnsi="Book Antiqua" w:cs="Book Antiqua"/>
          <w:color w:val="000000"/>
        </w:rPr>
        <w:t xml:space="preserve"> B. Analysis of the differences in the Expression of mRNAs and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Asso-ciated</w:t>
      </w:r>
      <w:proofErr w:type="spellEnd"/>
      <w:r>
        <w:rPr>
          <w:rFonts w:ascii="Book Antiqua" w:eastAsia="Book Antiqua" w:hAnsi="Book Antiqua" w:cs="Book Antiqua"/>
          <w:color w:val="000000"/>
        </w:rPr>
        <w:t xml:space="preserve"> with Drug Resistance in Endometrial Cancer Cells Treated with </w:t>
      </w:r>
      <w:proofErr w:type="spellStart"/>
      <w:r>
        <w:rPr>
          <w:rFonts w:ascii="Book Antiqua" w:eastAsia="Book Antiqua" w:hAnsi="Book Antiqua" w:cs="Book Antiqua"/>
          <w:color w:val="000000"/>
        </w:rPr>
        <w:t>Salinomycin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Pharm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2020 [PMID: 32598254 DOI: 10.2174/1389201021666200629151008]</w:t>
      </w:r>
    </w:p>
    <w:p w14:paraId="6AFD219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Dou C</w:t>
      </w:r>
      <w:r>
        <w:rPr>
          <w:rFonts w:ascii="Book Antiqua" w:eastAsia="Book Antiqua" w:hAnsi="Book Antiqua" w:cs="Book Antiqua"/>
          <w:color w:val="000000"/>
        </w:rPr>
        <w:t xml:space="preserve">, Sun L, Wang L, Cheng J, Wu W, Zhang C,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K, Liu J. </w:t>
      </w:r>
      <w:proofErr w:type="spellStart"/>
      <w:r>
        <w:rPr>
          <w:rFonts w:ascii="Book Antiqua" w:eastAsia="Book Antiqua" w:hAnsi="Book Antiqua" w:cs="Book Antiqua"/>
          <w:color w:val="000000"/>
        </w:rPr>
        <w:t>Bromodomain</w:t>
      </w:r>
      <w:proofErr w:type="spellEnd"/>
      <w:r>
        <w:rPr>
          <w:rFonts w:ascii="Book Antiqua" w:eastAsia="Book Antiqua" w:hAnsi="Book Antiqua" w:cs="Book Antiqua"/>
          <w:color w:val="000000"/>
        </w:rPr>
        <w:t xml:space="preserve">-containing protein 9 promotes the growth and metastasis of human hepatocellular carcinoma by activating the TUFT1/AKT pathway.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730 [PMID: 32908135 DOI: 10.1038/s41419-020-02943-7]</w:t>
      </w:r>
    </w:p>
    <w:p w14:paraId="0BFE06B5"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Bobek</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Oralova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Kratochvilova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Zvackova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Lesot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Matalova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and HIFs expression in </w:t>
      </w:r>
      <w:proofErr w:type="spellStart"/>
      <w:r>
        <w:rPr>
          <w:rFonts w:ascii="Book Antiqua" w:eastAsia="Book Antiqua" w:hAnsi="Book Antiqua" w:cs="Book Antiqua"/>
          <w:color w:val="000000"/>
        </w:rPr>
        <w:t>osteogenesis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152</w:t>
      </w:r>
      <w:r>
        <w:rPr>
          <w:rFonts w:ascii="Book Antiqua" w:eastAsia="Book Antiqua" w:hAnsi="Book Antiqua" w:cs="Book Antiqua"/>
          <w:color w:val="000000"/>
        </w:rPr>
        <w:t>: 355-363 [PMID: 31520138 DOI: 10.1007/s00418-019-01813-4]</w:t>
      </w:r>
    </w:p>
    <w:p w14:paraId="2B53FC7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Shilo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Blumenfeld</w:t>
      </w:r>
      <w:proofErr w:type="spellEnd"/>
      <w:r>
        <w:rPr>
          <w:rFonts w:ascii="Book Antiqua" w:eastAsia="Book Antiqua" w:hAnsi="Book Antiqua" w:cs="Book Antiqua"/>
          <w:color w:val="000000"/>
        </w:rPr>
        <w:t xml:space="preserve"> A, Haze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Sharon S, Goren K, </w:t>
      </w:r>
      <w:proofErr w:type="spellStart"/>
      <w:r>
        <w:rPr>
          <w:rFonts w:ascii="Book Antiqua" w:eastAsia="Book Antiqua" w:hAnsi="Book Antiqua" w:cs="Book Antiqua"/>
          <w:color w:val="000000"/>
        </w:rPr>
        <w:t>Hanhan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Gruenbaum</w:t>
      </w:r>
      <w:proofErr w:type="spellEnd"/>
      <w:r>
        <w:rPr>
          <w:rFonts w:ascii="Book Antiqua" w:eastAsia="Book Antiqua" w:hAnsi="Book Antiqua" w:cs="Book Antiqua"/>
          <w:color w:val="000000"/>
        </w:rPr>
        <w:t xml:space="preserve">-Cohen Y, </w:t>
      </w:r>
      <w:proofErr w:type="spellStart"/>
      <w:r>
        <w:rPr>
          <w:rFonts w:ascii="Book Antiqua" w:eastAsia="Book Antiqua" w:hAnsi="Book Antiqua" w:cs="Book Antiqua"/>
          <w:color w:val="000000"/>
        </w:rPr>
        <w:t>Ornoy</w:t>
      </w:r>
      <w:proofErr w:type="spellEnd"/>
      <w:r>
        <w:rPr>
          <w:rFonts w:ascii="Book Antiqua" w:eastAsia="Book Antiqua" w:hAnsi="Book Antiqua" w:cs="Book Antiqua"/>
          <w:color w:val="000000"/>
        </w:rPr>
        <w:t xml:space="preserve"> A, Deutsch D. </w:t>
      </w:r>
      <w:proofErr w:type="spellStart"/>
      <w:r>
        <w:rPr>
          <w:rFonts w:ascii="Book Antiqua" w:eastAsia="Book Antiqua" w:hAnsi="Book Antiqua" w:cs="Book Antiqua"/>
          <w:color w:val="000000"/>
        </w:rPr>
        <w:t>Tuftelin's</w:t>
      </w:r>
      <w:proofErr w:type="spellEnd"/>
      <w:r>
        <w:rPr>
          <w:rFonts w:ascii="Book Antiqua" w:eastAsia="Book Antiqua" w:hAnsi="Book Antiqua" w:cs="Book Antiqua"/>
          <w:color w:val="000000"/>
        </w:rPr>
        <w:t xml:space="preserve"> involvement in embryonic development.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Zool</w:t>
      </w:r>
      <w:proofErr w:type="spellEnd"/>
      <w:r>
        <w:rPr>
          <w:rFonts w:ascii="Book Antiqua" w:eastAsia="Book Antiqua" w:hAnsi="Book Antiqua" w:cs="Book Antiqua"/>
          <w:i/>
          <w:iCs/>
          <w:color w:val="000000"/>
        </w:rPr>
        <w:t xml:space="preserve"> B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332</w:t>
      </w:r>
      <w:r>
        <w:rPr>
          <w:rFonts w:ascii="Book Antiqua" w:eastAsia="Book Antiqua" w:hAnsi="Book Antiqua" w:cs="Book Antiqua"/>
          <w:color w:val="000000"/>
        </w:rPr>
        <w:t>: 125-135 [PMID: 31045321 DOI: 10.1002/jez.b.22855]</w:t>
      </w:r>
    </w:p>
    <w:p w14:paraId="50080E6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Dong ZZ</w:t>
      </w:r>
      <w:r>
        <w:rPr>
          <w:rFonts w:ascii="Book Antiqua" w:eastAsia="Book Antiqua" w:hAnsi="Book Antiqua" w:cs="Book Antiqua"/>
          <w:color w:val="000000"/>
        </w:rPr>
        <w:t xml:space="preserve">, Yao M, Wang L, Wu W, </w:t>
      </w:r>
      <w:proofErr w:type="spellStart"/>
      <w:proofErr w:type="gramStart"/>
      <w:r>
        <w:rPr>
          <w:rFonts w:ascii="Book Antiqua" w:eastAsia="Book Antiqua" w:hAnsi="Book Antiqua" w:cs="Book Antiqua"/>
          <w:color w:val="000000"/>
        </w:rPr>
        <w:t>Gu</w:t>
      </w:r>
      <w:proofErr w:type="spellEnd"/>
      <w:proofErr w:type="gramEnd"/>
      <w:r>
        <w:rPr>
          <w:rFonts w:ascii="Book Antiqua" w:eastAsia="Book Antiqua" w:hAnsi="Book Antiqua" w:cs="Book Antiqua"/>
          <w:color w:val="000000"/>
        </w:rPr>
        <w:t xml:space="preserve"> X, Yao DF. Hypoxia-inducible factor-1alpha: molecular-targeted therapy for hepatocellular carcinoma. </w:t>
      </w:r>
      <w:r>
        <w:rPr>
          <w:rFonts w:ascii="Book Antiqua" w:eastAsia="Book Antiqua" w:hAnsi="Book Antiqua" w:cs="Book Antiqua"/>
          <w:i/>
          <w:iCs/>
          <w:color w:val="000000"/>
        </w:rPr>
        <w:t xml:space="preserve">Mini Rev Med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1295-1304 [PMID: 22512580 DOI: 10.2174/1389557511313090004]</w:t>
      </w:r>
    </w:p>
    <w:p w14:paraId="601C9A3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Li S</w:t>
      </w:r>
      <w:r>
        <w:rPr>
          <w:rFonts w:ascii="Book Antiqua" w:eastAsia="Book Antiqua" w:hAnsi="Book Antiqua" w:cs="Book Antiqua"/>
          <w:color w:val="000000"/>
        </w:rPr>
        <w:t xml:space="preserve">, Yao D, Wang L, Wu W,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Yao M, Yao N, Zhang H, Yu D, Ni Q. Expression characteristics of hypoxia-inducible factor-1α and its clinical values in diagnosis and prognosis of hepatocellular carcinoma.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i/>
          <w:iCs/>
          <w:color w:val="000000"/>
        </w:rPr>
        <w:t xml:space="preserve"> Mon</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821-828 [PMID: 22224081 DOI: 10.5812/kowsar.1735143X.771]</w:t>
      </w:r>
    </w:p>
    <w:p w14:paraId="44544CC7" w14:textId="77777777" w:rsidR="001154E7" w:rsidRDefault="001154E7">
      <w:pPr>
        <w:adjustRightInd w:val="0"/>
        <w:snapToGrid w:val="0"/>
        <w:spacing w:line="360" w:lineRule="auto"/>
        <w:jc w:val="both"/>
        <w:rPr>
          <w:rFonts w:ascii="Book Antiqua" w:hAnsi="Book Antiqua"/>
        </w:rPr>
        <w:sectPr w:rsidR="001154E7">
          <w:pgSz w:w="12240" w:h="15840"/>
          <w:pgMar w:top="1440" w:right="1440" w:bottom="1440" w:left="1440" w:header="720" w:footer="720" w:gutter="0"/>
          <w:cols w:space="720"/>
          <w:docGrid w:linePitch="360"/>
        </w:sectPr>
      </w:pPr>
    </w:p>
    <w:p w14:paraId="7112353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291B29D"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the Affiliated Hospital of Nantong University (TDFY2018-025), China.</w:t>
      </w:r>
    </w:p>
    <w:p w14:paraId="0A7E0D47" w14:textId="77777777" w:rsidR="001154E7" w:rsidRDefault="001154E7">
      <w:pPr>
        <w:adjustRightInd w:val="0"/>
        <w:snapToGrid w:val="0"/>
        <w:spacing w:line="360" w:lineRule="auto"/>
        <w:jc w:val="both"/>
        <w:rPr>
          <w:rFonts w:ascii="Book Antiqua" w:hAnsi="Book Antiqua"/>
        </w:rPr>
      </w:pPr>
    </w:p>
    <w:p w14:paraId="20D000E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Conflict-of-interest statement: </w:t>
      </w:r>
      <w:r>
        <w:rPr>
          <w:rFonts w:ascii="Book Antiqua" w:eastAsia="Book Antiqua" w:hAnsi="Book Antiqua" w:cs="Book Antiqua"/>
          <w:color w:val="000000"/>
        </w:rPr>
        <w:t>No benefits in any form have been received or will be received from a commercial party related directly or indirectly to the subject of this article.</w:t>
      </w:r>
    </w:p>
    <w:p w14:paraId="66BFB33F" w14:textId="77777777" w:rsidR="001154E7" w:rsidRDefault="001154E7">
      <w:pPr>
        <w:adjustRightInd w:val="0"/>
        <w:snapToGrid w:val="0"/>
        <w:spacing w:line="360" w:lineRule="auto"/>
        <w:jc w:val="both"/>
        <w:rPr>
          <w:rFonts w:ascii="Book Antiqua" w:hAnsi="Book Antiqua"/>
        </w:rPr>
      </w:pPr>
    </w:p>
    <w:p w14:paraId="634C787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7B63B62" w14:textId="77777777" w:rsidR="001154E7" w:rsidRDefault="001154E7">
      <w:pPr>
        <w:adjustRightInd w:val="0"/>
        <w:snapToGrid w:val="0"/>
        <w:spacing w:line="360" w:lineRule="auto"/>
        <w:jc w:val="both"/>
        <w:rPr>
          <w:rFonts w:ascii="Book Antiqua" w:hAnsi="Book Antiqua"/>
        </w:rPr>
      </w:pPr>
    </w:p>
    <w:p w14:paraId="7510E36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F01D11" w14:textId="77777777" w:rsidR="001154E7" w:rsidRDefault="001154E7">
      <w:pPr>
        <w:adjustRightInd w:val="0"/>
        <w:snapToGrid w:val="0"/>
        <w:spacing w:line="360" w:lineRule="auto"/>
        <w:jc w:val="both"/>
        <w:rPr>
          <w:rFonts w:ascii="Book Antiqua" w:hAnsi="Book Antiqua"/>
        </w:rPr>
      </w:pPr>
    </w:p>
    <w:p w14:paraId="4D97CF65"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3FC34B3" w14:textId="77777777" w:rsidR="001154E7" w:rsidRDefault="001154E7">
      <w:pPr>
        <w:adjustRightInd w:val="0"/>
        <w:snapToGrid w:val="0"/>
        <w:spacing w:line="360" w:lineRule="auto"/>
        <w:jc w:val="both"/>
        <w:rPr>
          <w:rFonts w:ascii="Book Antiqua" w:hAnsi="Book Antiqua"/>
        </w:rPr>
      </w:pPr>
    </w:p>
    <w:p w14:paraId="0D7E9D28"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Chinese Society of Gastroenterology, No. 1006110078.</w:t>
      </w:r>
    </w:p>
    <w:p w14:paraId="4D5FD11C" w14:textId="77777777" w:rsidR="001154E7" w:rsidRDefault="001154E7">
      <w:pPr>
        <w:adjustRightInd w:val="0"/>
        <w:snapToGrid w:val="0"/>
        <w:spacing w:line="360" w:lineRule="auto"/>
        <w:jc w:val="both"/>
        <w:rPr>
          <w:rFonts w:ascii="Book Antiqua" w:hAnsi="Book Antiqua"/>
        </w:rPr>
      </w:pPr>
    </w:p>
    <w:p w14:paraId="6FE6073F"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2020</w:t>
      </w:r>
    </w:p>
    <w:p w14:paraId="66B0E130"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2020</w:t>
      </w:r>
    </w:p>
    <w:p w14:paraId="2ABBDE75" w14:textId="06AEA5FD"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097874">
        <w:rPr>
          <w:rFonts w:ascii="Book Antiqua" w:eastAsia="Book Antiqua" w:hAnsi="Book Antiqua" w:cs="Book Antiqua"/>
          <w:color w:val="000000"/>
        </w:rPr>
        <w:t>May 19, 2021</w:t>
      </w:r>
    </w:p>
    <w:p w14:paraId="0451F730" w14:textId="77777777" w:rsidR="001154E7" w:rsidRDefault="001154E7">
      <w:pPr>
        <w:adjustRightInd w:val="0"/>
        <w:snapToGrid w:val="0"/>
        <w:spacing w:line="360" w:lineRule="auto"/>
        <w:jc w:val="both"/>
        <w:rPr>
          <w:rFonts w:ascii="Book Antiqua" w:hAnsi="Book Antiqua"/>
        </w:rPr>
      </w:pPr>
    </w:p>
    <w:p w14:paraId="5784A74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711590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F9066E3"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31C7DF0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BC474E6"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1AC5757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 C</w:t>
      </w:r>
    </w:p>
    <w:p w14:paraId="2438553C"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202AB411"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214ABEC7" w14:textId="77777777" w:rsidR="001154E7" w:rsidRDefault="001154E7">
      <w:pPr>
        <w:adjustRightInd w:val="0"/>
        <w:snapToGrid w:val="0"/>
        <w:spacing w:line="360" w:lineRule="auto"/>
        <w:jc w:val="both"/>
        <w:rPr>
          <w:rFonts w:ascii="Book Antiqua" w:hAnsi="Book Antiqua"/>
        </w:rPr>
      </w:pPr>
    </w:p>
    <w:p w14:paraId="4B85A086" w14:textId="4BBB22C5" w:rsidR="001154E7" w:rsidRPr="00BE0848" w:rsidRDefault="00ED61B9">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Kanda T, </w:t>
      </w:r>
      <w:proofErr w:type="spellStart"/>
      <w:r>
        <w:rPr>
          <w:rFonts w:ascii="Book Antiqua" w:eastAsia="Book Antiqua" w:hAnsi="Book Antiqua" w:cs="Book Antiqua"/>
          <w:color w:val="000000"/>
        </w:rPr>
        <w:t>Zapater</w:t>
      </w:r>
      <w:proofErr w:type="spellEnd"/>
      <w:r>
        <w:rPr>
          <w:rFonts w:ascii="Book Antiqua" w:eastAsia="Book Antiqua" w:hAnsi="Book Antiqua" w:cs="Book Antiqua"/>
          <w:color w:val="000000"/>
        </w:rPr>
        <w:t xml:space="preserve"> P</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w:t>
      </w:r>
      <w:r w:rsidRPr="00BE0848">
        <w:rPr>
          <w:rFonts w:ascii="Book Antiqua" w:eastAsia="Book Antiqua" w:hAnsi="Book Antiqua" w:cs="Book Antiqua"/>
          <w:color w:val="000000"/>
        </w:rPr>
        <w:t xml:space="preserve"> </w:t>
      </w:r>
      <w:r w:rsidR="00BE0848" w:rsidRPr="00BE0848">
        <w:rPr>
          <w:rFonts w:ascii="Book Antiqua" w:hAnsi="Book Antiqua" w:cs="Book Antiqua" w:hint="eastAsia"/>
          <w:color w:val="000000"/>
          <w:lang w:eastAsia="zh-CN"/>
        </w:rPr>
        <w:t>Wang LL</w:t>
      </w:r>
    </w:p>
    <w:p w14:paraId="606C126A"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2D0B4F44"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25ECA69E"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02C0B6BF"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362F6B78"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543AA945"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697CA244"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6D6A019D"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16CCC7FE"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9211ABD"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160B98B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55EF1021"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F4AA5CB"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7DC7347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5E356DC9"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2C191D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17057699"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7A37E9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663CF4E5"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4B8BE74F"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51358DAD"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0E8906BC" w14:textId="77777777" w:rsidR="001154E7" w:rsidRDefault="001154E7">
      <w:pPr>
        <w:adjustRightInd w:val="0"/>
        <w:snapToGrid w:val="0"/>
        <w:spacing w:line="360" w:lineRule="auto"/>
        <w:jc w:val="both"/>
        <w:rPr>
          <w:rFonts w:ascii="Book Antiqua" w:eastAsia="Book Antiqua" w:hAnsi="Book Antiqua" w:cs="Book Antiqua"/>
          <w:b/>
          <w:color w:val="000000"/>
        </w:rPr>
      </w:pPr>
    </w:p>
    <w:p w14:paraId="39D40874" w14:textId="77777777" w:rsidR="001154E7" w:rsidRDefault="00ED61B9">
      <w:pPr>
        <w:rPr>
          <w:rFonts w:ascii="Book Antiqua" w:eastAsia="Book Antiqua" w:hAnsi="Book Antiqua" w:cs="Book Antiqua"/>
          <w:b/>
          <w:color w:val="000000"/>
        </w:rPr>
      </w:pPr>
      <w:r>
        <w:rPr>
          <w:rFonts w:ascii="Book Antiqua" w:eastAsia="Book Antiqua" w:hAnsi="Book Antiqua" w:cs="Book Antiqua"/>
          <w:b/>
          <w:color w:val="000000"/>
        </w:rPr>
        <w:br w:type="page"/>
      </w:r>
    </w:p>
    <w:p w14:paraId="16551FC9"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AB12D19"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64532228" wp14:editId="645255E2">
            <wp:extent cx="5943600" cy="34969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43600" cy="3496945"/>
                    </a:xfrm>
                    <a:prstGeom prst="rect">
                      <a:avLst/>
                    </a:prstGeom>
                  </pic:spPr>
                </pic:pic>
              </a:graphicData>
            </a:graphic>
          </wp:inline>
        </w:drawing>
      </w:r>
      <w:r>
        <w:rPr>
          <w:rFonts w:ascii="Book Antiqua" w:eastAsia="Book Antiqua" w:hAnsi="Book Antiqua" w:cs="Book Antiqua"/>
          <w:b/>
          <w:bCs/>
          <w:color w:val="000000"/>
        </w:rPr>
        <w:t xml:space="preserve"> </w:t>
      </w:r>
    </w:p>
    <w:p w14:paraId="5A1BF212"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1 Comparative analysis of </w:t>
      </w:r>
      <w:proofErr w:type="spellStart"/>
      <w:r>
        <w:rPr>
          <w:rFonts w:ascii="Book Antiqua" w:eastAsia="Book Antiqua" w:hAnsi="Book Antiqua" w:cs="Book Antiqua"/>
          <w:b/>
          <w:bCs/>
          <w:color w:val="000000"/>
        </w:rPr>
        <w:t>tuftelin</w:t>
      </w:r>
      <w:proofErr w:type="spellEnd"/>
      <w:r>
        <w:rPr>
          <w:rFonts w:ascii="Book Antiqua" w:eastAsia="Book Antiqua" w:hAnsi="Book Antiqua" w:cs="Book Antiqua"/>
          <w:b/>
          <w:bCs/>
          <w:color w:val="000000"/>
        </w:rPr>
        <w:t xml:space="preserve"> 1 messenger RNA between hepatocellular carcinoma and normal livers based on bioinformatics databases. </w:t>
      </w:r>
      <w:r>
        <w:rPr>
          <w:rFonts w:ascii="Book Antiqua" w:eastAsia="Book Antiqua" w:hAnsi="Book Antiqua" w:cs="Book Antiqua"/>
          <w:color w:val="000000"/>
        </w:rPr>
        <w:t xml:space="preserve">A: The expression of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 messenger RNA in the cancerous tissues of hepatocellular carcinoma (HCC)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369, red,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0.05) and normal liver tissues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grey) from the Cancer Genome Atlas database; B: The expression of TUFT1 messenger RNA in the cancerous tissues of HCC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225, dark blue,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0.05) and normal liver tissues (</w:t>
      </w:r>
      <w:r>
        <w:rPr>
          <w:rFonts w:ascii="Book Antiqua" w:eastAsia="Book Antiqua" w:hAnsi="Book Antiqua" w:cs="Book Antiqua"/>
          <w:i/>
          <w:iCs/>
          <w:color w:val="000000"/>
        </w:rPr>
        <w:t>n</w:t>
      </w:r>
      <w:r>
        <w:rPr>
          <w:rFonts w:ascii="Book Antiqua" w:eastAsia="Book Antiqua" w:hAnsi="Book Antiqua" w:cs="Book Antiqua"/>
          <w:color w:val="000000"/>
        </w:rPr>
        <w:t xml:space="preserve"> = 220, light blue) from the </w:t>
      </w:r>
      <w:proofErr w:type="spellStart"/>
      <w:r>
        <w:rPr>
          <w:rFonts w:ascii="Book Antiqua" w:eastAsia="Book Antiqua" w:hAnsi="Book Antiqua" w:cs="Book Antiqua"/>
          <w:color w:val="000000"/>
        </w:rPr>
        <w:t>Oncomine</w:t>
      </w:r>
      <w:proofErr w:type="spellEnd"/>
      <w:r>
        <w:rPr>
          <w:rFonts w:ascii="Book Antiqua" w:eastAsia="Book Antiqua" w:hAnsi="Book Antiqua" w:cs="Book Antiqua"/>
          <w:color w:val="000000"/>
        </w:rPr>
        <w:t xml:space="preserve"> database. The horizontal line represents the median of the two groups. Vertical bars indicate the range of data. LIHC: Liver hepatocellular carcinoma.</w:t>
      </w:r>
    </w:p>
    <w:p w14:paraId="7D227C25" w14:textId="77777777" w:rsidR="001154E7" w:rsidRDefault="001154E7">
      <w:pPr>
        <w:adjustRightInd w:val="0"/>
        <w:snapToGrid w:val="0"/>
        <w:spacing w:line="360" w:lineRule="auto"/>
        <w:jc w:val="both"/>
        <w:rPr>
          <w:rFonts w:ascii="Book Antiqua" w:hAnsi="Book Antiqua"/>
        </w:rPr>
      </w:pPr>
    </w:p>
    <w:p w14:paraId="2F018EF4" w14:textId="77777777" w:rsidR="001154E7" w:rsidRDefault="001154E7">
      <w:pPr>
        <w:adjustRightInd w:val="0"/>
        <w:snapToGrid w:val="0"/>
        <w:spacing w:line="360" w:lineRule="auto"/>
        <w:jc w:val="both"/>
        <w:rPr>
          <w:rFonts w:ascii="Book Antiqua" w:eastAsia="Book Antiqua" w:hAnsi="Book Antiqua" w:cs="Book Antiqua"/>
          <w:b/>
          <w:bCs/>
          <w:color w:val="000000"/>
        </w:rPr>
      </w:pPr>
    </w:p>
    <w:p w14:paraId="69D5F5B0"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45B5BAE2" wp14:editId="67CF4CA3">
            <wp:extent cx="5943600" cy="37122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943600" cy="3712210"/>
                    </a:xfrm>
                    <a:prstGeom prst="rect">
                      <a:avLst/>
                    </a:prstGeom>
                  </pic:spPr>
                </pic:pic>
              </a:graphicData>
            </a:graphic>
          </wp:inline>
        </w:drawing>
      </w:r>
    </w:p>
    <w:p w14:paraId="503F52FA"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Tuftelin</w:t>
      </w:r>
      <w:proofErr w:type="spellEnd"/>
      <w:r>
        <w:rPr>
          <w:rFonts w:ascii="Book Antiqua" w:eastAsia="Book Antiqua" w:hAnsi="Book Antiqua" w:cs="Book Antiqua"/>
          <w:b/>
          <w:bCs/>
          <w:color w:val="000000"/>
        </w:rPr>
        <w:t xml:space="preserve"> 1 </w:t>
      </w:r>
      <w:proofErr w:type="gramStart"/>
      <w:r>
        <w:rPr>
          <w:rFonts w:ascii="Book Antiqua" w:eastAsia="Book Antiqua" w:hAnsi="Book Antiqua" w:cs="Book Antiqua"/>
          <w:b/>
          <w:bCs/>
          <w:color w:val="000000"/>
        </w:rPr>
        <w:t>expression</w:t>
      </w:r>
      <w:proofErr w:type="gramEnd"/>
      <w:r>
        <w:rPr>
          <w:rFonts w:ascii="Book Antiqua" w:eastAsia="Book Antiqua" w:hAnsi="Book Antiqua" w:cs="Book Antiqua"/>
          <w:b/>
          <w:bCs/>
          <w:color w:val="000000"/>
        </w:rPr>
        <w:t xml:space="preserve"> with clinical staging of hepatocellular carcinoma.</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A, A1: Hepatocellular carcinoma (HCC) tissue with strongly positive staining; B, B1: Adjacent non-HCC tissue with negative staining, original magnifications of × 40 (scale bar: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in A and B, and × 200 (scale bar: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in A1 and B1; C, D: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 expression in different HCC staging; C1, D1: Low TUFT1 expression in the non-HCC tissues; C2-C5</w:t>
      </w:r>
      <w:r>
        <w:rPr>
          <w:rFonts w:ascii="Book Antiqua" w:hAnsi="Book Antiqua" w:cs="Book Antiqua"/>
          <w:color w:val="000000"/>
          <w:lang w:eastAsia="zh-CN"/>
        </w:rPr>
        <w:t xml:space="preserve">: </w:t>
      </w:r>
      <w:r>
        <w:rPr>
          <w:rFonts w:ascii="Book Antiqua" w:eastAsia="Book Antiqua" w:hAnsi="Book Antiqua" w:cs="Book Antiqua"/>
          <w:color w:val="000000"/>
        </w:rPr>
        <w:t>The brown staining of TUFT1 gradually increases in the HCC tissues from stage</w:t>
      </w:r>
      <w:r>
        <w:rPr>
          <w:rFonts w:ascii="MS Gothic" w:eastAsia="MS Gothic" w:hAnsi="MS Gothic" w:cs="MS Gothic" w:hint="eastAsia"/>
          <w:color w:val="000000"/>
        </w:rPr>
        <w:t> </w:t>
      </w:r>
      <w:r>
        <w:rPr>
          <w:rFonts w:ascii="Book Antiqua" w:eastAsia="Book Antiqua" w:hAnsi="Book Antiqua" w:cs="Book Antiqua"/>
          <w:color w:val="000000"/>
        </w:rPr>
        <w:t>I</w:t>
      </w:r>
      <w:r>
        <w:rPr>
          <w:rFonts w:ascii="MS Gothic" w:eastAsia="MS Gothic" w:hAnsi="MS Gothic" w:cs="MS Gothic" w:hint="eastAsia"/>
          <w:color w:val="000000"/>
        </w:rPr>
        <w:t> </w:t>
      </w:r>
      <w:r>
        <w:rPr>
          <w:rFonts w:ascii="Book Antiqua" w:eastAsia="Book Antiqua" w:hAnsi="Book Antiqua" w:cs="Book Antiqua"/>
          <w:color w:val="000000"/>
        </w:rPr>
        <w:t>to IV (original magnification × 40); D2-D5: The staining of TUFT1 in the non-HCC tissues from stage</w:t>
      </w:r>
      <w:r>
        <w:rPr>
          <w:rFonts w:ascii="MS Gothic" w:eastAsia="MS Gothic" w:hAnsi="MS Gothic" w:cs="MS Gothic" w:hint="eastAsia"/>
          <w:color w:val="000000"/>
        </w:rPr>
        <w:t> </w:t>
      </w:r>
      <w:r>
        <w:rPr>
          <w:rFonts w:ascii="Book Antiqua" w:eastAsia="Book Antiqua" w:hAnsi="Book Antiqua" w:cs="Book Antiqua"/>
          <w:color w:val="000000"/>
        </w:rPr>
        <w:t>I</w:t>
      </w:r>
      <w:r>
        <w:rPr>
          <w:rFonts w:ascii="MS Gothic" w:eastAsia="MS Gothic" w:hAnsi="MS Gothic" w:cs="MS Gothic" w:hint="eastAsia"/>
          <w:color w:val="000000"/>
        </w:rPr>
        <w:t> </w:t>
      </w:r>
      <w:r>
        <w:rPr>
          <w:rFonts w:ascii="Book Antiqua" w:eastAsia="Book Antiqua" w:hAnsi="Book Antiqua" w:cs="Book Antiqua"/>
          <w:color w:val="000000"/>
        </w:rPr>
        <w:t>to IV (original magnification × 400). TNM: Tumor-node-metastasis.</w:t>
      </w:r>
    </w:p>
    <w:p w14:paraId="285F2C32" w14:textId="77777777" w:rsidR="001154E7" w:rsidRDefault="001154E7">
      <w:pPr>
        <w:adjustRightInd w:val="0"/>
        <w:snapToGrid w:val="0"/>
        <w:spacing w:line="360" w:lineRule="auto"/>
        <w:jc w:val="both"/>
        <w:rPr>
          <w:rFonts w:ascii="Book Antiqua" w:hAnsi="Book Antiqua"/>
        </w:rPr>
      </w:pPr>
    </w:p>
    <w:p w14:paraId="662F38CD"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16BBEF92" wp14:editId="42E26C29">
            <wp:extent cx="5943600" cy="355092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43600" cy="3550920"/>
                    </a:xfrm>
                    <a:prstGeom prst="rect">
                      <a:avLst/>
                    </a:prstGeom>
                  </pic:spPr>
                </pic:pic>
              </a:graphicData>
            </a:graphic>
          </wp:inline>
        </w:drawing>
      </w:r>
      <w:r>
        <w:rPr>
          <w:rFonts w:ascii="Book Antiqua" w:eastAsia="Book Antiqua" w:hAnsi="Book Antiqua" w:cs="Book Antiqua"/>
          <w:b/>
          <w:bCs/>
          <w:color w:val="000000"/>
        </w:rPr>
        <w:t xml:space="preserve"> </w:t>
      </w:r>
    </w:p>
    <w:p w14:paraId="3CA30AFB" w14:textId="77777777" w:rsidR="001154E7" w:rsidRDefault="00ED61B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3 Relationship between </w:t>
      </w:r>
      <w:proofErr w:type="spellStart"/>
      <w:r>
        <w:rPr>
          <w:rFonts w:ascii="Book Antiqua" w:eastAsia="Book Antiqua" w:hAnsi="Book Antiqua" w:cs="Book Antiqua"/>
          <w:b/>
          <w:bCs/>
          <w:color w:val="000000"/>
        </w:rPr>
        <w:t>tuftelin</w:t>
      </w:r>
      <w:proofErr w:type="spellEnd"/>
      <w:r>
        <w:rPr>
          <w:rFonts w:ascii="Book Antiqua" w:eastAsia="Book Antiqua" w:hAnsi="Book Antiqua" w:cs="Book Antiqua"/>
          <w:b/>
          <w:bCs/>
          <w:color w:val="000000"/>
        </w:rPr>
        <w:t xml:space="preserve"> 1 expression and prognosis of hepatocellular carcinoma.</w:t>
      </w:r>
      <w:r>
        <w:rPr>
          <w:rFonts w:ascii="Book Antiqua" w:hAnsi="Book Antiqua"/>
          <w:b/>
          <w:bCs/>
          <w:lang w:eastAsia="zh-CN"/>
        </w:rPr>
        <w:t xml:space="preserve"> </w:t>
      </w:r>
      <w:r>
        <w:rPr>
          <w:rFonts w:ascii="Book Antiqua" w:eastAsia="Book Antiqua" w:hAnsi="Book Antiqua" w:cs="Book Antiqua"/>
          <w:color w:val="000000"/>
        </w:rPr>
        <w:t>A: Kaplan-Meier analysis was performed to compare the overall survival (OS) between hepatocellular carcinoma (HCC) with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66)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66) TUFT1; A1: The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19)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40)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 with OS at early HCC; A2: The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47)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26) TUFT1 with OS at advanced HCC; B: Kaplan-Meier analysis was performed to compare the disease-free survival (DFS) between HCC with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66)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66) TUFT1; B1: The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19)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40) TUFT1 with DFS at early HCC; B2: The high (</w:t>
      </w:r>
      <w:r>
        <w:rPr>
          <w:rFonts w:ascii="Book Antiqua" w:eastAsia="Book Antiqua" w:hAnsi="Book Antiqua" w:cs="Book Antiqua"/>
          <w:i/>
          <w:iCs/>
          <w:color w:val="000000"/>
        </w:rPr>
        <w:t>n</w:t>
      </w:r>
      <w:r>
        <w:rPr>
          <w:rFonts w:ascii="Book Antiqua" w:eastAsia="Book Antiqua" w:hAnsi="Book Antiqua" w:cs="Book Antiqua"/>
          <w:color w:val="000000"/>
        </w:rPr>
        <w:t xml:space="preserve"> = 47) and low (</w:t>
      </w:r>
      <w:r>
        <w:rPr>
          <w:rFonts w:ascii="Book Antiqua" w:eastAsia="Book Antiqua" w:hAnsi="Book Antiqua" w:cs="Book Antiqua"/>
          <w:i/>
          <w:iCs/>
          <w:color w:val="000000"/>
        </w:rPr>
        <w:t>n</w:t>
      </w:r>
      <w:r>
        <w:rPr>
          <w:rFonts w:ascii="Book Antiqua" w:eastAsia="Book Antiqua" w:hAnsi="Book Antiqua" w:cs="Book Antiqua"/>
          <w:color w:val="000000"/>
        </w:rPr>
        <w:t xml:space="preserve"> = 26) TUFT1 with DFS at advanced HCC. </w:t>
      </w:r>
    </w:p>
    <w:p w14:paraId="55E91859" w14:textId="77777777" w:rsidR="001154E7" w:rsidRDefault="001154E7">
      <w:pPr>
        <w:adjustRightInd w:val="0"/>
        <w:snapToGrid w:val="0"/>
        <w:spacing w:line="360" w:lineRule="auto"/>
        <w:jc w:val="both"/>
        <w:rPr>
          <w:rFonts w:ascii="Book Antiqua" w:hAnsi="Book Antiqua"/>
        </w:rPr>
      </w:pPr>
    </w:p>
    <w:p w14:paraId="6A57EE03"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035C3C9C" wp14:editId="048DECBD">
            <wp:extent cx="5943600" cy="3867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43600" cy="3867150"/>
                    </a:xfrm>
                    <a:prstGeom prst="rect">
                      <a:avLst/>
                    </a:prstGeom>
                  </pic:spPr>
                </pic:pic>
              </a:graphicData>
            </a:graphic>
          </wp:inline>
        </w:drawing>
      </w:r>
      <w:r>
        <w:rPr>
          <w:rFonts w:ascii="Book Antiqua" w:eastAsia="Book Antiqua" w:hAnsi="Book Antiqua" w:cs="Book Antiqua"/>
          <w:b/>
          <w:bCs/>
          <w:color w:val="000000"/>
        </w:rPr>
        <w:t xml:space="preserve"> </w:t>
      </w:r>
    </w:p>
    <w:p w14:paraId="4A52E792" w14:textId="62688345"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Expression, interfering of </w:t>
      </w:r>
      <w:proofErr w:type="spellStart"/>
      <w:r>
        <w:rPr>
          <w:rFonts w:ascii="Book Antiqua" w:eastAsia="Book Antiqua" w:hAnsi="Book Antiqua" w:cs="Book Antiqua"/>
          <w:b/>
          <w:bCs/>
          <w:color w:val="000000"/>
        </w:rPr>
        <w:t>tuftelin</w:t>
      </w:r>
      <w:proofErr w:type="spellEnd"/>
      <w:r>
        <w:rPr>
          <w:rFonts w:ascii="Book Antiqua" w:eastAsia="Book Antiqua" w:hAnsi="Book Antiqua" w:cs="Book Antiqua"/>
          <w:b/>
          <w:bCs/>
          <w:color w:val="000000"/>
        </w:rPr>
        <w:t xml:space="preserve"> 1 with proliferation of hepatocellular carcinoma cells.</w:t>
      </w:r>
      <w:r>
        <w:rPr>
          <w:rFonts w:ascii="Book Antiqua" w:hAnsi="Book Antiqua"/>
          <w:b/>
          <w:bCs/>
          <w:lang w:eastAsia="zh-CN"/>
        </w:rPr>
        <w:t xml:space="preserve"> </w:t>
      </w:r>
      <w:r>
        <w:rPr>
          <w:rFonts w:ascii="Book Antiqua" w:eastAsia="Book Antiqua" w:hAnsi="Book Antiqua" w:cs="Book Antiqua"/>
          <w:color w:val="000000"/>
        </w:rPr>
        <w:t xml:space="preserve">A: Expressions of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 among different hepatocellular carcinoma (HCC) cell lines were detected by Western blotting, and the expressing levels of all HCC cells were significantly higher than that of the control LO2 cells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A1: The relative ratio from TUFT1 to </w:t>
      </w:r>
      <w:r>
        <w:rPr>
          <w:rFonts w:ascii="Book Antiqua" w:hAnsi="Book Antiqua"/>
          <w:color w:val="202124"/>
          <w:shd w:val="clear" w:color="auto" w:fill="FFFFFF"/>
        </w:rPr>
        <w:t>glyceraldehyde 3-phosphate dehydrogenase</w:t>
      </w:r>
      <w:r>
        <w:rPr>
          <w:rFonts w:ascii="Book Antiqua" w:eastAsia="Book Antiqua" w:hAnsi="Book Antiqua" w:cs="Book Antiqua"/>
          <w:color w:val="000000"/>
        </w:rPr>
        <w:t xml:space="preserve"> with the MHCC-97H cells showed the strongest TUFT1 expression, and the Hep3B cells showed the lowest TUFT1 expression; B: The MHCC-97H cells and interfering with TUFT1 short hairpin RNA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-RNA)1-3 (left); the TUFT1 was over-expressed after the Hep3B cells transfected with the co</w:t>
      </w:r>
      <w:r w:rsidR="001F44D4">
        <w:rPr>
          <w:rFonts w:ascii="Book Antiqua" w:eastAsia="Book Antiqua" w:hAnsi="Book Antiqua" w:cs="Book Antiqua"/>
          <w:color w:val="000000"/>
        </w:rPr>
        <w:t>nstructed pEX-4 (</w:t>
      </w:r>
      <w:proofErr w:type="spellStart"/>
      <w:r w:rsidR="001F44D4">
        <w:rPr>
          <w:rFonts w:ascii="Book Antiqua" w:eastAsia="Book Antiqua" w:hAnsi="Book Antiqua" w:cs="Book Antiqua"/>
          <w:color w:val="000000"/>
        </w:rPr>
        <w:t>pGCMV</w:t>
      </w:r>
      <w:proofErr w:type="spellEnd"/>
      <w:r w:rsidR="001F44D4">
        <w:rPr>
          <w:rFonts w:ascii="Book Antiqua" w:eastAsia="Book Antiqua" w:hAnsi="Book Antiqua" w:cs="Book Antiqua"/>
          <w:color w:val="000000"/>
        </w:rPr>
        <w:t>/MCS/T2A/</w:t>
      </w:r>
      <w:r>
        <w:rPr>
          <w:rFonts w:ascii="Book Antiqua" w:eastAsia="Book Antiqua" w:hAnsi="Book Antiqua" w:cs="Book Antiqua"/>
          <w:color w:val="000000"/>
        </w:rPr>
        <w:t>EGFP/Neo) plasmid (Right); B1: The TUFT1 expression was significantly inhibited by the TUFT1-shRNA transfection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 left); the markedly increasing TUFT1 Level was compared with the control cells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 right); C: The TUFT1 activation interfering by TUFT1- shRNA3 significantly inhibited the proliferation of MHCC-97H cells (</w:t>
      </w:r>
      <w:proofErr w:type="spellStart"/>
      <w:r w:rsidRPr="006F737B">
        <w:rPr>
          <w:rFonts w:ascii="Book Antiqua" w:eastAsia="Book Antiqua" w:hAnsi="Book Antiqua" w:cs="Book Antiqua"/>
          <w:iCs/>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 D: the over-expression of TUFT1 significantly enhanced the proliferation of the Hep3B cells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Data are presented as mean ± standard </w:t>
      </w:r>
      <w:r>
        <w:rPr>
          <w:rFonts w:ascii="Book Antiqua" w:eastAsia="Book Antiqua" w:hAnsi="Book Antiqua" w:cs="Book Antiqua"/>
          <w:color w:val="000000"/>
        </w:rPr>
        <w:lastRenderedPageBreak/>
        <w:t xml:space="preserve">error of the mean of at least three independent experiments. NC: Blank control;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Negative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-RNA for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mRNA. </w:t>
      </w:r>
    </w:p>
    <w:p w14:paraId="698A96E4" w14:textId="77777777" w:rsidR="001154E7" w:rsidRDefault="001154E7">
      <w:pPr>
        <w:adjustRightInd w:val="0"/>
        <w:snapToGrid w:val="0"/>
        <w:spacing w:line="360" w:lineRule="auto"/>
        <w:jc w:val="both"/>
        <w:rPr>
          <w:rFonts w:ascii="Book Antiqua" w:eastAsia="Book Antiqua" w:hAnsi="Book Antiqua" w:cs="Book Antiqua"/>
          <w:color w:val="000000"/>
        </w:rPr>
      </w:pPr>
    </w:p>
    <w:p w14:paraId="04CB9447" w14:textId="77777777" w:rsidR="001154E7" w:rsidRDefault="001154E7">
      <w:pPr>
        <w:adjustRightInd w:val="0"/>
        <w:snapToGrid w:val="0"/>
        <w:spacing w:line="360" w:lineRule="auto"/>
        <w:jc w:val="both"/>
        <w:rPr>
          <w:rFonts w:ascii="Book Antiqua" w:eastAsia="Book Antiqua" w:hAnsi="Book Antiqua" w:cs="Book Antiqua"/>
          <w:color w:val="000000"/>
        </w:rPr>
      </w:pPr>
    </w:p>
    <w:p w14:paraId="11042D68" w14:textId="77777777" w:rsidR="001154E7" w:rsidRDefault="001154E7">
      <w:pPr>
        <w:adjustRightInd w:val="0"/>
        <w:snapToGrid w:val="0"/>
        <w:spacing w:line="360" w:lineRule="auto"/>
        <w:jc w:val="both"/>
        <w:rPr>
          <w:rFonts w:ascii="Book Antiqua" w:eastAsia="Book Antiqua" w:hAnsi="Book Antiqua" w:cs="Book Antiqua"/>
          <w:color w:val="000000"/>
        </w:rPr>
      </w:pPr>
    </w:p>
    <w:p w14:paraId="684E9870" w14:textId="77777777" w:rsidR="001154E7" w:rsidRDefault="001154E7">
      <w:pPr>
        <w:adjustRightInd w:val="0"/>
        <w:snapToGrid w:val="0"/>
        <w:spacing w:line="360" w:lineRule="auto"/>
        <w:jc w:val="both"/>
        <w:rPr>
          <w:rFonts w:ascii="Book Antiqua" w:eastAsia="Book Antiqua" w:hAnsi="Book Antiqua" w:cs="Book Antiqua"/>
          <w:color w:val="000000"/>
        </w:rPr>
      </w:pPr>
    </w:p>
    <w:p w14:paraId="2A3B0097" w14:textId="77777777" w:rsidR="001154E7" w:rsidRDefault="001154E7">
      <w:pPr>
        <w:adjustRightInd w:val="0"/>
        <w:snapToGrid w:val="0"/>
        <w:spacing w:line="360" w:lineRule="auto"/>
        <w:jc w:val="both"/>
        <w:rPr>
          <w:rFonts w:ascii="Book Antiqua" w:eastAsia="Book Antiqua" w:hAnsi="Book Antiqua" w:cs="Book Antiqua"/>
          <w:color w:val="000000"/>
        </w:rPr>
      </w:pPr>
    </w:p>
    <w:p w14:paraId="34927D05" w14:textId="77777777" w:rsidR="001154E7" w:rsidRDefault="001154E7">
      <w:pPr>
        <w:adjustRightInd w:val="0"/>
        <w:snapToGrid w:val="0"/>
        <w:spacing w:line="360" w:lineRule="auto"/>
        <w:jc w:val="both"/>
        <w:rPr>
          <w:rFonts w:ascii="Book Antiqua" w:eastAsia="Book Antiqua" w:hAnsi="Book Antiqua" w:cs="Book Antiqua"/>
          <w:color w:val="000000"/>
        </w:rPr>
      </w:pPr>
    </w:p>
    <w:p w14:paraId="72D2EC53" w14:textId="77777777" w:rsidR="001154E7" w:rsidRDefault="001154E7">
      <w:pPr>
        <w:adjustRightInd w:val="0"/>
        <w:snapToGrid w:val="0"/>
        <w:spacing w:line="360" w:lineRule="auto"/>
        <w:jc w:val="both"/>
        <w:rPr>
          <w:rFonts w:ascii="Book Antiqua" w:eastAsia="Book Antiqua" w:hAnsi="Book Antiqua" w:cs="Book Antiqua"/>
          <w:color w:val="000000"/>
        </w:rPr>
      </w:pPr>
    </w:p>
    <w:p w14:paraId="20C11F3F" w14:textId="77777777" w:rsidR="001154E7" w:rsidRDefault="001154E7">
      <w:pPr>
        <w:adjustRightInd w:val="0"/>
        <w:snapToGrid w:val="0"/>
        <w:spacing w:line="360" w:lineRule="auto"/>
        <w:jc w:val="both"/>
        <w:rPr>
          <w:rFonts w:ascii="Book Antiqua" w:eastAsia="Book Antiqua" w:hAnsi="Book Antiqua" w:cs="Book Antiqua"/>
          <w:color w:val="000000"/>
        </w:rPr>
      </w:pPr>
    </w:p>
    <w:p w14:paraId="2BD8675D" w14:textId="77777777" w:rsidR="001154E7" w:rsidRDefault="001154E7">
      <w:pPr>
        <w:adjustRightInd w:val="0"/>
        <w:snapToGrid w:val="0"/>
        <w:spacing w:line="360" w:lineRule="auto"/>
        <w:jc w:val="both"/>
        <w:rPr>
          <w:rFonts w:ascii="Book Antiqua" w:eastAsia="Book Antiqua" w:hAnsi="Book Antiqua" w:cs="Book Antiqua"/>
          <w:color w:val="000000"/>
        </w:rPr>
      </w:pPr>
    </w:p>
    <w:p w14:paraId="28022C75" w14:textId="77777777" w:rsidR="001154E7" w:rsidRDefault="001154E7">
      <w:pPr>
        <w:adjustRightInd w:val="0"/>
        <w:snapToGrid w:val="0"/>
        <w:spacing w:line="360" w:lineRule="auto"/>
        <w:jc w:val="both"/>
        <w:rPr>
          <w:rFonts w:ascii="Book Antiqua" w:eastAsia="Book Antiqua" w:hAnsi="Book Antiqua" w:cs="Book Antiqua"/>
          <w:color w:val="000000"/>
        </w:rPr>
      </w:pPr>
    </w:p>
    <w:p w14:paraId="76705DE4" w14:textId="77777777" w:rsidR="001154E7" w:rsidRDefault="001154E7">
      <w:pPr>
        <w:adjustRightInd w:val="0"/>
        <w:snapToGrid w:val="0"/>
        <w:spacing w:line="360" w:lineRule="auto"/>
        <w:jc w:val="both"/>
        <w:rPr>
          <w:rFonts w:ascii="Book Antiqua" w:eastAsia="Book Antiqua" w:hAnsi="Book Antiqua" w:cs="Book Antiqua"/>
          <w:color w:val="000000"/>
        </w:rPr>
      </w:pPr>
    </w:p>
    <w:p w14:paraId="4FCEE86A" w14:textId="77777777" w:rsidR="001154E7" w:rsidRDefault="001154E7">
      <w:pPr>
        <w:adjustRightInd w:val="0"/>
        <w:snapToGrid w:val="0"/>
        <w:spacing w:line="360" w:lineRule="auto"/>
        <w:jc w:val="both"/>
        <w:rPr>
          <w:rFonts w:ascii="Book Antiqua" w:eastAsia="Book Antiqua" w:hAnsi="Book Antiqua" w:cs="Book Antiqua"/>
          <w:color w:val="000000"/>
        </w:rPr>
      </w:pPr>
    </w:p>
    <w:p w14:paraId="4FB71C9F" w14:textId="77777777" w:rsidR="001154E7" w:rsidRDefault="001154E7">
      <w:pPr>
        <w:adjustRightInd w:val="0"/>
        <w:snapToGrid w:val="0"/>
        <w:spacing w:line="360" w:lineRule="auto"/>
        <w:jc w:val="both"/>
        <w:rPr>
          <w:rFonts w:ascii="Book Antiqua" w:eastAsia="Book Antiqua" w:hAnsi="Book Antiqua" w:cs="Book Antiqua"/>
          <w:color w:val="000000"/>
        </w:rPr>
      </w:pPr>
    </w:p>
    <w:p w14:paraId="3ED1F21A" w14:textId="77777777" w:rsidR="001154E7" w:rsidRDefault="001154E7">
      <w:pPr>
        <w:adjustRightInd w:val="0"/>
        <w:snapToGrid w:val="0"/>
        <w:spacing w:line="360" w:lineRule="auto"/>
        <w:jc w:val="both"/>
        <w:rPr>
          <w:rFonts w:ascii="Book Antiqua" w:eastAsia="Book Antiqua" w:hAnsi="Book Antiqua" w:cs="Book Antiqua"/>
          <w:color w:val="000000"/>
        </w:rPr>
      </w:pPr>
    </w:p>
    <w:p w14:paraId="1741B055" w14:textId="77777777" w:rsidR="001154E7" w:rsidRDefault="001154E7">
      <w:pPr>
        <w:adjustRightInd w:val="0"/>
        <w:snapToGrid w:val="0"/>
        <w:spacing w:line="360" w:lineRule="auto"/>
        <w:jc w:val="both"/>
        <w:rPr>
          <w:rFonts w:ascii="Book Antiqua" w:eastAsia="Book Antiqua" w:hAnsi="Book Antiqua" w:cs="Book Antiqua"/>
          <w:color w:val="000000"/>
        </w:rPr>
      </w:pPr>
    </w:p>
    <w:p w14:paraId="4E165B09" w14:textId="77777777" w:rsidR="001154E7" w:rsidRDefault="001154E7">
      <w:pPr>
        <w:adjustRightInd w:val="0"/>
        <w:snapToGrid w:val="0"/>
        <w:spacing w:line="360" w:lineRule="auto"/>
        <w:jc w:val="both"/>
        <w:rPr>
          <w:rFonts w:ascii="Book Antiqua" w:eastAsia="Book Antiqua" w:hAnsi="Book Antiqua" w:cs="Book Antiqua"/>
          <w:color w:val="000000"/>
        </w:rPr>
      </w:pPr>
    </w:p>
    <w:p w14:paraId="4AAF3DEA" w14:textId="77777777" w:rsidR="001154E7" w:rsidRDefault="001154E7">
      <w:pPr>
        <w:adjustRightInd w:val="0"/>
        <w:snapToGrid w:val="0"/>
        <w:spacing w:line="360" w:lineRule="auto"/>
        <w:jc w:val="both"/>
        <w:rPr>
          <w:rFonts w:ascii="Book Antiqua" w:eastAsia="Book Antiqua" w:hAnsi="Book Antiqua" w:cs="Book Antiqua"/>
          <w:color w:val="000000"/>
        </w:rPr>
      </w:pPr>
    </w:p>
    <w:p w14:paraId="3FE70516" w14:textId="77777777" w:rsidR="001154E7" w:rsidRDefault="001154E7">
      <w:pPr>
        <w:adjustRightInd w:val="0"/>
        <w:snapToGrid w:val="0"/>
        <w:spacing w:line="360" w:lineRule="auto"/>
        <w:jc w:val="both"/>
        <w:rPr>
          <w:rFonts w:ascii="Book Antiqua" w:eastAsia="Book Antiqua" w:hAnsi="Book Antiqua" w:cs="Book Antiqua"/>
          <w:color w:val="000000"/>
        </w:rPr>
      </w:pPr>
    </w:p>
    <w:p w14:paraId="1CBAF6FC" w14:textId="77777777" w:rsidR="001154E7" w:rsidRDefault="001154E7">
      <w:pPr>
        <w:adjustRightInd w:val="0"/>
        <w:snapToGrid w:val="0"/>
        <w:spacing w:line="360" w:lineRule="auto"/>
        <w:jc w:val="both"/>
        <w:rPr>
          <w:rFonts w:ascii="Book Antiqua" w:eastAsia="Book Antiqua" w:hAnsi="Book Antiqua" w:cs="Book Antiqua"/>
          <w:color w:val="000000"/>
        </w:rPr>
      </w:pPr>
    </w:p>
    <w:p w14:paraId="4BA1DACB" w14:textId="77777777" w:rsidR="001154E7" w:rsidRDefault="001154E7">
      <w:pPr>
        <w:adjustRightInd w:val="0"/>
        <w:snapToGrid w:val="0"/>
        <w:spacing w:line="360" w:lineRule="auto"/>
        <w:jc w:val="both"/>
        <w:rPr>
          <w:rFonts w:ascii="Book Antiqua" w:eastAsia="Book Antiqua" w:hAnsi="Book Antiqua" w:cs="Book Antiqua"/>
          <w:color w:val="000000"/>
        </w:rPr>
      </w:pPr>
    </w:p>
    <w:p w14:paraId="1B536EE5" w14:textId="77777777" w:rsidR="001154E7" w:rsidRDefault="001154E7">
      <w:pPr>
        <w:adjustRightInd w:val="0"/>
        <w:snapToGrid w:val="0"/>
        <w:spacing w:line="360" w:lineRule="auto"/>
        <w:jc w:val="both"/>
        <w:rPr>
          <w:rFonts w:ascii="Book Antiqua" w:hAnsi="Book Antiqua"/>
        </w:rPr>
      </w:pPr>
    </w:p>
    <w:p w14:paraId="6AD2162A" w14:textId="77777777" w:rsidR="001154E7" w:rsidRDefault="001154E7">
      <w:pPr>
        <w:adjustRightInd w:val="0"/>
        <w:snapToGrid w:val="0"/>
        <w:spacing w:line="360" w:lineRule="auto"/>
        <w:jc w:val="both"/>
        <w:rPr>
          <w:rFonts w:ascii="Book Antiqua" w:hAnsi="Book Antiqua"/>
        </w:rPr>
      </w:pPr>
    </w:p>
    <w:p w14:paraId="18A93455"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53BFCDC0" wp14:editId="00451658">
            <wp:extent cx="5943600" cy="33286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943600" cy="3328670"/>
                    </a:xfrm>
                    <a:prstGeom prst="rect">
                      <a:avLst/>
                    </a:prstGeom>
                  </pic:spPr>
                </pic:pic>
              </a:graphicData>
            </a:graphic>
          </wp:inline>
        </w:drawing>
      </w:r>
    </w:p>
    <w:p w14:paraId="2E496A16"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Effects of </w:t>
      </w:r>
      <w:proofErr w:type="spellStart"/>
      <w:r>
        <w:rPr>
          <w:rFonts w:ascii="Book Antiqua" w:eastAsia="Book Antiqua" w:hAnsi="Book Antiqua" w:cs="Book Antiqua"/>
          <w:b/>
          <w:bCs/>
          <w:color w:val="000000"/>
        </w:rPr>
        <w:t>tuftelin</w:t>
      </w:r>
      <w:proofErr w:type="spellEnd"/>
      <w:r>
        <w:rPr>
          <w:rFonts w:ascii="Book Antiqua" w:eastAsia="Book Antiqua" w:hAnsi="Book Antiqua" w:cs="Book Antiqua"/>
          <w:b/>
          <w:bCs/>
          <w:color w:val="000000"/>
        </w:rPr>
        <w:t xml:space="preserve"> 1 on healing, invasion, and migration of hepatocellular carcinoma cells.</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A: The scratch test of the MHCC-97H cells, the cell healing ability was decreasing after the high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 cells were transfected with the TUFT1-shRNA3 plasmid, and A1, the relative cell healing ability was significantly inhibited compared with the control or negative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-RNA for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mRNA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-NC) cells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0.001); B: The scratch test of the Hep3B cells, the cell healing ability was increased after the cells were transfected with the over-expressing TUFT1 plasmid; B1, the relative cell healing ability was significantly improved compared with the control or blank control (NC) cells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C: The migration and invasion abilities of the MHCC-97H cells were analyzed by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test; C1: The histograms of the cell migration and invasion abilities among the different groups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D: The migration and invasion abilities of the Hep3B cells were analyzed by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test; D1: The histograms of the cell migration and invasion abilities among the different groups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Data are presented as mean ± standard error of the mean of at least three independent experiments. </w:t>
      </w:r>
      <w:proofErr w:type="spellStart"/>
      <w:proofErr w:type="gramStart"/>
      <w:r>
        <w:rPr>
          <w:rFonts w:ascii="Book Antiqua" w:eastAsia="Book Antiqua" w:hAnsi="Book Antiqua" w:cs="Book Antiqua"/>
          <w:color w:val="000000"/>
        </w:rPr>
        <w:t>sh</w:t>
      </w:r>
      <w:proofErr w:type="spellEnd"/>
      <w:r>
        <w:rPr>
          <w:rFonts w:ascii="Book Antiqua" w:eastAsia="Book Antiqua" w:hAnsi="Book Antiqua" w:cs="Book Antiqua"/>
          <w:color w:val="000000"/>
        </w:rPr>
        <w:t>-RNA</w:t>
      </w:r>
      <w:proofErr w:type="gramEnd"/>
      <w:r>
        <w:rPr>
          <w:rFonts w:ascii="Book Antiqua" w:eastAsia="Book Antiqua" w:hAnsi="Book Antiqua" w:cs="Book Antiqua"/>
          <w:color w:val="000000"/>
        </w:rPr>
        <w:t xml:space="preserve">: sh-RNA3 for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mRNA.</w:t>
      </w:r>
    </w:p>
    <w:p w14:paraId="5177933A" w14:textId="77777777" w:rsidR="001154E7" w:rsidRDefault="001154E7">
      <w:pPr>
        <w:adjustRightInd w:val="0"/>
        <w:snapToGrid w:val="0"/>
        <w:spacing w:line="360" w:lineRule="auto"/>
        <w:jc w:val="both"/>
        <w:rPr>
          <w:rFonts w:ascii="Book Antiqua" w:hAnsi="Book Antiqua"/>
        </w:rPr>
      </w:pPr>
    </w:p>
    <w:p w14:paraId="7357EB9D" w14:textId="77777777" w:rsidR="001154E7" w:rsidRDefault="001154E7">
      <w:pPr>
        <w:adjustRightInd w:val="0"/>
        <w:snapToGrid w:val="0"/>
        <w:spacing w:line="360" w:lineRule="auto"/>
        <w:jc w:val="both"/>
        <w:rPr>
          <w:rFonts w:ascii="Book Antiqua" w:eastAsia="Book Antiqua" w:hAnsi="Book Antiqua" w:cs="Book Antiqua"/>
          <w:b/>
          <w:bCs/>
          <w:color w:val="000000"/>
        </w:rPr>
      </w:pPr>
    </w:p>
    <w:p w14:paraId="0EF6D42F" w14:textId="77777777" w:rsidR="001154E7" w:rsidRDefault="00ED61B9">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7576EE67" wp14:editId="6EA4EDB6">
            <wp:extent cx="5943600" cy="35032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943600" cy="3503295"/>
                    </a:xfrm>
                    <a:prstGeom prst="rect">
                      <a:avLst/>
                    </a:prstGeom>
                  </pic:spPr>
                </pic:pic>
              </a:graphicData>
            </a:graphic>
          </wp:inline>
        </w:drawing>
      </w:r>
      <w:r>
        <w:rPr>
          <w:rFonts w:ascii="Book Antiqua" w:eastAsia="Book Antiqua" w:hAnsi="Book Antiqua" w:cs="Book Antiqua"/>
          <w:b/>
          <w:bCs/>
          <w:color w:val="000000"/>
        </w:rPr>
        <w:t xml:space="preserve"> </w:t>
      </w:r>
    </w:p>
    <w:p w14:paraId="2E36C327" w14:textId="77777777" w:rsidR="001154E7" w:rsidRDefault="00ED61B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Possible mechanism of </w:t>
      </w:r>
      <w:proofErr w:type="spellStart"/>
      <w:r>
        <w:rPr>
          <w:rFonts w:ascii="Book Antiqua" w:eastAsia="Book Antiqua" w:hAnsi="Book Antiqua" w:cs="Book Antiqua"/>
          <w:b/>
          <w:bCs/>
          <w:color w:val="000000"/>
        </w:rPr>
        <w:t>tuftelin</w:t>
      </w:r>
      <w:proofErr w:type="spellEnd"/>
      <w:r>
        <w:rPr>
          <w:rFonts w:ascii="Book Antiqua" w:eastAsia="Book Antiqua" w:hAnsi="Book Antiqua" w:cs="Book Antiqua"/>
          <w:b/>
          <w:bCs/>
          <w:color w:val="000000"/>
        </w:rPr>
        <w:t xml:space="preserve"> 1 expression in hepatocellular carcinoma cells progression</w:t>
      </w:r>
      <w:r>
        <w:rPr>
          <w:rFonts w:ascii="Book Antiqua" w:hAnsi="Book Antiqua"/>
          <w:b/>
          <w:bCs/>
          <w:lang w:eastAsia="zh-CN"/>
        </w:rPr>
        <w:t xml:space="preserve">. </w:t>
      </w:r>
      <w:r>
        <w:rPr>
          <w:rFonts w:ascii="Book Antiqua" w:eastAsia="Book Antiqua" w:hAnsi="Book Antiqua" w:cs="Book Antiqua"/>
          <w:color w:val="000000"/>
        </w:rPr>
        <w:t xml:space="preserve">A: The MHCC-97H cells were transfected with the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(TUFT1)-short hairpin RNA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-RNA)3 plasmid, and the apoptotic cells in the sh-TUFT1 group (A2) were increased more than those in the blank control (NC) (A) or negative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-RNA for </w:t>
      </w:r>
      <w:proofErr w:type="spellStart"/>
      <w:r>
        <w:rPr>
          <w:rFonts w:ascii="Book Antiqua" w:eastAsia="Book Antiqua" w:hAnsi="Book Antiqua" w:cs="Book Antiqua"/>
          <w:color w:val="000000"/>
        </w:rPr>
        <w:t>tuftelin</w:t>
      </w:r>
      <w:proofErr w:type="spellEnd"/>
      <w:r>
        <w:rPr>
          <w:rFonts w:ascii="Book Antiqua" w:eastAsia="Book Antiqua" w:hAnsi="Book Antiqua" w:cs="Book Antiqua"/>
          <w:color w:val="000000"/>
        </w:rPr>
        <w:t xml:space="preserve"> 1 mRNA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-NC) group (A1); B: The histograms of the apoptotic cells among the different groups, the rate of the MHCC-97H cell apoptosis in the sh-TUFT1 group was significantly higher (</w:t>
      </w:r>
      <w:proofErr w:type="spellStart"/>
      <w:r w:rsidRPr="006F737B">
        <w:rPr>
          <w:rFonts w:ascii="Book Antiqua" w:eastAsia="Book Antiqua" w:hAnsi="Book Antiqua" w:cs="Book Antiqua"/>
          <w:iCs/>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than those in the NC or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group. Data are presented as mean ± standard error of the mean of at least three independent experiments; C: Speculation of possible mechanisms of TUFT1 promotion of the progression of hepatocellular carcinoma (HCC). Aberrant TUFT1 activation promoted the proliferation and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anti-apoptosis of HCC cells. </w:t>
      </w:r>
    </w:p>
    <w:p w14:paraId="05E96BDD" w14:textId="77777777" w:rsidR="001154E7" w:rsidRDefault="00ED61B9">
      <w:pPr>
        <w:adjustRightInd w:val="0"/>
        <w:snapToGrid w:val="0"/>
        <w:spacing w:line="360" w:lineRule="auto"/>
        <w:jc w:val="both"/>
        <w:rPr>
          <w:rFonts w:ascii="Book Antiqua" w:hAnsi="Book Antiqua"/>
          <w:b/>
          <w:bCs/>
        </w:rPr>
      </w:pPr>
      <w:r>
        <w:rPr>
          <w:rFonts w:ascii="Book Antiqua" w:eastAsia="Book Antiqua" w:hAnsi="Book Antiqua" w:cs="Book Antiqua"/>
          <w:color w:val="000000"/>
        </w:rPr>
        <w:br w:type="page"/>
      </w:r>
      <w:r>
        <w:rPr>
          <w:rFonts w:ascii="Book Antiqua" w:hAnsi="Book Antiqua"/>
          <w:b/>
          <w:bCs/>
        </w:rPr>
        <w:lastRenderedPageBreak/>
        <w:t xml:space="preserve">Table 1 Comparative analysis of hepatic </w:t>
      </w:r>
      <w:proofErr w:type="spellStart"/>
      <w:r>
        <w:rPr>
          <w:rFonts w:ascii="Book Antiqua" w:eastAsia="Book Antiqua" w:hAnsi="Book Antiqua" w:cs="Book Antiqua"/>
          <w:b/>
          <w:bCs/>
          <w:color w:val="000000"/>
        </w:rPr>
        <w:t>tuftelin</w:t>
      </w:r>
      <w:proofErr w:type="spellEnd"/>
      <w:r>
        <w:rPr>
          <w:rFonts w:ascii="Book Antiqua" w:eastAsia="Book Antiqua" w:hAnsi="Book Antiqua" w:cs="Book Antiqua"/>
          <w:b/>
          <w:bCs/>
          <w:color w:val="000000"/>
        </w:rPr>
        <w:t xml:space="preserve"> 1 </w:t>
      </w:r>
      <w:proofErr w:type="spellStart"/>
      <w:r>
        <w:rPr>
          <w:rFonts w:ascii="Book Antiqua" w:hAnsi="Book Antiqua"/>
          <w:b/>
          <w:bCs/>
        </w:rPr>
        <w:t>immunohistochemical</w:t>
      </w:r>
      <w:proofErr w:type="spellEnd"/>
      <w:r>
        <w:rPr>
          <w:rFonts w:ascii="Book Antiqua" w:hAnsi="Book Antiqua"/>
          <w:b/>
          <w:bCs/>
        </w:rPr>
        <w:t xml:space="preserve"> staining and expressing intensity between </w:t>
      </w:r>
      <w:r>
        <w:rPr>
          <w:rFonts w:ascii="Book Antiqua" w:eastAsia="Book Antiqua" w:hAnsi="Book Antiqua" w:cs="Book Antiqua"/>
          <w:b/>
          <w:bCs/>
          <w:color w:val="000000"/>
        </w:rPr>
        <w:t>hepatocellular carcinoma</w:t>
      </w:r>
      <w:r>
        <w:rPr>
          <w:rFonts w:ascii="Book Antiqua" w:hAnsi="Book Antiqua"/>
          <w:b/>
          <w:bCs/>
        </w:rPr>
        <w:t xml:space="preserve"> and their </w:t>
      </w:r>
      <w:proofErr w:type="spellStart"/>
      <w:r>
        <w:rPr>
          <w:rFonts w:ascii="Book Antiqua" w:hAnsi="Book Antiqua"/>
          <w:b/>
          <w:bCs/>
        </w:rPr>
        <w:t>para</w:t>
      </w:r>
      <w:proofErr w:type="spellEnd"/>
      <w:r>
        <w:rPr>
          <w:rFonts w:ascii="Book Antiqua" w:hAnsi="Book Antiqua"/>
          <w:b/>
          <w:bCs/>
        </w:rPr>
        <w:t>-cancerous tissues</w:t>
      </w:r>
    </w:p>
    <w:tbl>
      <w:tblPr>
        <w:tblW w:w="0" w:type="auto"/>
        <w:jc w:val="center"/>
        <w:tblBorders>
          <w:top w:val="single" w:sz="8" w:space="0" w:color="auto"/>
          <w:bottom w:val="single" w:sz="8" w:space="0" w:color="auto"/>
        </w:tblBorders>
        <w:tblLook w:val="0600" w:firstRow="0" w:lastRow="0" w:firstColumn="0" w:lastColumn="0" w:noHBand="1" w:noVBand="1"/>
      </w:tblPr>
      <w:tblGrid>
        <w:gridCol w:w="1307"/>
        <w:gridCol w:w="576"/>
        <w:gridCol w:w="730"/>
        <w:gridCol w:w="663"/>
        <w:gridCol w:w="1071"/>
        <w:gridCol w:w="1037"/>
        <w:gridCol w:w="456"/>
        <w:gridCol w:w="456"/>
        <w:gridCol w:w="456"/>
        <w:gridCol w:w="456"/>
        <w:gridCol w:w="1037"/>
        <w:gridCol w:w="1037"/>
      </w:tblGrid>
      <w:tr w:rsidR="001154E7" w14:paraId="5417B5B8" w14:textId="77777777" w:rsidTr="00614201">
        <w:trPr>
          <w:trHeight w:val="340"/>
          <w:jc w:val="center"/>
        </w:trPr>
        <w:tc>
          <w:tcPr>
            <w:tcW w:w="0" w:type="auto"/>
            <w:vMerge w:val="restart"/>
            <w:tcBorders>
              <w:top w:val="single" w:sz="8" w:space="0" w:color="auto"/>
              <w:bottom w:val="single" w:sz="8" w:space="0" w:color="auto"/>
            </w:tcBorders>
            <w:vAlign w:val="center"/>
          </w:tcPr>
          <w:p w14:paraId="66DBB5B4"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Group</w:t>
            </w:r>
          </w:p>
        </w:tc>
        <w:tc>
          <w:tcPr>
            <w:tcW w:w="0" w:type="auto"/>
            <w:vMerge w:val="restart"/>
            <w:tcBorders>
              <w:top w:val="single" w:sz="8" w:space="0" w:color="auto"/>
              <w:bottom w:val="single" w:sz="8" w:space="0" w:color="auto"/>
            </w:tcBorders>
            <w:vAlign w:val="center"/>
          </w:tcPr>
          <w:p w14:paraId="15D6B1FB" w14:textId="77777777" w:rsidR="001154E7" w:rsidRDefault="00ED61B9">
            <w:pPr>
              <w:adjustRightInd w:val="0"/>
              <w:snapToGrid w:val="0"/>
              <w:spacing w:line="360" w:lineRule="auto"/>
              <w:jc w:val="both"/>
              <w:rPr>
                <w:rFonts w:ascii="Book Antiqua" w:hAnsi="Book Antiqua"/>
                <w:b/>
                <w:bCs/>
                <w:i/>
                <w:iCs/>
              </w:rPr>
            </w:pPr>
            <w:r>
              <w:rPr>
                <w:rFonts w:ascii="Book Antiqua" w:hAnsi="Book Antiqua"/>
                <w:b/>
                <w:bCs/>
                <w:i/>
                <w:iCs/>
              </w:rPr>
              <w:t>n</w:t>
            </w:r>
          </w:p>
        </w:tc>
        <w:tc>
          <w:tcPr>
            <w:tcW w:w="0" w:type="auto"/>
            <w:gridSpan w:val="2"/>
            <w:tcBorders>
              <w:top w:val="single" w:sz="8" w:space="0" w:color="auto"/>
              <w:bottom w:val="single" w:sz="8" w:space="0" w:color="auto"/>
            </w:tcBorders>
            <w:vAlign w:val="center"/>
          </w:tcPr>
          <w:p w14:paraId="687699C3" w14:textId="77777777" w:rsidR="001154E7" w:rsidRDefault="00ED61B9">
            <w:pPr>
              <w:adjustRightInd w:val="0"/>
              <w:snapToGrid w:val="0"/>
              <w:spacing w:line="360" w:lineRule="auto"/>
              <w:ind w:firstLine="66"/>
              <w:jc w:val="both"/>
              <w:rPr>
                <w:rFonts w:ascii="Book Antiqua" w:hAnsi="Book Antiqua"/>
                <w:b/>
                <w:bCs/>
              </w:rPr>
            </w:pPr>
            <w:r>
              <w:rPr>
                <w:rFonts w:ascii="Book Antiqua" w:hAnsi="Book Antiqua"/>
                <w:b/>
                <w:bCs/>
              </w:rPr>
              <w:t>TUFT1</w:t>
            </w:r>
          </w:p>
        </w:tc>
        <w:tc>
          <w:tcPr>
            <w:tcW w:w="0" w:type="auto"/>
            <w:vMerge w:val="restart"/>
            <w:tcBorders>
              <w:top w:val="single" w:sz="8" w:space="0" w:color="auto"/>
              <w:bottom w:val="single" w:sz="8" w:space="0" w:color="auto"/>
            </w:tcBorders>
            <w:vAlign w:val="center"/>
          </w:tcPr>
          <w:p w14:paraId="28F5B4CB" w14:textId="77777777" w:rsidR="001154E7" w:rsidRDefault="00ED61B9">
            <w:pPr>
              <w:adjustRightInd w:val="0"/>
              <w:snapToGrid w:val="0"/>
              <w:spacing w:line="360" w:lineRule="auto"/>
              <w:jc w:val="both"/>
              <w:rPr>
                <w:rFonts w:ascii="Book Antiqua" w:hAnsi="Book Antiqua"/>
                <w:b/>
                <w:bCs/>
                <w:vertAlign w:val="superscript"/>
              </w:rPr>
            </w:pPr>
            <w:r>
              <w:rPr>
                <w:rFonts w:ascii="Book Antiqua" w:hAnsi="Book Antiqua"/>
                <w:b/>
                <w:bCs/>
                <w:i/>
                <w:iCs/>
              </w:rPr>
              <w:t>χ</w:t>
            </w:r>
            <w:r>
              <w:rPr>
                <w:rFonts w:ascii="Book Antiqua" w:hAnsi="Book Antiqua"/>
                <w:b/>
                <w:bCs/>
                <w:vertAlign w:val="superscript"/>
              </w:rPr>
              <w:t>2</w:t>
            </w:r>
            <w:r>
              <w:rPr>
                <w:rFonts w:ascii="Book Antiqua" w:hAnsi="Book Antiqua" w:hint="eastAsia"/>
                <w:b/>
                <w:bCs/>
                <w:vertAlign w:val="superscript"/>
                <w:lang w:eastAsia="zh-CN"/>
              </w:rPr>
              <w:t xml:space="preserve"> </w:t>
            </w:r>
            <w:r>
              <w:rPr>
                <w:rFonts w:ascii="Book Antiqua" w:hAnsi="Book Antiqua"/>
                <w:b/>
                <w:bCs/>
              </w:rPr>
              <w:t>value</w:t>
            </w:r>
          </w:p>
        </w:tc>
        <w:tc>
          <w:tcPr>
            <w:tcW w:w="0" w:type="auto"/>
            <w:vMerge w:val="restart"/>
            <w:tcBorders>
              <w:top w:val="single" w:sz="8" w:space="0" w:color="auto"/>
              <w:bottom w:val="single" w:sz="8" w:space="0" w:color="auto"/>
            </w:tcBorders>
            <w:vAlign w:val="center"/>
          </w:tcPr>
          <w:p w14:paraId="7525993F" w14:textId="77777777" w:rsidR="001154E7" w:rsidRDefault="00ED61B9">
            <w:pPr>
              <w:adjustRightInd w:val="0"/>
              <w:snapToGrid w:val="0"/>
              <w:spacing w:line="360" w:lineRule="auto"/>
              <w:jc w:val="both"/>
              <w:rPr>
                <w:rFonts w:ascii="Book Antiqua" w:hAnsi="Book Antiqua"/>
                <w:b/>
                <w:bCs/>
                <w:i/>
                <w:iCs/>
              </w:rPr>
            </w:pPr>
            <w:r>
              <w:rPr>
                <w:rFonts w:ascii="Book Antiqua" w:hAnsi="Book Antiqua"/>
                <w:b/>
                <w:bCs/>
                <w:i/>
                <w:iCs/>
              </w:rPr>
              <w:t>P</w:t>
            </w:r>
            <w:r>
              <w:rPr>
                <w:rFonts w:ascii="Book Antiqua" w:hAnsi="Book Antiqua" w:hint="eastAsia"/>
                <w:b/>
                <w:bCs/>
                <w:i/>
                <w:iCs/>
                <w:lang w:eastAsia="zh-CN"/>
              </w:rPr>
              <w:t xml:space="preserve"> </w:t>
            </w:r>
            <w:r>
              <w:rPr>
                <w:rFonts w:ascii="Book Antiqua" w:hAnsi="Book Antiqua"/>
                <w:b/>
                <w:bCs/>
              </w:rPr>
              <w:t>value</w:t>
            </w:r>
          </w:p>
        </w:tc>
        <w:tc>
          <w:tcPr>
            <w:tcW w:w="0" w:type="auto"/>
            <w:gridSpan w:val="4"/>
            <w:tcBorders>
              <w:top w:val="single" w:sz="8" w:space="0" w:color="auto"/>
              <w:bottom w:val="single" w:sz="8" w:space="0" w:color="auto"/>
            </w:tcBorders>
            <w:vAlign w:val="center"/>
          </w:tcPr>
          <w:p w14:paraId="3E750D5C" w14:textId="77777777" w:rsidR="001154E7" w:rsidRDefault="00ED61B9">
            <w:pPr>
              <w:adjustRightInd w:val="0"/>
              <w:snapToGrid w:val="0"/>
              <w:spacing w:line="360" w:lineRule="auto"/>
              <w:ind w:firstLine="420"/>
              <w:jc w:val="both"/>
              <w:rPr>
                <w:rFonts w:ascii="Book Antiqua" w:hAnsi="Book Antiqua"/>
                <w:b/>
                <w:bCs/>
              </w:rPr>
            </w:pPr>
            <w:r>
              <w:rPr>
                <w:rFonts w:ascii="Book Antiqua" w:hAnsi="Book Antiqua"/>
                <w:b/>
                <w:bCs/>
              </w:rPr>
              <w:t>TUFT1 score</w:t>
            </w:r>
          </w:p>
        </w:tc>
        <w:tc>
          <w:tcPr>
            <w:tcW w:w="0" w:type="auto"/>
            <w:vMerge w:val="restart"/>
            <w:tcBorders>
              <w:top w:val="single" w:sz="8" w:space="0" w:color="auto"/>
              <w:bottom w:val="single" w:sz="8" w:space="0" w:color="auto"/>
            </w:tcBorders>
            <w:vAlign w:val="center"/>
          </w:tcPr>
          <w:p w14:paraId="2B8E457C"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Z value</w:t>
            </w:r>
          </w:p>
        </w:tc>
        <w:tc>
          <w:tcPr>
            <w:tcW w:w="0" w:type="auto"/>
            <w:vMerge w:val="restart"/>
            <w:tcBorders>
              <w:top w:val="single" w:sz="8" w:space="0" w:color="auto"/>
              <w:bottom w:val="single" w:sz="8" w:space="0" w:color="auto"/>
            </w:tcBorders>
            <w:vAlign w:val="center"/>
          </w:tcPr>
          <w:p w14:paraId="0C0C6F55" w14:textId="77777777" w:rsidR="001154E7" w:rsidRDefault="00ED61B9">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1154E7" w14:paraId="36474F15" w14:textId="77777777" w:rsidTr="00614201">
        <w:trPr>
          <w:trHeight w:val="340"/>
          <w:jc w:val="center"/>
        </w:trPr>
        <w:tc>
          <w:tcPr>
            <w:tcW w:w="0" w:type="auto"/>
            <w:vMerge/>
            <w:tcBorders>
              <w:top w:val="single" w:sz="8" w:space="0" w:color="auto"/>
              <w:bottom w:val="single" w:sz="8" w:space="0" w:color="auto"/>
            </w:tcBorders>
            <w:vAlign w:val="center"/>
          </w:tcPr>
          <w:p w14:paraId="2CA32345" w14:textId="77777777" w:rsidR="001154E7" w:rsidRDefault="001154E7">
            <w:pPr>
              <w:adjustRightInd w:val="0"/>
              <w:snapToGrid w:val="0"/>
              <w:spacing w:line="360" w:lineRule="auto"/>
              <w:jc w:val="both"/>
              <w:rPr>
                <w:rFonts w:ascii="Book Antiqua" w:hAnsi="Book Antiqua"/>
              </w:rPr>
            </w:pPr>
          </w:p>
        </w:tc>
        <w:tc>
          <w:tcPr>
            <w:tcW w:w="0" w:type="auto"/>
            <w:vMerge/>
            <w:tcBorders>
              <w:top w:val="single" w:sz="8" w:space="0" w:color="auto"/>
              <w:bottom w:val="single" w:sz="8" w:space="0" w:color="auto"/>
            </w:tcBorders>
            <w:vAlign w:val="center"/>
          </w:tcPr>
          <w:p w14:paraId="098CD63A" w14:textId="77777777" w:rsidR="001154E7" w:rsidRDefault="001154E7">
            <w:pPr>
              <w:adjustRightInd w:val="0"/>
              <w:snapToGrid w:val="0"/>
              <w:spacing w:line="360" w:lineRule="auto"/>
              <w:ind w:firstLine="420"/>
              <w:jc w:val="both"/>
              <w:rPr>
                <w:rFonts w:ascii="Book Antiqua" w:hAnsi="Book Antiqua"/>
              </w:rPr>
            </w:pPr>
          </w:p>
        </w:tc>
        <w:tc>
          <w:tcPr>
            <w:tcW w:w="0" w:type="auto"/>
            <w:tcBorders>
              <w:top w:val="single" w:sz="8" w:space="0" w:color="auto"/>
              <w:bottom w:val="single" w:sz="8" w:space="0" w:color="auto"/>
            </w:tcBorders>
            <w:vAlign w:val="center"/>
          </w:tcPr>
          <w:p w14:paraId="7B031F79"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Neg.</w:t>
            </w:r>
          </w:p>
        </w:tc>
        <w:tc>
          <w:tcPr>
            <w:tcW w:w="0" w:type="auto"/>
            <w:tcBorders>
              <w:top w:val="single" w:sz="8" w:space="0" w:color="auto"/>
              <w:bottom w:val="single" w:sz="8" w:space="0" w:color="auto"/>
            </w:tcBorders>
            <w:vAlign w:val="center"/>
          </w:tcPr>
          <w:p w14:paraId="41DB4BD5"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Pos.</w:t>
            </w:r>
          </w:p>
        </w:tc>
        <w:tc>
          <w:tcPr>
            <w:tcW w:w="0" w:type="auto"/>
            <w:vMerge/>
            <w:tcBorders>
              <w:top w:val="single" w:sz="8" w:space="0" w:color="auto"/>
              <w:bottom w:val="single" w:sz="8" w:space="0" w:color="auto"/>
            </w:tcBorders>
            <w:vAlign w:val="center"/>
          </w:tcPr>
          <w:p w14:paraId="14F9135B" w14:textId="77777777" w:rsidR="001154E7" w:rsidRDefault="001154E7">
            <w:pPr>
              <w:adjustRightInd w:val="0"/>
              <w:snapToGrid w:val="0"/>
              <w:spacing w:line="360" w:lineRule="auto"/>
              <w:ind w:firstLine="420"/>
              <w:jc w:val="both"/>
              <w:rPr>
                <w:rFonts w:ascii="Book Antiqua" w:hAnsi="Book Antiqua"/>
                <w:b/>
                <w:bCs/>
              </w:rPr>
            </w:pPr>
          </w:p>
        </w:tc>
        <w:tc>
          <w:tcPr>
            <w:tcW w:w="0" w:type="auto"/>
            <w:vMerge/>
            <w:tcBorders>
              <w:top w:val="single" w:sz="8" w:space="0" w:color="auto"/>
              <w:bottom w:val="single" w:sz="8" w:space="0" w:color="auto"/>
            </w:tcBorders>
            <w:vAlign w:val="center"/>
          </w:tcPr>
          <w:p w14:paraId="32684FE5" w14:textId="77777777" w:rsidR="001154E7" w:rsidRDefault="001154E7">
            <w:pPr>
              <w:adjustRightInd w:val="0"/>
              <w:snapToGrid w:val="0"/>
              <w:spacing w:line="360" w:lineRule="auto"/>
              <w:ind w:firstLine="420"/>
              <w:jc w:val="both"/>
              <w:rPr>
                <w:rFonts w:ascii="Book Antiqua" w:hAnsi="Book Antiqua"/>
                <w:b/>
                <w:bCs/>
              </w:rPr>
            </w:pPr>
          </w:p>
        </w:tc>
        <w:tc>
          <w:tcPr>
            <w:tcW w:w="0" w:type="auto"/>
            <w:tcBorders>
              <w:top w:val="single" w:sz="8" w:space="0" w:color="auto"/>
              <w:bottom w:val="single" w:sz="8" w:space="0" w:color="auto"/>
            </w:tcBorders>
            <w:vAlign w:val="center"/>
          </w:tcPr>
          <w:p w14:paraId="66CDC2C1"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0</w:t>
            </w:r>
          </w:p>
        </w:tc>
        <w:tc>
          <w:tcPr>
            <w:tcW w:w="0" w:type="auto"/>
            <w:tcBorders>
              <w:top w:val="single" w:sz="8" w:space="0" w:color="auto"/>
              <w:bottom w:val="single" w:sz="8" w:space="0" w:color="auto"/>
            </w:tcBorders>
            <w:vAlign w:val="center"/>
          </w:tcPr>
          <w:p w14:paraId="7EB559A6"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1</w:t>
            </w:r>
          </w:p>
        </w:tc>
        <w:tc>
          <w:tcPr>
            <w:tcW w:w="0" w:type="auto"/>
            <w:tcBorders>
              <w:top w:val="single" w:sz="8" w:space="0" w:color="auto"/>
              <w:bottom w:val="single" w:sz="8" w:space="0" w:color="auto"/>
            </w:tcBorders>
            <w:vAlign w:val="center"/>
          </w:tcPr>
          <w:p w14:paraId="0E3D38F5"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2</w:t>
            </w:r>
          </w:p>
        </w:tc>
        <w:tc>
          <w:tcPr>
            <w:tcW w:w="0" w:type="auto"/>
            <w:tcBorders>
              <w:top w:val="single" w:sz="8" w:space="0" w:color="auto"/>
              <w:bottom w:val="single" w:sz="8" w:space="0" w:color="auto"/>
            </w:tcBorders>
            <w:vAlign w:val="center"/>
          </w:tcPr>
          <w:p w14:paraId="5DBEC806" w14:textId="77777777" w:rsidR="001154E7" w:rsidRDefault="00ED61B9">
            <w:pPr>
              <w:adjustRightInd w:val="0"/>
              <w:snapToGrid w:val="0"/>
              <w:spacing w:line="360" w:lineRule="auto"/>
              <w:jc w:val="both"/>
              <w:rPr>
                <w:rFonts w:ascii="Book Antiqua" w:hAnsi="Book Antiqua"/>
                <w:b/>
                <w:bCs/>
              </w:rPr>
            </w:pPr>
            <w:r>
              <w:rPr>
                <w:rFonts w:ascii="Book Antiqua" w:hAnsi="Book Antiqua"/>
                <w:b/>
                <w:bCs/>
              </w:rPr>
              <w:t>3</w:t>
            </w:r>
          </w:p>
        </w:tc>
        <w:tc>
          <w:tcPr>
            <w:tcW w:w="0" w:type="auto"/>
            <w:vMerge/>
            <w:tcBorders>
              <w:top w:val="single" w:sz="8" w:space="0" w:color="auto"/>
              <w:bottom w:val="single" w:sz="8" w:space="0" w:color="auto"/>
            </w:tcBorders>
            <w:vAlign w:val="center"/>
          </w:tcPr>
          <w:p w14:paraId="7B0C70C8" w14:textId="77777777" w:rsidR="001154E7" w:rsidRDefault="001154E7">
            <w:pPr>
              <w:adjustRightInd w:val="0"/>
              <w:snapToGrid w:val="0"/>
              <w:spacing w:line="360" w:lineRule="auto"/>
              <w:ind w:firstLine="420"/>
              <w:jc w:val="both"/>
              <w:rPr>
                <w:rFonts w:ascii="Book Antiqua" w:hAnsi="Book Antiqua"/>
              </w:rPr>
            </w:pPr>
          </w:p>
        </w:tc>
        <w:tc>
          <w:tcPr>
            <w:tcW w:w="0" w:type="auto"/>
            <w:vMerge/>
            <w:tcBorders>
              <w:top w:val="single" w:sz="8" w:space="0" w:color="auto"/>
              <w:bottom w:val="single" w:sz="8" w:space="0" w:color="auto"/>
            </w:tcBorders>
            <w:vAlign w:val="center"/>
          </w:tcPr>
          <w:p w14:paraId="274FAA5C" w14:textId="77777777" w:rsidR="001154E7" w:rsidRDefault="001154E7">
            <w:pPr>
              <w:adjustRightInd w:val="0"/>
              <w:snapToGrid w:val="0"/>
              <w:spacing w:line="360" w:lineRule="auto"/>
              <w:ind w:firstLine="420"/>
              <w:jc w:val="both"/>
              <w:rPr>
                <w:rFonts w:ascii="Book Antiqua" w:hAnsi="Book Antiqua"/>
              </w:rPr>
            </w:pPr>
          </w:p>
        </w:tc>
      </w:tr>
      <w:tr w:rsidR="001154E7" w14:paraId="27B233A2" w14:textId="77777777" w:rsidTr="00614201">
        <w:trPr>
          <w:trHeight w:val="340"/>
          <w:jc w:val="center"/>
        </w:trPr>
        <w:tc>
          <w:tcPr>
            <w:tcW w:w="0" w:type="auto"/>
            <w:tcBorders>
              <w:top w:val="single" w:sz="8" w:space="0" w:color="auto"/>
            </w:tcBorders>
            <w:vAlign w:val="center"/>
          </w:tcPr>
          <w:p w14:paraId="68B1B34A" w14:textId="77777777" w:rsidR="001154E7" w:rsidRDefault="00ED61B9">
            <w:pPr>
              <w:adjustRightInd w:val="0"/>
              <w:snapToGrid w:val="0"/>
              <w:spacing w:line="360" w:lineRule="auto"/>
              <w:jc w:val="both"/>
              <w:rPr>
                <w:rFonts w:ascii="Book Antiqua" w:hAnsi="Book Antiqua"/>
              </w:rPr>
            </w:pPr>
            <w:r>
              <w:rPr>
                <w:rFonts w:ascii="Book Antiqua" w:hAnsi="Book Antiqua"/>
              </w:rPr>
              <w:t>HCC</w:t>
            </w:r>
          </w:p>
        </w:tc>
        <w:tc>
          <w:tcPr>
            <w:tcW w:w="0" w:type="auto"/>
            <w:tcBorders>
              <w:top w:val="single" w:sz="8" w:space="0" w:color="auto"/>
            </w:tcBorders>
            <w:vAlign w:val="center"/>
          </w:tcPr>
          <w:p w14:paraId="043815D9" w14:textId="77777777" w:rsidR="001154E7" w:rsidRDefault="00ED61B9">
            <w:pPr>
              <w:adjustRightInd w:val="0"/>
              <w:snapToGrid w:val="0"/>
              <w:spacing w:line="360" w:lineRule="auto"/>
              <w:jc w:val="both"/>
              <w:rPr>
                <w:rFonts w:ascii="Book Antiqua" w:hAnsi="Book Antiqua"/>
              </w:rPr>
            </w:pPr>
            <w:r>
              <w:rPr>
                <w:rFonts w:ascii="Book Antiqua" w:hAnsi="Book Antiqua"/>
              </w:rPr>
              <w:t>132</w:t>
            </w:r>
          </w:p>
        </w:tc>
        <w:tc>
          <w:tcPr>
            <w:tcW w:w="0" w:type="auto"/>
            <w:tcBorders>
              <w:top w:val="single" w:sz="8" w:space="0" w:color="auto"/>
            </w:tcBorders>
            <w:vAlign w:val="center"/>
          </w:tcPr>
          <w:p w14:paraId="76AAD1E3" w14:textId="77777777" w:rsidR="001154E7" w:rsidRDefault="00ED61B9">
            <w:pPr>
              <w:adjustRightInd w:val="0"/>
              <w:snapToGrid w:val="0"/>
              <w:spacing w:line="360" w:lineRule="auto"/>
              <w:jc w:val="both"/>
              <w:rPr>
                <w:rFonts w:ascii="Book Antiqua" w:hAnsi="Book Antiqua"/>
                <w:color w:val="C00000"/>
              </w:rPr>
            </w:pPr>
            <w:r>
              <w:rPr>
                <w:rFonts w:ascii="Book Antiqua" w:hAnsi="Book Antiqua"/>
              </w:rPr>
              <w:t>17</w:t>
            </w:r>
          </w:p>
        </w:tc>
        <w:tc>
          <w:tcPr>
            <w:tcW w:w="0" w:type="auto"/>
            <w:tcBorders>
              <w:top w:val="single" w:sz="8" w:space="0" w:color="auto"/>
            </w:tcBorders>
            <w:vAlign w:val="center"/>
          </w:tcPr>
          <w:p w14:paraId="1242EA2D" w14:textId="77777777" w:rsidR="001154E7" w:rsidRDefault="00ED61B9">
            <w:pPr>
              <w:adjustRightInd w:val="0"/>
              <w:snapToGrid w:val="0"/>
              <w:spacing w:line="360" w:lineRule="auto"/>
              <w:jc w:val="both"/>
              <w:rPr>
                <w:rFonts w:ascii="Book Antiqua" w:hAnsi="Book Antiqua"/>
                <w:color w:val="C00000"/>
              </w:rPr>
            </w:pPr>
            <w:r>
              <w:rPr>
                <w:rFonts w:ascii="Book Antiqua" w:hAnsi="Book Antiqua"/>
              </w:rPr>
              <w:t>115</w:t>
            </w:r>
          </w:p>
        </w:tc>
        <w:tc>
          <w:tcPr>
            <w:tcW w:w="0" w:type="auto"/>
            <w:vMerge w:val="restart"/>
            <w:tcBorders>
              <w:top w:val="single" w:sz="8" w:space="0" w:color="auto"/>
            </w:tcBorders>
            <w:vAlign w:val="center"/>
          </w:tcPr>
          <w:p w14:paraId="2C1E8BCD" w14:textId="77777777" w:rsidR="001154E7" w:rsidRDefault="00ED61B9">
            <w:pPr>
              <w:adjustRightInd w:val="0"/>
              <w:snapToGrid w:val="0"/>
              <w:spacing w:line="360" w:lineRule="auto"/>
              <w:jc w:val="both"/>
              <w:rPr>
                <w:rFonts w:ascii="Book Antiqua" w:hAnsi="Book Antiqua"/>
              </w:rPr>
            </w:pPr>
            <w:r>
              <w:rPr>
                <w:rFonts w:ascii="Book Antiqua" w:hAnsi="Book Antiqua"/>
              </w:rPr>
              <w:t>18.563</w:t>
            </w:r>
          </w:p>
        </w:tc>
        <w:tc>
          <w:tcPr>
            <w:tcW w:w="0" w:type="auto"/>
            <w:vMerge w:val="restart"/>
            <w:tcBorders>
              <w:top w:val="single" w:sz="8" w:space="0" w:color="auto"/>
            </w:tcBorders>
            <w:vAlign w:val="center"/>
          </w:tcPr>
          <w:p w14:paraId="2AE60DF1" w14:textId="77777777" w:rsidR="001154E7" w:rsidRDefault="00ED61B9">
            <w:pPr>
              <w:adjustRightInd w:val="0"/>
              <w:snapToGrid w:val="0"/>
              <w:spacing w:line="360" w:lineRule="auto"/>
              <w:jc w:val="both"/>
              <w:rPr>
                <w:rFonts w:ascii="Book Antiqua" w:hAnsi="Book Antiqua"/>
              </w:rPr>
            </w:pPr>
            <w:r>
              <w:rPr>
                <w:rFonts w:ascii="Book Antiqua" w:hAnsi="Book Antiqua"/>
              </w:rPr>
              <w:t>&lt; 0.001</w:t>
            </w:r>
          </w:p>
        </w:tc>
        <w:tc>
          <w:tcPr>
            <w:tcW w:w="0" w:type="auto"/>
            <w:tcBorders>
              <w:top w:val="single" w:sz="8" w:space="0" w:color="auto"/>
            </w:tcBorders>
            <w:vAlign w:val="center"/>
          </w:tcPr>
          <w:p w14:paraId="56B1A18E"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17</w:t>
            </w:r>
          </w:p>
        </w:tc>
        <w:tc>
          <w:tcPr>
            <w:tcW w:w="0" w:type="auto"/>
            <w:tcBorders>
              <w:top w:val="single" w:sz="8" w:space="0" w:color="auto"/>
            </w:tcBorders>
            <w:vAlign w:val="center"/>
          </w:tcPr>
          <w:p w14:paraId="778F979A"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49</w:t>
            </w:r>
          </w:p>
        </w:tc>
        <w:tc>
          <w:tcPr>
            <w:tcW w:w="0" w:type="auto"/>
            <w:tcBorders>
              <w:top w:val="single" w:sz="8" w:space="0" w:color="auto"/>
            </w:tcBorders>
            <w:vAlign w:val="center"/>
          </w:tcPr>
          <w:p w14:paraId="5AB7F909"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55</w:t>
            </w:r>
          </w:p>
        </w:tc>
        <w:tc>
          <w:tcPr>
            <w:tcW w:w="0" w:type="auto"/>
            <w:tcBorders>
              <w:top w:val="single" w:sz="8" w:space="0" w:color="auto"/>
            </w:tcBorders>
            <w:vAlign w:val="center"/>
          </w:tcPr>
          <w:p w14:paraId="5ED9C57B"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11</w:t>
            </w:r>
          </w:p>
        </w:tc>
        <w:tc>
          <w:tcPr>
            <w:tcW w:w="0" w:type="auto"/>
            <w:vMerge w:val="restart"/>
            <w:tcBorders>
              <w:top w:val="single" w:sz="8" w:space="0" w:color="auto"/>
            </w:tcBorders>
            <w:vAlign w:val="center"/>
          </w:tcPr>
          <w:p w14:paraId="6379D925" w14:textId="77777777" w:rsidR="001154E7" w:rsidRDefault="00ED61B9">
            <w:pPr>
              <w:adjustRightInd w:val="0"/>
              <w:snapToGrid w:val="0"/>
              <w:spacing w:line="360" w:lineRule="auto"/>
              <w:jc w:val="both"/>
              <w:rPr>
                <w:rFonts w:ascii="Book Antiqua" w:hAnsi="Book Antiqua"/>
                <w:b/>
                <w:bCs/>
                <w:color w:val="C00000"/>
              </w:rPr>
            </w:pPr>
            <w:r>
              <w:rPr>
                <w:rFonts w:ascii="Book Antiqua" w:hAnsi="Book Antiqua"/>
              </w:rPr>
              <w:t>4.911</w:t>
            </w:r>
          </w:p>
        </w:tc>
        <w:tc>
          <w:tcPr>
            <w:tcW w:w="0" w:type="auto"/>
            <w:vMerge w:val="restart"/>
            <w:tcBorders>
              <w:top w:val="single" w:sz="8" w:space="0" w:color="auto"/>
            </w:tcBorders>
            <w:vAlign w:val="center"/>
          </w:tcPr>
          <w:p w14:paraId="548C5BFF" w14:textId="77777777" w:rsidR="001154E7" w:rsidRDefault="00ED61B9">
            <w:pPr>
              <w:adjustRightInd w:val="0"/>
              <w:snapToGrid w:val="0"/>
              <w:spacing w:line="360" w:lineRule="auto"/>
              <w:jc w:val="both"/>
              <w:rPr>
                <w:rFonts w:ascii="Book Antiqua" w:hAnsi="Book Antiqua"/>
                <w:color w:val="000000"/>
              </w:rPr>
            </w:pPr>
            <w:r>
              <w:rPr>
                <w:rFonts w:ascii="Book Antiqua" w:hAnsi="Book Antiqua"/>
                <w:color w:val="000000"/>
              </w:rPr>
              <w:t>&lt; 0.001</w:t>
            </w:r>
          </w:p>
        </w:tc>
      </w:tr>
      <w:tr w:rsidR="001154E7" w14:paraId="36FA2D4E" w14:textId="77777777" w:rsidTr="00614201">
        <w:trPr>
          <w:trHeight w:val="340"/>
          <w:jc w:val="center"/>
        </w:trPr>
        <w:tc>
          <w:tcPr>
            <w:tcW w:w="0" w:type="auto"/>
            <w:vAlign w:val="center"/>
          </w:tcPr>
          <w:p w14:paraId="7A739A33" w14:textId="77777777" w:rsidR="001154E7" w:rsidRDefault="00ED61B9">
            <w:pPr>
              <w:adjustRightInd w:val="0"/>
              <w:snapToGrid w:val="0"/>
              <w:spacing w:line="360" w:lineRule="auto"/>
              <w:jc w:val="both"/>
              <w:rPr>
                <w:rFonts w:ascii="Book Antiqua" w:hAnsi="Book Antiqua"/>
              </w:rPr>
            </w:pPr>
            <w:r>
              <w:rPr>
                <w:rFonts w:ascii="Book Antiqua" w:hAnsi="Book Antiqua"/>
              </w:rPr>
              <w:t>Non-HCC</w:t>
            </w:r>
          </w:p>
        </w:tc>
        <w:tc>
          <w:tcPr>
            <w:tcW w:w="0" w:type="auto"/>
            <w:vAlign w:val="center"/>
          </w:tcPr>
          <w:p w14:paraId="3FEF9A40" w14:textId="77777777" w:rsidR="001154E7" w:rsidRDefault="00ED61B9">
            <w:pPr>
              <w:adjustRightInd w:val="0"/>
              <w:snapToGrid w:val="0"/>
              <w:spacing w:line="360" w:lineRule="auto"/>
              <w:jc w:val="both"/>
              <w:rPr>
                <w:rFonts w:ascii="Book Antiqua" w:hAnsi="Book Antiqua"/>
              </w:rPr>
            </w:pPr>
            <w:r>
              <w:rPr>
                <w:rFonts w:ascii="Book Antiqua" w:hAnsi="Book Antiqua"/>
              </w:rPr>
              <w:t>132</w:t>
            </w:r>
          </w:p>
        </w:tc>
        <w:tc>
          <w:tcPr>
            <w:tcW w:w="0" w:type="auto"/>
            <w:vAlign w:val="center"/>
          </w:tcPr>
          <w:p w14:paraId="65FD6FAD" w14:textId="77777777" w:rsidR="001154E7" w:rsidRDefault="00ED61B9">
            <w:pPr>
              <w:adjustRightInd w:val="0"/>
              <w:snapToGrid w:val="0"/>
              <w:spacing w:line="360" w:lineRule="auto"/>
              <w:jc w:val="both"/>
              <w:rPr>
                <w:rFonts w:ascii="Book Antiqua" w:hAnsi="Book Antiqua"/>
                <w:color w:val="C00000"/>
              </w:rPr>
            </w:pPr>
            <w:r>
              <w:rPr>
                <w:rFonts w:ascii="Book Antiqua" w:hAnsi="Book Antiqua"/>
              </w:rPr>
              <w:t>47</w:t>
            </w:r>
          </w:p>
        </w:tc>
        <w:tc>
          <w:tcPr>
            <w:tcW w:w="0" w:type="auto"/>
            <w:vAlign w:val="center"/>
          </w:tcPr>
          <w:p w14:paraId="46B2254D" w14:textId="77777777" w:rsidR="001154E7" w:rsidRDefault="00ED61B9">
            <w:pPr>
              <w:adjustRightInd w:val="0"/>
              <w:snapToGrid w:val="0"/>
              <w:spacing w:line="360" w:lineRule="auto"/>
              <w:jc w:val="both"/>
              <w:rPr>
                <w:rFonts w:ascii="Book Antiqua" w:hAnsi="Book Antiqua"/>
                <w:color w:val="C00000"/>
              </w:rPr>
            </w:pPr>
            <w:r>
              <w:rPr>
                <w:rFonts w:ascii="Book Antiqua" w:hAnsi="Book Antiqua"/>
              </w:rPr>
              <w:t>85</w:t>
            </w:r>
          </w:p>
        </w:tc>
        <w:tc>
          <w:tcPr>
            <w:tcW w:w="0" w:type="auto"/>
            <w:vMerge/>
            <w:vAlign w:val="center"/>
          </w:tcPr>
          <w:p w14:paraId="3B4DD290" w14:textId="77777777" w:rsidR="001154E7" w:rsidRDefault="001154E7">
            <w:pPr>
              <w:adjustRightInd w:val="0"/>
              <w:snapToGrid w:val="0"/>
              <w:spacing w:line="360" w:lineRule="auto"/>
              <w:ind w:firstLine="422"/>
              <w:jc w:val="both"/>
              <w:rPr>
                <w:rFonts w:ascii="Book Antiqua" w:hAnsi="Book Antiqua"/>
                <w:b/>
                <w:bCs/>
                <w:color w:val="C00000"/>
              </w:rPr>
            </w:pPr>
          </w:p>
        </w:tc>
        <w:tc>
          <w:tcPr>
            <w:tcW w:w="0" w:type="auto"/>
            <w:vMerge/>
            <w:vAlign w:val="center"/>
          </w:tcPr>
          <w:p w14:paraId="3393C51D" w14:textId="77777777" w:rsidR="001154E7" w:rsidRDefault="001154E7">
            <w:pPr>
              <w:adjustRightInd w:val="0"/>
              <w:snapToGrid w:val="0"/>
              <w:spacing w:line="360" w:lineRule="auto"/>
              <w:ind w:firstLine="420"/>
              <w:jc w:val="both"/>
              <w:rPr>
                <w:rFonts w:ascii="Book Antiqua" w:hAnsi="Book Antiqua"/>
                <w:color w:val="000000"/>
              </w:rPr>
            </w:pPr>
          </w:p>
        </w:tc>
        <w:tc>
          <w:tcPr>
            <w:tcW w:w="0" w:type="auto"/>
            <w:vAlign w:val="center"/>
          </w:tcPr>
          <w:p w14:paraId="46FDCB77"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47</w:t>
            </w:r>
          </w:p>
        </w:tc>
        <w:tc>
          <w:tcPr>
            <w:tcW w:w="0" w:type="auto"/>
            <w:vAlign w:val="center"/>
          </w:tcPr>
          <w:p w14:paraId="11737D95"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54</w:t>
            </w:r>
          </w:p>
        </w:tc>
        <w:tc>
          <w:tcPr>
            <w:tcW w:w="0" w:type="auto"/>
            <w:vAlign w:val="center"/>
          </w:tcPr>
          <w:p w14:paraId="16A57F71"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23</w:t>
            </w:r>
          </w:p>
        </w:tc>
        <w:tc>
          <w:tcPr>
            <w:tcW w:w="0" w:type="auto"/>
            <w:vAlign w:val="center"/>
          </w:tcPr>
          <w:p w14:paraId="6616E25F"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w:t>
            </w:r>
          </w:p>
        </w:tc>
        <w:tc>
          <w:tcPr>
            <w:tcW w:w="0" w:type="auto"/>
            <w:vMerge/>
            <w:vAlign w:val="center"/>
          </w:tcPr>
          <w:p w14:paraId="16F74BED" w14:textId="77777777" w:rsidR="001154E7" w:rsidRDefault="001154E7">
            <w:pPr>
              <w:adjustRightInd w:val="0"/>
              <w:snapToGrid w:val="0"/>
              <w:spacing w:line="360" w:lineRule="auto"/>
              <w:ind w:firstLine="422"/>
              <w:jc w:val="both"/>
              <w:rPr>
                <w:rFonts w:ascii="Book Antiqua" w:hAnsi="Book Antiqua"/>
                <w:b/>
                <w:bCs/>
                <w:color w:val="C00000"/>
              </w:rPr>
            </w:pPr>
          </w:p>
        </w:tc>
        <w:tc>
          <w:tcPr>
            <w:tcW w:w="0" w:type="auto"/>
            <w:vMerge/>
            <w:vAlign w:val="center"/>
          </w:tcPr>
          <w:p w14:paraId="28288EC7" w14:textId="77777777" w:rsidR="001154E7" w:rsidRDefault="001154E7">
            <w:pPr>
              <w:adjustRightInd w:val="0"/>
              <w:snapToGrid w:val="0"/>
              <w:spacing w:line="360" w:lineRule="auto"/>
              <w:ind w:firstLine="420"/>
              <w:jc w:val="both"/>
              <w:rPr>
                <w:rFonts w:ascii="Book Antiqua" w:hAnsi="Book Antiqua"/>
                <w:color w:val="000000"/>
              </w:rPr>
            </w:pPr>
          </w:p>
        </w:tc>
      </w:tr>
    </w:tbl>
    <w:p w14:paraId="36A8C7FA" w14:textId="77777777" w:rsidR="001154E7" w:rsidRDefault="00ED61B9">
      <w:pPr>
        <w:adjustRightInd w:val="0"/>
        <w:snapToGrid w:val="0"/>
        <w:spacing w:line="360" w:lineRule="auto"/>
        <w:jc w:val="both"/>
        <w:rPr>
          <w:rFonts w:ascii="Book Antiqua" w:hAnsi="Book Antiqua"/>
          <w:bCs/>
        </w:rPr>
      </w:pPr>
      <w:r>
        <w:rPr>
          <w:rFonts w:ascii="Book Antiqua" w:hAnsi="Book Antiqua"/>
          <w:bCs/>
        </w:rPr>
        <w:t xml:space="preserve">HCC: Hepatocellular carcinoma; </w:t>
      </w:r>
      <w:proofErr w:type="spellStart"/>
      <w:r>
        <w:rPr>
          <w:rFonts w:ascii="Book Antiqua" w:hAnsi="Book Antiqua"/>
          <w:bCs/>
        </w:rPr>
        <w:t>Neg</w:t>
      </w:r>
      <w:proofErr w:type="spellEnd"/>
      <w:r>
        <w:rPr>
          <w:rFonts w:ascii="Book Antiqua" w:hAnsi="Book Antiqua"/>
          <w:bCs/>
        </w:rPr>
        <w:t>: Negative; Non-HCC: Non-cancerous tissue</w:t>
      </w:r>
      <w:r>
        <w:rPr>
          <w:rFonts w:ascii="Book Antiqua" w:hAnsi="Book Antiqua" w:hint="eastAsia"/>
          <w:bCs/>
          <w:lang w:eastAsia="zh-CN"/>
        </w:rPr>
        <w:t>;</w:t>
      </w:r>
      <w:r>
        <w:rPr>
          <w:rFonts w:ascii="Book Antiqua" w:hAnsi="Book Antiqua"/>
          <w:bCs/>
          <w:lang w:eastAsia="zh-CN"/>
        </w:rPr>
        <w:t xml:space="preserve"> </w:t>
      </w:r>
      <w:proofErr w:type="spellStart"/>
      <w:r>
        <w:rPr>
          <w:rFonts w:ascii="Book Antiqua" w:hAnsi="Book Antiqua"/>
          <w:bCs/>
        </w:rPr>
        <w:t>Pos</w:t>
      </w:r>
      <w:proofErr w:type="spellEnd"/>
      <w:r>
        <w:rPr>
          <w:rFonts w:ascii="Book Antiqua" w:hAnsi="Book Antiqua"/>
          <w:bCs/>
        </w:rPr>
        <w:t xml:space="preserve">: Positive; TUFT1: </w:t>
      </w:r>
      <w:proofErr w:type="spellStart"/>
      <w:r>
        <w:rPr>
          <w:rFonts w:ascii="Book Antiqua" w:hAnsi="Book Antiqua"/>
          <w:bCs/>
        </w:rPr>
        <w:t>Tuftelin</w:t>
      </w:r>
      <w:proofErr w:type="spellEnd"/>
      <w:r>
        <w:rPr>
          <w:rFonts w:ascii="Book Antiqua" w:hAnsi="Book Antiqua"/>
          <w:bCs/>
        </w:rPr>
        <w:t xml:space="preserve"> 1.</w:t>
      </w:r>
    </w:p>
    <w:p w14:paraId="040C95F8" w14:textId="77777777" w:rsidR="001154E7" w:rsidRDefault="00ED61B9">
      <w:pPr>
        <w:pStyle w:val="a6"/>
        <w:adjustRightInd w:val="0"/>
        <w:snapToGrid w:val="0"/>
        <w:spacing w:before="0" w:beforeAutospacing="0" w:after="0" w:afterAutospacing="0" w:line="360" w:lineRule="auto"/>
        <w:jc w:val="both"/>
        <w:rPr>
          <w:rFonts w:ascii="Book Antiqua" w:hAnsi="Book Antiqua" w:cs="Times New Roman"/>
          <w:b/>
          <w:bCs/>
        </w:rPr>
      </w:pPr>
      <w:r>
        <w:rPr>
          <w:rFonts w:ascii="Book Antiqua" w:hAnsi="Book Antiqua" w:cs="Times New Roman"/>
          <w:b/>
          <w:bCs/>
        </w:rPr>
        <w:br w:type="page"/>
      </w:r>
      <w:r>
        <w:rPr>
          <w:rFonts w:ascii="Book Antiqua" w:hAnsi="Book Antiqua" w:cs="Times New Roman"/>
          <w:b/>
          <w:bCs/>
        </w:rPr>
        <w:lastRenderedPageBreak/>
        <w:t xml:space="preserve">Table 2 Relationship between </w:t>
      </w:r>
      <w:proofErr w:type="spellStart"/>
      <w:r>
        <w:rPr>
          <w:rFonts w:ascii="Book Antiqua" w:hAnsi="Book Antiqua"/>
          <w:b/>
          <w:bCs/>
        </w:rPr>
        <w:t>tuftelin</w:t>
      </w:r>
      <w:proofErr w:type="spellEnd"/>
      <w:r>
        <w:rPr>
          <w:rFonts w:ascii="Book Antiqua" w:hAnsi="Book Antiqua"/>
          <w:b/>
          <w:bCs/>
        </w:rPr>
        <w:t xml:space="preserve"> 1 </w:t>
      </w:r>
      <w:r>
        <w:rPr>
          <w:rFonts w:ascii="Book Antiqua" w:hAnsi="Book Antiqua" w:cs="Times New Roman"/>
          <w:b/>
          <w:bCs/>
        </w:rPr>
        <w:t xml:space="preserve">and </w:t>
      </w:r>
      <w:proofErr w:type="spellStart"/>
      <w:r>
        <w:rPr>
          <w:rFonts w:ascii="Book Antiqua" w:hAnsi="Book Antiqua" w:cs="Times New Roman"/>
          <w:b/>
          <w:bCs/>
        </w:rPr>
        <w:t>clinicopathological</w:t>
      </w:r>
      <w:proofErr w:type="spellEnd"/>
      <w:r>
        <w:rPr>
          <w:rFonts w:ascii="Book Antiqua" w:hAnsi="Book Antiqua" w:cs="Times New Roman"/>
          <w:b/>
          <w:bCs/>
        </w:rPr>
        <w:t xml:space="preserve"> characteristics in </w:t>
      </w:r>
      <w:r>
        <w:rPr>
          <w:rFonts w:ascii="Book Antiqua" w:hAnsi="Book Antiqua"/>
          <w:b/>
          <w:bCs/>
        </w:rPr>
        <w:t xml:space="preserve">hepatocellular carcinoma </w:t>
      </w:r>
      <w:r>
        <w:rPr>
          <w:rFonts w:ascii="Book Antiqua" w:hAnsi="Book Antiqua" w:cs="Times New Roman"/>
          <w:b/>
          <w:bCs/>
        </w:rPr>
        <w:t>patients</w:t>
      </w:r>
    </w:p>
    <w:tbl>
      <w:tblPr>
        <w:tblW w:w="0" w:type="auto"/>
        <w:tblBorders>
          <w:top w:val="single" w:sz="4" w:space="0" w:color="000000"/>
          <w:bottom w:val="single" w:sz="4" w:space="0" w:color="000000"/>
        </w:tblBorders>
        <w:tblCellMar>
          <w:top w:w="15" w:type="dxa"/>
          <w:left w:w="15" w:type="dxa"/>
          <w:bottom w:w="15" w:type="dxa"/>
          <w:right w:w="15" w:type="dxa"/>
        </w:tblCellMar>
        <w:tblLook w:val="0600" w:firstRow="0" w:lastRow="0" w:firstColumn="0" w:lastColumn="0" w:noHBand="1" w:noVBand="1"/>
      </w:tblPr>
      <w:tblGrid>
        <w:gridCol w:w="2377"/>
        <w:gridCol w:w="390"/>
        <w:gridCol w:w="938"/>
        <w:gridCol w:w="1086"/>
        <w:gridCol w:w="1171"/>
        <w:gridCol w:w="851"/>
      </w:tblGrid>
      <w:tr w:rsidR="001154E7" w14:paraId="5377E737" w14:textId="77777777" w:rsidTr="00614201">
        <w:trPr>
          <w:trHeight w:val="227"/>
        </w:trPr>
        <w:tc>
          <w:tcPr>
            <w:tcW w:w="0" w:type="auto"/>
            <w:vMerge w:val="restart"/>
            <w:tcBorders>
              <w:top w:val="single" w:sz="4" w:space="0" w:color="000000"/>
              <w:bottom w:val="single" w:sz="4" w:space="0" w:color="000000"/>
            </w:tcBorders>
            <w:shd w:val="clear" w:color="auto" w:fill="FFFFFF"/>
            <w:vAlign w:val="center"/>
          </w:tcPr>
          <w:p w14:paraId="71E1FDE4" w14:textId="77777777" w:rsidR="001154E7" w:rsidRDefault="00ED61B9">
            <w:pPr>
              <w:adjustRightInd w:val="0"/>
              <w:snapToGrid w:val="0"/>
              <w:spacing w:line="360" w:lineRule="auto"/>
              <w:ind w:firstLineChars="100" w:firstLine="241"/>
              <w:jc w:val="both"/>
              <w:textAlignment w:val="center"/>
              <w:rPr>
                <w:rFonts w:ascii="Book Antiqua" w:hAnsi="Book Antiqua"/>
                <w:b/>
                <w:bCs/>
                <w:color w:val="000000" w:themeColor="text1"/>
              </w:rPr>
            </w:pPr>
            <w:r>
              <w:rPr>
                <w:rFonts w:ascii="Book Antiqua" w:hAnsi="Book Antiqua"/>
                <w:b/>
                <w:bCs/>
                <w:color w:val="000000" w:themeColor="text1"/>
              </w:rPr>
              <w:t>Group</w:t>
            </w:r>
          </w:p>
        </w:tc>
        <w:tc>
          <w:tcPr>
            <w:tcW w:w="0" w:type="auto"/>
            <w:vMerge w:val="restart"/>
            <w:tcBorders>
              <w:top w:val="single" w:sz="4" w:space="0" w:color="000000"/>
              <w:bottom w:val="single" w:sz="4" w:space="0" w:color="000000"/>
            </w:tcBorders>
            <w:shd w:val="clear" w:color="auto" w:fill="FFFFFF"/>
            <w:vAlign w:val="center"/>
          </w:tcPr>
          <w:p w14:paraId="05D619E1" w14:textId="77777777" w:rsidR="001154E7" w:rsidRDefault="00ED61B9">
            <w:pPr>
              <w:adjustRightInd w:val="0"/>
              <w:snapToGrid w:val="0"/>
              <w:spacing w:line="360" w:lineRule="auto"/>
              <w:jc w:val="both"/>
              <w:textAlignment w:val="center"/>
              <w:rPr>
                <w:rFonts w:ascii="Book Antiqua" w:hAnsi="Book Antiqua"/>
                <w:b/>
                <w:bCs/>
                <w:i/>
                <w:iCs/>
                <w:color w:val="000000" w:themeColor="text1"/>
              </w:rPr>
            </w:pPr>
            <w:r>
              <w:rPr>
                <w:rFonts w:ascii="Book Antiqua" w:hAnsi="Book Antiqua"/>
                <w:b/>
                <w:bCs/>
                <w:i/>
                <w:iCs/>
                <w:color w:val="000000" w:themeColor="text1"/>
              </w:rPr>
              <w:t>n</w:t>
            </w:r>
          </w:p>
        </w:tc>
        <w:tc>
          <w:tcPr>
            <w:tcW w:w="0" w:type="auto"/>
            <w:gridSpan w:val="2"/>
            <w:tcBorders>
              <w:top w:val="single" w:sz="4" w:space="0" w:color="000000"/>
              <w:bottom w:val="single" w:sz="4" w:space="0" w:color="000000"/>
            </w:tcBorders>
            <w:shd w:val="clear" w:color="auto" w:fill="FFFFFF"/>
            <w:vAlign w:val="center"/>
          </w:tcPr>
          <w:p w14:paraId="01AB7E92"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TUFT1 expression</w:t>
            </w:r>
          </w:p>
        </w:tc>
        <w:tc>
          <w:tcPr>
            <w:tcW w:w="0" w:type="auto"/>
            <w:vMerge w:val="restart"/>
            <w:tcBorders>
              <w:top w:val="single" w:sz="4" w:space="0" w:color="000000"/>
              <w:bottom w:val="single" w:sz="4" w:space="0" w:color="000000"/>
            </w:tcBorders>
            <w:shd w:val="clear" w:color="auto" w:fill="FFFFFF"/>
            <w:vAlign w:val="center"/>
          </w:tcPr>
          <w:p w14:paraId="2B235280" w14:textId="1D318376" w:rsidR="001154E7" w:rsidRDefault="00ED61B9">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t>Pearson</w:t>
            </w:r>
            <w:r w:rsidR="00920901">
              <w:rPr>
                <w:rFonts w:ascii="Book Antiqua" w:hAnsi="Book Antiqua" w:hint="eastAsia"/>
                <w:b/>
                <w:bCs/>
                <w:color w:val="000000" w:themeColor="text1"/>
                <w:lang w:eastAsia="zh-CN"/>
              </w:rPr>
              <w:t xml:space="preserve"> </w:t>
            </w:r>
            <w:r w:rsidR="00920901">
              <w:rPr>
                <w:rFonts w:ascii="Book Antiqua" w:hAnsi="Book Antiqua"/>
                <w:b/>
                <w:bCs/>
                <w:i/>
                <w:iCs/>
              </w:rPr>
              <w:t>χ</w:t>
            </w:r>
            <w:r>
              <w:rPr>
                <w:rFonts w:ascii="Book Antiqua" w:hAnsi="Book Antiqua"/>
                <w:b/>
                <w:bCs/>
                <w:color w:val="000000" w:themeColor="text1"/>
                <w:vertAlign w:val="superscript"/>
              </w:rPr>
              <w:t>2</w:t>
            </w:r>
          </w:p>
        </w:tc>
        <w:tc>
          <w:tcPr>
            <w:tcW w:w="0" w:type="auto"/>
            <w:vMerge w:val="restart"/>
            <w:tcBorders>
              <w:top w:val="single" w:sz="4" w:space="0" w:color="000000"/>
              <w:bottom w:val="single" w:sz="4" w:space="0" w:color="000000"/>
            </w:tcBorders>
            <w:shd w:val="clear" w:color="auto" w:fill="FFFFFF"/>
            <w:vAlign w:val="center"/>
          </w:tcPr>
          <w:p w14:paraId="0520B978" w14:textId="77777777" w:rsidR="001154E7" w:rsidRDefault="00ED61B9">
            <w:pPr>
              <w:adjustRightInd w:val="0"/>
              <w:snapToGrid w:val="0"/>
              <w:spacing w:line="360" w:lineRule="auto"/>
              <w:jc w:val="both"/>
              <w:textAlignment w:val="center"/>
              <w:rPr>
                <w:rFonts w:ascii="Book Antiqua" w:hAnsi="Book Antiqua"/>
                <w:b/>
                <w:bCs/>
                <w:i/>
                <w:iCs/>
                <w:color w:val="000000" w:themeColor="text1"/>
              </w:rPr>
            </w:pPr>
            <w:r>
              <w:rPr>
                <w:rFonts w:ascii="Book Antiqua" w:hAnsi="Book Antiqua"/>
                <w:b/>
                <w:bCs/>
                <w:i/>
                <w:iCs/>
                <w:color w:val="000000" w:themeColor="text1"/>
              </w:rPr>
              <w:t xml:space="preserve">P </w:t>
            </w:r>
            <w:r>
              <w:rPr>
                <w:rFonts w:ascii="Book Antiqua" w:hAnsi="Book Antiqua"/>
                <w:b/>
                <w:bCs/>
                <w:color w:val="000000" w:themeColor="text1"/>
              </w:rPr>
              <w:t>value</w:t>
            </w:r>
          </w:p>
        </w:tc>
      </w:tr>
      <w:tr w:rsidR="001154E7" w14:paraId="6298D9F2" w14:textId="77777777" w:rsidTr="00614201">
        <w:trPr>
          <w:trHeight w:val="227"/>
        </w:trPr>
        <w:tc>
          <w:tcPr>
            <w:tcW w:w="0" w:type="auto"/>
            <w:vMerge/>
            <w:tcBorders>
              <w:top w:val="single" w:sz="4" w:space="0" w:color="000000"/>
              <w:bottom w:val="single" w:sz="4" w:space="0" w:color="000000"/>
            </w:tcBorders>
            <w:shd w:val="clear" w:color="auto" w:fill="FFFFFF"/>
          </w:tcPr>
          <w:p w14:paraId="39EE12C8" w14:textId="77777777" w:rsidR="001154E7" w:rsidRDefault="001154E7">
            <w:pPr>
              <w:adjustRightInd w:val="0"/>
              <w:snapToGrid w:val="0"/>
              <w:spacing w:line="360" w:lineRule="auto"/>
              <w:ind w:firstLine="420"/>
              <w:jc w:val="both"/>
              <w:textAlignment w:val="center"/>
              <w:rPr>
                <w:rFonts w:ascii="Book Antiqua" w:hAnsi="Book Antiqua"/>
                <w:color w:val="000000" w:themeColor="text1"/>
              </w:rPr>
            </w:pPr>
          </w:p>
        </w:tc>
        <w:tc>
          <w:tcPr>
            <w:tcW w:w="0" w:type="auto"/>
            <w:vMerge/>
            <w:tcBorders>
              <w:top w:val="single" w:sz="4" w:space="0" w:color="000000"/>
              <w:bottom w:val="single" w:sz="4" w:space="0" w:color="000000"/>
            </w:tcBorders>
            <w:shd w:val="clear" w:color="auto" w:fill="FFFFFF"/>
          </w:tcPr>
          <w:p w14:paraId="7D534869"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tcBorders>
              <w:top w:val="single" w:sz="4" w:space="0" w:color="000000"/>
              <w:bottom w:val="single" w:sz="4" w:space="0" w:color="000000"/>
            </w:tcBorders>
            <w:shd w:val="clear" w:color="auto" w:fill="FFFFFF"/>
          </w:tcPr>
          <w:p w14:paraId="7F0DE877"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Low</w:t>
            </w:r>
          </w:p>
        </w:tc>
        <w:tc>
          <w:tcPr>
            <w:tcW w:w="0" w:type="auto"/>
            <w:tcBorders>
              <w:top w:val="single" w:sz="4" w:space="0" w:color="000000"/>
              <w:bottom w:val="single" w:sz="4" w:space="0" w:color="000000"/>
            </w:tcBorders>
            <w:shd w:val="clear" w:color="auto" w:fill="FFFFFF"/>
          </w:tcPr>
          <w:p w14:paraId="539C150A"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High</w:t>
            </w:r>
          </w:p>
        </w:tc>
        <w:tc>
          <w:tcPr>
            <w:tcW w:w="0" w:type="auto"/>
            <w:vMerge/>
            <w:tcBorders>
              <w:top w:val="single" w:sz="4" w:space="0" w:color="000000"/>
              <w:bottom w:val="single" w:sz="4" w:space="0" w:color="000000"/>
            </w:tcBorders>
            <w:shd w:val="clear" w:color="auto" w:fill="FFFFFF"/>
          </w:tcPr>
          <w:p w14:paraId="25E00B8F" w14:textId="77777777" w:rsidR="001154E7" w:rsidRDefault="001154E7">
            <w:pPr>
              <w:adjustRightInd w:val="0"/>
              <w:snapToGrid w:val="0"/>
              <w:spacing w:line="360" w:lineRule="auto"/>
              <w:jc w:val="both"/>
              <w:rPr>
                <w:rFonts w:ascii="Book Antiqua" w:hAnsi="Book Antiqua"/>
                <w:color w:val="000000" w:themeColor="text1"/>
              </w:rPr>
            </w:pPr>
          </w:p>
        </w:tc>
        <w:tc>
          <w:tcPr>
            <w:tcW w:w="0" w:type="auto"/>
            <w:vMerge/>
            <w:tcBorders>
              <w:top w:val="single" w:sz="4" w:space="0" w:color="000000"/>
              <w:bottom w:val="single" w:sz="4" w:space="0" w:color="000000"/>
            </w:tcBorders>
            <w:shd w:val="clear" w:color="auto" w:fill="FFFFFF"/>
          </w:tcPr>
          <w:p w14:paraId="1F282825" w14:textId="77777777" w:rsidR="001154E7" w:rsidRDefault="001154E7">
            <w:pPr>
              <w:adjustRightInd w:val="0"/>
              <w:snapToGrid w:val="0"/>
              <w:spacing w:line="360" w:lineRule="auto"/>
              <w:jc w:val="both"/>
              <w:textAlignment w:val="center"/>
              <w:rPr>
                <w:rFonts w:ascii="Book Antiqua" w:hAnsi="Book Antiqua"/>
                <w:i/>
                <w:iCs/>
                <w:color w:val="000000" w:themeColor="text1"/>
              </w:rPr>
            </w:pPr>
          </w:p>
        </w:tc>
      </w:tr>
      <w:tr w:rsidR="001154E7" w14:paraId="2E81368F" w14:textId="77777777" w:rsidTr="00614201">
        <w:trPr>
          <w:trHeight w:val="227"/>
        </w:trPr>
        <w:tc>
          <w:tcPr>
            <w:tcW w:w="0" w:type="auto"/>
            <w:tcBorders>
              <w:top w:val="single" w:sz="4" w:space="0" w:color="000000"/>
            </w:tcBorders>
            <w:shd w:val="clear" w:color="auto" w:fill="FFFFFF"/>
          </w:tcPr>
          <w:p w14:paraId="1CEE163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AFP (</w:t>
            </w:r>
            <w:proofErr w:type="spellStart"/>
            <w:r>
              <w:rPr>
                <w:rFonts w:ascii="Book Antiqua" w:hAnsi="Book Antiqua"/>
                <w:color w:val="000000" w:themeColor="text1"/>
              </w:rPr>
              <w:t>ng</w:t>
            </w:r>
            <w:proofErr w:type="spellEnd"/>
            <w:r>
              <w:rPr>
                <w:rFonts w:ascii="Book Antiqua" w:hAnsi="Book Antiqua"/>
                <w:color w:val="000000" w:themeColor="text1"/>
              </w:rPr>
              <w:t>/mL)</w:t>
            </w:r>
          </w:p>
        </w:tc>
        <w:tc>
          <w:tcPr>
            <w:tcW w:w="0" w:type="auto"/>
            <w:tcBorders>
              <w:top w:val="single" w:sz="4" w:space="0" w:color="000000"/>
            </w:tcBorders>
            <w:shd w:val="clear" w:color="auto" w:fill="FFFFFF"/>
          </w:tcPr>
          <w:p w14:paraId="74D64A9C"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tcBorders>
              <w:top w:val="single" w:sz="4" w:space="0" w:color="000000"/>
            </w:tcBorders>
            <w:shd w:val="clear" w:color="auto" w:fill="FFFFFF"/>
          </w:tcPr>
          <w:p w14:paraId="5BF949B1"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tcBorders>
              <w:top w:val="single" w:sz="4" w:space="0" w:color="000000"/>
            </w:tcBorders>
            <w:shd w:val="clear" w:color="auto" w:fill="FFFFFF"/>
          </w:tcPr>
          <w:p w14:paraId="058CF16F"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tcBorders>
              <w:top w:val="single" w:sz="4" w:space="0" w:color="000000"/>
            </w:tcBorders>
            <w:shd w:val="clear" w:color="auto" w:fill="FFFFFF"/>
          </w:tcPr>
          <w:p w14:paraId="0B16D28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2.901</w:t>
            </w:r>
          </w:p>
        </w:tc>
        <w:tc>
          <w:tcPr>
            <w:tcW w:w="0" w:type="auto"/>
            <w:tcBorders>
              <w:top w:val="single" w:sz="4" w:space="0" w:color="000000"/>
            </w:tcBorders>
            <w:shd w:val="clear" w:color="auto" w:fill="FFFFFF"/>
          </w:tcPr>
          <w:p w14:paraId="0597E03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0.089</w:t>
            </w:r>
          </w:p>
        </w:tc>
      </w:tr>
      <w:tr w:rsidR="001154E7" w14:paraId="473377C2" w14:textId="77777777" w:rsidTr="00614201">
        <w:trPr>
          <w:trHeight w:val="227"/>
        </w:trPr>
        <w:tc>
          <w:tcPr>
            <w:tcW w:w="0" w:type="auto"/>
            <w:shd w:val="clear" w:color="auto" w:fill="FFFFFF"/>
          </w:tcPr>
          <w:p w14:paraId="2E16D59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20</w:t>
            </w:r>
          </w:p>
        </w:tc>
        <w:tc>
          <w:tcPr>
            <w:tcW w:w="0" w:type="auto"/>
            <w:shd w:val="clear" w:color="auto" w:fill="FFFFFF"/>
          </w:tcPr>
          <w:p w14:paraId="3D0D63F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28</w:t>
            </w:r>
          </w:p>
        </w:tc>
        <w:tc>
          <w:tcPr>
            <w:tcW w:w="0" w:type="auto"/>
            <w:shd w:val="clear" w:color="auto" w:fill="FFFFFF"/>
          </w:tcPr>
          <w:p w14:paraId="45C1C21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18</w:t>
            </w:r>
          </w:p>
        </w:tc>
        <w:tc>
          <w:tcPr>
            <w:tcW w:w="0" w:type="auto"/>
            <w:shd w:val="clear" w:color="auto" w:fill="FFFFFF"/>
          </w:tcPr>
          <w:p w14:paraId="353FDCC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w:t>
            </w:r>
          </w:p>
        </w:tc>
        <w:tc>
          <w:tcPr>
            <w:tcW w:w="0" w:type="auto"/>
            <w:shd w:val="clear" w:color="auto" w:fill="FFFFFF"/>
          </w:tcPr>
          <w:p w14:paraId="6E0476E8"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3C529539"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561C0C0A" w14:textId="77777777" w:rsidTr="00614201">
        <w:trPr>
          <w:trHeight w:val="227"/>
        </w:trPr>
        <w:tc>
          <w:tcPr>
            <w:tcW w:w="0" w:type="auto"/>
            <w:shd w:val="clear" w:color="auto" w:fill="FFFFFF"/>
          </w:tcPr>
          <w:p w14:paraId="1C86355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20</w:t>
            </w:r>
          </w:p>
        </w:tc>
        <w:tc>
          <w:tcPr>
            <w:tcW w:w="0" w:type="auto"/>
            <w:shd w:val="clear" w:color="auto" w:fill="FFFFFF"/>
          </w:tcPr>
          <w:p w14:paraId="63B8A7E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104</w:t>
            </w:r>
          </w:p>
        </w:tc>
        <w:tc>
          <w:tcPr>
            <w:tcW w:w="0" w:type="auto"/>
            <w:shd w:val="clear" w:color="auto" w:fill="FFFFFF"/>
          </w:tcPr>
          <w:p w14:paraId="3E0E920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48</w:t>
            </w:r>
          </w:p>
        </w:tc>
        <w:tc>
          <w:tcPr>
            <w:tcW w:w="0" w:type="auto"/>
            <w:shd w:val="clear" w:color="auto" w:fill="FFFFFF"/>
          </w:tcPr>
          <w:p w14:paraId="5004DE1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56</w:t>
            </w:r>
          </w:p>
        </w:tc>
        <w:tc>
          <w:tcPr>
            <w:tcW w:w="0" w:type="auto"/>
            <w:shd w:val="clear" w:color="auto" w:fill="FFFFFF"/>
          </w:tcPr>
          <w:p w14:paraId="65C950D4" w14:textId="77777777" w:rsidR="001154E7" w:rsidRDefault="001154E7">
            <w:pPr>
              <w:adjustRightInd w:val="0"/>
              <w:snapToGrid w:val="0"/>
              <w:spacing w:line="360" w:lineRule="auto"/>
              <w:jc w:val="both"/>
              <w:rPr>
                <w:rFonts w:ascii="Book Antiqua" w:hAnsi="Book Antiqua"/>
                <w:color w:val="000000" w:themeColor="text1"/>
              </w:rPr>
            </w:pPr>
          </w:p>
        </w:tc>
        <w:tc>
          <w:tcPr>
            <w:tcW w:w="0" w:type="auto"/>
            <w:shd w:val="clear" w:color="auto" w:fill="FFFFFF"/>
          </w:tcPr>
          <w:p w14:paraId="772EB67F"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4A161388" w14:textId="77777777" w:rsidTr="00614201">
        <w:trPr>
          <w:trHeight w:val="227"/>
        </w:trPr>
        <w:tc>
          <w:tcPr>
            <w:tcW w:w="0" w:type="auto"/>
            <w:shd w:val="clear" w:color="auto" w:fill="FFFFFF"/>
          </w:tcPr>
          <w:p w14:paraId="0D06B6AD" w14:textId="77777777" w:rsidR="001154E7" w:rsidRDefault="00ED61B9">
            <w:pPr>
              <w:adjustRightInd w:val="0"/>
              <w:snapToGrid w:val="0"/>
              <w:spacing w:line="360" w:lineRule="auto"/>
              <w:jc w:val="both"/>
              <w:textAlignment w:val="center"/>
              <w:rPr>
                <w:rFonts w:ascii="Book Antiqua" w:hAnsi="Book Antiqua"/>
                <w:color w:val="000000" w:themeColor="text1"/>
              </w:rPr>
            </w:pPr>
            <w:proofErr w:type="spellStart"/>
            <w:r>
              <w:rPr>
                <w:rFonts w:ascii="Book Antiqua" w:hAnsi="Book Antiqua"/>
                <w:color w:val="000000" w:themeColor="text1"/>
              </w:rPr>
              <w:t>HBsAg</w:t>
            </w:r>
            <w:proofErr w:type="spellEnd"/>
          </w:p>
        </w:tc>
        <w:tc>
          <w:tcPr>
            <w:tcW w:w="0" w:type="auto"/>
            <w:shd w:val="clear" w:color="auto" w:fill="FFFFFF"/>
          </w:tcPr>
          <w:p w14:paraId="559AB28F"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2AC0FC21"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48955235"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237F9B6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3.300</w:t>
            </w:r>
          </w:p>
        </w:tc>
        <w:tc>
          <w:tcPr>
            <w:tcW w:w="0" w:type="auto"/>
            <w:shd w:val="clear" w:color="auto" w:fill="FFFFFF"/>
          </w:tcPr>
          <w:p w14:paraId="7179008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0.069</w:t>
            </w:r>
          </w:p>
        </w:tc>
      </w:tr>
      <w:tr w:rsidR="001154E7" w14:paraId="152C397D" w14:textId="77777777" w:rsidTr="00614201">
        <w:trPr>
          <w:trHeight w:val="227"/>
        </w:trPr>
        <w:tc>
          <w:tcPr>
            <w:tcW w:w="0" w:type="auto"/>
            <w:shd w:val="clear" w:color="auto" w:fill="FFFFFF"/>
          </w:tcPr>
          <w:p w14:paraId="4BF8362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Neg.</w:t>
            </w:r>
          </w:p>
        </w:tc>
        <w:tc>
          <w:tcPr>
            <w:tcW w:w="0" w:type="auto"/>
            <w:shd w:val="clear" w:color="auto" w:fill="FFFFFF"/>
          </w:tcPr>
          <w:p w14:paraId="0C433A2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12</w:t>
            </w:r>
          </w:p>
        </w:tc>
        <w:tc>
          <w:tcPr>
            <w:tcW w:w="0" w:type="auto"/>
            <w:shd w:val="clear" w:color="auto" w:fill="FFFFFF"/>
          </w:tcPr>
          <w:p w14:paraId="0A1AFA4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9</w:t>
            </w:r>
          </w:p>
        </w:tc>
        <w:tc>
          <w:tcPr>
            <w:tcW w:w="0" w:type="auto"/>
            <w:shd w:val="clear" w:color="auto" w:fill="FFFFFF"/>
          </w:tcPr>
          <w:p w14:paraId="47FF74C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w:t>
            </w:r>
          </w:p>
        </w:tc>
        <w:tc>
          <w:tcPr>
            <w:tcW w:w="0" w:type="auto"/>
            <w:shd w:val="clear" w:color="auto" w:fill="FFFFFF"/>
          </w:tcPr>
          <w:p w14:paraId="2E2F6549"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6B4D7271"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6A4FA196" w14:textId="77777777" w:rsidTr="00614201">
        <w:trPr>
          <w:trHeight w:val="227"/>
        </w:trPr>
        <w:tc>
          <w:tcPr>
            <w:tcW w:w="0" w:type="auto"/>
            <w:shd w:val="clear" w:color="auto" w:fill="FFFFFF"/>
          </w:tcPr>
          <w:p w14:paraId="5CA61B3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Pos.</w:t>
            </w:r>
          </w:p>
        </w:tc>
        <w:tc>
          <w:tcPr>
            <w:tcW w:w="0" w:type="auto"/>
            <w:shd w:val="clear" w:color="auto" w:fill="FFFFFF"/>
          </w:tcPr>
          <w:p w14:paraId="6B6E1C2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120</w:t>
            </w:r>
          </w:p>
        </w:tc>
        <w:tc>
          <w:tcPr>
            <w:tcW w:w="0" w:type="auto"/>
            <w:shd w:val="clear" w:color="auto" w:fill="FFFFFF"/>
          </w:tcPr>
          <w:p w14:paraId="7A3A55C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57</w:t>
            </w:r>
          </w:p>
        </w:tc>
        <w:tc>
          <w:tcPr>
            <w:tcW w:w="0" w:type="auto"/>
            <w:shd w:val="clear" w:color="auto" w:fill="FFFFFF"/>
          </w:tcPr>
          <w:p w14:paraId="2AF9EF9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63</w:t>
            </w:r>
          </w:p>
        </w:tc>
        <w:tc>
          <w:tcPr>
            <w:tcW w:w="0" w:type="auto"/>
            <w:shd w:val="clear" w:color="auto" w:fill="FFFFFF"/>
          </w:tcPr>
          <w:p w14:paraId="5169392A" w14:textId="77777777" w:rsidR="001154E7" w:rsidRDefault="001154E7">
            <w:pPr>
              <w:adjustRightInd w:val="0"/>
              <w:snapToGrid w:val="0"/>
              <w:spacing w:line="360" w:lineRule="auto"/>
              <w:jc w:val="both"/>
              <w:rPr>
                <w:rFonts w:ascii="Book Antiqua" w:hAnsi="Book Antiqua"/>
                <w:color w:val="000000" w:themeColor="text1"/>
              </w:rPr>
            </w:pPr>
          </w:p>
        </w:tc>
        <w:tc>
          <w:tcPr>
            <w:tcW w:w="0" w:type="auto"/>
            <w:shd w:val="clear" w:color="auto" w:fill="FFFFFF"/>
          </w:tcPr>
          <w:p w14:paraId="4CC2DAC5"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51901A54" w14:textId="77777777" w:rsidTr="00614201">
        <w:trPr>
          <w:trHeight w:val="227"/>
        </w:trPr>
        <w:tc>
          <w:tcPr>
            <w:tcW w:w="0" w:type="auto"/>
            <w:shd w:val="clear" w:color="auto" w:fill="FFFFFF"/>
          </w:tcPr>
          <w:p w14:paraId="0BF6F886" w14:textId="77777777" w:rsidR="001154E7" w:rsidRDefault="00ED61B9">
            <w:pPr>
              <w:adjustRightInd w:val="0"/>
              <w:snapToGrid w:val="0"/>
              <w:spacing w:line="360" w:lineRule="auto"/>
              <w:jc w:val="both"/>
              <w:textAlignment w:val="center"/>
              <w:rPr>
                <w:rFonts w:ascii="Book Antiqua" w:hAnsi="Book Antiqua"/>
                <w:color w:val="000000" w:themeColor="text1"/>
              </w:rPr>
            </w:pPr>
            <w:proofErr w:type="spellStart"/>
            <w:r>
              <w:rPr>
                <w:rFonts w:ascii="Book Antiqua" w:hAnsi="Book Antiqua"/>
                <w:color w:val="000000" w:themeColor="text1"/>
              </w:rPr>
              <w:t>HBeAg</w:t>
            </w:r>
            <w:proofErr w:type="spellEnd"/>
          </w:p>
        </w:tc>
        <w:tc>
          <w:tcPr>
            <w:tcW w:w="0" w:type="auto"/>
            <w:shd w:val="clear" w:color="auto" w:fill="FFFFFF"/>
          </w:tcPr>
          <w:p w14:paraId="1CA8D7EA"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146FFE6F"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2780944F"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0AC6661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4.080</w:t>
            </w:r>
          </w:p>
        </w:tc>
        <w:tc>
          <w:tcPr>
            <w:tcW w:w="0" w:type="auto"/>
            <w:shd w:val="clear" w:color="auto" w:fill="FFFFFF"/>
          </w:tcPr>
          <w:p w14:paraId="7846DCC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0.043</w:t>
            </w:r>
          </w:p>
        </w:tc>
      </w:tr>
      <w:tr w:rsidR="001154E7" w14:paraId="60F0044D" w14:textId="77777777" w:rsidTr="00614201">
        <w:trPr>
          <w:trHeight w:val="227"/>
        </w:trPr>
        <w:tc>
          <w:tcPr>
            <w:tcW w:w="0" w:type="auto"/>
            <w:shd w:val="clear" w:color="auto" w:fill="FFFFFF"/>
          </w:tcPr>
          <w:p w14:paraId="204EDB2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Neg.</w:t>
            </w:r>
          </w:p>
        </w:tc>
        <w:tc>
          <w:tcPr>
            <w:tcW w:w="0" w:type="auto"/>
            <w:shd w:val="clear" w:color="auto" w:fill="FFFFFF"/>
          </w:tcPr>
          <w:p w14:paraId="0C3A9B2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87</w:t>
            </w:r>
          </w:p>
        </w:tc>
        <w:tc>
          <w:tcPr>
            <w:tcW w:w="0" w:type="auto"/>
            <w:shd w:val="clear" w:color="auto" w:fill="FFFFFF"/>
          </w:tcPr>
          <w:p w14:paraId="3F5EBFD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49</w:t>
            </w:r>
          </w:p>
        </w:tc>
        <w:tc>
          <w:tcPr>
            <w:tcW w:w="0" w:type="auto"/>
            <w:shd w:val="clear" w:color="auto" w:fill="FFFFFF"/>
          </w:tcPr>
          <w:p w14:paraId="30F1ABE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38</w:t>
            </w:r>
          </w:p>
        </w:tc>
        <w:tc>
          <w:tcPr>
            <w:tcW w:w="0" w:type="auto"/>
            <w:shd w:val="clear" w:color="auto" w:fill="FFFFFF"/>
          </w:tcPr>
          <w:p w14:paraId="425CF491"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031F403D"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0B87EF81" w14:textId="77777777" w:rsidTr="00614201">
        <w:trPr>
          <w:trHeight w:val="227"/>
        </w:trPr>
        <w:tc>
          <w:tcPr>
            <w:tcW w:w="0" w:type="auto"/>
            <w:shd w:val="clear" w:color="auto" w:fill="FFFFFF"/>
          </w:tcPr>
          <w:p w14:paraId="72E1FB4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Pos.</w:t>
            </w:r>
          </w:p>
        </w:tc>
        <w:tc>
          <w:tcPr>
            <w:tcW w:w="0" w:type="auto"/>
            <w:shd w:val="clear" w:color="auto" w:fill="FFFFFF"/>
          </w:tcPr>
          <w:p w14:paraId="6270D21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45</w:t>
            </w:r>
          </w:p>
        </w:tc>
        <w:tc>
          <w:tcPr>
            <w:tcW w:w="0" w:type="auto"/>
            <w:shd w:val="clear" w:color="auto" w:fill="FFFFFF"/>
          </w:tcPr>
          <w:p w14:paraId="1D37ADE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17</w:t>
            </w:r>
          </w:p>
        </w:tc>
        <w:tc>
          <w:tcPr>
            <w:tcW w:w="0" w:type="auto"/>
            <w:shd w:val="clear" w:color="auto" w:fill="FFFFFF"/>
          </w:tcPr>
          <w:p w14:paraId="7C17DEB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28</w:t>
            </w:r>
          </w:p>
        </w:tc>
        <w:tc>
          <w:tcPr>
            <w:tcW w:w="0" w:type="auto"/>
            <w:shd w:val="clear" w:color="auto" w:fill="FFFFFF"/>
          </w:tcPr>
          <w:p w14:paraId="3AC91F14"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50BA0613"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5B0E4FC8" w14:textId="77777777" w:rsidTr="00614201">
        <w:trPr>
          <w:trHeight w:val="227"/>
        </w:trPr>
        <w:tc>
          <w:tcPr>
            <w:tcW w:w="0" w:type="auto"/>
            <w:shd w:val="clear" w:color="auto" w:fill="FFFFFF"/>
          </w:tcPr>
          <w:p w14:paraId="78FBF137" w14:textId="77777777" w:rsidR="001154E7" w:rsidRDefault="00ED61B9">
            <w:pPr>
              <w:adjustRightInd w:val="0"/>
              <w:snapToGrid w:val="0"/>
              <w:spacing w:line="360" w:lineRule="auto"/>
              <w:jc w:val="both"/>
              <w:textAlignment w:val="center"/>
              <w:rPr>
                <w:rFonts w:ascii="Book Antiqua" w:hAnsi="Book Antiqua"/>
                <w:color w:val="000000" w:themeColor="text1"/>
                <w:lang w:eastAsia="zh-CN"/>
              </w:rPr>
            </w:pPr>
            <w:r>
              <w:rPr>
                <w:rFonts w:ascii="Book Antiqua" w:hAnsi="Book Antiqua"/>
                <w:color w:val="000000" w:themeColor="text1"/>
              </w:rPr>
              <w:t>Tumor size</w:t>
            </w:r>
            <w:r>
              <w:rPr>
                <w:rFonts w:ascii="Book Antiqua" w:hAnsi="Book Antiqua"/>
                <w:color w:val="000000" w:themeColor="text1"/>
                <w:lang w:eastAsia="zh-CN"/>
              </w:rPr>
              <w:t xml:space="preserve"> (</w:t>
            </w:r>
            <w:r>
              <w:rPr>
                <w:rFonts w:ascii="Book Antiqua" w:hAnsi="Book Antiqua"/>
                <w:color w:val="000000" w:themeColor="text1"/>
              </w:rPr>
              <w:t>cm</w:t>
            </w:r>
            <w:r>
              <w:rPr>
                <w:rFonts w:ascii="Book Antiqua" w:hAnsi="Book Antiqua"/>
                <w:color w:val="000000" w:themeColor="text1"/>
                <w:lang w:eastAsia="zh-CN"/>
              </w:rPr>
              <w:t>)</w:t>
            </w:r>
          </w:p>
        </w:tc>
        <w:tc>
          <w:tcPr>
            <w:tcW w:w="0" w:type="auto"/>
            <w:shd w:val="clear" w:color="auto" w:fill="FFFFFF"/>
          </w:tcPr>
          <w:p w14:paraId="7461C483"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65BCC767"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163AB754"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6597BD1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9.388</w:t>
            </w:r>
          </w:p>
        </w:tc>
        <w:tc>
          <w:tcPr>
            <w:tcW w:w="0" w:type="auto"/>
            <w:shd w:val="clear" w:color="auto" w:fill="FFFFFF"/>
          </w:tcPr>
          <w:p w14:paraId="093F438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0.002</w:t>
            </w:r>
          </w:p>
        </w:tc>
      </w:tr>
      <w:tr w:rsidR="001154E7" w14:paraId="747376C7" w14:textId="77777777" w:rsidTr="00614201">
        <w:trPr>
          <w:trHeight w:val="227"/>
        </w:trPr>
        <w:tc>
          <w:tcPr>
            <w:tcW w:w="0" w:type="auto"/>
            <w:shd w:val="clear" w:color="auto" w:fill="FFFFFF"/>
          </w:tcPr>
          <w:p w14:paraId="4F179F4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3</w:t>
            </w:r>
          </w:p>
        </w:tc>
        <w:tc>
          <w:tcPr>
            <w:tcW w:w="0" w:type="auto"/>
            <w:shd w:val="clear" w:color="auto" w:fill="FFFFFF"/>
          </w:tcPr>
          <w:p w14:paraId="5845FE5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26</w:t>
            </w:r>
          </w:p>
        </w:tc>
        <w:tc>
          <w:tcPr>
            <w:tcW w:w="0" w:type="auto"/>
            <w:shd w:val="clear" w:color="auto" w:fill="FFFFFF"/>
          </w:tcPr>
          <w:p w14:paraId="103A6AF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20</w:t>
            </w:r>
          </w:p>
        </w:tc>
        <w:tc>
          <w:tcPr>
            <w:tcW w:w="0" w:type="auto"/>
            <w:shd w:val="clear" w:color="auto" w:fill="FFFFFF"/>
          </w:tcPr>
          <w:p w14:paraId="2C26D4D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w:t>
            </w:r>
          </w:p>
        </w:tc>
        <w:tc>
          <w:tcPr>
            <w:tcW w:w="0" w:type="auto"/>
            <w:shd w:val="clear" w:color="auto" w:fill="FFFFFF"/>
          </w:tcPr>
          <w:p w14:paraId="68BFCB50"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20E7B766"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26AF3255" w14:textId="77777777" w:rsidTr="00614201">
        <w:trPr>
          <w:trHeight w:val="227"/>
        </w:trPr>
        <w:tc>
          <w:tcPr>
            <w:tcW w:w="0" w:type="auto"/>
            <w:shd w:val="clear" w:color="auto" w:fill="FFFFFF"/>
          </w:tcPr>
          <w:p w14:paraId="0CA0AF6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3</w:t>
            </w:r>
          </w:p>
        </w:tc>
        <w:tc>
          <w:tcPr>
            <w:tcW w:w="0" w:type="auto"/>
            <w:shd w:val="clear" w:color="auto" w:fill="FFFFFF"/>
          </w:tcPr>
          <w:p w14:paraId="0B74ABC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106</w:t>
            </w:r>
          </w:p>
        </w:tc>
        <w:tc>
          <w:tcPr>
            <w:tcW w:w="0" w:type="auto"/>
            <w:shd w:val="clear" w:color="auto" w:fill="FFFFFF"/>
          </w:tcPr>
          <w:p w14:paraId="15EDAF3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46</w:t>
            </w:r>
          </w:p>
        </w:tc>
        <w:tc>
          <w:tcPr>
            <w:tcW w:w="0" w:type="auto"/>
            <w:shd w:val="clear" w:color="auto" w:fill="FFFFFF"/>
          </w:tcPr>
          <w:p w14:paraId="5A68330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60</w:t>
            </w:r>
          </w:p>
        </w:tc>
        <w:tc>
          <w:tcPr>
            <w:tcW w:w="0" w:type="auto"/>
            <w:shd w:val="clear" w:color="auto" w:fill="FFFFFF"/>
          </w:tcPr>
          <w:p w14:paraId="6A7AE0D8" w14:textId="77777777" w:rsidR="001154E7" w:rsidRDefault="001154E7">
            <w:pPr>
              <w:adjustRightInd w:val="0"/>
              <w:snapToGrid w:val="0"/>
              <w:spacing w:line="360" w:lineRule="auto"/>
              <w:jc w:val="both"/>
              <w:rPr>
                <w:rFonts w:ascii="Book Antiqua" w:hAnsi="Book Antiqua"/>
                <w:color w:val="000000" w:themeColor="text1"/>
              </w:rPr>
            </w:pPr>
          </w:p>
        </w:tc>
        <w:tc>
          <w:tcPr>
            <w:tcW w:w="0" w:type="auto"/>
            <w:shd w:val="clear" w:color="auto" w:fill="FFFFFF"/>
          </w:tcPr>
          <w:p w14:paraId="0710B2FC"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45A3C623" w14:textId="77777777" w:rsidTr="00614201">
        <w:trPr>
          <w:trHeight w:val="227"/>
        </w:trPr>
        <w:tc>
          <w:tcPr>
            <w:tcW w:w="0" w:type="auto"/>
            <w:shd w:val="clear" w:color="auto" w:fill="FFFFFF"/>
            <w:vAlign w:val="center"/>
          </w:tcPr>
          <w:p w14:paraId="2A2AB6F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Differentiation degree </w:t>
            </w:r>
          </w:p>
        </w:tc>
        <w:tc>
          <w:tcPr>
            <w:tcW w:w="0" w:type="auto"/>
            <w:shd w:val="clear" w:color="auto" w:fill="FFFFFF"/>
          </w:tcPr>
          <w:p w14:paraId="43BA7554"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6333EF8E"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5A7A04D5"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16184EF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3.013</w:t>
            </w:r>
          </w:p>
        </w:tc>
        <w:tc>
          <w:tcPr>
            <w:tcW w:w="0" w:type="auto"/>
            <w:shd w:val="clear" w:color="auto" w:fill="FFFFFF"/>
          </w:tcPr>
          <w:p w14:paraId="3D99858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0.083</w:t>
            </w:r>
          </w:p>
        </w:tc>
      </w:tr>
      <w:tr w:rsidR="001154E7" w14:paraId="505126E3" w14:textId="77777777" w:rsidTr="00614201">
        <w:trPr>
          <w:trHeight w:val="227"/>
        </w:trPr>
        <w:tc>
          <w:tcPr>
            <w:tcW w:w="0" w:type="auto"/>
            <w:shd w:val="clear" w:color="auto" w:fill="FFFFFF"/>
            <w:vAlign w:val="center"/>
          </w:tcPr>
          <w:p w14:paraId="36F4F47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Well-Med. </w:t>
            </w:r>
          </w:p>
        </w:tc>
        <w:tc>
          <w:tcPr>
            <w:tcW w:w="0" w:type="auto"/>
            <w:shd w:val="clear" w:color="auto" w:fill="FFFFFF"/>
          </w:tcPr>
          <w:p w14:paraId="6E54866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19</w:t>
            </w:r>
          </w:p>
        </w:tc>
        <w:tc>
          <w:tcPr>
            <w:tcW w:w="0" w:type="auto"/>
            <w:shd w:val="clear" w:color="auto" w:fill="FFFFFF"/>
          </w:tcPr>
          <w:p w14:paraId="3BB5D8B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13</w:t>
            </w:r>
          </w:p>
        </w:tc>
        <w:tc>
          <w:tcPr>
            <w:tcW w:w="0" w:type="auto"/>
            <w:shd w:val="clear" w:color="auto" w:fill="FFFFFF"/>
          </w:tcPr>
          <w:p w14:paraId="4A47CB8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w:t>
            </w:r>
          </w:p>
        </w:tc>
        <w:tc>
          <w:tcPr>
            <w:tcW w:w="0" w:type="auto"/>
            <w:shd w:val="clear" w:color="auto" w:fill="FFFFFF"/>
          </w:tcPr>
          <w:p w14:paraId="3F570AB3"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09425204"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7FB8416B" w14:textId="77777777" w:rsidTr="00614201">
        <w:trPr>
          <w:trHeight w:val="227"/>
        </w:trPr>
        <w:tc>
          <w:tcPr>
            <w:tcW w:w="0" w:type="auto"/>
            <w:shd w:val="clear" w:color="auto" w:fill="FFFFFF"/>
          </w:tcPr>
          <w:p w14:paraId="544DBE9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Poor</w:t>
            </w:r>
          </w:p>
        </w:tc>
        <w:tc>
          <w:tcPr>
            <w:tcW w:w="0" w:type="auto"/>
            <w:shd w:val="clear" w:color="auto" w:fill="FFFFFF"/>
          </w:tcPr>
          <w:p w14:paraId="45955E7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113</w:t>
            </w:r>
          </w:p>
        </w:tc>
        <w:tc>
          <w:tcPr>
            <w:tcW w:w="0" w:type="auto"/>
            <w:shd w:val="clear" w:color="auto" w:fill="FFFFFF"/>
          </w:tcPr>
          <w:p w14:paraId="0E55597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53</w:t>
            </w:r>
          </w:p>
        </w:tc>
        <w:tc>
          <w:tcPr>
            <w:tcW w:w="0" w:type="auto"/>
            <w:shd w:val="clear" w:color="auto" w:fill="FFFFFF"/>
          </w:tcPr>
          <w:p w14:paraId="7B54FA9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60</w:t>
            </w:r>
          </w:p>
        </w:tc>
        <w:tc>
          <w:tcPr>
            <w:tcW w:w="0" w:type="auto"/>
            <w:shd w:val="clear" w:color="auto" w:fill="FFFFFF"/>
          </w:tcPr>
          <w:p w14:paraId="061EA26B" w14:textId="77777777" w:rsidR="001154E7" w:rsidRDefault="001154E7">
            <w:pPr>
              <w:adjustRightInd w:val="0"/>
              <w:snapToGrid w:val="0"/>
              <w:spacing w:line="360" w:lineRule="auto"/>
              <w:jc w:val="both"/>
              <w:rPr>
                <w:rFonts w:ascii="Book Antiqua" w:hAnsi="Book Antiqua"/>
                <w:color w:val="000000" w:themeColor="text1"/>
              </w:rPr>
            </w:pPr>
          </w:p>
        </w:tc>
        <w:tc>
          <w:tcPr>
            <w:tcW w:w="0" w:type="auto"/>
            <w:shd w:val="clear" w:color="auto" w:fill="FFFFFF"/>
          </w:tcPr>
          <w:p w14:paraId="60498676"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3A96603D" w14:textId="77777777" w:rsidTr="00614201">
        <w:trPr>
          <w:trHeight w:val="227"/>
        </w:trPr>
        <w:tc>
          <w:tcPr>
            <w:tcW w:w="0" w:type="auto"/>
            <w:shd w:val="clear" w:color="auto" w:fill="FFFFFF"/>
            <w:vAlign w:val="center"/>
          </w:tcPr>
          <w:p w14:paraId="5AB29CE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Vascular invasion</w:t>
            </w:r>
          </w:p>
        </w:tc>
        <w:tc>
          <w:tcPr>
            <w:tcW w:w="0" w:type="auto"/>
            <w:shd w:val="clear" w:color="auto" w:fill="FFFFFF"/>
          </w:tcPr>
          <w:p w14:paraId="113B486E"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2A566201"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4EFA8320"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7B85366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14.885</w:t>
            </w:r>
          </w:p>
        </w:tc>
        <w:tc>
          <w:tcPr>
            <w:tcW w:w="0" w:type="auto"/>
            <w:shd w:val="clear" w:color="auto" w:fill="FFFFFF"/>
          </w:tcPr>
          <w:p w14:paraId="40849D6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r>
      <w:tr w:rsidR="001154E7" w14:paraId="6C3AE716" w14:textId="77777777" w:rsidTr="00614201">
        <w:trPr>
          <w:trHeight w:val="227"/>
        </w:trPr>
        <w:tc>
          <w:tcPr>
            <w:tcW w:w="0" w:type="auto"/>
            <w:shd w:val="clear" w:color="auto" w:fill="FFFFFF"/>
            <w:vAlign w:val="center"/>
          </w:tcPr>
          <w:p w14:paraId="35F6E15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With </w:t>
            </w:r>
          </w:p>
        </w:tc>
        <w:tc>
          <w:tcPr>
            <w:tcW w:w="0" w:type="auto"/>
            <w:shd w:val="clear" w:color="auto" w:fill="FFFFFF"/>
          </w:tcPr>
          <w:p w14:paraId="5B30D1D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58</w:t>
            </w:r>
          </w:p>
        </w:tc>
        <w:tc>
          <w:tcPr>
            <w:tcW w:w="0" w:type="auto"/>
            <w:shd w:val="clear" w:color="auto" w:fill="FFFFFF"/>
          </w:tcPr>
          <w:p w14:paraId="7AEF77F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18</w:t>
            </w:r>
          </w:p>
        </w:tc>
        <w:tc>
          <w:tcPr>
            <w:tcW w:w="0" w:type="auto"/>
            <w:shd w:val="clear" w:color="auto" w:fill="FFFFFF"/>
          </w:tcPr>
          <w:p w14:paraId="4FD9AAB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40</w:t>
            </w:r>
          </w:p>
        </w:tc>
        <w:tc>
          <w:tcPr>
            <w:tcW w:w="0" w:type="auto"/>
            <w:shd w:val="clear" w:color="auto" w:fill="FFFFFF"/>
          </w:tcPr>
          <w:p w14:paraId="6C776860"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3BEC1DAA"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4FB69401" w14:textId="77777777" w:rsidTr="00614201">
        <w:trPr>
          <w:trHeight w:val="227"/>
        </w:trPr>
        <w:tc>
          <w:tcPr>
            <w:tcW w:w="0" w:type="auto"/>
            <w:shd w:val="clear" w:color="auto" w:fill="FFFFFF"/>
          </w:tcPr>
          <w:p w14:paraId="2AC0192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Without</w:t>
            </w:r>
          </w:p>
        </w:tc>
        <w:tc>
          <w:tcPr>
            <w:tcW w:w="0" w:type="auto"/>
            <w:shd w:val="clear" w:color="auto" w:fill="FFFFFF"/>
          </w:tcPr>
          <w:p w14:paraId="26919ED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74</w:t>
            </w:r>
          </w:p>
        </w:tc>
        <w:tc>
          <w:tcPr>
            <w:tcW w:w="0" w:type="auto"/>
            <w:shd w:val="clear" w:color="auto" w:fill="FFFFFF"/>
          </w:tcPr>
          <w:p w14:paraId="3B87AEB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48</w:t>
            </w:r>
          </w:p>
        </w:tc>
        <w:tc>
          <w:tcPr>
            <w:tcW w:w="0" w:type="auto"/>
            <w:shd w:val="clear" w:color="auto" w:fill="FFFFFF"/>
          </w:tcPr>
          <w:p w14:paraId="5F46920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26</w:t>
            </w:r>
          </w:p>
        </w:tc>
        <w:tc>
          <w:tcPr>
            <w:tcW w:w="0" w:type="auto"/>
            <w:shd w:val="clear" w:color="auto" w:fill="FFFFFF"/>
          </w:tcPr>
          <w:p w14:paraId="315DC1F5" w14:textId="77777777" w:rsidR="001154E7" w:rsidRDefault="001154E7">
            <w:pPr>
              <w:adjustRightInd w:val="0"/>
              <w:snapToGrid w:val="0"/>
              <w:spacing w:line="360" w:lineRule="auto"/>
              <w:jc w:val="both"/>
              <w:rPr>
                <w:rFonts w:ascii="Book Antiqua" w:hAnsi="Book Antiqua"/>
                <w:color w:val="000000" w:themeColor="text1"/>
              </w:rPr>
            </w:pPr>
          </w:p>
        </w:tc>
        <w:tc>
          <w:tcPr>
            <w:tcW w:w="0" w:type="auto"/>
            <w:shd w:val="clear" w:color="auto" w:fill="FFFFFF"/>
          </w:tcPr>
          <w:p w14:paraId="74E6A78C"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25927290" w14:textId="77777777" w:rsidTr="00614201">
        <w:trPr>
          <w:trHeight w:val="227"/>
        </w:trPr>
        <w:tc>
          <w:tcPr>
            <w:tcW w:w="0" w:type="auto"/>
            <w:shd w:val="clear" w:color="auto" w:fill="FFFFFF"/>
          </w:tcPr>
          <w:p w14:paraId="2A58C4C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Ascites</w:t>
            </w:r>
          </w:p>
        </w:tc>
        <w:tc>
          <w:tcPr>
            <w:tcW w:w="0" w:type="auto"/>
            <w:shd w:val="clear" w:color="auto" w:fill="FFFFFF"/>
          </w:tcPr>
          <w:p w14:paraId="2A82CF88"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77604CD3"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4470323D"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1F44241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5.940</w:t>
            </w:r>
          </w:p>
        </w:tc>
        <w:tc>
          <w:tcPr>
            <w:tcW w:w="0" w:type="auto"/>
            <w:shd w:val="clear" w:color="auto" w:fill="FFFFFF"/>
          </w:tcPr>
          <w:p w14:paraId="1429E06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0.015</w:t>
            </w:r>
          </w:p>
        </w:tc>
      </w:tr>
      <w:tr w:rsidR="001154E7" w14:paraId="60212B52" w14:textId="77777777" w:rsidTr="00614201">
        <w:trPr>
          <w:trHeight w:val="227"/>
        </w:trPr>
        <w:tc>
          <w:tcPr>
            <w:tcW w:w="0" w:type="auto"/>
            <w:shd w:val="clear" w:color="auto" w:fill="FFFFFF"/>
            <w:vAlign w:val="center"/>
          </w:tcPr>
          <w:p w14:paraId="7E41B90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With </w:t>
            </w:r>
          </w:p>
        </w:tc>
        <w:tc>
          <w:tcPr>
            <w:tcW w:w="0" w:type="auto"/>
            <w:shd w:val="clear" w:color="auto" w:fill="FFFFFF"/>
          </w:tcPr>
          <w:p w14:paraId="3A65378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32</w:t>
            </w:r>
          </w:p>
        </w:tc>
        <w:tc>
          <w:tcPr>
            <w:tcW w:w="0" w:type="auto"/>
            <w:shd w:val="clear" w:color="auto" w:fill="FFFFFF"/>
          </w:tcPr>
          <w:p w14:paraId="580F65F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w:t>
            </w:r>
          </w:p>
        </w:tc>
        <w:tc>
          <w:tcPr>
            <w:tcW w:w="0" w:type="auto"/>
            <w:shd w:val="clear" w:color="auto" w:fill="FFFFFF"/>
          </w:tcPr>
          <w:p w14:paraId="61C6C81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22</w:t>
            </w:r>
          </w:p>
        </w:tc>
        <w:tc>
          <w:tcPr>
            <w:tcW w:w="0" w:type="auto"/>
            <w:shd w:val="clear" w:color="auto" w:fill="FFFFFF"/>
          </w:tcPr>
          <w:p w14:paraId="21F6BF4C"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12158F25" w14:textId="77777777" w:rsidR="001154E7" w:rsidRDefault="001154E7">
            <w:pPr>
              <w:adjustRightInd w:val="0"/>
              <w:snapToGrid w:val="0"/>
              <w:spacing w:line="360" w:lineRule="auto"/>
              <w:jc w:val="both"/>
              <w:textAlignment w:val="center"/>
              <w:rPr>
                <w:rFonts w:ascii="Book Antiqua" w:hAnsi="Book Antiqua"/>
                <w:color w:val="000000" w:themeColor="text1"/>
              </w:rPr>
            </w:pPr>
          </w:p>
        </w:tc>
      </w:tr>
      <w:tr w:rsidR="001154E7" w14:paraId="4CCE30D2" w14:textId="77777777" w:rsidTr="00614201">
        <w:trPr>
          <w:trHeight w:val="227"/>
        </w:trPr>
        <w:tc>
          <w:tcPr>
            <w:tcW w:w="0" w:type="auto"/>
            <w:shd w:val="clear" w:color="auto" w:fill="FFFFFF"/>
          </w:tcPr>
          <w:p w14:paraId="7387E16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Without</w:t>
            </w:r>
          </w:p>
        </w:tc>
        <w:tc>
          <w:tcPr>
            <w:tcW w:w="0" w:type="auto"/>
            <w:shd w:val="clear" w:color="auto" w:fill="FFFFFF"/>
          </w:tcPr>
          <w:p w14:paraId="3EDFD70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100</w:t>
            </w:r>
          </w:p>
        </w:tc>
        <w:tc>
          <w:tcPr>
            <w:tcW w:w="0" w:type="auto"/>
            <w:shd w:val="clear" w:color="auto" w:fill="FFFFFF"/>
          </w:tcPr>
          <w:p w14:paraId="2C483B6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56</w:t>
            </w:r>
          </w:p>
        </w:tc>
        <w:tc>
          <w:tcPr>
            <w:tcW w:w="0" w:type="auto"/>
            <w:shd w:val="clear" w:color="auto" w:fill="FFFFFF"/>
          </w:tcPr>
          <w:p w14:paraId="6A1C73F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44</w:t>
            </w:r>
          </w:p>
        </w:tc>
        <w:tc>
          <w:tcPr>
            <w:tcW w:w="0" w:type="auto"/>
            <w:shd w:val="clear" w:color="auto" w:fill="FFFFFF"/>
          </w:tcPr>
          <w:p w14:paraId="609929AF" w14:textId="77777777" w:rsidR="001154E7" w:rsidRDefault="001154E7">
            <w:pPr>
              <w:adjustRightInd w:val="0"/>
              <w:snapToGrid w:val="0"/>
              <w:spacing w:line="360" w:lineRule="auto"/>
              <w:jc w:val="both"/>
              <w:rPr>
                <w:rFonts w:ascii="Book Antiqua" w:hAnsi="Book Antiqua"/>
                <w:color w:val="000000" w:themeColor="text1"/>
              </w:rPr>
            </w:pPr>
          </w:p>
        </w:tc>
        <w:tc>
          <w:tcPr>
            <w:tcW w:w="0" w:type="auto"/>
            <w:shd w:val="clear" w:color="auto" w:fill="FFFFFF"/>
          </w:tcPr>
          <w:p w14:paraId="6EE11ACE" w14:textId="77777777" w:rsidR="001154E7" w:rsidRDefault="001154E7">
            <w:pPr>
              <w:adjustRightInd w:val="0"/>
              <w:snapToGrid w:val="0"/>
              <w:spacing w:line="360" w:lineRule="auto"/>
              <w:jc w:val="both"/>
              <w:rPr>
                <w:rFonts w:ascii="Book Antiqua" w:hAnsi="Book Antiqua"/>
                <w:color w:val="000000" w:themeColor="text1"/>
              </w:rPr>
            </w:pPr>
          </w:p>
        </w:tc>
      </w:tr>
      <w:tr w:rsidR="001154E7" w14:paraId="579F3472" w14:textId="77777777" w:rsidTr="00614201">
        <w:trPr>
          <w:trHeight w:val="227"/>
        </w:trPr>
        <w:tc>
          <w:tcPr>
            <w:tcW w:w="0" w:type="auto"/>
            <w:shd w:val="clear" w:color="auto" w:fill="FFFFFF"/>
          </w:tcPr>
          <w:p w14:paraId="1D33B5F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TNM staging</w:t>
            </w:r>
          </w:p>
        </w:tc>
        <w:tc>
          <w:tcPr>
            <w:tcW w:w="0" w:type="auto"/>
            <w:shd w:val="clear" w:color="auto" w:fill="FFFFFF"/>
          </w:tcPr>
          <w:p w14:paraId="63D9929C"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2CDA5380"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4EC20D65"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0588C8D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13.516</w:t>
            </w:r>
          </w:p>
        </w:tc>
        <w:tc>
          <w:tcPr>
            <w:tcW w:w="0" w:type="auto"/>
            <w:shd w:val="clear" w:color="auto" w:fill="FFFFFF"/>
          </w:tcPr>
          <w:p w14:paraId="6B8E92B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r>
      <w:tr w:rsidR="001154E7" w14:paraId="67188AE4" w14:textId="77777777" w:rsidTr="00614201">
        <w:trPr>
          <w:trHeight w:val="227"/>
        </w:trPr>
        <w:tc>
          <w:tcPr>
            <w:tcW w:w="0" w:type="auto"/>
            <w:shd w:val="clear" w:color="auto" w:fill="FFFFFF"/>
          </w:tcPr>
          <w:p w14:paraId="11ABDBA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eastAsia="宋体" w:hAnsi="Book Antiqua" w:cs="宋体"/>
                <w:color w:val="000000" w:themeColor="text1"/>
                <w:lang w:eastAsia="zh-CN"/>
              </w:rPr>
              <w:t>I-II</w:t>
            </w:r>
          </w:p>
        </w:tc>
        <w:tc>
          <w:tcPr>
            <w:tcW w:w="0" w:type="auto"/>
            <w:shd w:val="clear" w:color="auto" w:fill="FFFFFF"/>
          </w:tcPr>
          <w:p w14:paraId="091627C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59</w:t>
            </w:r>
          </w:p>
        </w:tc>
        <w:tc>
          <w:tcPr>
            <w:tcW w:w="0" w:type="auto"/>
            <w:shd w:val="clear" w:color="auto" w:fill="FFFFFF"/>
          </w:tcPr>
          <w:p w14:paraId="3201BBA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40</w:t>
            </w:r>
          </w:p>
        </w:tc>
        <w:tc>
          <w:tcPr>
            <w:tcW w:w="0" w:type="auto"/>
            <w:shd w:val="clear" w:color="auto" w:fill="FFFFFF"/>
          </w:tcPr>
          <w:p w14:paraId="07893A9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19</w:t>
            </w:r>
          </w:p>
        </w:tc>
        <w:tc>
          <w:tcPr>
            <w:tcW w:w="0" w:type="auto"/>
            <w:shd w:val="clear" w:color="auto" w:fill="FFFFFF"/>
          </w:tcPr>
          <w:p w14:paraId="36992718" w14:textId="77777777" w:rsidR="001154E7" w:rsidRDefault="001154E7">
            <w:pPr>
              <w:adjustRightInd w:val="0"/>
              <w:snapToGrid w:val="0"/>
              <w:spacing w:line="360" w:lineRule="auto"/>
              <w:jc w:val="both"/>
              <w:textAlignment w:val="center"/>
              <w:rPr>
                <w:rFonts w:ascii="Book Antiqua" w:hAnsi="Book Antiqua"/>
                <w:color w:val="000000" w:themeColor="text1"/>
              </w:rPr>
            </w:pPr>
          </w:p>
        </w:tc>
        <w:tc>
          <w:tcPr>
            <w:tcW w:w="0" w:type="auto"/>
            <w:shd w:val="clear" w:color="auto" w:fill="FFFFFF"/>
          </w:tcPr>
          <w:p w14:paraId="2C7D89B4" w14:textId="77777777" w:rsidR="001154E7" w:rsidRDefault="00ED61B9">
            <w:pPr>
              <w:adjustRightInd w:val="0"/>
              <w:snapToGrid w:val="0"/>
              <w:spacing w:line="360" w:lineRule="auto"/>
              <w:jc w:val="both"/>
              <w:textAlignment w:val="center"/>
              <w:rPr>
                <w:rFonts w:ascii="Book Antiqua" w:hAnsi="Book Antiqua"/>
                <w:color w:val="000000" w:themeColor="text1"/>
                <w:lang w:eastAsia="zh-CN"/>
              </w:rPr>
            </w:pPr>
            <w:r>
              <w:rPr>
                <w:rFonts w:ascii="Book Antiqua" w:hAnsi="Book Antiqua" w:hint="eastAsia"/>
                <w:color w:val="000000" w:themeColor="text1"/>
                <w:lang w:eastAsia="zh-CN"/>
              </w:rPr>
              <w:t xml:space="preserve"> </w:t>
            </w:r>
          </w:p>
        </w:tc>
      </w:tr>
      <w:tr w:rsidR="001154E7" w14:paraId="4F93BBA3" w14:textId="77777777" w:rsidTr="00614201">
        <w:trPr>
          <w:trHeight w:val="227"/>
        </w:trPr>
        <w:tc>
          <w:tcPr>
            <w:tcW w:w="0" w:type="auto"/>
            <w:shd w:val="clear" w:color="auto" w:fill="FFFFFF"/>
          </w:tcPr>
          <w:p w14:paraId="3395382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eastAsia="宋体" w:hAnsi="Book Antiqua" w:cs="宋体"/>
                <w:color w:val="000000" w:themeColor="text1"/>
                <w:lang w:eastAsia="zh-CN"/>
              </w:rPr>
              <w:lastRenderedPageBreak/>
              <w:t>III-IV</w:t>
            </w:r>
          </w:p>
        </w:tc>
        <w:tc>
          <w:tcPr>
            <w:tcW w:w="0" w:type="auto"/>
            <w:shd w:val="clear" w:color="auto" w:fill="FFFFFF"/>
          </w:tcPr>
          <w:p w14:paraId="7E9701A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73</w:t>
            </w:r>
          </w:p>
        </w:tc>
        <w:tc>
          <w:tcPr>
            <w:tcW w:w="0" w:type="auto"/>
            <w:shd w:val="clear" w:color="auto" w:fill="FFFFFF"/>
          </w:tcPr>
          <w:p w14:paraId="022788A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26</w:t>
            </w:r>
          </w:p>
        </w:tc>
        <w:tc>
          <w:tcPr>
            <w:tcW w:w="0" w:type="auto"/>
            <w:shd w:val="clear" w:color="auto" w:fill="FFFFFF"/>
          </w:tcPr>
          <w:p w14:paraId="41B2945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47</w:t>
            </w:r>
          </w:p>
        </w:tc>
        <w:tc>
          <w:tcPr>
            <w:tcW w:w="0" w:type="auto"/>
            <w:shd w:val="clear" w:color="auto" w:fill="FFFFFF"/>
          </w:tcPr>
          <w:p w14:paraId="7AF17205" w14:textId="77777777" w:rsidR="001154E7" w:rsidRDefault="001154E7">
            <w:pPr>
              <w:adjustRightInd w:val="0"/>
              <w:snapToGrid w:val="0"/>
              <w:spacing w:line="360" w:lineRule="auto"/>
              <w:jc w:val="both"/>
              <w:rPr>
                <w:rFonts w:ascii="Book Antiqua" w:hAnsi="Book Antiqua"/>
                <w:color w:val="000000" w:themeColor="text1"/>
              </w:rPr>
            </w:pPr>
          </w:p>
        </w:tc>
        <w:tc>
          <w:tcPr>
            <w:tcW w:w="0" w:type="auto"/>
            <w:shd w:val="clear" w:color="auto" w:fill="FFFFFF"/>
          </w:tcPr>
          <w:p w14:paraId="1BB0254D" w14:textId="77777777" w:rsidR="001154E7" w:rsidRDefault="001154E7">
            <w:pPr>
              <w:adjustRightInd w:val="0"/>
              <w:snapToGrid w:val="0"/>
              <w:spacing w:line="360" w:lineRule="auto"/>
              <w:jc w:val="both"/>
              <w:rPr>
                <w:rFonts w:ascii="Book Antiqua" w:hAnsi="Book Antiqua"/>
                <w:color w:val="000000" w:themeColor="text1"/>
              </w:rPr>
            </w:pPr>
          </w:p>
        </w:tc>
      </w:tr>
    </w:tbl>
    <w:p w14:paraId="71922CAF" w14:textId="77777777" w:rsidR="001154E7" w:rsidRDefault="00ED61B9">
      <w:pPr>
        <w:adjustRightInd w:val="0"/>
        <w:snapToGrid w:val="0"/>
        <w:spacing w:line="360" w:lineRule="auto"/>
        <w:jc w:val="both"/>
        <w:rPr>
          <w:rFonts w:ascii="Book Antiqua" w:hAnsi="Book Antiqua"/>
          <w:bCs/>
        </w:rPr>
      </w:pPr>
      <w:r>
        <w:rPr>
          <w:rFonts w:ascii="Book Antiqua" w:hAnsi="Book Antiqua"/>
          <w:bCs/>
        </w:rPr>
        <w:t xml:space="preserve">AFP: Alpha-fetoprotein; </w:t>
      </w:r>
      <w:proofErr w:type="spellStart"/>
      <w:r>
        <w:rPr>
          <w:rFonts w:ascii="Book Antiqua" w:hAnsi="Book Antiqua"/>
          <w:bCs/>
        </w:rPr>
        <w:t>HBeAg</w:t>
      </w:r>
      <w:proofErr w:type="spellEnd"/>
      <w:r>
        <w:rPr>
          <w:rFonts w:ascii="Book Antiqua" w:hAnsi="Book Antiqua"/>
          <w:bCs/>
        </w:rPr>
        <w:t xml:space="preserve">: Hepatitis B virus e antigen; </w:t>
      </w:r>
      <w:proofErr w:type="spellStart"/>
      <w:r>
        <w:rPr>
          <w:rFonts w:ascii="Book Antiqua" w:hAnsi="Book Antiqua"/>
          <w:bCs/>
        </w:rPr>
        <w:t>HBsAg</w:t>
      </w:r>
      <w:proofErr w:type="spellEnd"/>
      <w:r>
        <w:rPr>
          <w:rFonts w:ascii="Book Antiqua" w:hAnsi="Book Antiqua"/>
          <w:bCs/>
        </w:rPr>
        <w:t xml:space="preserve">: Hepatitis B virus surface antigen; HCC: Hepatocellular carcinoma; </w:t>
      </w:r>
      <w:proofErr w:type="spellStart"/>
      <w:r>
        <w:rPr>
          <w:rFonts w:ascii="Book Antiqua" w:hAnsi="Book Antiqua"/>
          <w:bCs/>
        </w:rPr>
        <w:t>Neg</w:t>
      </w:r>
      <w:proofErr w:type="spellEnd"/>
      <w:r>
        <w:rPr>
          <w:rFonts w:ascii="Book Antiqua" w:hAnsi="Book Antiqua"/>
          <w:bCs/>
        </w:rPr>
        <w:t xml:space="preserve">: Negative expression; </w:t>
      </w:r>
      <w:proofErr w:type="spellStart"/>
      <w:r>
        <w:rPr>
          <w:rFonts w:ascii="Book Antiqua" w:hAnsi="Book Antiqua"/>
          <w:bCs/>
        </w:rPr>
        <w:t>Pos</w:t>
      </w:r>
      <w:proofErr w:type="spellEnd"/>
      <w:r>
        <w:rPr>
          <w:rFonts w:ascii="Book Antiqua" w:hAnsi="Book Antiqua"/>
          <w:bCs/>
        </w:rPr>
        <w:t xml:space="preserve">: Positive expression; TUFT1: </w:t>
      </w:r>
      <w:proofErr w:type="spellStart"/>
      <w:r>
        <w:rPr>
          <w:rFonts w:ascii="Book Antiqua" w:hAnsi="Book Antiqua"/>
          <w:bCs/>
        </w:rPr>
        <w:t>Tuftelin</w:t>
      </w:r>
      <w:proofErr w:type="spellEnd"/>
      <w:r>
        <w:rPr>
          <w:rFonts w:ascii="Book Antiqua" w:hAnsi="Book Antiqua"/>
          <w:bCs/>
        </w:rPr>
        <w:t xml:space="preserve"> 1.</w:t>
      </w:r>
    </w:p>
    <w:p w14:paraId="0FC938ED" w14:textId="77777777" w:rsidR="001154E7" w:rsidRDefault="001154E7">
      <w:pPr>
        <w:adjustRightInd w:val="0"/>
        <w:snapToGrid w:val="0"/>
        <w:spacing w:line="360" w:lineRule="auto"/>
        <w:jc w:val="both"/>
        <w:rPr>
          <w:rFonts w:ascii="Book Antiqua" w:hAnsi="Book Antiqua"/>
          <w:bCs/>
        </w:rPr>
      </w:pPr>
    </w:p>
    <w:p w14:paraId="35999F9C" w14:textId="77777777" w:rsidR="001154E7" w:rsidRDefault="001154E7">
      <w:pPr>
        <w:adjustRightInd w:val="0"/>
        <w:snapToGrid w:val="0"/>
        <w:spacing w:line="360" w:lineRule="auto"/>
        <w:jc w:val="both"/>
        <w:rPr>
          <w:rFonts w:ascii="Book Antiqua" w:hAnsi="Book Antiqua"/>
          <w:bCs/>
        </w:rPr>
      </w:pPr>
    </w:p>
    <w:p w14:paraId="618CF066" w14:textId="77777777" w:rsidR="001154E7" w:rsidRDefault="001154E7">
      <w:pPr>
        <w:adjustRightInd w:val="0"/>
        <w:snapToGrid w:val="0"/>
        <w:spacing w:line="360" w:lineRule="auto"/>
        <w:jc w:val="both"/>
        <w:rPr>
          <w:rFonts w:ascii="Book Antiqua" w:hAnsi="Book Antiqua"/>
          <w:bCs/>
        </w:rPr>
      </w:pPr>
    </w:p>
    <w:p w14:paraId="76EF52E4" w14:textId="77777777" w:rsidR="001154E7" w:rsidRDefault="001154E7">
      <w:pPr>
        <w:adjustRightInd w:val="0"/>
        <w:snapToGrid w:val="0"/>
        <w:spacing w:line="360" w:lineRule="auto"/>
        <w:jc w:val="both"/>
        <w:rPr>
          <w:rFonts w:ascii="Book Antiqua" w:hAnsi="Book Antiqua"/>
          <w:bCs/>
        </w:rPr>
      </w:pPr>
    </w:p>
    <w:p w14:paraId="564BECDD" w14:textId="77777777" w:rsidR="001154E7" w:rsidRDefault="001154E7">
      <w:pPr>
        <w:adjustRightInd w:val="0"/>
        <w:snapToGrid w:val="0"/>
        <w:spacing w:line="360" w:lineRule="auto"/>
        <w:jc w:val="both"/>
        <w:rPr>
          <w:rFonts w:ascii="Book Antiqua" w:hAnsi="Book Antiqua"/>
          <w:bCs/>
        </w:rPr>
      </w:pPr>
    </w:p>
    <w:p w14:paraId="39CAB3D3" w14:textId="77777777" w:rsidR="001154E7" w:rsidRDefault="001154E7">
      <w:pPr>
        <w:adjustRightInd w:val="0"/>
        <w:snapToGrid w:val="0"/>
        <w:spacing w:line="360" w:lineRule="auto"/>
        <w:jc w:val="both"/>
        <w:rPr>
          <w:rFonts w:ascii="Book Antiqua" w:hAnsi="Book Antiqua"/>
          <w:bCs/>
        </w:rPr>
      </w:pPr>
    </w:p>
    <w:p w14:paraId="306181D1" w14:textId="77777777" w:rsidR="001154E7" w:rsidRDefault="001154E7">
      <w:pPr>
        <w:adjustRightInd w:val="0"/>
        <w:snapToGrid w:val="0"/>
        <w:spacing w:line="360" w:lineRule="auto"/>
        <w:jc w:val="both"/>
        <w:rPr>
          <w:rFonts w:ascii="Book Antiqua" w:hAnsi="Book Antiqua"/>
          <w:bCs/>
        </w:rPr>
      </w:pPr>
    </w:p>
    <w:p w14:paraId="27BDF270" w14:textId="77777777" w:rsidR="001154E7" w:rsidRDefault="001154E7">
      <w:pPr>
        <w:adjustRightInd w:val="0"/>
        <w:snapToGrid w:val="0"/>
        <w:spacing w:line="360" w:lineRule="auto"/>
        <w:jc w:val="both"/>
        <w:rPr>
          <w:rFonts w:ascii="Book Antiqua" w:hAnsi="Book Antiqua"/>
          <w:bCs/>
        </w:rPr>
      </w:pPr>
    </w:p>
    <w:p w14:paraId="3D0A7F6A" w14:textId="77777777" w:rsidR="001154E7" w:rsidRDefault="00ED61B9">
      <w:pPr>
        <w:rPr>
          <w:rFonts w:ascii="Book Antiqua" w:eastAsia="宋体" w:hAnsi="Book Antiqua" w:cs="宋体"/>
          <w:bCs/>
          <w:lang w:eastAsia="zh-CN"/>
        </w:rPr>
      </w:pPr>
      <w:r>
        <w:rPr>
          <w:rFonts w:ascii="Book Antiqua" w:hAnsi="Book Antiqua"/>
          <w:bCs/>
        </w:rPr>
        <w:br w:type="page"/>
      </w:r>
    </w:p>
    <w:p w14:paraId="56C6DF59" w14:textId="77777777" w:rsidR="001154E7" w:rsidRDefault="00ED61B9">
      <w:pPr>
        <w:pStyle w:val="a6"/>
        <w:adjustRightInd w:val="0"/>
        <w:snapToGrid w:val="0"/>
        <w:spacing w:before="0" w:beforeAutospacing="0" w:after="0" w:afterAutospacing="0" w:line="360" w:lineRule="auto"/>
        <w:jc w:val="both"/>
        <w:rPr>
          <w:rFonts w:ascii="Book Antiqua" w:hAnsi="Book Antiqua" w:cs="Times New Roman"/>
          <w:b/>
          <w:bCs/>
        </w:rPr>
      </w:pPr>
      <w:r>
        <w:rPr>
          <w:rFonts w:ascii="Book Antiqua" w:hAnsi="Book Antiqua" w:cs="Times New Roman"/>
          <w:b/>
          <w:bCs/>
        </w:rPr>
        <w:lastRenderedPageBreak/>
        <w:t xml:space="preserve">Table 3 </w:t>
      </w:r>
      <w:bookmarkStart w:id="0" w:name="OLE_LINK1"/>
      <w:proofErr w:type="spellStart"/>
      <w:r>
        <w:rPr>
          <w:rFonts w:ascii="Book Antiqua" w:hAnsi="Book Antiqua" w:cs="Times New Roman"/>
          <w:b/>
          <w:bCs/>
        </w:rPr>
        <w:t>Univariate</w:t>
      </w:r>
      <w:proofErr w:type="spellEnd"/>
      <w:r>
        <w:rPr>
          <w:rFonts w:ascii="Book Antiqua" w:hAnsi="Book Antiqua" w:cs="Times New Roman"/>
          <w:b/>
          <w:bCs/>
        </w:rPr>
        <w:t xml:space="preserve"> and multivariate analysis</w:t>
      </w:r>
      <w:bookmarkEnd w:id="0"/>
      <w:r>
        <w:rPr>
          <w:rFonts w:ascii="Book Antiqua" w:hAnsi="Book Antiqua" w:cs="Times New Roman"/>
          <w:b/>
          <w:bCs/>
        </w:rPr>
        <w:t xml:space="preserve"> of </w:t>
      </w:r>
      <w:proofErr w:type="spellStart"/>
      <w:r>
        <w:rPr>
          <w:rFonts w:ascii="Book Antiqua" w:hAnsi="Book Antiqua"/>
          <w:b/>
          <w:bCs/>
        </w:rPr>
        <w:t>tuftelin</w:t>
      </w:r>
      <w:proofErr w:type="spellEnd"/>
      <w:r>
        <w:rPr>
          <w:rFonts w:ascii="Book Antiqua" w:hAnsi="Book Antiqua"/>
          <w:b/>
          <w:bCs/>
        </w:rPr>
        <w:t xml:space="preserve"> 1 </w:t>
      </w:r>
      <w:r>
        <w:rPr>
          <w:rFonts w:ascii="Book Antiqua" w:hAnsi="Book Antiqua" w:cs="Times New Roman"/>
          <w:b/>
          <w:bCs/>
        </w:rPr>
        <w:t xml:space="preserve">in the prognosis of </w:t>
      </w:r>
      <w:r>
        <w:rPr>
          <w:rFonts w:ascii="Book Antiqua" w:hAnsi="Book Antiqua"/>
          <w:b/>
          <w:bCs/>
        </w:rPr>
        <w:t>hepatocellular carcinoma</w:t>
      </w:r>
    </w:p>
    <w:tbl>
      <w:tblPr>
        <w:tblW w:w="0" w:type="auto"/>
        <w:tblBorders>
          <w:top w:val="single" w:sz="4" w:space="0" w:color="auto"/>
          <w:bottom w:val="single" w:sz="4" w:space="0" w:color="auto"/>
        </w:tblBorders>
        <w:tblCellMar>
          <w:top w:w="15" w:type="dxa"/>
          <w:left w:w="15" w:type="dxa"/>
          <w:bottom w:w="15" w:type="dxa"/>
          <w:right w:w="15" w:type="dxa"/>
        </w:tblCellMar>
        <w:tblLook w:val="0600" w:firstRow="0" w:lastRow="0" w:firstColumn="0" w:lastColumn="0" w:noHBand="1" w:noVBand="1"/>
      </w:tblPr>
      <w:tblGrid>
        <w:gridCol w:w="4242"/>
        <w:gridCol w:w="570"/>
        <w:gridCol w:w="1165"/>
        <w:gridCol w:w="839"/>
        <w:gridCol w:w="570"/>
        <w:gridCol w:w="1165"/>
        <w:gridCol w:w="839"/>
      </w:tblGrid>
      <w:tr w:rsidR="001154E7" w14:paraId="6C2D755B" w14:textId="77777777" w:rsidTr="00614201">
        <w:trPr>
          <w:trHeight w:val="285"/>
        </w:trPr>
        <w:tc>
          <w:tcPr>
            <w:tcW w:w="0" w:type="auto"/>
            <w:vMerge w:val="restart"/>
            <w:tcBorders>
              <w:top w:val="single" w:sz="4" w:space="0" w:color="auto"/>
              <w:bottom w:val="single" w:sz="4" w:space="0" w:color="auto"/>
            </w:tcBorders>
            <w:shd w:val="clear" w:color="auto" w:fill="auto"/>
            <w:vAlign w:val="center"/>
          </w:tcPr>
          <w:p w14:paraId="26732B01"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Group</w:t>
            </w:r>
          </w:p>
        </w:tc>
        <w:tc>
          <w:tcPr>
            <w:tcW w:w="0" w:type="auto"/>
            <w:gridSpan w:val="3"/>
            <w:tcBorders>
              <w:top w:val="single" w:sz="4" w:space="0" w:color="auto"/>
              <w:bottom w:val="single" w:sz="4" w:space="0" w:color="auto"/>
            </w:tcBorders>
            <w:shd w:val="clear" w:color="auto" w:fill="auto"/>
            <w:vAlign w:val="center"/>
          </w:tcPr>
          <w:p w14:paraId="2B459EC1" w14:textId="77777777" w:rsidR="001154E7" w:rsidRDefault="00ED61B9">
            <w:pPr>
              <w:adjustRightInd w:val="0"/>
              <w:snapToGrid w:val="0"/>
              <w:spacing w:line="360" w:lineRule="auto"/>
              <w:jc w:val="both"/>
              <w:textAlignment w:val="center"/>
              <w:rPr>
                <w:rFonts w:ascii="Book Antiqua" w:hAnsi="Book Antiqua"/>
                <w:b/>
                <w:bCs/>
                <w:color w:val="000000" w:themeColor="text1"/>
              </w:rPr>
            </w:pPr>
            <w:proofErr w:type="spellStart"/>
            <w:r>
              <w:rPr>
                <w:rFonts w:ascii="Book Antiqua" w:hAnsi="Book Antiqua"/>
                <w:b/>
                <w:bCs/>
                <w:color w:val="000000" w:themeColor="text1"/>
              </w:rPr>
              <w:t>Univariate</w:t>
            </w:r>
            <w:proofErr w:type="spellEnd"/>
            <w:r>
              <w:rPr>
                <w:rFonts w:ascii="Book Antiqua" w:hAnsi="Book Antiqua"/>
                <w:b/>
                <w:bCs/>
                <w:color w:val="000000" w:themeColor="text1"/>
              </w:rPr>
              <w:t xml:space="preserve"> analysis</w:t>
            </w:r>
          </w:p>
        </w:tc>
        <w:tc>
          <w:tcPr>
            <w:tcW w:w="0" w:type="auto"/>
            <w:gridSpan w:val="3"/>
            <w:tcBorders>
              <w:top w:val="single" w:sz="4" w:space="0" w:color="auto"/>
              <w:bottom w:val="single" w:sz="4" w:space="0" w:color="auto"/>
            </w:tcBorders>
            <w:shd w:val="clear" w:color="auto" w:fill="auto"/>
            <w:vAlign w:val="center"/>
          </w:tcPr>
          <w:p w14:paraId="28E82057"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Multivariate analysis</w:t>
            </w:r>
          </w:p>
        </w:tc>
      </w:tr>
      <w:tr w:rsidR="001154E7" w14:paraId="70255D70" w14:textId="77777777" w:rsidTr="00614201">
        <w:trPr>
          <w:trHeight w:val="285"/>
        </w:trPr>
        <w:tc>
          <w:tcPr>
            <w:tcW w:w="0" w:type="auto"/>
            <w:vMerge/>
            <w:tcBorders>
              <w:top w:val="single" w:sz="4" w:space="0" w:color="auto"/>
              <w:bottom w:val="single" w:sz="4" w:space="0" w:color="auto"/>
            </w:tcBorders>
            <w:shd w:val="clear" w:color="auto" w:fill="auto"/>
            <w:vAlign w:val="center"/>
          </w:tcPr>
          <w:p w14:paraId="26FC1667" w14:textId="77777777" w:rsidR="001154E7" w:rsidRDefault="001154E7">
            <w:pPr>
              <w:adjustRightInd w:val="0"/>
              <w:snapToGrid w:val="0"/>
              <w:spacing w:line="360" w:lineRule="auto"/>
              <w:jc w:val="both"/>
              <w:rPr>
                <w:rFonts w:ascii="Book Antiqua" w:hAnsi="Book Antiqua"/>
                <w:b/>
                <w:bCs/>
                <w:color w:val="000000" w:themeColor="text1"/>
              </w:rPr>
            </w:pPr>
          </w:p>
        </w:tc>
        <w:tc>
          <w:tcPr>
            <w:tcW w:w="0" w:type="auto"/>
            <w:tcBorders>
              <w:top w:val="single" w:sz="4" w:space="0" w:color="auto"/>
              <w:bottom w:val="single" w:sz="4" w:space="0" w:color="auto"/>
            </w:tcBorders>
            <w:shd w:val="clear" w:color="auto" w:fill="auto"/>
            <w:vAlign w:val="center"/>
          </w:tcPr>
          <w:p w14:paraId="2FF42817"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HR</w:t>
            </w:r>
          </w:p>
        </w:tc>
        <w:tc>
          <w:tcPr>
            <w:tcW w:w="0" w:type="auto"/>
            <w:tcBorders>
              <w:top w:val="single" w:sz="4" w:space="0" w:color="auto"/>
              <w:bottom w:val="single" w:sz="4" w:space="0" w:color="auto"/>
            </w:tcBorders>
            <w:shd w:val="clear" w:color="auto" w:fill="auto"/>
            <w:vAlign w:val="center"/>
          </w:tcPr>
          <w:p w14:paraId="44B2B673"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95%CI</w:t>
            </w:r>
          </w:p>
        </w:tc>
        <w:tc>
          <w:tcPr>
            <w:tcW w:w="0" w:type="auto"/>
            <w:tcBorders>
              <w:top w:val="single" w:sz="4" w:space="0" w:color="auto"/>
              <w:bottom w:val="single" w:sz="4" w:space="0" w:color="auto"/>
            </w:tcBorders>
            <w:shd w:val="clear" w:color="auto" w:fill="auto"/>
            <w:vAlign w:val="center"/>
          </w:tcPr>
          <w:p w14:paraId="170E272E" w14:textId="77777777" w:rsidR="001154E7" w:rsidRDefault="00ED61B9">
            <w:pPr>
              <w:adjustRightInd w:val="0"/>
              <w:snapToGrid w:val="0"/>
              <w:spacing w:line="360" w:lineRule="auto"/>
              <w:jc w:val="both"/>
              <w:textAlignment w:val="center"/>
              <w:rPr>
                <w:rFonts w:ascii="Book Antiqua" w:hAnsi="Book Antiqua"/>
                <w:b/>
                <w:bCs/>
                <w:i/>
                <w:iCs/>
                <w:color w:val="000000" w:themeColor="text1"/>
              </w:rPr>
            </w:pPr>
            <w:r>
              <w:rPr>
                <w:rFonts w:ascii="Book Antiqua" w:hAnsi="Book Antiqua"/>
                <w:b/>
                <w:bCs/>
                <w:i/>
                <w:iCs/>
                <w:color w:val="000000" w:themeColor="text1"/>
              </w:rPr>
              <w:t xml:space="preserve">P </w:t>
            </w:r>
            <w:r>
              <w:rPr>
                <w:rFonts w:ascii="Book Antiqua" w:hAnsi="Book Antiqua"/>
                <w:b/>
                <w:bCs/>
                <w:color w:val="000000" w:themeColor="text1"/>
              </w:rPr>
              <w:t>value</w:t>
            </w:r>
          </w:p>
        </w:tc>
        <w:tc>
          <w:tcPr>
            <w:tcW w:w="0" w:type="auto"/>
            <w:tcBorders>
              <w:top w:val="single" w:sz="4" w:space="0" w:color="auto"/>
              <w:bottom w:val="single" w:sz="4" w:space="0" w:color="auto"/>
            </w:tcBorders>
            <w:shd w:val="clear" w:color="auto" w:fill="auto"/>
            <w:vAlign w:val="center"/>
          </w:tcPr>
          <w:p w14:paraId="1501DB8B"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HR</w:t>
            </w:r>
          </w:p>
        </w:tc>
        <w:tc>
          <w:tcPr>
            <w:tcW w:w="0" w:type="auto"/>
            <w:tcBorders>
              <w:top w:val="single" w:sz="4" w:space="0" w:color="auto"/>
              <w:bottom w:val="single" w:sz="4" w:space="0" w:color="auto"/>
            </w:tcBorders>
            <w:shd w:val="clear" w:color="auto" w:fill="auto"/>
            <w:vAlign w:val="center"/>
          </w:tcPr>
          <w:p w14:paraId="03501015" w14:textId="77777777" w:rsidR="001154E7" w:rsidRDefault="00ED61B9">
            <w:pPr>
              <w:adjustRightInd w:val="0"/>
              <w:snapToGrid w:val="0"/>
              <w:spacing w:line="360" w:lineRule="auto"/>
              <w:jc w:val="both"/>
              <w:textAlignment w:val="center"/>
              <w:rPr>
                <w:rFonts w:ascii="Book Antiqua" w:hAnsi="Book Antiqua"/>
                <w:b/>
                <w:bCs/>
                <w:color w:val="000000" w:themeColor="text1"/>
              </w:rPr>
            </w:pPr>
            <w:r>
              <w:rPr>
                <w:rFonts w:ascii="Book Antiqua" w:hAnsi="Book Antiqua"/>
                <w:b/>
                <w:bCs/>
                <w:color w:val="000000" w:themeColor="text1"/>
              </w:rPr>
              <w:t>95%CI</w:t>
            </w:r>
          </w:p>
        </w:tc>
        <w:tc>
          <w:tcPr>
            <w:tcW w:w="0" w:type="auto"/>
            <w:tcBorders>
              <w:top w:val="single" w:sz="4" w:space="0" w:color="auto"/>
              <w:bottom w:val="single" w:sz="4" w:space="0" w:color="auto"/>
            </w:tcBorders>
            <w:shd w:val="clear" w:color="auto" w:fill="auto"/>
            <w:vAlign w:val="center"/>
          </w:tcPr>
          <w:p w14:paraId="3185AC07" w14:textId="77777777" w:rsidR="001154E7" w:rsidRDefault="00ED61B9">
            <w:pPr>
              <w:adjustRightInd w:val="0"/>
              <w:snapToGrid w:val="0"/>
              <w:spacing w:line="360" w:lineRule="auto"/>
              <w:jc w:val="both"/>
              <w:textAlignment w:val="center"/>
              <w:rPr>
                <w:rFonts w:ascii="Book Antiqua" w:hAnsi="Book Antiqua"/>
                <w:b/>
                <w:bCs/>
                <w:i/>
                <w:iCs/>
                <w:color w:val="000000" w:themeColor="text1"/>
              </w:rPr>
            </w:pPr>
            <w:r>
              <w:rPr>
                <w:rFonts w:ascii="Book Antiqua" w:hAnsi="Book Antiqua"/>
                <w:b/>
                <w:bCs/>
                <w:i/>
                <w:iCs/>
                <w:color w:val="000000" w:themeColor="text1"/>
              </w:rPr>
              <w:t xml:space="preserve">P </w:t>
            </w:r>
            <w:r>
              <w:rPr>
                <w:rFonts w:ascii="Book Antiqua" w:hAnsi="Book Antiqua"/>
                <w:b/>
                <w:bCs/>
                <w:color w:val="000000" w:themeColor="text1"/>
              </w:rPr>
              <w:t>value</w:t>
            </w:r>
          </w:p>
        </w:tc>
      </w:tr>
      <w:tr w:rsidR="001154E7" w14:paraId="499034F3" w14:textId="77777777" w:rsidTr="00614201">
        <w:trPr>
          <w:trHeight w:val="285"/>
        </w:trPr>
        <w:tc>
          <w:tcPr>
            <w:tcW w:w="0" w:type="auto"/>
            <w:tcBorders>
              <w:top w:val="single" w:sz="4" w:space="0" w:color="auto"/>
            </w:tcBorders>
            <w:shd w:val="clear" w:color="auto" w:fill="auto"/>
            <w:vAlign w:val="center"/>
          </w:tcPr>
          <w:p w14:paraId="647E7AC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TUFT1 expression, high </w:t>
            </w:r>
            <w:proofErr w:type="spellStart"/>
            <w:r>
              <w:rPr>
                <w:rFonts w:ascii="Book Antiqua" w:hAnsi="Book Antiqua"/>
                <w:i/>
                <w:color w:val="000000" w:themeColor="text1"/>
              </w:rPr>
              <w:t>vs</w:t>
            </w:r>
            <w:proofErr w:type="spellEnd"/>
            <w:r>
              <w:rPr>
                <w:rFonts w:ascii="Book Antiqua" w:hAnsi="Book Antiqua"/>
                <w:color w:val="000000" w:themeColor="text1"/>
              </w:rPr>
              <w:t xml:space="preserve"> low</w:t>
            </w:r>
          </w:p>
        </w:tc>
        <w:tc>
          <w:tcPr>
            <w:tcW w:w="0" w:type="auto"/>
            <w:tcBorders>
              <w:top w:val="single" w:sz="4" w:space="0" w:color="auto"/>
            </w:tcBorders>
            <w:shd w:val="clear" w:color="auto" w:fill="auto"/>
            <w:vAlign w:val="center"/>
          </w:tcPr>
          <w:p w14:paraId="633A516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3.026</w:t>
            </w:r>
          </w:p>
        </w:tc>
        <w:tc>
          <w:tcPr>
            <w:tcW w:w="0" w:type="auto"/>
            <w:tcBorders>
              <w:top w:val="single" w:sz="4" w:space="0" w:color="auto"/>
            </w:tcBorders>
            <w:shd w:val="clear" w:color="auto" w:fill="auto"/>
            <w:vAlign w:val="center"/>
          </w:tcPr>
          <w:p w14:paraId="4F51E66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1.927-4.752</w:t>
            </w:r>
          </w:p>
        </w:tc>
        <w:tc>
          <w:tcPr>
            <w:tcW w:w="0" w:type="auto"/>
            <w:tcBorders>
              <w:top w:val="single" w:sz="4" w:space="0" w:color="auto"/>
            </w:tcBorders>
            <w:shd w:val="clear" w:color="auto" w:fill="auto"/>
            <w:vAlign w:val="center"/>
          </w:tcPr>
          <w:p w14:paraId="1402207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0" w:type="auto"/>
            <w:tcBorders>
              <w:top w:val="single" w:sz="4" w:space="0" w:color="auto"/>
            </w:tcBorders>
            <w:shd w:val="clear" w:color="auto" w:fill="auto"/>
            <w:vAlign w:val="center"/>
          </w:tcPr>
          <w:p w14:paraId="30A5586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1.743</w:t>
            </w:r>
          </w:p>
        </w:tc>
        <w:tc>
          <w:tcPr>
            <w:tcW w:w="0" w:type="auto"/>
            <w:tcBorders>
              <w:top w:val="single" w:sz="4" w:space="0" w:color="auto"/>
            </w:tcBorders>
            <w:shd w:val="clear" w:color="auto" w:fill="auto"/>
            <w:vAlign w:val="center"/>
          </w:tcPr>
          <w:p w14:paraId="523CCD4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1.044-2.910</w:t>
            </w:r>
          </w:p>
        </w:tc>
        <w:tc>
          <w:tcPr>
            <w:tcW w:w="0" w:type="auto"/>
            <w:tcBorders>
              <w:top w:val="single" w:sz="4" w:space="0" w:color="auto"/>
            </w:tcBorders>
            <w:shd w:val="clear" w:color="auto" w:fill="auto"/>
            <w:vAlign w:val="center"/>
          </w:tcPr>
          <w:p w14:paraId="019B9AD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0.034</w:t>
            </w:r>
          </w:p>
        </w:tc>
      </w:tr>
      <w:tr w:rsidR="001154E7" w14:paraId="2ECD5708" w14:textId="77777777" w:rsidTr="00614201">
        <w:trPr>
          <w:trHeight w:val="285"/>
        </w:trPr>
        <w:tc>
          <w:tcPr>
            <w:tcW w:w="0" w:type="auto"/>
            <w:shd w:val="clear" w:color="auto" w:fill="auto"/>
            <w:vAlign w:val="center"/>
          </w:tcPr>
          <w:p w14:paraId="3C4C1802" w14:textId="77777777" w:rsidR="001154E7" w:rsidRDefault="00ED61B9">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AFP (</w:t>
            </w:r>
            <w:proofErr w:type="spellStart"/>
            <w:r>
              <w:rPr>
                <w:rFonts w:ascii="Book Antiqua" w:hAnsi="Book Antiqua"/>
                <w:color w:val="000000" w:themeColor="text1"/>
              </w:rPr>
              <w:t>ng</w:t>
            </w:r>
            <w:proofErr w:type="spellEnd"/>
            <w:r>
              <w:rPr>
                <w:rFonts w:ascii="Book Antiqua" w:hAnsi="Book Antiqua"/>
                <w:color w:val="000000" w:themeColor="text1"/>
              </w:rPr>
              <w:t xml:space="preserve">/mL), ≥ 20 </w:t>
            </w:r>
            <w:proofErr w:type="spellStart"/>
            <w:r>
              <w:rPr>
                <w:rFonts w:ascii="Book Antiqua" w:hAnsi="Book Antiqua"/>
                <w:i/>
                <w:color w:val="000000" w:themeColor="text1"/>
              </w:rPr>
              <w:t>vs</w:t>
            </w:r>
            <w:proofErr w:type="spellEnd"/>
            <w:r>
              <w:rPr>
                <w:rFonts w:ascii="Book Antiqua" w:hAnsi="Book Antiqua"/>
                <w:color w:val="000000" w:themeColor="text1"/>
              </w:rPr>
              <w:t xml:space="preserve"> &lt; 20</w:t>
            </w:r>
          </w:p>
        </w:tc>
        <w:tc>
          <w:tcPr>
            <w:tcW w:w="0" w:type="auto"/>
            <w:shd w:val="clear" w:color="auto" w:fill="auto"/>
            <w:vAlign w:val="center"/>
          </w:tcPr>
          <w:p w14:paraId="4E41DFD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1.866</w:t>
            </w:r>
          </w:p>
        </w:tc>
        <w:tc>
          <w:tcPr>
            <w:tcW w:w="0" w:type="auto"/>
            <w:shd w:val="clear" w:color="auto" w:fill="auto"/>
            <w:vAlign w:val="center"/>
          </w:tcPr>
          <w:p w14:paraId="5035102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1.066-3.266</w:t>
            </w:r>
          </w:p>
        </w:tc>
        <w:tc>
          <w:tcPr>
            <w:tcW w:w="0" w:type="auto"/>
            <w:shd w:val="clear" w:color="auto" w:fill="auto"/>
            <w:vAlign w:val="center"/>
          </w:tcPr>
          <w:p w14:paraId="1EB961D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0.027</w:t>
            </w:r>
          </w:p>
        </w:tc>
        <w:tc>
          <w:tcPr>
            <w:tcW w:w="0" w:type="auto"/>
            <w:shd w:val="clear" w:color="auto" w:fill="auto"/>
            <w:vAlign w:val="center"/>
          </w:tcPr>
          <w:p w14:paraId="48EC2FE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1.482</w:t>
            </w:r>
          </w:p>
        </w:tc>
        <w:tc>
          <w:tcPr>
            <w:tcW w:w="0" w:type="auto"/>
            <w:shd w:val="clear" w:color="auto" w:fill="auto"/>
            <w:vAlign w:val="center"/>
          </w:tcPr>
          <w:p w14:paraId="27F5A75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0.835-2.630</w:t>
            </w:r>
          </w:p>
        </w:tc>
        <w:tc>
          <w:tcPr>
            <w:tcW w:w="0" w:type="auto"/>
            <w:shd w:val="clear" w:color="auto" w:fill="auto"/>
            <w:vAlign w:val="center"/>
          </w:tcPr>
          <w:p w14:paraId="1621EEA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0.178</w:t>
            </w:r>
          </w:p>
        </w:tc>
      </w:tr>
      <w:tr w:rsidR="001154E7" w14:paraId="19E824D8" w14:textId="77777777" w:rsidTr="00614201">
        <w:trPr>
          <w:trHeight w:val="285"/>
        </w:trPr>
        <w:tc>
          <w:tcPr>
            <w:tcW w:w="0" w:type="auto"/>
            <w:shd w:val="clear" w:color="auto" w:fill="auto"/>
            <w:vAlign w:val="center"/>
          </w:tcPr>
          <w:p w14:paraId="1690A9FF" w14:textId="77777777" w:rsidR="001154E7" w:rsidRDefault="00ED61B9">
            <w:pPr>
              <w:adjustRightInd w:val="0"/>
              <w:snapToGrid w:val="0"/>
              <w:spacing w:line="360" w:lineRule="auto"/>
              <w:jc w:val="both"/>
              <w:textAlignment w:val="center"/>
              <w:rPr>
                <w:rFonts w:ascii="Book Antiqua" w:hAnsi="Book Antiqua"/>
                <w:color w:val="000000" w:themeColor="text1"/>
              </w:rPr>
            </w:pPr>
            <w:proofErr w:type="spellStart"/>
            <w:r>
              <w:rPr>
                <w:rFonts w:ascii="Book Antiqua" w:hAnsi="Book Antiqua"/>
                <w:color w:val="000000" w:themeColor="text1"/>
              </w:rPr>
              <w:t>HBsAg</w:t>
            </w:r>
            <w:proofErr w:type="spellEnd"/>
            <w:r>
              <w:rPr>
                <w:rFonts w:ascii="Book Antiqua" w:hAnsi="Book Antiqua"/>
                <w:color w:val="000000" w:themeColor="text1"/>
              </w:rPr>
              <w:t xml:space="preserve">, pos. </w:t>
            </w:r>
            <w:proofErr w:type="spellStart"/>
            <w:r>
              <w:rPr>
                <w:rFonts w:ascii="Book Antiqua" w:hAnsi="Book Antiqua"/>
                <w:i/>
                <w:color w:val="000000" w:themeColor="text1"/>
              </w:rPr>
              <w:t>vs</w:t>
            </w:r>
            <w:proofErr w:type="spellEnd"/>
            <w:r>
              <w:rPr>
                <w:rFonts w:ascii="Book Antiqua" w:hAnsi="Book Antiqua"/>
                <w:color w:val="000000" w:themeColor="text1"/>
              </w:rPr>
              <w:t xml:space="preserve"> neg.</w:t>
            </w:r>
          </w:p>
        </w:tc>
        <w:tc>
          <w:tcPr>
            <w:tcW w:w="0" w:type="auto"/>
            <w:shd w:val="clear" w:color="auto" w:fill="auto"/>
            <w:vAlign w:val="center"/>
          </w:tcPr>
          <w:p w14:paraId="46D6582E"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1.495</w:t>
            </w:r>
          </w:p>
        </w:tc>
        <w:tc>
          <w:tcPr>
            <w:tcW w:w="0" w:type="auto"/>
            <w:shd w:val="clear" w:color="auto" w:fill="auto"/>
            <w:vAlign w:val="center"/>
          </w:tcPr>
          <w:p w14:paraId="2801AD8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0.652-3.431</w:t>
            </w:r>
          </w:p>
        </w:tc>
        <w:tc>
          <w:tcPr>
            <w:tcW w:w="0" w:type="auto"/>
            <w:shd w:val="clear" w:color="auto" w:fill="auto"/>
            <w:vAlign w:val="center"/>
          </w:tcPr>
          <w:p w14:paraId="636C2069"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0.339</w:t>
            </w:r>
          </w:p>
        </w:tc>
        <w:tc>
          <w:tcPr>
            <w:tcW w:w="0" w:type="auto"/>
            <w:shd w:val="clear" w:color="auto" w:fill="auto"/>
            <w:vAlign w:val="center"/>
          </w:tcPr>
          <w:p w14:paraId="462457B4" w14:textId="77777777" w:rsidR="001154E7" w:rsidRDefault="001154E7">
            <w:pPr>
              <w:adjustRightInd w:val="0"/>
              <w:snapToGrid w:val="0"/>
              <w:spacing w:line="360" w:lineRule="auto"/>
              <w:ind w:firstLine="420"/>
              <w:jc w:val="both"/>
              <w:rPr>
                <w:rFonts w:ascii="Book Antiqua" w:hAnsi="Book Antiqua"/>
                <w:color w:val="000000" w:themeColor="text1"/>
              </w:rPr>
            </w:pPr>
          </w:p>
        </w:tc>
        <w:tc>
          <w:tcPr>
            <w:tcW w:w="0" w:type="auto"/>
            <w:shd w:val="clear" w:color="auto" w:fill="auto"/>
            <w:vAlign w:val="center"/>
          </w:tcPr>
          <w:p w14:paraId="7B455C05" w14:textId="77777777" w:rsidR="001154E7" w:rsidRDefault="001154E7">
            <w:pPr>
              <w:adjustRightInd w:val="0"/>
              <w:snapToGrid w:val="0"/>
              <w:spacing w:line="360" w:lineRule="auto"/>
              <w:ind w:firstLine="420"/>
              <w:jc w:val="both"/>
              <w:rPr>
                <w:rFonts w:ascii="Book Antiqua" w:hAnsi="Book Antiqua"/>
                <w:color w:val="000000" w:themeColor="text1"/>
              </w:rPr>
            </w:pPr>
          </w:p>
        </w:tc>
        <w:tc>
          <w:tcPr>
            <w:tcW w:w="0" w:type="auto"/>
            <w:shd w:val="clear" w:color="auto" w:fill="auto"/>
            <w:vAlign w:val="center"/>
          </w:tcPr>
          <w:p w14:paraId="2EE81E88" w14:textId="77777777" w:rsidR="001154E7" w:rsidRDefault="001154E7">
            <w:pPr>
              <w:adjustRightInd w:val="0"/>
              <w:snapToGrid w:val="0"/>
              <w:spacing w:line="360" w:lineRule="auto"/>
              <w:ind w:firstLine="420"/>
              <w:jc w:val="both"/>
              <w:rPr>
                <w:rFonts w:ascii="Book Antiqua" w:hAnsi="Book Antiqua"/>
                <w:color w:val="000000" w:themeColor="text1"/>
              </w:rPr>
            </w:pPr>
          </w:p>
        </w:tc>
      </w:tr>
      <w:tr w:rsidR="001154E7" w14:paraId="1ED2EDFE" w14:textId="77777777" w:rsidTr="00614201">
        <w:trPr>
          <w:trHeight w:val="285"/>
        </w:trPr>
        <w:tc>
          <w:tcPr>
            <w:tcW w:w="0" w:type="auto"/>
            <w:shd w:val="clear" w:color="auto" w:fill="auto"/>
            <w:vAlign w:val="center"/>
          </w:tcPr>
          <w:p w14:paraId="79DA3959" w14:textId="77777777" w:rsidR="001154E7" w:rsidRDefault="00ED61B9">
            <w:pPr>
              <w:adjustRightInd w:val="0"/>
              <w:snapToGrid w:val="0"/>
              <w:spacing w:line="360" w:lineRule="auto"/>
              <w:jc w:val="both"/>
              <w:textAlignment w:val="center"/>
              <w:rPr>
                <w:rFonts w:ascii="Book Antiqua" w:hAnsi="Book Antiqua"/>
                <w:color w:val="000000" w:themeColor="text1"/>
              </w:rPr>
            </w:pPr>
            <w:proofErr w:type="spellStart"/>
            <w:r>
              <w:rPr>
                <w:rFonts w:ascii="Book Antiqua" w:hAnsi="Book Antiqua"/>
                <w:color w:val="000000" w:themeColor="text1"/>
              </w:rPr>
              <w:t>HBeAg</w:t>
            </w:r>
            <w:proofErr w:type="spellEnd"/>
            <w:r>
              <w:rPr>
                <w:rFonts w:ascii="Book Antiqua" w:hAnsi="Book Antiqua"/>
                <w:color w:val="000000" w:themeColor="text1"/>
              </w:rPr>
              <w:t xml:space="preserve">, pos. </w:t>
            </w:r>
            <w:proofErr w:type="spellStart"/>
            <w:r>
              <w:rPr>
                <w:rFonts w:ascii="Book Antiqua" w:hAnsi="Book Antiqua"/>
                <w:i/>
                <w:color w:val="000000" w:themeColor="text1"/>
              </w:rPr>
              <w:t>vs</w:t>
            </w:r>
            <w:proofErr w:type="spellEnd"/>
            <w:r>
              <w:rPr>
                <w:rFonts w:ascii="Book Antiqua" w:hAnsi="Book Antiqua"/>
                <w:color w:val="000000" w:themeColor="text1"/>
              </w:rPr>
              <w:t xml:space="preserve"> neg.</w:t>
            </w:r>
          </w:p>
        </w:tc>
        <w:tc>
          <w:tcPr>
            <w:tcW w:w="0" w:type="auto"/>
            <w:shd w:val="clear" w:color="auto" w:fill="auto"/>
            <w:vAlign w:val="center"/>
          </w:tcPr>
          <w:p w14:paraId="43D7051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1.670</w:t>
            </w:r>
          </w:p>
        </w:tc>
        <w:tc>
          <w:tcPr>
            <w:tcW w:w="0" w:type="auto"/>
            <w:shd w:val="clear" w:color="auto" w:fill="auto"/>
            <w:vAlign w:val="center"/>
          </w:tcPr>
          <w:p w14:paraId="2AEB23A4"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1.084-2.574</w:t>
            </w:r>
          </w:p>
        </w:tc>
        <w:tc>
          <w:tcPr>
            <w:tcW w:w="0" w:type="auto"/>
            <w:shd w:val="clear" w:color="auto" w:fill="auto"/>
            <w:vAlign w:val="center"/>
          </w:tcPr>
          <w:p w14:paraId="19C30DB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0.019</w:t>
            </w:r>
          </w:p>
        </w:tc>
        <w:tc>
          <w:tcPr>
            <w:tcW w:w="0" w:type="auto"/>
            <w:shd w:val="clear" w:color="auto" w:fill="auto"/>
            <w:vAlign w:val="center"/>
          </w:tcPr>
          <w:p w14:paraId="6AF1F5B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1.070</w:t>
            </w:r>
          </w:p>
        </w:tc>
        <w:tc>
          <w:tcPr>
            <w:tcW w:w="0" w:type="auto"/>
            <w:shd w:val="clear" w:color="auto" w:fill="auto"/>
            <w:vAlign w:val="center"/>
          </w:tcPr>
          <w:p w14:paraId="5F6CCF0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0.659-1.739</w:t>
            </w:r>
          </w:p>
        </w:tc>
        <w:tc>
          <w:tcPr>
            <w:tcW w:w="0" w:type="auto"/>
            <w:shd w:val="clear" w:color="auto" w:fill="auto"/>
            <w:vAlign w:val="center"/>
          </w:tcPr>
          <w:p w14:paraId="6C4E9C6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0.784</w:t>
            </w:r>
          </w:p>
        </w:tc>
      </w:tr>
      <w:tr w:rsidR="001154E7" w14:paraId="6C84FA63" w14:textId="77777777" w:rsidTr="00614201">
        <w:trPr>
          <w:trHeight w:val="285"/>
        </w:trPr>
        <w:tc>
          <w:tcPr>
            <w:tcW w:w="0" w:type="auto"/>
            <w:shd w:val="clear" w:color="auto" w:fill="auto"/>
            <w:vAlign w:val="center"/>
          </w:tcPr>
          <w:p w14:paraId="1D00E35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Tumor size (cm), ≥ 3 </w:t>
            </w:r>
            <w:proofErr w:type="spellStart"/>
            <w:r>
              <w:rPr>
                <w:rFonts w:ascii="Book Antiqua" w:hAnsi="Book Antiqua"/>
                <w:i/>
                <w:color w:val="000000" w:themeColor="text1"/>
              </w:rPr>
              <w:t>vs</w:t>
            </w:r>
            <w:proofErr w:type="spellEnd"/>
            <w:r>
              <w:rPr>
                <w:rFonts w:ascii="Book Antiqua" w:hAnsi="Book Antiqua"/>
                <w:i/>
                <w:color w:val="000000" w:themeColor="text1"/>
              </w:rPr>
              <w:t xml:space="preserve"> </w:t>
            </w:r>
            <w:r>
              <w:rPr>
                <w:rFonts w:ascii="Book Antiqua" w:hAnsi="Book Antiqua"/>
                <w:color w:val="000000" w:themeColor="text1"/>
              </w:rPr>
              <w:t xml:space="preserve">&lt; 3 </w:t>
            </w:r>
          </w:p>
        </w:tc>
        <w:tc>
          <w:tcPr>
            <w:tcW w:w="0" w:type="auto"/>
            <w:shd w:val="clear" w:color="auto" w:fill="auto"/>
            <w:vAlign w:val="center"/>
          </w:tcPr>
          <w:p w14:paraId="461E780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3.680</w:t>
            </w:r>
          </w:p>
        </w:tc>
        <w:tc>
          <w:tcPr>
            <w:tcW w:w="0" w:type="auto"/>
            <w:shd w:val="clear" w:color="auto" w:fill="auto"/>
            <w:vAlign w:val="center"/>
          </w:tcPr>
          <w:p w14:paraId="19F0060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1.837-7.370</w:t>
            </w:r>
          </w:p>
        </w:tc>
        <w:tc>
          <w:tcPr>
            <w:tcW w:w="0" w:type="auto"/>
            <w:shd w:val="clear" w:color="auto" w:fill="auto"/>
            <w:vAlign w:val="center"/>
          </w:tcPr>
          <w:p w14:paraId="28231D3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0" w:type="auto"/>
            <w:shd w:val="clear" w:color="auto" w:fill="auto"/>
            <w:vAlign w:val="center"/>
          </w:tcPr>
          <w:p w14:paraId="6623CFE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2.235</w:t>
            </w:r>
          </w:p>
        </w:tc>
        <w:tc>
          <w:tcPr>
            <w:tcW w:w="0" w:type="auto"/>
            <w:shd w:val="clear" w:color="auto" w:fill="auto"/>
            <w:vAlign w:val="center"/>
          </w:tcPr>
          <w:p w14:paraId="06EC5286"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1.043-4.485</w:t>
            </w:r>
          </w:p>
        </w:tc>
        <w:tc>
          <w:tcPr>
            <w:tcW w:w="0" w:type="auto"/>
            <w:shd w:val="clear" w:color="auto" w:fill="auto"/>
            <w:vAlign w:val="center"/>
          </w:tcPr>
          <w:p w14:paraId="3326A49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0.039</w:t>
            </w:r>
          </w:p>
        </w:tc>
      </w:tr>
      <w:tr w:rsidR="001154E7" w14:paraId="5A005E0D" w14:textId="77777777" w:rsidTr="00614201">
        <w:trPr>
          <w:trHeight w:val="285"/>
        </w:trPr>
        <w:tc>
          <w:tcPr>
            <w:tcW w:w="0" w:type="auto"/>
            <w:shd w:val="clear" w:color="auto" w:fill="auto"/>
            <w:vAlign w:val="center"/>
          </w:tcPr>
          <w:p w14:paraId="4486976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Differentiation degree, Poor </w:t>
            </w:r>
            <w:proofErr w:type="spellStart"/>
            <w:r>
              <w:rPr>
                <w:rFonts w:ascii="Book Antiqua" w:hAnsi="Book Antiqua"/>
                <w:i/>
                <w:color w:val="000000" w:themeColor="text1"/>
              </w:rPr>
              <w:t>vs</w:t>
            </w:r>
            <w:proofErr w:type="spellEnd"/>
            <w:r>
              <w:rPr>
                <w:rFonts w:ascii="Book Antiqua" w:hAnsi="Book Antiqua"/>
                <w:color w:val="000000" w:themeColor="text1"/>
              </w:rPr>
              <w:t xml:space="preserve"> well-med.</w:t>
            </w:r>
          </w:p>
        </w:tc>
        <w:tc>
          <w:tcPr>
            <w:tcW w:w="0" w:type="auto"/>
            <w:shd w:val="clear" w:color="auto" w:fill="auto"/>
            <w:vAlign w:val="center"/>
          </w:tcPr>
          <w:p w14:paraId="7A6A685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1.642</w:t>
            </w:r>
          </w:p>
        </w:tc>
        <w:tc>
          <w:tcPr>
            <w:tcW w:w="0" w:type="auto"/>
            <w:shd w:val="clear" w:color="auto" w:fill="auto"/>
            <w:vAlign w:val="center"/>
          </w:tcPr>
          <w:p w14:paraId="5F318DFF"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0.869-3.100</w:t>
            </w:r>
          </w:p>
        </w:tc>
        <w:tc>
          <w:tcPr>
            <w:tcW w:w="0" w:type="auto"/>
            <w:shd w:val="clear" w:color="auto" w:fill="auto"/>
            <w:vAlign w:val="center"/>
          </w:tcPr>
          <w:p w14:paraId="0B215910"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0.123</w:t>
            </w:r>
          </w:p>
        </w:tc>
        <w:tc>
          <w:tcPr>
            <w:tcW w:w="0" w:type="auto"/>
            <w:shd w:val="clear" w:color="auto" w:fill="auto"/>
            <w:vAlign w:val="center"/>
          </w:tcPr>
          <w:p w14:paraId="19628418" w14:textId="77777777" w:rsidR="001154E7" w:rsidRDefault="001154E7">
            <w:pPr>
              <w:adjustRightInd w:val="0"/>
              <w:snapToGrid w:val="0"/>
              <w:spacing w:line="360" w:lineRule="auto"/>
              <w:ind w:firstLine="420"/>
              <w:jc w:val="both"/>
              <w:rPr>
                <w:rFonts w:ascii="Book Antiqua" w:hAnsi="Book Antiqua"/>
                <w:color w:val="000000" w:themeColor="text1"/>
              </w:rPr>
            </w:pPr>
          </w:p>
        </w:tc>
        <w:tc>
          <w:tcPr>
            <w:tcW w:w="0" w:type="auto"/>
            <w:shd w:val="clear" w:color="auto" w:fill="auto"/>
            <w:vAlign w:val="center"/>
          </w:tcPr>
          <w:p w14:paraId="737258EB" w14:textId="77777777" w:rsidR="001154E7" w:rsidRDefault="001154E7">
            <w:pPr>
              <w:adjustRightInd w:val="0"/>
              <w:snapToGrid w:val="0"/>
              <w:spacing w:line="360" w:lineRule="auto"/>
              <w:ind w:firstLine="420"/>
              <w:jc w:val="both"/>
              <w:rPr>
                <w:rFonts w:ascii="Book Antiqua" w:hAnsi="Book Antiqua"/>
                <w:color w:val="000000" w:themeColor="text1"/>
              </w:rPr>
            </w:pPr>
          </w:p>
        </w:tc>
        <w:tc>
          <w:tcPr>
            <w:tcW w:w="0" w:type="auto"/>
            <w:shd w:val="clear" w:color="auto" w:fill="auto"/>
            <w:vAlign w:val="center"/>
          </w:tcPr>
          <w:p w14:paraId="04CA252A" w14:textId="77777777" w:rsidR="001154E7" w:rsidRDefault="001154E7">
            <w:pPr>
              <w:adjustRightInd w:val="0"/>
              <w:snapToGrid w:val="0"/>
              <w:spacing w:line="360" w:lineRule="auto"/>
              <w:ind w:firstLine="420"/>
              <w:jc w:val="both"/>
              <w:rPr>
                <w:rFonts w:ascii="Book Antiqua" w:hAnsi="Book Antiqua"/>
                <w:color w:val="000000" w:themeColor="text1"/>
              </w:rPr>
            </w:pPr>
          </w:p>
        </w:tc>
      </w:tr>
      <w:tr w:rsidR="001154E7" w14:paraId="0D52B13F" w14:textId="77777777" w:rsidTr="00614201">
        <w:trPr>
          <w:trHeight w:val="285"/>
        </w:trPr>
        <w:tc>
          <w:tcPr>
            <w:tcW w:w="0" w:type="auto"/>
            <w:shd w:val="clear" w:color="auto" w:fill="auto"/>
            <w:vAlign w:val="center"/>
          </w:tcPr>
          <w:p w14:paraId="5B24EF7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Vascular invasion, with </w:t>
            </w:r>
            <w:proofErr w:type="spellStart"/>
            <w:r>
              <w:rPr>
                <w:rFonts w:ascii="Book Antiqua" w:hAnsi="Book Antiqua"/>
                <w:i/>
                <w:color w:val="000000" w:themeColor="text1"/>
              </w:rPr>
              <w:t>vs</w:t>
            </w:r>
            <w:proofErr w:type="spellEnd"/>
            <w:r>
              <w:rPr>
                <w:rFonts w:ascii="Book Antiqua" w:hAnsi="Book Antiqua"/>
                <w:color w:val="000000" w:themeColor="text1"/>
              </w:rPr>
              <w:t xml:space="preserve"> without</w:t>
            </w:r>
          </w:p>
        </w:tc>
        <w:tc>
          <w:tcPr>
            <w:tcW w:w="0" w:type="auto"/>
            <w:shd w:val="clear" w:color="auto" w:fill="auto"/>
            <w:vAlign w:val="center"/>
          </w:tcPr>
          <w:p w14:paraId="3304754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3.297</w:t>
            </w:r>
          </w:p>
        </w:tc>
        <w:tc>
          <w:tcPr>
            <w:tcW w:w="0" w:type="auto"/>
            <w:shd w:val="clear" w:color="auto" w:fill="auto"/>
            <w:vAlign w:val="center"/>
          </w:tcPr>
          <w:p w14:paraId="4D145A6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2.133-5.094</w:t>
            </w:r>
          </w:p>
        </w:tc>
        <w:tc>
          <w:tcPr>
            <w:tcW w:w="0" w:type="auto"/>
            <w:shd w:val="clear" w:color="auto" w:fill="auto"/>
            <w:vAlign w:val="center"/>
          </w:tcPr>
          <w:p w14:paraId="20DDA01A"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0" w:type="auto"/>
            <w:shd w:val="clear" w:color="auto" w:fill="auto"/>
            <w:vAlign w:val="center"/>
          </w:tcPr>
          <w:p w14:paraId="7153C82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2.018</w:t>
            </w:r>
          </w:p>
        </w:tc>
        <w:tc>
          <w:tcPr>
            <w:tcW w:w="0" w:type="auto"/>
            <w:shd w:val="clear" w:color="auto" w:fill="auto"/>
            <w:vAlign w:val="center"/>
          </w:tcPr>
          <w:p w14:paraId="36318D2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1.186-3.434</w:t>
            </w:r>
          </w:p>
        </w:tc>
        <w:tc>
          <w:tcPr>
            <w:tcW w:w="0" w:type="auto"/>
            <w:shd w:val="clear" w:color="auto" w:fill="auto"/>
            <w:vAlign w:val="center"/>
          </w:tcPr>
          <w:p w14:paraId="2600F20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0.010</w:t>
            </w:r>
          </w:p>
        </w:tc>
      </w:tr>
      <w:tr w:rsidR="001154E7" w14:paraId="3F657058" w14:textId="77777777" w:rsidTr="00614201">
        <w:trPr>
          <w:trHeight w:val="285"/>
        </w:trPr>
        <w:tc>
          <w:tcPr>
            <w:tcW w:w="0" w:type="auto"/>
            <w:shd w:val="clear" w:color="auto" w:fill="auto"/>
            <w:vAlign w:val="center"/>
          </w:tcPr>
          <w:p w14:paraId="38666D2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Ascites, with </w:t>
            </w:r>
            <w:proofErr w:type="spellStart"/>
            <w:r>
              <w:rPr>
                <w:rFonts w:ascii="Book Antiqua" w:hAnsi="Book Antiqua"/>
                <w:i/>
                <w:color w:val="000000" w:themeColor="text1"/>
              </w:rPr>
              <w:t>vs</w:t>
            </w:r>
            <w:proofErr w:type="spellEnd"/>
            <w:r>
              <w:rPr>
                <w:rFonts w:ascii="Book Antiqua" w:hAnsi="Book Antiqua"/>
                <w:color w:val="000000" w:themeColor="text1"/>
              </w:rPr>
              <w:t xml:space="preserve"> without</w:t>
            </w:r>
          </w:p>
        </w:tc>
        <w:tc>
          <w:tcPr>
            <w:tcW w:w="0" w:type="auto"/>
            <w:shd w:val="clear" w:color="auto" w:fill="auto"/>
            <w:vAlign w:val="center"/>
          </w:tcPr>
          <w:p w14:paraId="4C76D5B3"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2.592</w:t>
            </w:r>
          </w:p>
        </w:tc>
        <w:tc>
          <w:tcPr>
            <w:tcW w:w="0" w:type="auto"/>
            <w:shd w:val="clear" w:color="auto" w:fill="auto"/>
            <w:vAlign w:val="center"/>
          </w:tcPr>
          <w:p w14:paraId="05F10E0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1.648-4.076</w:t>
            </w:r>
          </w:p>
        </w:tc>
        <w:tc>
          <w:tcPr>
            <w:tcW w:w="0" w:type="auto"/>
            <w:shd w:val="clear" w:color="auto" w:fill="auto"/>
            <w:vAlign w:val="center"/>
          </w:tcPr>
          <w:p w14:paraId="0BB38F11"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0" w:type="auto"/>
            <w:shd w:val="clear" w:color="auto" w:fill="auto"/>
            <w:vAlign w:val="center"/>
          </w:tcPr>
          <w:p w14:paraId="028429F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1.929</w:t>
            </w:r>
          </w:p>
        </w:tc>
        <w:tc>
          <w:tcPr>
            <w:tcW w:w="0" w:type="auto"/>
            <w:shd w:val="clear" w:color="auto" w:fill="auto"/>
            <w:vAlign w:val="center"/>
          </w:tcPr>
          <w:p w14:paraId="234A9158"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1.177-3.161</w:t>
            </w:r>
          </w:p>
        </w:tc>
        <w:tc>
          <w:tcPr>
            <w:tcW w:w="0" w:type="auto"/>
            <w:shd w:val="clear" w:color="auto" w:fill="auto"/>
            <w:vAlign w:val="center"/>
          </w:tcPr>
          <w:p w14:paraId="7EB6A1A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0.009</w:t>
            </w:r>
          </w:p>
        </w:tc>
      </w:tr>
      <w:tr w:rsidR="001154E7" w14:paraId="195D828B" w14:textId="77777777" w:rsidTr="00614201">
        <w:trPr>
          <w:trHeight w:val="285"/>
        </w:trPr>
        <w:tc>
          <w:tcPr>
            <w:tcW w:w="0" w:type="auto"/>
            <w:shd w:val="clear" w:color="auto" w:fill="auto"/>
            <w:vAlign w:val="center"/>
          </w:tcPr>
          <w:p w14:paraId="3193BB9B"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 xml:space="preserve">TNM staging, III-IV </w:t>
            </w:r>
            <w:proofErr w:type="spellStart"/>
            <w:r>
              <w:rPr>
                <w:rFonts w:ascii="Book Antiqua" w:hAnsi="Book Antiqua"/>
                <w:i/>
                <w:iCs/>
                <w:color w:val="000000" w:themeColor="text1"/>
              </w:rPr>
              <w:t>vs</w:t>
            </w:r>
            <w:proofErr w:type="spellEnd"/>
            <w:r>
              <w:rPr>
                <w:rFonts w:ascii="Book Antiqua" w:hAnsi="Book Antiqua"/>
                <w:color w:val="000000" w:themeColor="text1"/>
              </w:rPr>
              <w:t xml:space="preserve"> I-II</w:t>
            </w:r>
          </w:p>
        </w:tc>
        <w:tc>
          <w:tcPr>
            <w:tcW w:w="0" w:type="auto"/>
            <w:shd w:val="clear" w:color="auto" w:fill="auto"/>
            <w:vAlign w:val="center"/>
          </w:tcPr>
          <w:p w14:paraId="0B9108C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2.411</w:t>
            </w:r>
          </w:p>
        </w:tc>
        <w:tc>
          <w:tcPr>
            <w:tcW w:w="0" w:type="auto"/>
            <w:shd w:val="clear" w:color="auto" w:fill="auto"/>
            <w:vAlign w:val="center"/>
          </w:tcPr>
          <w:p w14:paraId="560A30C7"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1.532-3.796</w:t>
            </w:r>
          </w:p>
        </w:tc>
        <w:tc>
          <w:tcPr>
            <w:tcW w:w="0" w:type="auto"/>
            <w:shd w:val="clear" w:color="auto" w:fill="auto"/>
            <w:vAlign w:val="center"/>
          </w:tcPr>
          <w:p w14:paraId="5FFE1982"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&lt; 0.001</w:t>
            </w:r>
          </w:p>
        </w:tc>
        <w:tc>
          <w:tcPr>
            <w:tcW w:w="0" w:type="auto"/>
            <w:shd w:val="clear" w:color="auto" w:fill="auto"/>
            <w:vAlign w:val="center"/>
          </w:tcPr>
          <w:p w14:paraId="32257A8D"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1.110</w:t>
            </w:r>
          </w:p>
        </w:tc>
        <w:tc>
          <w:tcPr>
            <w:tcW w:w="0" w:type="auto"/>
            <w:shd w:val="clear" w:color="auto" w:fill="auto"/>
            <w:vAlign w:val="center"/>
          </w:tcPr>
          <w:p w14:paraId="62DB4365"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0.614-2.005</w:t>
            </w:r>
          </w:p>
        </w:tc>
        <w:tc>
          <w:tcPr>
            <w:tcW w:w="0" w:type="auto"/>
            <w:shd w:val="clear" w:color="auto" w:fill="auto"/>
            <w:vAlign w:val="center"/>
          </w:tcPr>
          <w:p w14:paraId="10B5612C" w14:textId="77777777" w:rsidR="001154E7" w:rsidRDefault="00ED61B9">
            <w:pPr>
              <w:adjustRightInd w:val="0"/>
              <w:snapToGrid w:val="0"/>
              <w:spacing w:line="360" w:lineRule="auto"/>
              <w:jc w:val="both"/>
              <w:textAlignment w:val="center"/>
              <w:rPr>
                <w:rFonts w:ascii="Book Antiqua" w:hAnsi="Book Antiqua"/>
                <w:color w:val="000000" w:themeColor="text1"/>
              </w:rPr>
            </w:pPr>
            <w:r>
              <w:rPr>
                <w:rFonts w:ascii="Book Antiqua" w:hAnsi="Book Antiqua"/>
                <w:color w:val="000000" w:themeColor="text1"/>
              </w:rPr>
              <w:t>0.731</w:t>
            </w:r>
          </w:p>
        </w:tc>
      </w:tr>
    </w:tbl>
    <w:p w14:paraId="3365D2C2" w14:textId="6B2CF785" w:rsidR="00B9498D" w:rsidRDefault="00ED61B9">
      <w:pPr>
        <w:adjustRightInd w:val="0"/>
        <w:snapToGrid w:val="0"/>
        <w:spacing w:line="360" w:lineRule="auto"/>
        <w:jc w:val="both"/>
        <w:rPr>
          <w:rFonts w:ascii="Book Antiqua" w:eastAsia="Book Antiqua" w:hAnsi="Book Antiqua" w:cs="Book Antiqua"/>
          <w:color w:val="000000"/>
        </w:rPr>
      </w:pPr>
      <w:r>
        <w:rPr>
          <w:rFonts w:ascii="Book Antiqua" w:hAnsi="Book Antiqua"/>
        </w:rPr>
        <w:t xml:space="preserve">AFP: Alpha-fetoprotein; </w:t>
      </w:r>
      <w:proofErr w:type="spellStart"/>
      <w:r>
        <w:rPr>
          <w:rFonts w:ascii="Book Antiqua" w:hAnsi="Book Antiqua"/>
        </w:rPr>
        <w:t>HBeAg</w:t>
      </w:r>
      <w:proofErr w:type="spellEnd"/>
      <w:r>
        <w:rPr>
          <w:rFonts w:ascii="Book Antiqua" w:hAnsi="Book Antiqua"/>
        </w:rPr>
        <w:t xml:space="preserve">: hepatitis B virus e antigen; </w:t>
      </w:r>
      <w:proofErr w:type="spellStart"/>
      <w:r>
        <w:rPr>
          <w:rFonts w:ascii="Book Antiqua" w:hAnsi="Book Antiqua"/>
        </w:rPr>
        <w:t>HBsAg</w:t>
      </w:r>
      <w:proofErr w:type="spellEnd"/>
      <w:r>
        <w:rPr>
          <w:rFonts w:ascii="Book Antiqua" w:hAnsi="Book Antiqua"/>
        </w:rPr>
        <w:t xml:space="preserve">: hepatitis B virus surface antigen; </w:t>
      </w:r>
      <w:r>
        <w:rPr>
          <w:rFonts w:ascii="Book Antiqua" w:eastAsia="Book Antiqua" w:hAnsi="Book Antiqua" w:cs="Book Antiqua"/>
          <w:color w:val="000000"/>
        </w:rPr>
        <w:t xml:space="preserve">HR: </w:t>
      </w:r>
      <w:r>
        <w:rPr>
          <w:rFonts w:ascii="Book Antiqua" w:eastAsia="Book Antiqua" w:hAnsi="Book Antiqua" w:cs="Book Antiqua"/>
          <w:color w:val="000000"/>
          <w:shd w:val="clear" w:color="auto" w:fill="FFFFFF"/>
        </w:rPr>
        <w:t>Hazard ratio;</w:t>
      </w:r>
      <w:r>
        <w:rPr>
          <w:rFonts w:ascii="Book Antiqua" w:hAnsi="Book Antiqua"/>
        </w:rPr>
        <w:t xml:space="preserve"> </w:t>
      </w:r>
      <w:proofErr w:type="spellStart"/>
      <w:r>
        <w:rPr>
          <w:rFonts w:ascii="Book Antiqua" w:hAnsi="Book Antiqua"/>
        </w:rPr>
        <w:t>Neg</w:t>
      </w:r>
      <w:proofErr w:type="spellEnd"/>
      <w:r>
        <w:rPr>
          <w:rFonts w:ascii="Book Antiqua" w:hAnsi="Book Antiqua"/>
        </w:rPr>
        <w:t xml:space="preserve">: Negative expression; </w:t>
      </w:r>
      <w:proofErr w:type="spellStart"/>
      <w:r>
        <w:rPr>
          <w:rFonts w:ascii="Book Antiqua" w:hAnsi="Book Antiqua"/>
        </w:rPr>
        <w:t>Pos</w:t>
      </w:r>
      <w:proofErr w:type="spellEnd"/>
      <w:r>
        <w:rPr>
          <w:rFonts w:ascii="Book Antiqua" w:hAnsi="Book Antiqua"/>
        </w:rPr>
        <w:t xml:space="preserve">: Positive expression; </w:t>
      </w:r>
      <w:r>
        <w:rPr>
          <w:rFonts w:ascii="Book Antiqua" w:hAnsi="Book Antiqua"/>
          <w:color w:val="000000" w:themeColor="text1"/>
        </w:rPr>
        <w:t xml:space="preserve">TNM: </w:t>
      </w:r>
      <w:r>
        <w:rPr>
          <w:rFonts w:ascii="Book Antiqua" w:eastAsia="Book Antiqua" w:hAnsi="Book Antiqua" w:cs="Book Antiqua"/>
          <w:color w:val="000000"/>
        </w:rPr>
        <w:t>Tumor-node-metastasis.</w:t>
      </w:r>
    </w:p>
    <w:p w14:paraId="37208FD2" w14:textId="77777777" w:rsidR="00B9498D" w:rsidRDefault="00B9498D">
      <w:pPr>
        <w:rPr>
          <w:rFonts w:ascii="Book Antiqua" w:eastAsia="Book Antiqua" w:hAnsi="Book Antiqua" w:cs="Book Antiqua"/>
          <w:color w:val="000000"/>
        </w:rPr>
      </w:pPr>
      <w:r>
        <w:rPr>
          <w:rFonts w:ascii="Book Antiqua" w:eastAsia="Book Antiqua" w:hAnsi="Book Antiqua" w:cs="Book Antiqua"/>
          <w:color w:val="000000"/>
        </w:rPr>
        <w:br w:type="page"/>
      </w:r>
    </w:p>
    <w:p w14:paraId="58BE920F" w14:textId="77777777" w:rsidR="00B9498D" w:rsidRDefault="00B9498D" w:rsidP="00B9498D">
      <w:pPr>
        <w:ind w:leftChars="100" w:left="240"/>
        <w:jc w:val="center"/>
        <w:rPr>
          <w:rFonts w:ascii="Book Antiqua" w:hAnsi="Book Antiqua"/>
          <w:lang w:eastAsia="zh-CN"/>
        </w:rPr>
      </w:pPr>
    </w:p>
    <w:p w14:paraId="21F62DC8" w14:textId="77777777" w:rsidR="00B9498D" w:rsidRDefault="00B9498D" w:rsidP="00B9498D">
      <w:pPr>
        <w:ind w:leftChars="100" w:left="240"/>
        <w:jc w:val="center"/>
        <w:rPr>
          <w:rFonts w:ascii="Book Antiqua" w:hAnsi="Book Antiqua"/>
          <w:lang w:eastAsia="zh-CN"/>
        </w:rPr>
      </w:pPr>
    </w:p>
    <w:p w14:paraId="7C470D72" w14:textId="77777777" w:rsidR="00B9498D" w:rsidRDefault="00B9498D" w:rsidP="00B9498D">
      <w:pPr>
        <w:ind w:leftChars="100" w:left="240"/>
        <w:jc w:val="center"/>
        <w:rPr>
          <w:rFonts w:ascii="Book Antiqua" w:hAnsi="Book Antiqua"/>
          <w:lang w:eastAsia="zh-CN"/>
        </w:rPr>
      </w:pPr>
    </w:p>
    <w:p w14:paraId="4CDBCCAB" w14:textId="77777777" w:rsidR="00B9498D" w:rsidRDefault="00B9498D" w:rsidP="00B9498D">
      <w:pPr>
        <w:ind w:leftChars="100" w:left="240"/>
        <w:jc w:val="center"/>
        <w:rPr>
          <w:rFonts w:ascii="Book Antiqua" w:hAnsi="Book Antiqua"/>
          <w:lang w:eastAsia="zh-CN"/>
        </w:rPr>
      </w:pPr>
    </w:p>
    <w:p w14:paraId="27479882" w14:textId="77777777" w:rsidR="00B9498D" w:rsidRDefault="00B9498D" w:rsidP="00B9498D">
      <w:pPr>
        <w:ind w:leftChars="100" w:left="240"/>
        <w:jc w:val="center"/>
        <w:rPr>
          <w:rFonts w:ascii="Book Antiqua" w:hAnsi="Book Antiqua"/>
          <w:lang w:eastAsia="zh-CN"/>
        </w:rPr>
      </w:pPr>
      <w:r>
        <w:rPr>
          <w:rFonts w:ascii="Book Antiqua" w:hAnsi="Book Antiqua"/>
          <w:noProof/>
          <w:lang w:eastAsia="zh-CN"/>
        </w:rPr>
        <w:drawing>
          <wp:inline distT="0" distB="0" distL="0" distR="0" wp14:anchorId="2D59C8D8" wp14:editId="687ACBC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B28BA5" w14:textId="77777777" w:rsidR="00B9498D" w:rsidRDefault="00B9498D" w:rsidP="00B9498D">
      <w:pPr>
        <w:ind w:leftChars="100" w:left="240"/>
        <w:jc w:val="center"/>
        <w:rPr>
          <w:rFonts w:ascii="Book Antiqua" w:hAnsi="Book Antiqua"/>
          <w:lang w:eastAsia="zh-CN"/>
        </w:rPr>
      </w:pPr>
    </w:p>
    <w:p w14:paraId="5CA3F94E" w14:textId="77777777" w:rsidR="00B9498D" w:rsidRPr="00763D22" w:rsidRDefault="00B9498D" w:rsidP="00B9498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9A0004D" w14:textId="77777777" w:rsidR="00B9498D" w:rsidRPr="00763D22" w:rsidRDefault="00B9498D" w:rsidP="00B9498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A385C8C" w14:textId="77777777" w:rsidR="00B9498D" w:rsidRPr="00763D22" w:rsidRDefault="00B9498D" w:rsidP="00B9498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4320C7" w14:textId="77777777" w:rsidR="00B9498D" w:rsidRPr="00763D22" w:rsidRDefault="00B9498D" w:rsidP="00B9498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D4D5BCA" w14:textId="77777777" w:rsidR="00B9498D" w:rsidRPr="00763D22" w:rsidRDefault="00B9498D" w:rsidP="00B9498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BC74AFE" w14:textId="77777777" w:rsidR="00B9498D" w:rsidRPr="00763D22" w:rsidRDefault="00B9498D" w:rsidP="00B9498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794E0B8" w14:textId="77777777" w:rsidR="00B9498D" w:rsidRDefault="00B9498D" w:rsidP="00B9498D">
      <w:pPr>
        <w:ind w:leftChars="100" w:left="240"/>
        <w:jc w:val="center"/>
        <w:rPr>
          <w:rFonts w:ascii="Book Antiqua" w:hAnsi="Book Antiqua"/>
          <w:lang w:eastAsia="zh-CN"/>
        </w:rPr>
      </w:pPr>
    </w:p>
    <w:p w14:paraId="157DC2CC" w14:textId="77777777" w:rsidR="00B9498D" w:rsidRDefault="00B9498D" w:rsidP="00B9498D">
      <w:pPr>
        <w:ind w:leftChars="100" w:left="240"/>
        <w:jc w:val="center"/>
        <w:rPr>
          <w:rFonts w:ascii="Book Antiqua" w:hAnsi="Book Antiqua"/>
          <w:lang w:eastAsia="zh-CN"/>
        </w:rPr>
      </w:pPr>
    </w:p>
    <w:p w14:paraId="14A6B852" w14:textId="77777777" w:rsidR="00B9498D" w:rsidRDefault="00B9498D" w:rsidP="00B9498D">
      <w:pPr>
        <w:ind w:leftChars="100" w:left="240"/>
        <w:jc w:val="center"/>
        <w:rPr>
          <w:rFonts w:ascii="Book Antiqua" w:hAnsi="Book Antiqua"/>
          <w:lang w:eastAsia="zh-CN"/>
        </w:rPr>
      </w:pPr>
    </w:p>
    <w:p w14:paraId="5AF9DBB5" w14:textId="77777777" w:rsidR="00B9498D" w:rsidRDefault="00B9498D" w:rsidP="00B9498D">
      <w:pPr>
        <w:ind w:leftChars="100" w:left="240"/>
        <w:jc w:val="center"/>
        <w:rPr>
          <w:rFonts w:ascii="Book Antiqua" w:hAnsi="Book Antiqua"/>
          <w:lang w:eastAsia="zh-CN"/>
        </w:rPr>
      </w:pPr>
      <w:r>
        <w:rPr>
          <w:rFonts w:ascii="Book Antiqua" w:hAnsi="Book Antiqua"/>
          <w:noProof/>
          <w:lang w:eastAsia="zh-CN"/>
        </w:rPr>
        <w:drawing>
          <wp:inline distT="0" distB="0" distL="0" distR="0" wp14:anchorId="49E86BCE" wp14:editId="747CA7D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6E9841" w14:textId="77777777" w:rsidR="00B9498D" w:rsidRDefault="00B9498D" w:rsidP="00B9498D">
      <w:pPr>
        <w:ind w:leftChars="100" w:left="240"/>
        <w:jc w:val="center"/>
        <w:rPr>
          <w:rFonts w:ascii="Book Antiqua" w:hAnsi="Book Antiqua"/>
          <w:lang w:eastAsia="zh-CN"/>
        </w:rPr>
      </w:pPr>
    </w:p>
    <w:p w14:paraId="33D3C5DD" w14:textId="77777777" w:rsidR="00B9498D" w:rsidRDefault="00B9498D" w:rsidP="00B9498D">
      <w:pPr>
        <w:ind w:leftChars="100" w:left="240"/>
        <w:jc w:val="center"/>
        <w:rPr>
          <w:rFonts w:ascii="Book Antiqua" w:hAnsi="Book Antiqua"/>
          <w:lang w:eastAsia="zh-CN"/>
        </w:rPr>
      </w:pPr>
    </w:p>
    <w:p w14:paraId="5E5A775D" w14:textId="77777777" w:rsidR="00B9498D" w:rsidRDefault="00B9498D" w:rsidP="00B9498D">
      <w:pPr>
        <w:ind w:leftChars="100" w:left="240"/>
        <w:jc w:val="center"/>
        <w:rPr>
          <w:rFonts w:ascii="Book Antiqua" w:hAnsi="Book Antiqua"/>
          <w:lang w:eastAsia="zh-CN"/>
        </w:rPr>
      </w:pPr>
    </w:p>
    <w:p w14:paraId="4FA220F2" w14:textId="77777777" w:rsidR="00B9498D" w:rsidRDefault="00B9498D" w:rsidP="00B9498D">
      <w:pPr>
        <w:ind w:leftChars="100" w:left="240"/>
        <w:jc w:val="center"/>
        <w:rPr>
          <w:rFonts w:ascii="Book Antiqua" w:hAnsi="Book Antiqua"/>
          <w:lang w:eastAsia="zh-CN"/>
        </w:rPr>
      </w:pPr>
    </w:p>
    <w:p w14:paraId="19D6CEEA" w14:textId="77777777" w:rsidR="00B9498D" w:rsidRDefault="00B9498D" w:rsidP="00B9498D">
      <w:pPr>
        <w:ind w:leftChars="100" w:left="240"/>
        <w:jc w:val="center"/>
        <w:rPr>
          <w:rFonts w:ascii="Book Antiqua" w:hAnsi="Book Antiqua"/>
          <w:lang w:eastAsia="zh-CN"/>
        </w:rPr>
      </w:pPr>
    </w:p>
    <w:p w14:paraId="60CCA92B" w14:textId="77777777" w:rsidR="00B9498D" w:rsidRDefault="00B9498D" w:rsidP="00B9498D">
      <w:pPr>
        <w:ind w:leftChars="100" w:left="240"/>
        <w:jc w:val="center"/>
        <w:rPr>
          <w:rFonts w:ascii="Book Antiqua" w:hAnsi="Book Antiqua"/>
          <w:lang w:eastAsia="zh-CN"/>
        </w:rPr>
      </w:pPr>
    </w:p>
    <w:p w14:paraId="2682BF5F" w14:textId="77777777" w:rsidR="00B9498D" w:rsidRDefault="00B9498D" w:rsidP="00B9498D">
      <w:pPr>
        <w:ind w:leftChars="100" w:left="240"/>
        <w:jc w:val="center"/>
        <w:rPr>
          <w:rFonts w:ascii="Book Antiqua" w:hAnsi="Book Antiqua"/>
          <w:lang w:eastAsia="zh-CN"/>
        </w:rPr>
      </w:pPr>
    </w:p>
    <w:p w14:paraId="00F476CF" w14:textId="77777777" w:rsidR="00B9498D" w:rsidRDefault="00B9498D" w:rsidP="00B9498D">
      <w:pPr>
        <w:ind w:leftChars="100" w:left="240"/>
        <w:jc w:val="center"/>
        <w:rPr>
          <w:rFonts w:ascii="Book Antiqua" w:hAnsi="Book Antiqua"/>
          <w:lang w:eastAsia="zh-CN"/>
        </w:rPr>
      </w:pPr>
    </w:p>
    <w:p w14:paraId="3D7E87C4" w14:textId="77777777" w:rsidR="00B9498D" w:rsidRDefault="00B9498D" w:rsidP="00B9498D">
      <w:pPr>
        <w:ind w:leftChars="100" w:left="240"/>
        <w:jc w:val="center"/>
        <w:rPr>
          <w:rFonts w:ascii="Book Antiqua" w:hAnsi="Book Antiqua"/>
          <w:lang w:eastAsia="zh-CN"/>
        </w:rPr>
      </w:pPr>
    </w:p>
    <w:p w14:paraId="3A2B3642" w14:textId="77777777" w:rsidR="00B9498D" w:rsidRPr="00763D22" w:rsidRDefault="00B9498D" w:rsidP="00B9498D">
      <w:pPr>
        <w:ind w:leftChars="100" w:left="240"/>
        <w:jc w:val="right"/>
        <w:rPr>
          <w:rFonts w:ascii="Book Antiqua" w:hAnsi="Book Antiqua"/>
          <w:color w:val="000000" w:themeColor="text1"/>
          <w:lang w:eastAsia="zh-CN"/>
        </w:rPr>
      </w:pPr>
    </w:p>
    <w:p w14:paraId="26CD4EEE" w14:textId="77777777" w:rsidR="00B9498D" w:rsidRPr="00763D22" w:rsidRDefault="00B9498D" w:rsidP="00B9498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7D5410B" w14:textId="77777777" w:rsidR="001154E7" w:rsidRDefault="001154E7">
      <w:pPr>
        <w:adjustRightInd w:val="0"/>
        <w:snapToGrid w:val="0"/>
        <w:spacing w:line="360" w:lineRule="auto"/>
        <w:jc w:val="both"/>
        <w:rPr>
          <w:rFonts w:ascii="Book Antiqua" w:hAnsi="Book Antiqua"/>
        </w:rPr>
      </w:pPr>
      <w:bookmarkStart w:id="1" w:name="_GoBack"/>
      <w:bookmarkEnd w:id="1"/>
    </w:p>
    <w:sectPr w:rsidR="001154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4E1A2" w14:textId="77777777" w:rsidR="00D45A2A" w:rsidRDefault="00D45A2A">
      <w:r>
        <w:separator/>
      </w:r>
    </w:p>
  </w:endnote>
  <w:endnote w:type="continuationSeparator" w:id="0">
    <w:p w14:paraId="72F83A60" w14:textId="77777777" w:rsidR="00D45A2A" w:rsidRDefault="00D45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03338920"/>
      <w:docPartObj>
        <w:docPartGallery w:val="AutoText"/>
      </w:docPartObj>
    </w:sdtPr>
    <w:sdtEndPr/>
    <w:sdtContent>
      <w:p w14:paraId="5432B5A9" w14:textId="77777777" w:rsidR="001154E7" w:rsidRDefault="00ED61B9">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B9498D">
          <w:rPr>
            <w:rFonts w:ascii="Book Antiqua" w:hAnsi="Book Antiqua"/>
            <w:noProof/>
            <w:sz w:val="24"/>
            <w:szCs w:val="24"/>
          </w:rPr>
          <w:t>39</w:t>
        </w:r>
        <w:r>
          <w:rPr>
            <w:rFonts w:ascii="Book Antiqua" w:hAnsi="Book Antiqua"/>
            <w:sz w:val="24"/>
            <w:szCs w:val="24"/>
          </w:rPr>
          <w:fldChar w:fldCharType="end"/>
        </w:r>
        <w:r>
          <w:rPr>
            <w:rFonts w:ascii="Book Antiqua" w:hAnsi="Book Antiqua"/>
            <w:sz w:val="24"/>
            <w:szCs w:val="24"/>
          </w:rPr>
          <w:t xml:space="preserve"> / 35</w:t>
        </w:r>
      </w:p>
    </w:sdtContent>
  </w:sdt>
  <w:p w14:paraId="3870046A" w14:textId="77777777" w:rsidR="001154E7" w:rsidRDefault="001154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1E462B" w14:textId="77777777" w:rsidR="00D45A2A" w:rsidRDefault="00D45A2A">
      <w:r>
        <w:separator/>
      </w:r>
    </w:p>
  </w:footnote>
  <w:footnote w:type="continuationSeparator" w:id="0">
    <w:p w14:paraId="26DABCD7" w14:textId="77777777" w:rsidR="00D45A2A" w:rsidRDefault="00D45A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F54"/>
    <w:rsid w:val="00013E54"/>
    <w:rsid w:val="00014511"/>
    <w:rsid w:val="00015DB1"/>
    <w:rsid w:val="00043950"/>
    <w:rsid w:val="00043B80"/>
    <w:rsid w:val="0005187B"/>
    <w:rsid w:val="00076BBC"/>
    <w:rsid w:val="00080B3C"/>
    <w:rsid w:val="00081E08"/>
    <w:rsid w:val="000840FD"/>
    <w:rsid w:val="00085859"/>
    <w:rsid w:val="00097874"/>
    <w:rsid w:val="000A1368"/>
    <w:rsid w:val="000C11CF"/>
    <w:rsid w:val="000D563D"/>
    <w:rsid w:val="000D6E7D"/>
    <w:rsid w:val="001120AC"/>
    <w:rsid w:val="001154E7"/>
    <w:rsid w:val="00116DDC"/>
    <w:rsid w:val="00145187"/>
    <w:rsid w:val="00151B88"/>
    <w:rsid w:val="00157D50"/>
    <w:rsid w:val="00170EB1"/>
    <w:rsid w:val="001B3EF3"/>
    <w:rsid w:val="001C0F1E"/>
    <w:rsid w:val="001C3572"/>
    <w:rsid w:val="001D31B4"/>
    <w:rsid w:val="001D6EB0"/>
    <w:rsid w:val="001E1F55"/>
    <w:rsid w:val="001E32C9"/>
    <w:rsid w:val="001F44D4"/>
    <w:rsid w:val="002210DE"/>
    <w:rsid w:val="00240427"/>
    <w:rsid w:val="00243BF5"/>
    <w:rsid w:val="002509A6"/>
    <w:rsid w:val="002559BB"/>
    <w:rsid w:val="0028184B"/>
    <w:rsid w:val="00295734"/>
    <w:rsid w:val="002A0EAE"/>
    <w:rsid w:val="002A5130"/>
    <w:rsid w:val="002A558A"/>
    <w:rsid w:val="002C271D"/>
    <w:rsid w:val="00321C2D"/>
    <w:rsid w:val="0036485C"/>
    <w:rsid w:val="00371150"/>
    <w:rsid w:val="00371A02"/>
    <w:rsid w:val="00381DD6"/>
    <w:rsid w:val="00384E2A"/>
    <w:rsid w:val="00435C38"/>
    <w:rsid w:val="004457EF"/>
    <w:rsid w:val="00446534"/>
    <w:rsid w:val="00461048"/>
    <w:rsid w:val="00462F9C"/>
    <w:rsid w:val="0046420C"/>
    <w:rsid w:val="00491FB5"/>
    <w:rsid w:val="004B2898"/>
    <w:rsid w:val="004C2717"/>
    <w:rsid w:val="004D0E1F"/>
    <w:rsid w:val="004D203E"/>
    <w:rsid w:val="004D4348"/>
    <w:rsid w:val="004D56C3"/>
    <w:rsid w:val="004F6A6C"/>
    <w:rsid w:val="004F6EE9"/>
    <w:rsid w:val="0050487D"/>
    <w:rsid w:val="005159DF"/>
    <w:rsid w:val="00523ECB"/>
    <w:rsid w:val="0053387F"/>
    <w:rsid w:val="00544986"/>
    <w:rsid w:val="005608E8"/>
    <w:rsid w:val="00563B66"/>
    <w:rsid w:val="00565784"/>
    <w:rsid w:val="005826D3"/>
    <w:rsid w:val="00592118"/>
    <w:rsid w:val="005A2C41"/>
    <w:rsid w:val="005B4E31"/>
    <w:rsid w:val="005D0F9E"/>
    <w:rsid w:val="005D3A1B"/>
    <w:rsid w:val="005D5732"/>
    <w:rsid w:val="005E663A"/>
    <w:rsid w:val="005F17C8"/>
    <w:rsid w:val="005F645A"/>
    <w:rsid w:val="00614201"/>
    <w:rsid w:val="00621F39"/>
    <w:rsid w:val="006523E4"/>
    <w:rsid w:val="006530F1"/>
    <w:rsid w:val="00665F65"/>
    <w:rsid w:val="006A0E34"/>
    <w:rsid w:val="006B6124"/>
    <w:rsid w:val="006C01AE"/>
    <w:rsid w:val="006D60E2"/>
    <w:rsid w:val="006E6F08"/>
    <w:rsid w:val="006F737B"/>
    <w:rsid w:val="007147AE"/>
    <w:rsid w:val="00722A08"/>
    <w:rsid w:val="00740B4D"/>
    <w:rsid w:val="007422B2"/>
    <w:rsid w:val="00743454"/>
    <w:rsid w:val="00792AFD"/>
    <w:rsid w:val="007B7613"/>
    <w:rsid w:val="007D6FC0"/>
    <w:rsid w:val="007E787D"/>
    <w:rsid w:val="007F0718"/>
    <w:rsid w:val="007F20D1"/>
    <w:rsid w:val="00814F3F"/>
    <w:rsid w:val="0082452A"/>
    <w:rsid w:val="00826E04"/>
    <w:rsid w:val="008270B4"/>
    <w:rsid w:val="0084326E"/>
    <w:rsid w:val="00855714"/>
    <w:rsid w:val="00873380"/>
    <w:rsid w:val="00874210"/>
    <w:rsid w:val="008751AC"/>
    <w:rsid w:val="00887A1B"/>
    <w:rsid w:val="00893342"/>
    <w:rsid w:val="008C0728"/>
    <w:rsid w:val="008C0E42"/>
    <w:rsid w:val="008E7F9C"/>
    <w:rsid w:val="00920901"/>
    <w:rsid w:val="00921B88"/>
    <w:rsid w:val="00930DEE"/>
    <w:rsid w:val="00932836"/>
    <w:rsid w:val="009458C6"/>
    <w:rsid w:val="00955FC2"/>
    <w:rsid w:val="009631BA"/>
    <w:rsid w:val="00996980"/>
    <w:rsid w:val="009A7669"/>
    <w:rsid w:val="00A155B6"/>
    <w:rsid w:val="00A2530C"/>
    <w:rsid w:val="00A25B91"/>
    <w:rsid w:val="00A77B3E"/>
    <w:rsid w:val="00A869F6"/>
    <w:rsid w:val="00A9034C"/>
    <w:rsid w:val="00A93947"/>
    <w:rsid w:val="00AA4737"/>
    <w:rsid w:val="00AB4D54"/>
    <w:rsid w:val="00AC2DF9"/>
    <w:rsid w:val="00AC3CF9"/>
    <w:rsid w:val="00AE2829"/>
    <w:rsid w:val="00B21FA3"/>
    <w:rsid w:val="00B567C8"/>
    <w:rsid w:val="00B70021"/>
    <w:rsid w:val="00B92921"/>
    <w:rsid w:val="00B9498D"/>
    <w:rsid w:val="00BA0188"/>
    <w:rsid w:val="00BC42E5"/>
    <w:rsid w:val="00BE0848"/>
    <w:rsid w:val="00BE2659"/>
    <w:rsid w:val="00BE421C"/>
    <w:rsid w:val="00BF2A17"/>
    <w:rsid w:val="00C03D4D"/>
    <w:rsid w:val="00C26A9D"/>
    <w:rsid w:val="00C2742E"/>
    <w:rsid w:val="00C30838"/>
    <w:rsid w:val="00C314AB"/>
    <w:rsid w:val="00CA2A55"/>
    <w:rsid w:val="00CB3835"/>
    <w:rsid w:val="00CF7106"/>
    <w:rsid w:val="00D07018"/>
    <w:rsid w:val="00D073EF"/>
    <w:rsid w:val="00D2011C"/>
    <w:rsid w:val="00D303E9"/>
    <w:rsid w:val="00D45A2A"/>
    <w:rsid w:val="00D55294"/>
    <w:rsid w:val="00D57C6C"/>
    <w:rsid w:val="00D72EED"/>
    <w:rsid w:val="00D74235"/>
    <w:rsid w:val="00DA699E"/>
    <w:rsid w:val="00DA73D2"/>
    <w:rsid w:val="00DD158C"/>
    <w:rsid w:val="00DD6ABA"/>
    <w:rsid w:val="00E038F9"/>
    <w:rsid w:val="00E03911"/>
    <w:rsid w:val="00E27FD2"/>
    <w:rsid w:val="00E376FE"/>
    <w:rsid w:val="00E474E0"/>
    <w:rsid w:val="00E6216E"/>
    <w:rsid w:val="00E737CB"/>
    <w:rsid w:val="00E75A73"/>
    <w:rsid w:val="00E85D53"/>
    <w:rsid w:val="00E920E3"/>
    <w:rsid w:val="00E9282B"/>
    <w:rsid w:val="00EA06F1"/>
    <w:rsid w:val="00EA313F"/>
    <w:rsid w:val="00EB7DF4"/>
    <w:rsid w:val="00EC33BF"/>
    <w:rsid w:val="00ED61B9"/>
    <w:rsid w:val="00EF78E0"/>
    <w:rsid w:val="00F07DFC"/>
    <w:rsid w:val="00F12715"/>
    <w:rsid w:val="00F14149"/>
    <w:rsid w:val="00F26E5D"/>
    <w:rsid w:val="00F42556"/>
    <w:rsid w:val="00F62F5C"/>
    <w:rsid w:val="00F64DAE"/>
    <w:rsid w:val="00F74B69"/>
    <w:rsid w:val="00F824D8"/>
    <w:rsid w:val="00FA53AB"/>
    <w:rsid w:val="00FC54E5"/>
    <w:rsid w:val="00FD5420"/>
    <w:rsid w:val="26D301ED"/>
    <w:rsid w:val="2CFB5D33"/>
    <w:rsid w:val="380C16A8"/>
    <w:rsid w:val="424F3944"/>
    <w:rsid w:val="49617DB0"/>
    <w:rsid w:val="59627BE6"/>
    <w:rsid w:val="6F6C4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8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7">
    <w:name w:val="annotation subject"/>
    <w:basedOn w:val="a3"/>
    <w:next w:val="a3"/>
    <w:link w:val="Char2"/>
    <w:semiHidden/>
    <w:unhideWhenUsed/>
    <w:rPr>
      <w:b/>
      <w:bCs/>
    </w:rPr>
  </w:style>
  <w:style w:type="character" w:styleId="a8">
    <w:name w:val="annotation reference"/>
    <w:basedOn w:val="a0"/>
    <w:semiHidden/>
    <w:unhideWhenUsed/>
    <w:rPr>
      <w:sz w:val="16"/>
      <w:szCs w:val="16"/>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lang w:eastAsia="en-US"/>
    </w:rPr>
  </w:style>
  <w:style w:type="character" w:customStyle="1" w:styleId="Char2">
    <w:name w:val="批注主题 Char"/>
    <w:basedOn w:val="Char"/>
    <w:link w:val="a7"/>
    <w:semiHidden/>
    <w:rPr>
      <w:b/>
      <w:bCs/>
      <w:lang w:eastAsia="en-US"/>
    </w:rPr>
  </w:style>
  <w:style w:type="paragraph" w:styleId="a9">
    <w:name w:val="Balloon Text"/>
    <w:basedOn w:val="a"/>
    <w:link w:val="Char3"/>
    <w:rsid w:val="00614201"/>
    <w:rPr>
      <w:sz w:val="18"/>
      <w:szCs w:val="18"/>
    </w:rPr>
  </w:style>
  <w:style w:type="character" w:customStyle="1" w:styleId="Char3">
    <w:name w:val="批注框文本 Char"/>
    <w:basedOn w:val="a0"/>
    <w:link w:val="a9"/>
    <w:rsid w:val="00614201"/>
    <w:rPr>
      <w:sz w:val="18"/>
      <w:szCs w:val="18"/>
    </w:rPr>
  </w:style>
  <w:style w:type="character" w:styleId="aa">
    <w:name w:val="Hyperlink"/>
    <w:basedOn w:val="a0"/>
    <w:unhideWhenUsed/>
    <w:rsid w:val="00B949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7">
    <w:name w:val="annotation subject"/>
    <w:basedOn w:val="a3"/>
    <w:next w:val="a3"/>
    <w:link w:val="Char2"/>
    <w:semiHidden/>
    <w:unhideWhenUsed/>
    <w:rPr>
      <w:b/>
      <w:bCs/>
    </w:rPr>
  </w:style>
  <w:style w:type="character" w:styleId="a8">
    <w:name w:val="annotation reference"/>
    <w:basedOn w:val="a0"/>
    <w:semiHidden/>
    <w:unhideWhenUsed/>
    <w:rPr>
      <w:sz w:val="16"/>
      <w:szCs w:val="16"/>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lang w:eastAsia="en-US"/>
    </w:rPr>
  </w:style>
  <w:style w:type="character" w:customStyle="1" w:styleId="Char2">
    <w:name w:val="批注主题 Char"/>
    <w:basedOn w:val="Char"/>
    <w:link w:val="a7"/>
    <w:semiHidden/>
    <w:rPr>
      <w:b/>
      <w:bCs/>
      <w:lang w:eastAsia="en-US"/>
    </w:rPr>
  </w:style>
  <w:style w:type="paragraph" w:styleId="a9">
    <w:name w:val="Balloon Text"/>
    <w:basedOn w:val="a"/>
    <w:link w:val="Char3"/>
    <w:rsid w:val="00614201"/>
    <w:rPr>
      <w:sz w:val="18"/>
      <w:szCs w:val="18"/>
    </w:rPr>
  </w:style>
  <w:style w:type="character" w:customStyle="1" w:styleId="Char3">
    <w:name w:val="批注框文本 Char"/>
    <w:basedOn w:val="a0"/>
    <w:link w:val="a9"/>
    <w:rsid w:val="00614201"/>
    <w:rPr>
      <w:sz w:val="18"/>
      <w:szCs w:val="18"/>
    </w:rPr>
  </w:style>
  <w:style w:type="character" w:styleId="aa">
    <w:name w:val="Hyperlink"/>
    <w:basedOn w:val="a0"/>
    <w:unhideWhenUsed/>
    <w:rsid w:val="00B949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jgnet.com/1007-9327/full/v27/i23/3327.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39</Pages>
  <Words>7905</Words>
  <Characters>45063</Characters>
  <Application>Microsoft Office Word</Application>
  <DocSecurity>0</DocSecurity>
  <Lines>375</Lines>
  <Paragraphs>105</Paragraphs>
  <ScaleCrop>false</ScaleCrop>
  <Company/>
  <LinksUpToDate>false</LinksUpToDate>
  <CharactersWithSpaces>52863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17</cp:revision>
  <dcterms:created xsi:type="dcterms:W3CDTF">2021-05-22T02:10:00Z</dcterms:created>
  <dcterms:modified xsi:type="dcterms:W3CDTF">2021-06-16T06:07:00Z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C77A1688749B4E429168AE048D069E00</vt:lpwstr>
  </property>
</Properties>
</file>