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14A76"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Name of Journal: </w:t>
      </w:r>
      <w:r w:rsidRPr="00B729CD">
        <w:rPr>
          <w:rFonts w:ascii="Book Antiqua" w:eastAsia="Book Antiqua" w:hAnsi="Book Antiqua" w:cs="Book Antiqua"/>
          <w:i/>
          <w:color w:val="000000"/>
        </w:rPr>
        <w:t>World Journal of Gastrointestinal Pharmacology and Therapeutics</w:t>
      </w:r>
    </w:p>
    <w:p w14:paraId="2952316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Manuscript NO: </w:t>
      </w:r>
      <w:r w:rsidRPr="00B729CD">
        <w:rPr>
          <w:rFonts w:ascii="Book Antiqua" w:eastAsia="Book Antiqua" w:hAnsi="Book Antiqua" w:cs="Book Antiqua"/>
          <w:color w:val="000000"/>
        </w:rPr>
        <w:t>61779</w:t>
      </w:r>
    </w:p>
    <w:p w14:paraId="513D765C"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Manuscript Type: </w:t>
      </w:r>
      <w:r w:rsidRPr="00B729CD">
        <w:rPr>
          <w:rFonts w:ascii="Book Antiqua" w:eastAsia="Book Antiqua" w:hAnsi="Book Antiqua" w:cs="Book Antiqua"/>
          <w:color w:val="000000"/>
        </w:rPr>
        <w:t>ORIGINAL ARTICLE</w:t>
      </w:r>
    </w:p>
    <w:p w14:paraId="3DF287A1" w14:textId="77777777" w:rsidR="00A77B3E" w:rsidRPr="00B729CD" w:rsidRDefault="00A77B3E" w:rsidP="00B729CD">
      <w:pPr>
        <w:adjustRightInd w:val="0"/>
        <w:snapToGrid w:val="0"/>
        <w:spacing w:line="360" w:lineRule="auto"/>
        <w:jc w:val="both"/>
        <w:rPr>
          <w:rFonts w:ascii="Book Antiqua" w:hAnsi="Book Antiqua"/>
        </w:rPr>
      </w:pPr>
    </w:p>
    <w:p w14:paraId="1C4A0E06"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Retrospective Study</w:t>
      </w:r>
    </w:p>
    <w:p w14:paraId="6008AA2F" w14:textId="5D7FB053"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Histopathological evaluation of long-term tenofovir disoproxil fumarate treatment in patients with </w:t>
      </w:r>
      <w:r w:rsidR="001845C1" w:rsidRPr="00B729CD">
        <w:rPr>
          <w:rFonts w:ascii="Book Antiqua" w:eastAsia="Book Antiqua" w:hAnsi="Book Antiqua" w:cs="Book Antiqua"/>
          <w:b/>
          <w:bCs/>
          <w:color w:val="000000"/>
        </w:rPr>
        <w:t>hepatitis be antigen</w:t>
      </w:r>
      <w:r w:rsidRPr="00B729CD">
        <w:rPr>
          <w:rFonts w:ascii="Book Antiqua" w:eastAsia="Book Antiqua" w:hAnsi="Book Antiqua" w:cs="Book Antiqua"/>
          <w:b/>
          <w:color w:val="000000"/>
        </w:rPr>
        <w:t>-negative chronic hepatitis B</w:t>
      </w:r>
    </w:p>
    <w:p w14:paraId="4775BB25" w14:textId="77777777" w:rsidR="00A77B3E" w:rsidRPr="00B729CD" w:rsidRDefault="00A77B3E" w:rsidP="00B729CD">
      <w:pPr>
        <w:adjustRightInd w:val="0"/>
        <w:snapToGrid w:val="0"/>
        <w:spacing w:line="360" w:lineRule="auto"/>
        <w:jc w:val="both"/>
        <w:rPr>
          <w:rFonts w:ascii="Book Antiqua" w:hAnsi="Book Antiqua"/>
        </w:rPr>
      </w:pPr>
    </w:p>
    <w:p w14:paraId="0A994DC4" w14:textId="36AAE78E" w:rsidR="00A77B3E" w:rsidRPr="00B729CD" w:rsidRDefault="001845C1" w:rsidP="00B729CD">
      <w:pPr>
        <w:adjustRightInd w:val="0"/>
        <w:snapToGrid w:val="0"/>
        <w:spacing w:line="360" w:lineRule="auto"/>
        <w:jc w:val="both"/>
        <w:rPr>
          <w:rFonts w:ascii="Book Antiqua" w:hAnsi="Book Antiqua"/>
        </w:rPr>
      </w:pPr>
      <w:proofErr w:type="spellStart"/>
      <w:r w:rsidRPr="00B729CD">
        <w:rPr>
          <w:rFonts w:ascii="Book Antiqua" w:eastAsia="Book Antiqua" w:hAnsi="Book Antiqua" w:cs="Book Antiqua"/>
          <w:color w:val="000000"/>
        </w:rPr>
        <w:t>Abayli</w:t>
      </w:r>
      <w:proofErr w:type="spellEnd"/>
      <w:r w:rsidRPr="00B729CD">
        <w:rPr>
          <w:rFonts w:ascii="Book Antiqua" w:eastAsia="Book Antiqua" w:hAnsi="Book Antiqua" w:cs="Book Antiqua"/>
          <w:color w:val="000000"/>
        </w:rPr>
        <w:t xml:space="preserve"> B </w:t>
      </w:r>
      <w:r w:rsidRPr="00B729CD">
        <w:rPr>
          <w:rFonts w:ascii="Book Antiqua" w:eastAsia="Book Antiqua" w:hAnsi="Book Antiqua" w:cs="Book Antiqua"/>
          <w:i/>
          <w:iCs/>
          <w:color w:val="000000"/>
        </w:rPr>
        <w:t>et al.</w:t>
      </w:r>
      <w:r w:rsidRPr="00B729CD">
        <w:rPr>
          <w:rFonts w:ascii="Book Antiqua" w:eastAsia="Book Antiqua" w:hAnsi="Book Antiqua" w:cs="Book Antiqua"/>
          <w:color w:val="000000"/>
        </w:rPr>
        <w:t xml:space="preserve"> </w:t>
      </w:r>
      <w:r w:rsidR="00AB6A0E" w:rsidRPr="00B729CD">
        <w:rPr>
          <w:rFonts w:ascii="Book Antiqua" w:eastAsia="Book Antiqua" w:hAnsi="Book Antiqua" w:cs="Book Antiqua"/>
          <w:color w:val="000000"/>
        </w:rPr>
        <w:t>Results of long-term tenofovir treatment</w:t>
      </w:r>
    </w:p>
    <w:p w14:paraId="36490B15" w14:textId="77777777" w:rsidR="00A77B3E" w:rsidRPr="00B729CD" w:rsidRDefault="00A77B3E" w:rsidP="00B729CD">
      <w:pPr>
        <w:adjustRightInd w:val="0"/>
        <w:snapToGrid w:val="0"/>
        <w:spacing w:line="360" w:lineRule="auto"/>
        <w:jc w:val="both"/>
        <w:rPr>
          <w:rFonts w:ascii="Book Antiqua" w:hAnsi="Book Antiqua"/>
        </w:rPr>
      </w:pPr>
    </w:p>
    <w:p w14:paraId="2B3AE4EB" w14:textId="77777777" w:rsidR="00A77B3E" w:rsidRPr="00B729CD" w:rsidRDefault="00AB6A0E" w:rsidP="00B729CD">
      <w:pPr>
        <w:adjustRightInd w:val="0"/>
        <w:snapToGrid w:val="0"/>
        <w:spacing w:line="360" w:lineRule="auto"/>
        <w:jc w:val="both"/>
        <w:rPr>
          <w:rFonts w:ascii="Book Antiqua" w:hAnsi="Book Antiqua"/>
        </w:rPr>
      </w:pPr>
      <w:proofErr w:type="spellStart"/>
      <w:r w:rsidRPr="00B729CD">
        <w:rPr>
          <w:rFonts w:ascii="Book Antiqua" w:eastAsia="Book Antiqua" w:hAnsi="Book Antiqua" w:cs="Book Antiqua"/>
          <w:color w:val="000000"/>
        </w:rPr>
        <w:t>Bahri</w:t>
      </w:r>
      <w:proofErr w:type="spellEnd"/>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Abayli</w:t>
      </w:r>
      <w:proofErr w:type="spellEnd"/>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Cansu</w:t>
      </w:r>
      <w:proofErr w:type="spellEnd"/>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Abaylı</w:t>
      </w:r>
      <w:proofErr w:type="spellEnd"/>
      <w:r w:rsidRPr="00B729CD">
        <w:rPr>
          <w:rFonts w:ascii="Book Antiqua" w:eastAsia="Book Antiqua" w:hAnsi="Book Antiqua" w:cs="Book Antiqua"/>
          <w:color w:val="000000"/>
        </w:rPr>
        <w:t xml:space="preserve">, Genco </w:t>
      </w:r>
      <w:proofErr w:type="spellStart"/>
      <w:r w:rsidRPr="00B729CD">
        <w:rPr>
          <w:rFonts w:ascii="Book Antiqua" w:eastAsia="Book Antiqua" w:hAnsi="Book Antiqua" w:cs="Book Antiqua"/>
          <w:color w:val="000000"/>
        </w:rPr>
        <w:t>Gencdal</w:t>
      </w:r>
      <w:proofErr w:type="spellEnd"/>
    </w:p>
    <w:p w14:paraId="0D6CDF5E" w14:textId="77777777" w:rsidR="00A77B3E" w:rsidRPr="00B729CD" w:rsidRDefault="00A77B3E" w:rsidP="00B729CD">
      <w:pPr>
        <w:adjustRightInd w:val="0"/>
        <w:snapToGrid w:val="0"/>
        <w:spacing w:line="360" w:lineRule="auto"/>
        <w:jc w:val="both"/>
        <w:rPr>
          <w:rFonts w:ascii="Book Antiqua" w:hAnsi="Book Antiqua"/>
        </w:rPr>
      </w:pPr>
    </w:p>
    <w:p w14:paraId="24C1E461" w14:textId="777F4243" w:rsidR="00A77B3E" w:rsidRPr="00B729CD" w:rsidRDefault="00AB6A0E" w:rsidP="00B729CD">
      <w:pPr>
        <w:adjustRightInd w:val="0"/>
        <w:snapToGrid w:val="0"/>
        <w:spacing w:line="360" w:lineRule="auto"/>
        <w:jc w:val="both"/>
        <w:rPr>
          <w:rFonts w:ascii="Book Antiqua" w:hAnsi="Book Antiqua"/>
        </w:rPr>
      </w:pPr>
      <w:proofErr w:type="spellStart"/>
      <w:r w:rsidRPr="00B729CD">
        <w:rPr>
          <w:rFonts w:ascii="Book Antiqua" w:eastAsia="Book Antiqua" w:hAnsi="Book Antiqua" w:cs="Book Antiqua"/>
          <w:b/>
          <w:bCs/>
          <w:color w:val="000000"/>
        </w:rPr>
        <w:t>Bahri</w:t>
      </w:r>
      <w:proofErr w:type="spellEnd"/>
      <w:r w:rsidRPr="00B729CD">
        <w:rPr>
          <w:rFonts w:ascii="Book Antiqua" w:eastAsia="Book Antiqua" w:hAnsi="Book Antiqua" w:cs="Book Antiqua"/>
          <w:b/>
          <w:bCs/>
          <w:color w:val="000000"/>
        </w:rPr>
        <w:t xml:space="preserve"> </w:t>
      </w:r>
      <w:proofErr w:type="spellStart"/>
      <w:r w:rsidRPr="00B729CD">
        <w:rPr>
          <w:rFonts w:ascii="Book Antiqua" w:eastAsia="Book Antiqua" w:hAnsi="Book Antiqua" w:cs="Book Antiqua"/>
          <w:b/>
          <w:bCs/>
          <w:color w:val="000000"/>
        </w:rPr>
        <w:t>Abayli</w:t>
      </w:r>
      <w:proofErr w:type="spellEnd"/>
      <w:r w:rsidRPr="00B729CD">
        <w:rPr>
          <w:rFonts w:ascii="Book Antiqua" w:eastAsia="Book Antiqua" w:hAnsi="Book Antiqua" w:cs="Book Antiqua"/>
          <w:b/>
          <w:bCs/>
          <w:color w:val="000000"/>
        </w:rPr>
        <w:t xml:space="preserve">, </w:t>
      </w:r>
      <w:proofErr w:type="spellStart"/>
      <w:r w:rsidRPr="00B729CD">
        <w:rPr>
          <w:rFonts w:ascii="Book Antiqua" w:eastAsia="Book Antiqua" w:hAnsi="Book Antiqua" w:cs="Book Antiqua"/>
          <w:b/>
          <w:bCs/>
          <w:color w:val="000000"/>
        </w:rPr>
        <w:t>Cansu</w:t>
      </w:r>
      <w:proofErr w:type="spellEnd"/>
      <w:r w:rsidRPr="00B729CD">
        <w:rPr>
          <w:rFonts w:ascii="Book Antiqua" w:eastAsia="Book Antiqua" w:hAnsi="Book Antiqua" w:cs="Book Antiqua"/>
          <w:b/>
          <w:bCs/>
          <w:color w:val="000000"/>
        </w:rPr>
        <w:t xml:space="preserve"> </w:t>
      </w:r>
      <w:proofErr w:type="spellStart"/>
      <w:r w:rsidRPr="00B729CD">
        <w:rPr>
          <w:rFonts w:ascii="Book Antiqua" w:eastAsia="Book Antiqua" w:hAnsi="Book Antiqua" w:cs="Book Antiqua"/>
          <w:b/>
          <w:bCs/>
          <w:color w:val="000000"/>
        </w:rPr>
        <w:t>Abaylı</w:t>
      </w:r>
      <w:proofErr w:type="spellEnd"/>
      <w:r w:rsidRPr="00B729CD">
        <w:rPr>
          <w:rFonts w:ascii="Book Antiqua" w:eastAsia="Book Antiqua" w:hAnsi="Book Antiqua" w:cs="Book Antiqua"/>
          <w:b/>
          <w:bCs/>
          <w:color w:val="000000"/>
        </w:rPr>
        <w:t xml:space="preserve">, </w:t>
      </w:r>
      <w:proofErr w:type="spellStart"/>
      <w:r w:rsidRPr="00B729CD">
        <w:rPr>
          <w:rFonts w:ascii="Book Antiqua" w:eastAsia="Book Antiqua" w:hAnsi="Book Antiqua" w:cs="Book Antiqua"/>
          <w:color w:val="000000"/>
        </w:rPr>
        <w:t>Seyhan</w:t>
      </w:r>
      <w:proofErr w:type="spellEnd"/>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Devlet</w:t>
      </w:r>
      <w:proofErr w:type="spellEnd"/>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Hastanesi</w:t>
      </w:r>
      <w:proofErr w:type="spellEnd"/>
      <w:r w:rsidRPr="00B729CD">
        <w:rPr>
          <w:rFonts w:ascii="Book Antiqua" w:eastAsia="Book Antiqua" w:hAnsi="Book Antiqua" w:cs="Book Antiqua"/>
          <w:color w:val="000000"/>
        </w:rPr>
        <w:t>, Adana 090, Turkey</w:t>
      </w:r>
    </w:p>
    <w:p w14:paraId="3D631ECD" w14:textId="77777777" w:rsidR="00A77B3E" w:rsidRPr="00B729CD" w:rsidRDefault="00A77B3E" w:rsidP="00B729CD">
      <w:pPr>
        <w:adjustRightInd w:val="0"/>
        <w:snapToGrid w:val="0"/>
        <w:spacing w:line="360" w:lineRule="auto"/>
        <w:jc w:val="both"/>
        <w:rPr>
          <w:rFonts w:ascii="Book Antiqua" w:hAnsi="Book Antiqua"/>
        </w:rPr>
      </w:pPr>
    </w:p>
    <w:p w14:paraId="1EA175D7" w14:textId="51CF5F7C"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Genco </w:t>
      </w:r>
      <w:proofErr w:type="spellStart"/>
      <w:r w:rsidRPr="00B729CD">
        <w:rPr>
          <w:rFonts w:ascii="Book Antiqua" w:eastAsia="Book Antiqua" w:hAnsi="Book Antiqua" w:cs="Book Antiqua"/>
          <w:b/>
          <w:bCs/>
          <w:color w:val="000000"/>
        </w:rPr>
        <w:t>Gencdal</w:t>
      </w:r>
      <w:proofErr w:type="spellEnd"/>
      <w:r w:rsidRPr="00B729CD">
        <w:rPr>
          <w:rFonts w:ascii="Book Antiqua" w:eastAsia="Book Antiqua" w:hAnsi="Book Antiqua" w:cs="Book Antiqua"/>
          <w:b/>
          <w:bCs/>
          <w:color w:val="000000"/>
        </w:rPr>
        <w:t xml:space="preserve">, </w:t>
      </w:r>
      <w:bookmarkStart w:id="0" w:name="OLE_LINK6"/>
      <w:bookmarkStart w:id="1" w:name="OLE_LINK7"/>
      <w:r w:rsidR="00B858BC" w:rsidRPr="00B729CD">
        <w:rPr>
          <w:rFonts w:ascii="Book Antiqua" w:eastAsia="Book Antiqua" w:hAnsi="Book Antiqua" w:cs="Book Antiqua"/>
          <w:bCs/>
          <w:color w:val="000000"/>
        </w:rPr>
        <w:t>Department of</w:t>
      </w:r>
      <w:r w:rsidR="00B858BC" w:rsidRPr="00B729CD">
        <w:rPr>
          <w:rFonts w:ascii="Book Antiqua" w:eastAsia="Book Antiqua" w:hAnsi="Book Antiqua" w:cs="Book Antiqua"/>
          <w:b/>
          <w:bCs/>
          <w:color w:val="000000"/>
        </w:rPr>
        <w:t xml:space="preserve"> </w:t>
      </w:r>
      <w:r w:rsidRPr="00B729CD">
        <w:rPr>
          <w:rFonts w:ascii="Book Antiqua" w:eastAsia="Book Antiqua" w:hAnsi="Book Antiqua" w:cs="Book Antiqua"/>
          <w:color w:val="000000"/>
        </w:rPr>
        <w:t>Gastroenterology</w:t>
      </w:r>
      <w:r w:rsidR="00B858BC" w:rsidRPr="00B729CD">
        <w:rPr>
          <w:rFonts w:ascii="Book Antiqua" w:eastAsia="Book Antiqua" w:hAnsi="Book Antiqua" w:cs="Book Antiqua"/>
          <w:color w:val="000000"/>
        </w:rPr>
        <w:t>,</w:t>
      </w:r>
      <w:r w:rsidRPr="00B729CD">
        <w:rPr>
          <w:rFonts w:ascii="Book Antiqua" w:eastAsia="Book Antiqua" w:hAnsi="Book Antiqua" w:cs="Book Antiqua"/>
          <w:color w:val="000000"/>
        </w:rPr>
        <w:t xml:space="preserve"> Hepatology</w:t>
      </w:r>
      <w:r w:rsidR="00B858BC" w:rsidRPr="00B729CD">
        <w:rPr>
          <w:rFonts w:ascii="Book Antiqua" w:eastAsia="Book Antiqua" w:hAnsi="Book Antiqua" w:cs="Book Antiqua"/>
          <w:color w:val="000000"/>
        </w:rPr>
        <w:t xml:space="preserve"> and</w:t>
      </w:r>
      <w:r w:rsidRPr="00B729CD">
        <w:rPr>
          <w:rFonts w:ascii="Book Antiqua" w:eastAsia="Book Antiqua" w:hAnsi="Book Antiqua" w:cs="Book Antiqua"/>
          <w:color w:val="000000"/>
        </w:rPr>
        <w:t xml:space="preserve"> Liver Transplantation</w:t>
      </w:r>
      <w:bookmarkEnd w:id="0"/>
      <w:bookmarkEnd w:id="1"/>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Koc</w:t>
      </w:r>
      <w:proofErr w:type="spellEnd"/>
      <w:r w:rsidRPr="00B729CD">
        <w:rPr>
          <w:rFonts w:ascii="Book Antiqua" w:eastAsia="Book Antiqua" w:hAnsi="Book Antiqua" w:cs="Book Antiqua"/>
          <w:color w:val="000000"/>
        </w:rPr>
        <w:t xml:space="preserve"> University, School of Medicine, İstanbul 34300, Turkey</w:t>
      </w:r>
    </w:p>
    <w:p w14:paraId="33328B01" w14:textId="77777777" w:rsidR="00A77B3E" w:rsidRPr="00B729CD" w:rsidRDefault="00A77B3E" w:rsidP="00B729CD">
      <w:pPr>
        <w:adjustRightInd w:val="0"/>
        <w:snapToGrid w:val="0"/>
        <w:spacing w:line="360" w:lineRule="auto"/>
        <w:jc w:val="both"/>
        <w:rPr>
          <w:rFonts w:ascii="Book Antiqua" w:hAnsi="Book Antiqua"/>
        </w:rPr>
      </w:pPr>
    </w:p>
    <w:p w14:paraId="0E647728" w14:textId="685D4443"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Author contributions: </w:t>
      </w:r>
      <w:bookmarkStart w:id="2" w:name="OLE_LINK3"/>
      <w:bookmarkStart w:id="3" w:name="OLE_LINK4"/>
      <w:proofErr w:type="spellStart"/>
      <w:r w:rsidR="00F715A3" w:rsidRPr="00B729CD">
        <w:rPr>
          <w:rFonts w:ascii="Book Antiqua" w:eastAsia="Book Antiqua" w:hAnsi="Book Antiqua" w:cs="Book Antiqua"/>
          <w:color w:val="000000"/>
        </w:rPr>
        <w:t>Abayli</w:t>
      </w:r>
      <w:proofErr w:type="spellEnd"/>
      <w:r w:rsidR="001845C1" w:rsidRPr="00B729CD">
        <w:rPr>
          <w:rFonts w:ascii="Book Antiqua" w:eastAsia="Book Antiqua" w:hAnsi="Book Antiqua" w:cs="Book Antiqua"/>
          <w:color w:val="000000"/>
        </w:rPr>
        <w:t xml:space="preserve"> B and </w:t>
      </w:r>
      <w:proofErr w:type="spellStart"/>
      <w:r w:rsidR="00F715A3" w:rsidRPr="00B729CD">
        <w:rPr>
          <w:rFonts w:ascii="Book Antiqua" w:eastAsia="Book Antiqua" w:hAnsi="Book Antiqua" w:cs="Book Antiqua"/>
          <w:color w:val="000000"/>
        </w:rPr>
        <w:t>Abaylı</w:t>
      </w:r>
      <w:proofErr w:type="spellEnd"/>
      <w:r w:rsidR="001845C1" w:rsidRPr="00B729CD">
        <w:rPr>
          <w:rFonts w:ascii="Book Antiqua" w:eastAsia="Book Antiqua" w:hAnsi="Book Antiqua" w:cs="Book Antiqua"/>
          <w:color w:val="000000"/>
        </w:rPr>
        <w:t xml:space="preserve"> C were </w:t>
      </w:r>
      <w:hyperlink r:id="rId6" w:history="1">
        <w:r w:rsidR="001845C1" w:rsidRPr="00B729CD">
          <w:rPr>
            <w:rFonts w:ascii="Book Antiqua" w:eastAsia="Book Antiqua" w:hAnsi="Book Antiqua" w:cs="Book Antiqua"/>
            <w:color w:val="000000"/>
          </w:rPr>
          <w:t>responsible</w:t>
        </w:r>
      </w:hyperlink>
      <w:r w:rsidR="001845C1" w:rsidRPr="00B729CD">
        <w:rPr>
          <w:rFonts w:ascii="Book Antiqua" w:eastAsia="Book Antiqua" w:hAnsi="Book Antiqua" w:cs="Book Antiqua"/>
          <w:color w:val="000000"/>
        </w:rPr>
        <w:t> </w:t>
      </w:r>
      <w:hyperlink r:id="rId7" w:history="1">
        <w:r w:rsidR="001845C1" w:rsidRPr="00B729CD">
          <w:rPr>
            <w:rFonts w:ascii="Book Antiqua" w:eastAsia="Book Antiqua" w:hAnsi="Book Antiqua" w:cs="Book Antiqua"/>
            <w:color w:val="000000"/>
          </w:rPr>
          <w:t>for</w:t>
        </w:r>
      </w:hyperlink>
      <w:r w:rsidR="001845C1" w:rsidRPr="00B729CD">
        <w:rPr>
          <w:rFonts w:ascii="Book Antiqua" w:eastAsia="Book Antiqua" w:hAnsi="Book Antiqua" w:cs="Book Antiqua"/>
          <w:color w:val="000000"/>
        </w:rPr>
        <w:t xml:space="preserve"> the</w:t>
      </w:r>
      <w:r w:rsidRPr="00B729CD">
        <w:rPr>
          <w:rFonts w:ascii="Book Antiqua" w:eastAsia="Book Antiqua" w:hAnsi="Book Antiqua" w:cs="Book Antiqua"/>
          <w:color w:val="000000"/>
        </w:rPr>
        <w:t xml:space="preserve"> </w:t>
      </w:r>
      <w:r w:rsidR="00B858BC" w:rsidRPr="00B729CD">
        <w:rPr>
          <w:rFonts w:ascii="Book Antiqua" w:eastAsia="Book Antiqua" w:hAnsi="Book Antiqua" w:cs="Book Antiqua"/>
          <w:color w:val="000000"/>
        </w:rPr>
        <w:t>concept</w:t>
      </w:r>
      <w:r w:rsidRPr="00B729CD">
        <w:rPr>
          <w:rFonts w:ascii="Book Antiqua" w:eastAsia="Book Antiqua" w:hAnsi="Book Antiqua" w:cs="Book Antiqua"/>
          <w:color w:val="000000"/>
        </w:rPr>
        <w:t xml:space="preserve">, </w:t>
      </w:r>
      <w:r w:rsidR="00B858BC" w:rsidRPr="00B729CD">
        <w:rPr>
          <w:rFonts w:ascii="Book Antiqua" w:eastAsia="Book Antiqua" w:hAnsi="Book Antiqua" w:cs="Book Antiqua"/>
          <w:color w:val="000000"/>
        </w:rPr>
        <w:t xml:space="preserve">clinical </w:t>
      </w:r>
      <w:r w:rsidRPr="00B729CD">
        <w:rPr>
          <w:rFonts w:ascii="Book Antiqua" w:eastAsia="Book Antiqua" w:hAnsi="Book Antiqua" w:cs="Book Antiqua"/>
          <w:color w:val="000000"/>
        </w:rPr>
        <w:t xml:space="preserve">follow-up of patients, </w:t>
      </w:r>
      <w:r w:rsidR="00B858BC" w:rsidRPr="00B729CD">
        <w:rPr>
          <w:rFonts w:ascii="Book Antiqua" w:eastAsia="Book Antiqua" w:hAnsi="Book Antiqua" w:cs="Book Antiqua"/>
          <w:color w:val="000000"/>
        </w:rPr>
        <w:t xml:space="preserve">writing </w:t>
      </w:r>
      <w:r w:rsidRPr="00B729CD">
        <w:rPr>
          <w:rFonts w:ascii="Book Antiqua" w:eastAsia="Book Antiqua" w:hAnsi="Book Antiqua" w:cs="Book Antiqua"/>
          <w:color w:val="000000"/>
        </w:rPr>
        <w:t xml:space="preserve">of article, </w:t>
      </w:r>
      <w:r w:rsidR="00B858BC" w:rsidRPr="00B729CD">
        <w:rPr>
          <w:rFonts w:ascii="Book Antiqua" w:eastAsia="Book Antiqua" w:hAnsi="Book Antiqua" w:cs="Book Antiqua"/>
          <w:color w:val="000000"/>
        </w:rPr>
        <w:t>supervision</w:t>
      </w:r>
      <w:r w:rsidR="001845C1" w:rsidRPr="00B729CD">
        <w:rPr>
          <w:rFonts w:ascii="Book Antiqua" w:eastAsia="Book Antiqua" w:hAnsi="Book Antiqua" w:cs="Book Antiqua"/>
          <w:color w:val="000000"/>
        </w:rPr>
        <w:t>;</w:t>
      </w:r>
      <w:r w:rsidR="001845C1" w:rsidRPr="00B729CD">
        <w:rPr>
          <w:rFonts w:ascii="Book Antiqua" w:hAnsi="Book Antiqua"/>
          <w:lang w:eastAsia="zh-CN"/>
        </w:rPr>
        <w:t xml:space="preserve"> </w:t>
      </w:r>
      <w:proofErr w:type="spellStart"/>
      <w:r w:rsidRPr="00B729CD">
        <w:rPr>
          <w:rFonts w:ascii="Book Antiqua" w:eastAsia="Book Antiqua" w:hAnsi="Book Antiqua" w:cs="Book Antiqua"/>
          <w:color w:val="000000"/>
        </w:rPr>
        <w:t>Gencdal</w:t>
      </w:r>
      <w:proofErr w:type="spellEnd"/>
      <w:r w:rsidR="001845C1" w:rsidRPr="00B729CD">
        <w:rPr>
          <w:rStyle w:val="skip"/>
          <w:rFonts w:ascii="Book Antiqua" w:hAnsi="Book Antiqua" w:cs="Arial"/>
          <w:color w:val="999999"/>
          <w:shd w:val="clear" w:color="auto" w:fill="FFFFFF"/>
        </w:rPr>
        <w:t xml:space="preserve"> </w:t>
      </w:r>
      <w:r w:rsidR="001845C1" w:rsidRPr="00B729CD">
        <w:rPr>
          <w:rFonts w:ascii="Book Antiqua" w:eastAsia="Book Antiqua" w:hAnsi="Book Antiqua" w:cs="Book Antiqua"/>
          <w:color w:val="000000"/>
        </w:rPr>
        <w:t xml:space="preserve">G </w:t>
      </w:r>
      <w:hyperlink r:id="rId8" w:history="1">
        <w:r w:rsidR="001845C1" w:rsidRPr="00B729CD">
          <w:rPr>
            <w:rFonts w:ascii="Book Antiqua" w:eastAsia="Book Antiqua" w:hAnsi="Book Antiqua" w:cs="Book Antiqua"/>
            <w:color w:val="000000"/>
          </w:rPr>
          <w:t>was</w:t>
        </w:r>
      </w:hyperlink>
      <w:r w:rsidR="001845C1" w:rsidRPr="00B729CD">
        <w:rPr>
          <w:rFonts w:ascii="Book Antiqua" w:eastAsia="Book Antiqua" w:hAnsi="Book Antiqua" w:cs="Book Antiqua"/>
          <w:color w:val="000000"/>
        </w:rPr>
        <w:t> </w:t>
      </w:r>
      <w:hyperlink r:id="rId9" w:history="1">
        <w:r w:rsidR="001845C1" w:rsidRPr="00B729CD">
          <w:rPr>
            <w:rFonts w:ascii="Book Antiqua" w:eastAsia="Book Antiqua" w:hAnsi="Book Antiqua" w:cs="Book Antiqua"/>
            <w:color w:val="000000"/>
          </w:rPr>
          <w:t>responsible</w:t>
        </w:r>
      </w:hyperlink>
      <w:r w:rsidR="001845C1" w:rsidRPr="00B729CD">
        <w:rPr>
          <w:rFonts w:ascii="Book Antiqua" w:eastAsia="Book Antiqua" w:hAnsi="Book Antiqua" w:cs="Book Antiqua"/>
          <w:color w:val="000000"/>
        </w:rPr>
        <w:t> </w:t>
      </w:r>
      <w:hyperlink r:id="rId10" w:history="1">
        <w:r w:rsidR="001845C1" w:rsidRPr="00B729CD">
          <w:rPr>
            <w:rFonts w:ascii="Book Antiqua" w:eastAsia="Book Antiqua" w:hAnsi="Book Antiqua" w:cs="Book Antiqua"/>
            <w:color w:val="000000"/>
          </w:rPr>
          <w:t>for</w:t>
        </w:r>
      </w:hyperlink>
      <w:r w:rsidR="001845C1" w:rsidRPr="00B729CD">
        <w:rPr>
          <w:rFonts w:ascii="Book Antiqua" w:eastAsia="Book Antiqua" w:hAnsi="Book Antiqua" w:cs="Book Antiqua"/>
          <w:color w:val="000000"/>
        </w:rPr>
        <w:t xml:space="preserve"> the </w:t>
      </w:r>
      <w:r w:rsidR="00B858BC" w:rsidRPr="00B729CD">
        <w:rPr>
          <w:rFonts w:ascii="Book Antiqua" w:eastAsia="Book Antiqua" w:hAnsi="Book Antiqua" w:cs="Book Antiqua"/>
          <w:color w:val="000000"/>
        </w:rPr>
        <w:t>concept, study design, organization</w:t>
      </w:r>
      <w:r w:rsidRPr="00B729CD">
        <w:rPr>
          <w:rFonts w:ascii="Book Antiqua" w:eastAsia="Book Antiqua" w:hAnsi="Book Antiqua" w:cs="Book Antiqua"/>
          <w:color w:val="000000"/>
        </w:rPr>
        <w:t xml:space="preserve"> and coordination of the trial, </w:t>
      </w:r>
      <w:r w:rsidR="00B858BC" w:rsidRPr="00B729CD">
        <w:rPr>
          <w:rFonts w:ascii="Book Antiqua" w:eastAsia="Book Antiqua" w:hAnsi="Book Antiqua" w:cs="Book Antiqua"/>
          <w:color w:val="000000"/>
        </w:rPr>
        <w:t xml:space="preserve">data </w:t>
      </w:r>
      <w:r w:rsidRPr="00B729CD">
        <w:rPr>
          <w:rFonts w:ascii="Book Antiqua" w:eastAsia="Book Antiqua" w:hAnsi="Book Antiqua" w:cs="Book Antiqua"/>
          <w:color w:val="000000"/>
        </w:rPr>
        <w:t>analysis</w:t>
      </w:r>
      <w:r w:rsidR="001845C1" w:rsidRPr="00B729CD">
        <w:rPr>
          <w:rFonts w:ascii="Book Antiqua" w:eastAsia="Book Antiqua" w:hAnsi="Book Antiqua" w:cs="Book Antiqua"/>
          <w:color w:val="000000"/>
        </w:rPr>
        <w:t xml:space="preserve">, </w:t>
      </w:r>
      <w:r w:rsidR="00B858BC" w:rsidRPr="00B729CD">
        <w:rPr>
          <w:rFonts w:ascii="Book Antiqua" w:eastAsia="Book Antiqua" w:hAnsi="Book Antiqua" w:cs="Book Antiqua"/>
          <w:color w:val="000000"/>
        </w:rPr>
        <w:t xml:space="preserve">writing </w:t>
      </w:r>
      <w:r w:rsidRPr="00B729CD">
        <w:rPr>
          <w:rFonts w:ascii="Book Antiqua" w:eastAsia="Book Antiqua" w:hAnsi="Book Antiqua" w:cs="Book Antiqua"/>
          <w:color w:val="000000"/>
        </w:rPr>
        <w:t xml:space="preserve">of article, </w:t>
      </w:r>
      <w:r w:rsidR="00B858BC" w:rsidRPr="00B729CD">
        <w:rPr>
          <w:rFonts w:ascii="Book Antiqua" w:eastAsia="Book Antiqua" w:hAnsi="Book Antiqua" w:cs="Book Antiqua"/>
          <w:color w:val="000000"/>
        </w:rPr>
        <w:t>supervision</w:t>
      </w:r>
      <w:r w:rsidR="001845C1" w:rsidRPr="00B729CD">
        <w:rPr>
          <w:rFonts w:ascii="Book Antiqua" w:eastAsia="Book Antiqua" w:hAnsi="Book Antiqua" w:cs="Book Antiqua"/>
          <w:color w:val="000000"/>
        </w:rPr>
        <w:t>;</w:t>
      </w:r>
      <w:r w:rsidR="001845C1" w:rsidRPr="00B729CD">
        <w:rPr>
          <w:rFonts w:ascii="Book Antiqua" w:hAnsi="Book Antiqua"/>
          <w:lang w:eastAsia="zh-CN"/>
        </w:rPr>
        <w:t xml:space="preserve"> </w:t>
      </w:r>
      <w:r w:rsidR="00AA671A">
        <w:rPr>
          <w:rFonts w:ascii="Book Antiqua" w:eastAsia="Book Antiqua" w:hAnsi="Book Antiqua" w:cs="Book Antiqua"/>
          <w:color w:val="000000"/>
        </w:rPr>
        <w:t>a</w:t>
      </w:r>
      <w:r w:rsidR="00B858BC" w:rsidRPr="00B729CD">
        <w:rPr>
          <w:rFonts w:ascii="Book Antiqua" w:eastAsia="Book Antiqua" w:hAnsi="Book Antiqua" w:cs="Book Antiqua"/>
          <w:color w:val="000000"/>
        </w:rPr>
        <w:t>ll members of the</w:t>
      </w:r>
      <w:r w:rsidRPr="00B729CD">
        <w:rPr>
          <w:rFonts w:ascii="Book Antiqua" w:eastAsia="Book Antiqua" w:hAnsi="Book Antiqua" w:cs="Book Antiqua"/>
          <w:color w:val="000000"/>
        </w:rPr>
        <w:t xml:space="preserve"> </w:t>
      </w:r>
      <w:r w:rsidR="00F715A3" w:rsidRPr="00B729CD">
        <w:rPr>
          <w:rFonts w:ascii="Book Antiqua" w:eastAsia="Book Antiqua" w:hAnsi="Book Antiqua" w:cs="Book Antiqua"/>
          <w:color w:val="000000"/>
        </w:rPr>
        <w:t>s</w:t>
      </w:r>
      <w:r w:rsidRPr="00B729CD">
        <w:rPr>
          <w:rFonts w:ascii="Book Antiqua" w:eastAsia="Book Antiqua" w:hAnsi="Book Antiqua" w:cs="Book Antiqua"/>
          <w:color w:val="000000"/>
        </w:rPr>
        <w:t xml:space="preserve">tudy </w:t>
      </w:r>
      <w:r w:rsidR="00F715A3" w:rsidRPr="00B729CD">
        <w:rPr>
          <w:rFonts w:ascii="Book Antiqua" w:eastAsia="Book Antiqua" w:hAnsi="Book Antiqua" w:cs="Book Antiqua"/>
          <w:color w:val="000000"/>
        </w:rPr>
        <w:t>t</w:t>
      </w:r>
      <w:r w:rsidRPr="00B729CD">
        <w:rPr>
          <w:rFonts w:ascii="Book Antiqua" w:eastAsia="Book Antiqua" w:hAnsi="Book Antiqua" w:cs="Book Antiqua"/>
          <w:color w:val="000000"/>
        </w:rPr>
        <w:t>eam contributed to the management or administration of the trial</w:t>
      </w:r>
      <w:r w:rsidR="00B858BC" w:rsidRPr="00B729CD">
        <w:rPr>
          <w:rFonts w:ascii="Book Antiqua" w:eastAsia="Book Antiqua" w:hAnsi="Book Antiqua" w:cs="Book Antiqua"/>
          <w:color w:val="000000"/>
        </w:rPr>
        <w:t>.</w:t>
      </w:r>
    </w:p>
    <w:bookmarkEnd w:id="2"/>
    <w:bookmarkEnd w:id="3"/>
    <w:p w14:paraId="3F3C0309" w14:textId="77777777" w:rsidR="00A77B3E" w:rsidRPr="00B729CD" w:rsidRDefault="00A77B3E" w:rsidP="00B729CD">
      <w:pPr>
        <w:adjustRightInd w:val="0"/>
        <w:snapToGrid w:val="0"/>
        <w:spacing w:line="360" w:lineRule="auto"/>
        <w:jc w:val="both"/>
        <w:rPr>
          <w:rFonts w:ascii="Book Antiqua" w:hAnsi="Book Antiqua"/>
        </w:rPr>
      </w:pPr>
    </w:p>
    <w:p w14:paraId="7C4D5160" w14:textId="5245AEB5"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Corresponding author: Genco </w:t>
      </w:r>
      <w:proofErr w:type="spellStart"/>
      <w:r w:rsidRPr="00B729CD">
        <w:rPr>
          <w:rFonts w:ascii="Book Antiqua" w:eastAsia="Book Antiqua" w:hAnsi="Book Antiqua" w:cs="Book Antiqua"/>
          <w:b/>
          <w:bCs/>
          <w:color w:val="000000"/>
        </w:rPr>
        <w:t>Gencdal</w:t>
      </w:r>
      <w:proofErr w:type="spellEnd"/>
      <w:r w:rsidRPr="00B729CD">
        <w:rPr>
          <w:rFonts w:ascii="Book Antiqua" w:eastAsia="Book Antiqua" w:hAnsi="Book Antiqua" w:cs="Book Antiqua"/>
          <w:b/>
          <w:bCs/>
          <w:color w:val="000000"/>
        </w:rPr>
        <w:t xml:space="preserve">, MD, Associate Professor, </w:t>
      </w:r>
      <w:r w:rsidR="00B858BC" w:rsidRPr="00B729CD">
        <w:rPr>
          <w:rFonts w:ascii="Book Antiqua" w:eastAsia="Book Antiqua" w:hAnsi="Book Antiqua" w:cs="Book Antiqua"/>
          <w:bCs/>
          <w:color w:val="000000"/>
        </w:rPr>
        <w:t>Department of</w:t>
      </w:r>
      <w:r w:rsidR="00B858BC" w:rsidRPr="00B729CD">
        <w:rPr>
          <w:rFonts w:ascii="Book Antiqua" w:eastAsia="Book Antiqua" w:hAnsi="Book Antiqua" w:cs="Book Antiqua"/>
          <w:b/>
          <w:bCs/>
          <w:color w:val="000000"/>
        </w:rPr>
        <w:t xml:space="preserve"> </w:t>
      </w:r>
      <w:r w:rsidR="00B858BC" w:rsidRPr="00B729CD">
        <w:rPr>
          <w:rFonts w:ascii="Book Antiqua" w:eastAsia="Book Antiqua" w:hAnsi="Book Antiqua" w:cs="Book Antiqua"/>
          <w:color w:val="000000"/>
        </w:rPr>
        <w:t xml:space="preserve">Gastroenterology, Hepatology and Liver Transplantation, </w:t>
      </w:r>
      <w:proofErr w:type="spellStart"/>
      <w:r w:rsidRPr="00B729CD">
        <w:rPr>
          <w:rFonts w:ascii="Book Antiqua" w:eastAsia="Book Antiqua" w:hAnsi="Book Antiqua" w:cs="Book Antiqua"/>
          <w:color w:val="000000"/>
        </w:rPr>
        <w:t>Koc</w:t>
      </w:r>
      <w:proofErr w:type="spellEnd"/>
      <w:r w:rsidRPr="00B729CD">
        <w:rPr>
          <w:rFonts w:ascii="Book Antiqua" w:eastAsia="Book Antiqua" w:hAnsi="Book Antiqua" w:cs="Book Antiqua"/>
          <w:color w:val="000000"/>
        </w:rPr>
        <w:t xml:space="preserve"> University, School of Medicine, </w:t>
      </w:r>
      <w:proofErr w:type="spellStart"/>
      <w:r w:rsidRPr="00B729CD">
        <w:rPr>
          <w:rFonts w:ascii="Book Antiqua" w:eastAsia="Book Antiqua" w:hAnsi="Book Antiqua" w:cs="Book Antiqua"/>
          <w:color w:val="000000"/>
        </w:rPr>
        <w:t>özel</w:t>
      </w:r>
      <w:proofErr w:type="spellEnd"/>
      <w:r w:rsidRPr="00B729CD">
        <w:rPr>
          <w:rFonts w:ascii="Book Antiqua" w:eastAsia="Book Antiqua" w:hAnsi="Book Antiqua" w:cs="Book Antiqua"/>
          <w:color w:val="000000"/>
        </w:rPr>
        <w:t xml:space="preserve"> GOP </w:t>
      </w:r>
      <w:proofErr w:type="spellStart"/>
      <w:r w:rsidRPr="00B729CD">
        <w:rPr>
          <w:rFonts w:ascii="Book Antiqua" w:eastAsia="Book Antiqua" w:hAnsi="Book Antiqua" w:cs="Book Antiqua"/>
          <w:color w:val="000000"/>
        </w:rPr>
        <w:t>hastanesi</w:t>
      </w:r>
      <w:proofErr w:type="spellEnd"/>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endoskopi</w:t>
      </w:r>
      <w:proofErr w:type="spellEnd"/>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birimi</w:t>
      </w:r>
      <w:proofErr w:type="spellEnd"/>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gop</w:t>
      </w:r>
      <w:proofErr w:type="spellEnd"/>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istanbul</w:t>
      </w:r>
      <w:proofErr w:type="spellEnd"/>
      <w:r w:rsidRPr="00B729CD">
        <w:rPr>
          <w:rFonts w:ascii="Book Antiqua" w:eastAsia="Book Antiqua" w:hAnsi="Book Antiqua" w:cs="Book Antiqua"/>
          <w:color w:val="000000"/>
        </w:rPr>
        <w:t>, İstanbul 34300, Turkey. gencogencdal@yahoo.co.uk</w:t>
      </w:r>
    </w:p>
    <w:p w14:paraId="3D37B94D" w14:textId="77777777" w:rsidR="00A77B3E" w:rsidRPr="00B729CD" w:rsidRDefault="00A77B3E" w:rsidP="00B729CD">
      <w:pPr>
        <w:adjustRightInd w:val="0"/>
        <w:snapToGrid w:val="0"/>
        <w:spacing w:line="360" w:lineRule="auto"/>
        <w:jc w:val="both"/>
        <w:rPr>
          <w:rFonts w:ascii="Book Antiqua" w:hAnsi="Book Antiqua"/>
          <w:u w:val="single"/>
        </w:rPr>
      </w:pPr>
    </w:p>
    <w:p w14:paraId="1DCC8854"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Received: </w:t>
      </w:r>
      <w:r w:rsidRPr="00B729CD">
        <w:rPr>
          <w:rFonts w:ascii="Book Antiqua" w:eastAsia="Book Antiqua" w:hAnsi="Book Antiqua" w:cs="Book Antiqua"/>
          <w:color w:val="000000"/>
        </w:rPr>
        <w:t>December 18, 2020</w:t>
      </w:r>
    </w:p>
    <w:p w14:paraId="4A96D1B0"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Revised: </w:t>
      </w:r>
      <w:r w:rsidRPr="00B729CD">
        <w:rPr>
          <w:rFonts w:ascii="Book Antiqua" w:eastAsia="Book Antiqua" w:hAnsi="Book Antiqua" w:cs="Book Antiqua"/>
          <w:color w:val="000000"/>
        </w:rPr>
        <w:t>January 10, 2021</w:t>
      </w:r>
    </w:p>
    <w:p w14:paraId="16F7183E" w14:textId="3DD0E362"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lastRenderedPageBreak/>
        <w:t xml:space="preserve">Accepted: </w:t>
      </w:r>
      <w:r w:rsidR="00FD5A66" w:rsidRPr="00FD5A66">
        <w:rPr>
          <w:rFonts w:ascii="Book Antiqua" w:eastAsia="Book Antiqua" w:hAnsi="Book Antiqua" w:cs="Book Antiqua"/>
          <w:color w:val="000000"/>
        </w:rPr>
        <w:t>March 10, 2021</w:t>
      </w:r>
    </w:p>
    <w:p w14:paraId="2069CB0E"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Published online: </w:t>
      </w:r>
    </w:p>
    <w:p w14:paraId="159FAB56" w14:textId="77777777" w:rsidR="00A77B3E" w:rsidRPr="00B729CD" w:rsidRDefault="00A77B3E" w:rsidP="00B729CD">
      <w:pPr>
        <w:adjustRightInd w:val="0"/>
        <w:snapToGrid w:val="0"/>
        <w:spacing w:line="360" w:lineRule="auto"/>
        <w:jc w:val="both"/>
        <w:rPr>
          <w:rFonts w:ascii="Book Antiqua" w:hAnsi="Book Antiqua"/>
        </w:rPr>
        <w:sectPr w:rsidR="00A77B3E" w:rsidRPr="00B729CD" w:rsidSect="00B858BC">
          <w:footerReference w:type="default" r:id="rId11"/>
          <w:type w:val="continuous"/>
          <w:pgSz w:w="12240" w:h="15840"/>
          <w:pgMar w:top="1440" w:right="1800" w:bottom="1440" w:left="1800" w:header="720" w:footer="720" w:gutter="0"/>
          <w:cols w:space="720"/>
          <w:docGrid w:linePitch="360"/>
        </w:sectPr>
      </w:pPr>
    </w:p>
    <w:p w14:paraId="3DEDC5B7" w14:textId="77777777" w:rsidR="00B858BC" w:rsidRPr="00B729CD" w:rsidRDefault="00B858BC" w:rsidP="00B729CD">
      <w:pPr>
        <w:snapToGrid w:val="0"/>
        <w:spacing w:line="360" w:lineRule="auto"/>
        <w:jc w:val="both"/>
        <w:rPr>
          <w:rFonts w:ascii="Book Antiqua" w:eastAsia="Book Antiqua" w:hAnsi="Book Antiqua" w:cs="Book Antiqua"/>
          <w:b/>
          <w:color w:val="000000"/>
        </w:rPr>
      </w:pPr>
      <w:r w:rsidRPr="00B729CD">
        <w:rPr>
          <w:rFonts w:ascii="Book Antiqua" w:eastAsia="Book Antiqua" w:hAnsi="Book Antiqua" w:cs="Book Antiqua"/>
          <w:b/>
          <w:color w:val="000000"/>
        </w:rPr>
        <w:br w:type="page"/>
      </w:r>
    </w:p>
    <w:p w14:paraId="297CAE27" w14:textId="734F228F"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lastRenderedPageBreak/>
        <w:t>Abstract</w:t>
      </w:r>
    </w:p>
    <w:p w14:paraId="2F31D294"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BACKGROUND</w:t>
      </w:r>
    </w:p>
    <w:p w14:paraId="25684B63" w14:textId="6820B49C"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Hepatitis B virus is a universal health problem. There are approximately 250 million people living with hepatitis B worldwide, and approximately 600000 of these people die every year due to the virus.</w:t>
      </w:r>
    </w:p>
    <w:p w14:paraId="2D20E3B7" w14:textId="77777777" w:rsidR="00A77B3E" w:rsidRPr="00B729CD" w:rsidRDefault="00A77B3E" w:rsidP="00B729CD">
      <w:pPr>
        <w:adjustRightInd w:val="0"/>
        <w:snapToGrid w:val="0"/>
        <w:spacing w:line="360" w:lineRule="auto"/>
        <w:jc w:val="both"/>
        <w:rPr>
          <w:rFonts w:ascii="Book Antiqua" w:hAnsi="Book Antiqua"/>
        </w:rPr>
      </w:pPr>
    </w:p>
    <w:p w14:paraId="61CCB9A5"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AIM</w:t>
      </w:r>
    </w:p>
    <w:p w14:paraId="05FAEACD" w14:textId="46AEE3CD" w:rsidR="00A77B3E" w:rsidRPr="00B729CD" w:rsidRDefault="004D3B9C" w:rsidP="00B729CD">
      <w:pPr>
        <w:adjustRightInd w:val="0"/>
        <w:snapToGrid w:val="0"/>
        <w:spacing w:line="360" w:lineRule="auto"/>
        <w:jc w:val="both"/>
        <w:rPr>
          <w:rFonts w:ascii="Book Antiqua" w:hAnsi="Book Antiqua"/>
        </w:rPr>
      </w:pPr>
      <w:bookmarkStart w:id="4" w:name="OLE_LINK10"/>
      <w:bookmarkStart w:id="5" w:name="OLE_LINK11"/>
      <w:r w:rsidRPr="00B729CD">
        <w:rPr>
          <w:rFonts w:ascii="Book Antiqua" w:eastAsia="Book Antiqua" w:hAnsi="Book Antiqua" w:cs="Book Antiqua"/>
          <w:color w:val="000000"/>
        </w:rPr>
        <w:t xml:space="preserve">To </w:t>
      </w:r>
      <w:r w:rsidR="00AB6A0E" w:rsidRPr="00B729CD">
        <w:rPr>
          <w:rFonts w:ascii="Book Antiqua" w:eastAsia="Book Antiqua" w:hAnsi="Book Antiqua" w:cs="Book Antiqua"/>
          <w:color w:val="000000"/>
        </w:rPr>
        <w:t xml:space="preserve">compare the pretreatment and post-treatment histopathological results of patients with </w:t>
      </w:r>
      <w:r w:rsidR="001845C1" w:rsidRPr="00B729CD">
        <w:rPr>
          <w:rFonts w:ascii="Book Antiqua" w:eastAsia="Book Antiqua" w:hAnsi="Book Antiqua" w:cs="Book Antiqua"/>
          <w:color w:val="000000"/>
        </w:rPr>
        <w:t>hepatitis be antigen (</w:t>
      </w:r>
      <w:proofErr w:type="spellStart"/>
      <w:r w:rsidR="00AB6A0E" w:rsidRPr="00B729CD">
        <w:rPr>
          <w:rFonts w:ascii="Book Antiqua" w:eastAsia="Book Antiqua" w:hAnsi="Book Antiqua" w:cs="Book Antiqua"/>
          <w:color w:val="000000"/>
        </w:rPr>
        <w:t>HBeAg</w:t>
      </w:r>
      <w:proofErr w:type="spellEnd"/>
      <w:r w:rsidR="001845C1" w:rsidRPr="00B729CD">
        <w:rPr>
          <w:rFonts w:ascii="Book Antiqua" w:eastAsia="Book Antiqua" w:hAnsi="Book Antiqua" w:cs="Book Antiqua"/>
          <w:color w:val="000000"/>
        </w:rPr>
        <w:t>)</w:t>
      </w:r>
      <w:r w:rsidR="00AB6A0E" w:rsidRPr="00B729CD">
        <w:rPr>
          <w:rFonts w:ascii="Book Antiqua" w:eastAsia="Book Antiqua" w:hAnsi="Book Antiqua" w:cs="Book Antiqua"/>
          <w:color w:val="000000"/>
        </w:rPr>
        <w:t>-negative chronic hepatitis B (CHB) who had been receiving tenofovir disoproxil fumarate (TDF) treatment at our clinic for at least 5 years.</w:t>
      </w:r>
    </w:p>
    <w:bookmarkEnd w:id="4"/>
    <w:bookmarkEnd w:id="5"/>
    <w:p w14:paraId="060E779E" w14:textId="77777777" w:rsidR="00A77B3E" w:rsidRPr="00B729CD" w:rsidRDefault="00A77B3E" w:rsidP="00B729CD">
      <w:pPr>
        <w:adjustRightInd w:val="0"/>
        <w:snapToGrid w:val="0"/>
        <w:spacing w:line="360" w:lineRule="auto"/>
        <w:jc w:val="both"/>
        <w:rPr>
          <w:rFonts w:ascii="Book Antiqua" w:hAnsi="Book Antiqua"/>
        </w:rPr>
      </w:pPr>
    </w:p>
    <w:p w14:paraId="740FA44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METHODS</w:t>
      </w:r>
    </w:p>
    <w:p w14:paraId="171DA391" w14:textId="63A68A03"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Patients with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-negative CHB who were being treated with TDF (245 mg/d) were included in the study. Liver biopsies of patients before TDF treatment and liver biopsies after 5 years of TDF treatment were retrospectively compared.</w:t>
      </w:r>
    </w:p>
    <w:p w14:paraId="6718A3A7" w14:textId="77777777" w:rsidR="00A77B3E" w:rsidRPr="00B729CD" w:rsidRDefault="00A77B3E" w:rsidP="00B729CD">
      <w:pPr>
        <w:adjustRightInd w:val="0"/>
        <w:snapToGrid w:val="0"/>
        <w:spacing w:line="360" w:lineRule="auto"/>
        <w:jc w:val="both"/>
        <w:rPr>
          <w:rFonts w:ascii="Book Antiqua" w:hAnsi="Book Antiqua"/>
        </w:rPr>
      </w:pPr>
    </w:p>
    <w:p w14:paraId="374B1D6D"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RESULTS</w:t>
      </w:r>
    </w:p>
    <w:p w14:paraId="57B4BDAE" w14:textId="3CA28721"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A total of 50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-negative CHB patients were included in the study (mean age: 47.9 ± 10.4 years, men: 27.54%). Histological improvement was observed in 78% (39) of the patients after 5 years of treatment. After the 5 years of treatment, the mean Ishak score of the patients was 1.3 ± 1.3, and the mean histologic activity index score was 4.1 ± 2.8. A 1.53</w:t>
      </w:r>
      <w:r w:rsidR="00C958E2"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point reduction in Ishak fibrosis score was detected after long-term TDF treatment.</w:t>
      </w:r>
    </w:p>
    <w:p w14:paraId="4BDDA94E" w14:textId="77777777" w:rsidR="00A77B3E" w:rsidRPr="00B729CD" w:rsidRDefault="00A77B3E" w:rsidP="00B729CD">
      <w:pPr>
        <w:adjustRightInd w:val="0"/>
        <w:snapToGrid w:val="0"/>
        <w:spacing w:line="360" w:lineRule="auto"/>
        <w:jc w:val="both"/>
        <w:rPr>
          <w:rFonts w:ascii="Book Antiqua" w:hAnsi="Book Antiqua"/>
        </w:rPr>
      </w:pPr>
    </w:p>
    <w:p w14:paraId="11B50129"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CONCLUSION</w:t>
      </w:r>
    </w:p>
    <w:p w14:paraId="67FA43FB" w14:textId="5D10B10E"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Liver biopsies after 5 years of TDF treatment revealed a significant histological response and a regression of the </w:t>
      </w:r>
      <w:proofErr w:type="spellStart"/>
      <w:r w:rsidRPr="00B729CD">
        <w:rPr>
          <w:rFonts w:ascii="Book Antiqua" w:eastAsia="Book Antiqua" w:hAnsi="Book Antiqua" w:cs="Book Antiqua"/>
          <w:color w:val="000000"/>
        </w:rPr>
        <w:t>necroinflammatory</w:t>
      </w:r>
      <w:proofErr w:type="spellEnd"/>
      <w:r w:rsidRPr="00B729CD">
        <w:rPr>
          <w:rFonts w:ascii="Book Antiqua" w:eastAsia="Book Antiqua" w:hAnsi="Book Antiqua" w:cs="Book Antiqua"/>
          <w:color w:val="000000"/>
        </w:rPr>
        <w:t xml:space="preserve"> score compared to pretreatment liver biopsies. To better understand the effects of antiviral treatments </w:t>
      </w:r>
      <w:r w:rsidRPr="00B729CD">
        <w:rPr>
          <w:rFonts w:ascii="Book Antiqua" w:eastAsia="Book Antiqua" w:hAnsi="Book Antiqua" w:cs="Book Antiqua"/>
          <w:color w:val="000000"/>
        </w:rPr>
        <w:lastRenderedPageBreak/>
        <w:t>on the improvement of liver histology, long-term studies involving larger numbers of patients are needed.</w:t>
      </w:r>
    </w:p>
    <w:p w14:paraId="070ED5F8" w14:textId="77777777" w:rsidR="00A77B3E" w:rsidRPr="00B729CD" w:rsidRDefault="00A77B3E" w:rsidP="00B729CD">
      <w:pPr>
        <w:adjustRightInd w:val="0"/>
        <w:snapToGrid w:val="0"/>
        <w:spacing w:line="360" w:lineRule="auto"/>
        <w:jc w:val="both"/>
        <w:rPr>
          <w:rFonts w:ascii="Book Antiqua" w:hAnsi="Book Antiqua"/>
        </w:rPr>
      </w:pPr>
    </w:p>
    <w:p w14:paraId="5F334024"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Key Words: </w:t>
      </w:r>
      <w:r w:rsidRPr="00B729CD">
        <w:rPr>
          <w:rFonts w:ascii="Book Antiqua" w:eastAsia="Book Antiqua" w:hAnsi="Book Antiqua" w:cs="Book Antiqua"/>
          <w:color w:val="000000"/>
        </w:rPr>
        <w:t>Hepatitis B; Tenofovir; Chronic hepatitis; Biopsy; Liver; Fibrosis</w:t>
      </w:r>
    </w:p>
    <w:p w14:paraId="4C3095FF" w14:textId="77777777" w:rsidR="00A77B3E" w:rsidRPr="00B729CD" w:rsidRDefault="00A77B3E" w:rsidP="00B729CD">
      <w:pPr>
        <w:adjustRightInd w:val="0"/>
        <w:snapToGrid w:val="0"/>
        <w:spacing w:line="360" w:lineRule="auto"/>
        <w:jc w:val="both"/>
        <w:rPr>
          <w:rFonts w:ascii="Book Antiqua" w:hAnsi="Book Antiqua"/>
        </w:rPr>
      </w:pPr>
    </w:p>
    <w:p w14:paraId="7EF72735" w14:textId="531A1685" w:rsidR="00A77B3E" w:rsidRPr="00B729CD" w:rsidRDefault="00AB6A0E" w:rsidP="00B729CD">
      <w:pPr>
        <w:adjustRightInd w:val="0"/>
        <w:snapToGrid w:val="0"/>
        <w:spacing w:line="360" w:lineRule="auto"/>
        <w:jc w:val="both"/>
        <w:rPr>
          <w:rFonts w:ascii="Book Antiqua" w:hAnsi="Book Antiqua"/>
        </w:rPr>
      </w:pPr>
      <w:proofErr w:type="spellStart"/>
      <w:r w:rsidRPr="00B729CD">
        <w:rPr>
          <w:rFonts w:ascii="Book Antiqua" w:eastAsia="Book Antiqua" w:hAnsi="Book Antiqua" w:cs="Book Antiqua"/>
          <w:color w:val="000000"/>
        </w:rPr>
        <w:t>Abayli</w:t>
      </w:r>
      <w:proofErr w:type="spellEnd"/>
      <w:r w:rsidRPr="00B729CD">
        <w:rPr>
          <w:rFonts w:ascii="Book Antiqua" w:eastAsia="Book Antiqua" w:hAnsi="Book Antiqua" w:cs="Book Antiqua"/>
          <w:color w:val="000000"/>
        </w:rPr>
        <w:t xml:space="preserve"> B, </w:t>
      </w:r>
      <w:proofErr w:type="spellStart"/>
      <w:r w:rsidRPr="00B729CD">
        <w:rPr>
          <w:rFonts w:ascii="Book Antiqua" w:eastAsia="Book Antiqua" w:hAnsi="Book Antiqua" w:cs="Book Antiqua"/>
          <w:color w:val="000000"/>
        </w:rPr>
        <w:t>Abaylı</w:t>
      </w:r>
      <w:proofErr w:type="spellEnd"/>
      <w:r w:rsidRPr="00B729CD">
        <w:rPr>
          <w:rFonts w:ascii="Book Antiqua" w:eastAsia="Book Antiqua" w:hAnsi="Book Antiqua" w:cs="Book Antiqua"/>
          <w:color w:val="000000"/>
        </w:rPr>
        <w:t xml:space="preserve"> C, </w:t>
      </w:r>
      <w:proofErr w:type="spellStart"/>
      <w:r w:rsidRPr="00B729CD">
        <w:rPr>
          <w:rFonts w:ascii="Book Antiqua" w:eastAsia="Book Antiqua" w:hAnsi="Book Antiqua" w:cs="Book Antiqua"/>
          <w:color w:val="000000"/>
        </w:rPr>
        <w:t>Gencdal</w:t>
      </w:r>
      <w:proofErr w:type="spellEnd"/>
      <w:r w:rsidRPr="00B729CD">
        <w:rPr>
          <w:rFonts w:ascii="Book Antiqua" w:eastAsia="Book Antiqua" w:hAnsi="Book Antiqua" w:cs="Book Antiqua"/>
          <w:color w:val="000000"/>
        </w:rPr>
        <w:t xml:space="preserve"> G. Histopathological evaluation of long-term tenofovir disoproxil fumarate treatment in patients with </w:t>
      </w:r>
      <w:r w:rsidR="001845C1" w:rsidRPr="00B729CD">
        <w:rPr>
          <w:rFonts w:ascii="Book Antiqua" w:eastAsia="Book Antiqua" w:hAnsi="Book Antiqua" w:cs="Book Antiqua"/>
          <w:color w:val="000000"/>
        </w:rPr>
        <w:t>hepatitis be antigen</w:t>
      </w:r>
      <w:r w:rsidRPr="00B729CD">
        <w:rPr>
          <w:rFonts w:ascii="Book Antiqua" w:eastAsia="Book Antiqua" w:hAnsi="Book Antiqua" w:cs="Book Antiqua"/>
          <w:color w:val="000000"/>
        </w:rPr>
        <w:t xml:space="preserve">-negative chronic hepatitis B. </w:t>
      </w:r>
      <w:r w:rsidRPr="00B729CD">
        <w:rPr>
          <w:rFonts w:ascii="Book Antiqua" w:eastAsia="Book Antiqua" w:hAnsi="Book Antiqua" w:cs="Book Antiqua"/>
          <w:i/>
          <w:iCs/>
          <w:color w:val="000000"/>
        </w:rPr>
        <w:t xml:space="preserve">World J </w:t>
      </w:r>
      <w:proofErr w:type="spellStart"/>
      <w:r w:rsidRPr="00B729CD">
        <w:rPr>
          <w:rFonts w:ascii="Book Antiqua" w:eastAsia="Book Antiqua" w:hAnsi="Book Antiqua" w:cs="Book Antiqua"/>
          <w:i/>
          <w:iCs/>
          <w:color w:val="000000"/>
        </w:rPr>
        <w:t>Gastrointest</w:t>
      </w:r>
      <w:proofErr w:type="spellEnd"/>
      <w:r w:rsidRPr="00B729CD">
        <w:rPr>
          <w:rFonts w:ascii="Book Antiqua" w:eastAsia="Book Antiqua" w:hAnsi="Book Antiqua" w:cs="Book Antiqua"/>
          <w:i/>
          <w:iCs/>
          <w:color w:val="000000"/>
        </w:rPr>
        <w:t xml:space="preserve"> </w:t>
      </w:r>
      <w:proofErr w:type="spellStart"/>
      <w:r w:rsidRPr="00B729CD">
        <w:rPr>
          <w:rFonts w:ascii="Book Antiqua" w:eastAsia="Book Antiqua" w:hAnsi="Book Antiqua" w:cs="Book Antiqua"/>
          <w:i/>
          <w:iCs/>
          <w:color w:val="000000"/>
        </w:rPr>
        <w:t>Pharmacol</w:t>
      </w:r>
      <w:proofErr w:type="spellEnd"/>
      <w:r w:rsidRPr="00B729CD">
        <w:rPr>
          <w:rFonts w:ascii="Book Antiqua" w:eastAsia="Book Antiqua" w:hAnsi="Book Antiqua" w:cs="Book Antiqua"/>
          <w:i/>
          <w:iCs/>
          <w:color w:val="000000"/>
        </w:rPr>
        <w:t xml:space="preserve"> </w:t>
      </w:r>
      <w:proofErr w:type="spellStart"/>
      <w:r w:rsidRPr="00B729CD">
        <w:rPr>
          <w:rFonts w:ascii="Book Antiqua" w:eastAsia="Book Antiqua" w:hAnsi="Book Antiqua" w:cs="Book Antiqua"/>
          <w:i/>
          <w:iCs/>
          <w:color w:val="000000"/>
        </w:rPr>
        <w:t>Ther</w:t>
      </w:r>
      <w:proofErr w:type="spellEnd"/>
      <w:r w:rsidRPr="00B729CD">
        <w:rPr>
          <w:rFonts w:ascii="Book Antiqua" w:eastAsia="Book Antiqua" w:hAnsi="Book Antiqua" w:cs="Book Antiqua"/>
          <w:color w:val="000000"/>
        </w:rPr>
        <w:t xml:space="preserve"> 2021; In press</w:t>
      </w:r>
    </w:p>
    <w:p w14:paraId="6AA818B5" w14:textId="77777777" w:rsidR="00A77B3E" w:rsidRPr="00B729CD" w:rsidRDefault="00A77B3E" w:rsidP="00B729CD">
      <w:pPr>
        <w:adjustRightInd w:val="0"/>
        <w:snapToGrid w:val="0"/>
        <w:spacing w:line="360" w:lineRule="auto"/>
        <w:jc w:val="both"/>
        <w:rPr>
          <w:rFonts w:ascii="Book Antiqua" w:hAnsi="Book Antiqua"/>
        </w:rPr>
      </w:pPr>
    </w:p>
    <w:p w14:paraId="4DC8CCB7" w14:textId="1BD952B2"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Core Tip: </w:t>
      </w:r>
      <w:bookmarkStart w:id="6" w:name="OLE_LINK8"/>
      <w:bookmarkStart w:id="7" w:name="OLE_LINK9"/>
      <w:r w:rsidRPr="00B729CD">
        <w:rPr>
          <w:rFonts w:ascii="Book Antiqua" w:eastAsia="Book Antiqua" w:hAnsi="Book Antiqua" w:cs="Book Antiqua"/>
          <w:color w:val="000000"/>
        </w:rPr>
        <w:t xml:space="preserve">Hepatitis B virus is a universal health problem. There are approximately 250 million people living with hepatitis B worldwide, and approximately 600000 of these people die every year due to the virus. Viral suppression with treatment can also lead to histological healing. In the current study, we aimed to compare the pretreatment and post-treatment histopathological results of patients with </w:t>
      </w:r>
      <w:r w:rsidR="001845C1" w:rsidRPr="00B729CD">
        <w:rPr>
          <w:rFonts w:ascii="Book Antiqua" w:eastAsia="Book Antiqua" w:hAnsi="Book Antiqua" w:cs="Book Antiqua"/>
          <w:color w:val="000000"/>
        </w:rPr>
        <w:t>hepatitis be antigen</w:t>
      </w:r>
      <w:r w:rsidRPr="00B729CD">
        <w:rPr>
          <w:rFonts w:ascii="Book Antiqua" w:eastAsia="Book Antiqua" w:hAnsi="Book Antiqua" w:cs="Book Antiqua"/>
          <w:color w:val="000000"/>
        </w:rPr>
        <w:t xml:space="preserve">-negative </w:t>
      </w:r>
      <w:r w:rsidR="00B26C7D" w:rsidRPr="00B729CD">
        <w:rPr>
          <w:rFonts w:ascii="Book Antiqua" w:eastAsia="Book Antiqua" w:hAnsi="Book Antiqua" w:cs="Book Antiqua"/>
          <w:color w:val="000000"/>
        </w:rPr>
        <w:t>chronic hepatitis B</w:t>
      </w:r>
      <w:r w:rsidRPr="00B729CD">
        <w:rPr>
          <w:rFonts w:ascii="Book Antiqua" w:eastAsia="Book Antiqua" w:hAnsi="Book Antiqua" w:cs="Book Antiqua"/>
          <w:color w:val="000000"/>
        </w:rPr>
        <w:t xml:space="preserve"> who have been receiving tenofovir disoproxil fumarate (TDF) treatment at our clinic for at least 5 years. Liver biopsies after 5 years of TDF treatment revealed a significant histological response and a regression of the </w:t>
      </w:r>
      <w:proofErr w:type="spellStart"/>
      <w:r w:rsidRPr="00B729CD">
        <w:rPr>
          <w:rFonts w:ascii="Book Antiqua" w:eastAsia="Book Antiqua" w:hAnsi="Book Antiqua" w:cs="Book Antiqua"/>
          <w:color w:val="000000"/>
        </w:rPr>
        <w:t>necroinflammatory</w:t>
      </w:r>
      <w:proofErr w:type="spellEnd"/>
      <w:r w:rsidRPr="00B729CD">
        <w:rPr>
          <w:rFonts w:ascii="Book Antiqua" w:eastAsia="Book Antiqua" w:hAnsi="Book Antiqua" w:cs="Book Antiqua"/>
          <w:color w:val="000000"/>
        </w:rPr>
        <w:t xml:space="preserve"> score compared to pretreatment liver biopsies.</w:t>
      </w:r>
    </w:p>
    <w:bookmarkEnd w:id="6"/>
    <w:bookmarkEnd w:id="7"/>
    <w:p w14:paraId="7B7EF1A2" w14:textId="668C302A" w:rsidR="00A77B3E" w:rsidRPr="00B729CD" w:rsidRDefault="00B26C7D" w:rsidP="00B729CD">
      <w:pPr>
        <w:adjustRightInd w:val="0"/>
        <w:snapToGrid w:val="0"/>
        <w:spacing w:line="360" w:lineRule="auto"/>
        <w:jc w:val="both"/>
        <w:rPr>
          <w:rFonts w:ascii="Book Antiqua" w:hAnsi="Book Antiqua"/>
        </w:rPr>
      </w:pPr>
      <w:r w:rsidRPr="00B729CD">
        <w:rPr>
          <w:rFonts w:ascii="Book Antiqua" w:hAnsi="Book Antiqua"/>
        </w:rPr>
        <w:br w:type="page"/>
      </w:r>
      <w:r w:rsidR="00AB6A0E" w:rsidRPr="00B729CD">
        <w:rPr>
          <w:rFonts w:ascii="Book Antiqua" w:eastAsia="Book Antiqua" w:hAnsi="Book Antiqua" w:cs="Book Antiqua"/>
          <w:b/>
          <w:caps/>
          <w:color w:val="000000"/>
          <w:u w:val="single"/>
        </w:rPr>
        <w:lastRenderedPageBreak/>
        <w:t>INTRODUCTION</w:t>
      </w:r>
    </w:p>
    <w:p w14:paraId="5008DCF8" w14:textId="20C31C1E"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Hepatitis B virus (HBV) is a universal health problem. There are approximately 250 million people living with hepatitis B worldwide, and approximately 600000 of these people die every year due to the virus. The treatment of chronic HBV infection depends on many factors including clinical variables (</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xml:space="preserve">, liver inflammation and/or the presence or absence of cirrhosis), the patient's immunological response to infection </w:t>
      </w:r>
      <w:r w:rsidR="000B2318" w:rsidRPr="00B729CD">
        <w:rPr>
          <w:rFonts w:ascii="Book Antiqua" w:eastAsia="Book Antiqua" w:hAnsi="Book Antiqua" w:cs="Book Antiqua"/>
          <w:color w:val="000000"/>
        </w:rPr>
        <w:t>[</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xml:space="preserve">, </w:t>
      </w:r>
      <w:r w:rsidR="000B2318" w:rsidRPr="00B729CD">
        <w:rPr>
          <w:rFonts w:ascii="Book Antiqua" w:eastAsia="Book Antiqua" w:hAnsi="Book Antiqua" w:cs="Book Antiqua"/>
          <w:color w:val="000000"/>
        </w:rPr>
        <w:t>hepatitis be antigen (</w:t>
      </w:r>
      <w:proofErr w:type="spellStart"/>
      <w:r w:rsidRPr="00B729CD">
        <w:rPr>
          <w:rFonts w:ascii="Book Antiqua" w:eastAsia="Book Antiqua" w:hAnsi="Book Antiqua" w:cs="Book Antiqua"/>
          <w:color w:val="000000"/>
        </w:rPr>
        <w:t>HBeAg</w:t>
      </w:r>
      <w:proofErr w:type="spellEnd"/>
      <w:r w:rsidR="000B2318" w:rsidRPr="00B729CD">
        <w:rPr>
          <w:rFonts w:ascii="Book Antiqua" w:eastAsia="Book Antiqua" w:hAnsi="Book Antiqua" w:cs="Book Antiqua"/>
          <w:color w:val="000000"/>
        </w:rPr>
        <w:t>)</w:t>
      </w:r>
      <w:r w:rsidRPr="00B729CD">
        <w:rPr>
          <w:rFonts w:ascii="Book Antiqua" w:eastAsia="Book Antiqua" w:hAnsi="Book Antiqua" w:cs="Book Antiqua"/>
          <w:color w:val="000000"/>
        </w:rPr>
        <w:t xml:space="preserve"> status</w:t>
      </w:r>
      <w:r w:rsidR="000B2318" w:rsidRPr="00B729CD">
        <w:rPr>
          <w:rFonts w:ascii="Book Antiqua" w:eastAsia="Book Antiqua" w:hAnsi="Book Antiqua" w:cs="Book Antiqua"/>
          <w:color w:val="000000"/>
        </w:rPr>
        <w:t>]</w:t>
      </w:r>
      <w:r w:rsidRPr="00B729CD">
        <w:rPr>
          <w:rFonts w:ascii="Book Antiqua" w:eastAsia="Book Antiqua" w:hAnsi="Book Antiqua" w:cs="Book Antiqua"/>
          <w:color w:val="000000"/>
        </w:rPr>
        <w:t>, risk factors for the rapid progression of the disease (</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age &gt;</w:t>
      </w:r>
      <w:r w:rsidR="00B26C7D"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40 and family history of hepatocellular carcinoma), and virological factors (</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xml:space="preserve">, HBV viral load and genotype). Treatment strategies for chronic hepatitis B (CHB) typically include pegylated interferon or </w:t>
      </w:r>
      <w:proofErr w:type="spellStart"/>
      <w:r w:rsidRPr="00B729CD">
        <w:rPr>
          <w:rFonts w:ascii="Book Antiqua" w:eastAsia="Book Antiqua" w:hAnsi="Book Antiqua" w:cs="Book Antiqua"/>
          <w:color w:val="000000"/>
        </w:rPr>
        <w:t>nucleos</w:t>
      </w:r>
      <w:proofErr w:type="spellEnd"/>
      <w:r w:rsidRPr="00B729CD">
        <w:rPr>
          <w:rFonts w:ascii="Book Antiqua" w:eastAsia="Book Antiqua" w:hAnsi="Book Antiqua" w:cs="Book Antiqua"/>
          <w:color w:val="000000"/>
        </w:rPr>
        <w:t>(t)ide analogues (</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xml:space="preserve">, entecavir and tenofovir). Interferon is recommended primarily for young patients with compensated liver disease who do not want to undergo long-term </w:t>
      </w:r>
      <w:proofErr w:type="gramStart"/>
      <w:r w:rsidRPr="00B729CD">
        <w:rPr>
          <w:rFonts w:ascii="Book Antiqua" w:eastAsia="Book Antiqua" w:hAnsi="Book Antiqua" w:cs="Book Antiqua"/>
          <w:color w:val="000000"/>
        </w:rPr>
        <w:t>treatment</w:t>
      </w:r>
      <w:r w:rsidR="000B2318" w:rsidRPr="00B729CD">
        <w:rPr>
          <w:rFonts w:ascii="Book Antiqua" w:eastAsia="Book Antiqua" w:hAnsi="Book Antiqua" w:cs="Book Antiqua"/>
          <w:color w:val="000000"/>
          <w:vertAlign w:val="superscript"/>
        </w:rPr>
        <w:t>[</w:t>
      </w:r>
      <w:proofErr w:type="gramEnd"/>
      <w:r w:rsidRPr="00B729CD">
        <w:rPr>
          <w:rFonts w:ascii="Book Antiqua" w:eastAsia="Book Antiqua" w:hAnsi="Book Antiqua" w:cs="Book Antiqua"/>
          <w:color w:val="000000"/>
          <w:vertAlign w:val="superscript"/>
        </w:rPr>
        <w:t>1-4</w:t>
      </w:r>
      <w:r w:rsidR="000B2318"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w:t>
      </w:r>
    </w:p>
    <w:p w14:paraId="7F11FF84" w14:textId="3D2EF2E5" w:rsidR="00A77B3E" w:rsidRPr="00B729CD" w:rsidRDefault="00AB6A0E" w:rsidP="00B729CD">
      <w:pPr>
        <w:adjustRightInd w:val="0"/>
        <w:snapToGrid w:val="0"/>
        <w:spacing w:line="360" w:lineRule="auto"/>
        <w:ind w:firstLineChars="100" w:firstLine="240"/>
        <w:jc w:val="both"/>
        <w:rPr>
          <w:rFonts w:ascii="Book Antiqua" w:hAnsi="Book Antiqua"/>
        </w:rPr>
      </w:pPr>
      <w:r w:rsidRPr="00B729CD">
        <w:rPr>
          <w:rFonts w:ascii="Book Antiqua" w:eastAsia="Book Antiqua" w:hAnsi="Book Antiqua" w:cs="Book Antiqua"/>
          <w:color w:val="000000"/>
        </w:rPr>
        <w:t xml:space="preserve">For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 xml:space="preserve">-negative CHB patients, the predicted response to treatment is less accurate. Treatment should be started immediately after the diagnosis of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 xml:space="preserve">-negative CHB, because untreated spontaneous remission is rarely seen in this group. The aim of treatment in patients with CHB is to reduce the mortality and morbidity associated with the disease and to increase the quality of life and the lifetime of the patient by preventing complications such as cirrhosis, liver failure and hepatocellular carcinoma that may occur with the progression of the disease. The main goal in therapy is to achieve the long-term suppression of HBV </w:t>
      </w:r>
      <w:r w:rsidR="000B2318" w:rsidRPr="00B729CD">
        <w:rPr>
          <w:rFonts w:ascii="Book Antiqua" w:eastAsia="Book Antiqua" w:hAnsi="Book Antiqua" w:cs="Book Antiqua"/>
          <w:color w:val="000000"/>
        </w:rPr>
        <w:t>deoxyribonucleic acid (</w:t>
      </w:r>
      <w:r w:rsidRPr="00B729CD">
        <w:rPr>
          <w:rFonts w:ascii="Book Antiqua" w:eastAsia="Book Antiqua" w:hAnsi="Book Antiqua" w:cs="Book Antiqua"/>
          <w:color w:val="000000"/>
        </w:rPr>
        <w:t>DNA</w:t>
      </w:r>
      <w:r w:rsidR="000B2318" w:rsidRPr="00B729CD">
        <w:rPr>
          <w:rFonts w:ascii="Book Antiqua" w:eastAsia="Book Antiqua" w:hAnsi="Book Antiqua" w:cs="Book Antiqua"/>
          <w:color w:val="000000"/>
        </w:rPr>
        <w:t>)</w:t>
      </w:r>
      <w:r w:rsidRPr="00B729CD">
        <w:rPr>
          <w:rFonts w:ascii="Book Antiqua" w:eastAsia="Book Antiqua" w:hAnsi="Book Antiqua" w:cs="Book Antiqua"/>
          <w:color w:val="000000"/>
        </w:rPr>
        <w:t xml:space="preserve"> replication. Viral suppression with treatment can also lead to histological healing. Recent studies have found histological improvements in </w:t>
      </w:r>
      <w:r w:rsidR="000B2318" w:rsidRPr="00B729CD">
        <w:rPr>
          <w:rFonts w:ascii="Book Antiqua" w:eastAsia="Book Antiqua" w:hAnsi="Book Antiqua" w:cs="Book Antiqua"/>
          <w:color w:val="000000"/>
        </w:rPr>
        <w:t>sexually transmitted disease</w:t>
      </w:r>
      <w:r w:rsidRPr="00B729CD">
        <w:rPr>
          <w:rFonts w:ascii="Book Antiqua" w:eastAsia="Book Antiqua" w:hAnsi="Book Antiqua" w:cs="Book Antiqua"/>
          <w:color w:val="000000"/>
        </w:rPr>
        <w:t xml:space="preserve"> patients who received antiviral </w:t>
      </w:r>
      <w:proofErr w:type="gramStart"/>
      <w:r w:rsidRPr="00B729CD">
        <w:rPr>
          <w:rFonts w:ascii="Book Antiqua" w:eastAsia="Book Antiqua" w:hAnsi="Book Antiqua" w:cs="Book Antiqua"/>
          <w:color w:val="000000"/>
        </w:rPr>
        <w:t>therapy</w:t>
      </w:r>
      <w:r w:rsidR="000B2318" w:rsidRPr="00B729CD">
        <w:rPr>
          <w:rFonts w:ascii="Book Antiqua" w:eastAsia="Book Antiqua" w:hAnsi="Book Antiqua" w:cs="Book Antiqua"/>
          <w:color w:val="000000"/>
          <w:vertAlign w:val="superscript"/>
        </w:rPr>
        <w:t>[</w:t>
      </w:r>
      <w:proofErr w:type="gramEnd"/>
      <w:r w:rsidRPr="00B729CD">
        <w:rPr>
          <w:rFonts w:ascii="Book Antiqua" w:eastAsia="Book Antiqua" w:hAnsi="Book Antiqua" w:cs="Book Antiqua"/>
          <w:color w:val="000000"/>
          <w:vertAlign w:val="superscript"/>
        </w:rPr>
        <w:t>2-9</w:t>
      </w:r>
      <w:r w:rsidR="000B2318"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w:t>
      </w:r>
    </w:p>
    <w:p w14:paraId="70845A98" w14:textId="77777777" w:rsidR="00A77B3E" w:rsidRPr="00B729CD" w:rsidRDefault="00AB6A0E" w:rsidP="00B729CD">
      <w:pPr>
        <w:adjustRightInd w:val="0"/>
        <w:snapToGrid w:val="0"/>
        <w:spacing w:line="360" w:lineRule="auto"/>
        <w:ind w:firstLineChars="100" w:firstLine="240"/>
        <w:jc w:val="both"/>
        <w:rPr>
          <w:rFonts w:ascii="Book Antiqua" w:hAnsi="Book Antiqua"/>
        </w:rPr>
      </w:pPr>
      <w:r w:rsidRPr="00B729CD">
        <w:rPr>
          <w:rFonts w:ascii="Book Antiqua" w:eastAsia="Book Antiqua" w:hAnsi="Book Antiqua" w:cs="Book Antiqua"/>
          <w:color w:val="000000"/>
        </w:rPr>
        <w:t xml:space="preserve">In the current study, we aimed to compare the pretreatment and post-treatment histopathological results of patients with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-negative CHB who have been receiving tenofovir disoproxil fumarate (TDF) treatment at our clinic for at least 5 years.</w:t>
      </w:r>
    </w:p>
    <w:p w14:paraId="20946BF0" w14:textId="77777777" w:rsidR="00A77B3E" w:rsidRPr="00B729CD" w:rsidRDefault="00A77B3E" w:rsidP="00B729CD">
      <w:pPr>
        <w:adjustRightInd w:val="0"/>
        <w:snapToGrid w:val="0"/>
        <w:spacing w:line="360" w:lineRule="auto"/>
        <w:jc w:val="both"/>
        <w:rPr>
          <w:rFonts w:ascii="Book Antiqua" w:hAnsi="Book Antiqua"/>
        </w:rPr>
      </w:pPr>
    </w:p>
    <w:p w14:paraId="78FD8D42"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aps/>
          <w:color w:val="000000"/>
          <w:u w:val="single"/>
        </w:rPr>
        <w:lastRenderedPageBreak/>
        <w:t>MATERIALS AND METHODS</w:t>
      </w:r>
    </w:p>
    <w:p w14:paraId="32210A39" w14:textId="15FF6C6A" w:rsidR="00A77B3E" w:rsidRPr="00B729CD" w:rsidRDefault="00AB6A0E" w:rsidP="00B729CD">
      <w:pPr>
        <w:adjustRightInd w:val="0"/>
        <w:snapToGrid w:val="0"/>
        <w:spacing w:line="360" w:lineRule="auto"/>
        <w:jc w:val="both"/>
        <w:rPr>
          <w:rFonts w:ascii="Book Antiqua" w:hAnsi="Book Antiqua"/>
          <w:b/>
          <w:bCs/>
        </w:rPr>
      </w:pPr>
      <w:bookmarkStart w:id="8" w:name="OLE_LINK12"/>
      <w:bookmarkStart w:id="9" w:name="OLE_LINK13"/>
      <w:r w:rsidRPr="00B729CD">
        <w:rPr>
          <w:rFonts w:ascii="Book Antiqua" w:eastAsia="Book Antiqua" w:hAnsi="Book Antiqua" w:cs="Book Antiqua"/>
          <w:b/>
          <w:bCs/>
          <w:i/>
          <w:iCs/>
          <w:color w:val="000000"/>
        </w:rPr>
        <w:t xml:space="preserve">Study </w:t>
      </w:r>
      <w:r w:rsidR="004D3B9C" w:rsidRPr="00B729CD">
        <w:rPr>
          <w:rFonts w:ascii="Book Antiqua" w:eastAsia="Book Antiqua" w:hAnsi="Book Antiqua" w:cs="Book Antiqua"/>
          <w:b/>
          <w:bCs/>
          <w:i/>
          <w:iCs/>
          <w:color w:val="000000"/>
        </w:rPr>
        <w:t xml:space="preserve">design </w:t>
      </w:r>
      <w:r w:rsidRPr="00B729CD">
        <w:rPr>
          <w:rFonts w:ascii="Book Antiqua" w:eastAsia="Book Antiqua" w:hAnsi="Book Antiqua" w:cs="Book Antiqua"/>
          <w:b/>
          <w:bCs/>
          <w:i/>
          <w:iCs/>
          <w:color w:val="000000"/>
        </w:rPr>
        <w:t>and patient population</w:t>
      </w:r>
    </w:p>
    <w:p w14:paraId="06B8BC15" w14:textId="71CF77F7" w:rsidR="000B2318"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Patients with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 xml:space="preserve">-negative CHB who received TDF treatment (245 mg/d) were included in this study. Patients were included in the study if they were over 18 years, had received antiviral treatment for at least 5 years, came to the outpatient control regularly, underwent liver biopsy before and after treatment, and had available laboratory parameters. Patients were excluded if they were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 xml:space="preserve">-positive, were previously treated with interferon or another antiviral, had a treatment incompatibility, or had been receiving treatment for less than 5 years. Patients were also excluded in cases of </w:t>
      </w:r>
      <w:r w:rsidR="000B2318" w:rsidRPr="00B729CD">
        <w:rPr>
          <w:rFonts w:ascii="Book Antiqua" w:eastAsia="Book Antiqua" w:hAnsi="Book Antiqua" w:cs="Book Antiqua"/>
          <w:color w:val="000000"/>
        </w:rPr>
        <w:t>human immunodeficiency virus</w:t>
      </w:r>
      <w:r w:rsidRPr="00B729CD">
        <w:rPr>
          <w:rFonts w:ascii="Book Antiqua" w:eastAsia="Book Antiqua" w:hAnsi="Book Antiqua" w:cs="Book Antiqua"/>
          <w:color w:val="000000"/>
        </w:rPr>
        <w:t xml:space="preserve">, hepatitis C or hepatitis D co-infection were detected. </w:t>
      </w:r>
      <w:proofErr w:type="spellStart"/>
      <w:r w:rsidRPr="00B729CD">
        <w:rPr>
          <w:rFonts w:ascii="Book Antiqua" w:eastAsia="Book Antiqua" w:hAnsi="Book Antiqua" w:cs="Book Antiqua"/>
          <w:color w:val="000000"/>
        </w:rPr>
        <w:t>Elecsys</w:t>
      </w:r>
      <w:proofErr w:type="spellEnd"/>
      <w:r w:rsidRPr="00B729CD">
        <w:rPr>
          <w:rFonts w:ascii="Book Antiqua" w:eastAsia="Book Antiqua" w:hAnsi="Book Antiqua" w:cs="Book Antiqua"/>
          <w:color w:val="000000"/>
        </w:rPr>
        <w:t xml:space="preserve"> instrument (Roche Diagnostics, Italy) was used to detect HBsAg, anti-HBs,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 xml:space="preserve"> and anti-</w:t>
      </w:r>
      <w:proofErr w:type="spellStart"/>
      <w:r w:rsidRPr="00B729CD">
        <w:rPr>
          <w:rFonts w:ascii="Book Antiqua" w:eastAsia="Book Antiqua" w:hAnsi="Book Antiqua" w:cs="Book Antiqua"/>
          <w:color w:val="000000"/>
        </w:rPr>
        <w:t>HBe</w:t>
      </w:r>
      <w:proofErr w:type="spellEnd"/>
      <w:r w:rsidRPr="00B729CD">
        <w:rPr>
          <w:rFonts w:ascii="Book Antiqua" w:eastAsia="Book Antiqua" w:hAnsi="Book Antiqua" w:cs="Book Antiqua"/>
          <w:color w:val="000000"/>
        </w:rPr>
        <w:t xml:space="preserve">. The real-time </w:t>
      </w:r>
      <w:r w:rsidR="000B2318" w:rsidRPr="00B729CD">
        <w:rPr>
          <w:rFonts w:ascii="Book Antiqua" w:eastAsia="Book Antiqua" w:hAnsi="Book Antiqua" w:cs="Book Antiqua"/>
          <w:color w:val="000000"/>
        </w:rPr>
        <w:t>polymerase chain reaction</w:t>
      </w:r>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AmpliPrep</w:t>
      </w:r>
      <w:proofErr w:type="spellEnd"/>
      <w:r w:rsidRPr="00B729CD">
        <w:rPr>
          <w:rFonts w:ascii="Book Antiqua" w:eastAsia="Book Antiqua" w:hAnsi="Book Antiqua" w:cs="Book Antiqua"/>
          <w:color w:val="000000"/>
        </w:rPr>
        <w:t xml:space="preserve">/COBAS TaqMan HBV test 2.0 (Roche Molecular Systems, NJ, </w:t>
      </w:r>
      <w:r w:rsidR="000B2318" w:rsidRPr="00B729CD">
        <w:rPr>
          <w:rFonts w:ascii="Book Antiqua" w:eastAsia="Book Antiqua" w:hAnsi="Book Antiqua" w:cs="Book Antiqua"/>
          <w:color w:val="000000"/>
        </w:rPr>
        <w:t>United States</w:t>
      </w:r>
      <w:r w:rsidRPr="00B729CD">
        <w:rPr>
          <w:rFonts w:ascii="Book Antiqua" w:eastAsia="Book Antiqua" w:hAnsi="Book Antiqua" w:cs="Book Antiqua"/>
          <w:color w:val="000000"/>
        </w:rPr>
        <w:t>) was used to quantify HBV DNA. Liver biopsies of patients were evaluated by an experienced pathologist.</w:t>
      </w:r>
    </w:p>
    <w:p w14:paraId="365F1FD0" w14:textId="77777777" w:rsidR="000B2318" w:rsidRPr="00B729CD" w:rsidRDefault="000B2318" w:rsidP="00B729CD">
      <w:pPr>
        <w:adjustRightInd w:val="0"/>
        <w:snapToGrid w:val="0"/>
        <w:spacing w:line="360" w:lineRule="auto"/>
        <w:jc w:val="both"/>
        <w:rPr>
          <w:rFonts w:ascii="Book Antiqua" w:hAnsi="Book Antiqua"/>
        </w:rPr>
      </w:pPr>
    </w:p>
    <w:p w14:paraId="54208565" w14:textId="5EE49CBA" w:rsidR="00A77B3E" w:rsidRPr="00B729CD" w:rsidRDefault="00AB6A0E" w:rsidP="00B729CD">
      <w:pPr>
        <w:adjustRightInd w:val="0"/>
        <w:snapToGrid w:val="0"/>
        <w:spacing w:line="360" w:lineRule="auto"/>
        <w:jc w:val="both"/>
        <w:rPr>
          <w:rFonts w:ascii="Book Antiqua" w:hAnsi="Book Antiqua"/>
          <w:b/>
          <w:bCs/>
        </w:rPr>
      </w:pPr>
      <w:r w:rsidRPr="00B729CD">
        <w:rPr>
          <w:rFonts w:ascii="Book Antiqua" w:eastAsia="Book Antiqua" w:hAnsi="Book Antiqua" w:cs="Book Antiqua"/>
          <w:b/>
          <w:bCs/>
          <w:i/>
          <w:iCs/>
          <w:color w:val="000000"/>
        </w:rPr>
        <w:t xml:space="preserve">Definitions of </w:t>
      </w:r>
      <w:r w:rsidR="004D3B9C" w:rsidRPr="00B729CD">
        <w:rPr>
          <w:rFonts w:ascii="Book Antiqua" w:eastAsia="Book Antiqua" w:hAnsi="Book Antiqua" w:cs="Book Antiqua"/>
          <w:b/>
          <w:bCs/>
          <w:i/>
          <w:iCs/>
          <w:color w:val="000000"/>
        </w:rPr>
        <w:t>treatment responses</w:t>
      </w:r>
    </w:p>
    <w:p w14:paraId="7EAA4DFA" w14:textId="2A752BEC"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In our hospital, patients are followed up in the hepatology outpatient clinic according to the 2017 hepatitis B European Association for the Study of the Liver guidelines. According to these guidelines, a decrease i</w:t>
      </w:r>
      <w:r w:rsidR="004D3B9C" w:rsidRPr="00B729CD">
        <w:rPr>
          <w:rFonts w:ascii="Book Antiqua" w:eastAsia="Book Antiqua" w:hAnsi="Book Antiqua" w:cs="Book Antiqua"/>
          <w:color w:val="000000"/>
        </w:rPr>
        <w:t xml:space="preserve">n </w:t>
      </w:r>
      <w:proofErr w:type="spellStart"/>
      <w:r w:rsidR="004D3B9C" w:rsidRPr="00B729CD">
        <w:rPr>
          <w:rFonts w:ascii="Book Antiqua" w:eastAsia="Book Antiqua" w:hAnsi="Book Antiqua" w:cs="Book Antiqua"/>
          <w:color w:val="000000"/>
        </w:rPr>
        <w:t>necroinflammatory</w:t>
      </w:r>
      <w:proofErr w:type="spellEnd"/>
      <w:r w:rsidR="004D3B9C" w:rsidRPr="00B729CD">
        <w:rPr>
          <w:rFonts w:ascii="Book Antiqua" w:eastAsia="Book Antiqua" w:hAnsi="Book Antiqua" w:cs="Book Antiqua"/>
          <w:color w:val="000000"/>
        </w:rPr>
        <w:t xml:space="preserve"> activity [</w:t>
      </w:r>
      <w:r w:rsidRPr="00B729CD">
        <w:rPr>
          <w:rFonts w:ascii="Book Antiqua" w:eastAsia="Book Antiqua" w:hAnsi="Book Antiqua" w:cs="Book Antiqua"/>
          <w:color w:val="000000"/>
        </w:rPr>
        <w:t>indicated by a ≥</w:t>
      </w:r>
      <w:r w:rsidR="000B2318"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2 point decrease in the histologic activity ind</w:t>
      </w:r>
      <w:r w:rsidR="004D3B9C" w:rsidRPr="00B729CD">
        <w:rPr>
          <w:rFonts w:ascii="Book Antiqua" w:eastAsia="Book Antiqua" w:hAnsi="Book Antiqua" w:cs="Book Antiqua"/>
          <w:color w:val="000000"/>
        </w:rPr>
        <w:t>ex (HAI) or in the Ishak system]</w:t>
      </w:r>
      <w:r w:rsidRPr="00B729CD">
        <w:rPr>
          <w:rFonts w:ascii="Book Antiqua" w:eastAsia="Book Antiqua" w:hAnsi="Book Antiqua" w:cs="Book Antiqua"/>
          <w:color w:val="000000"/>
        </w:rPr>
        <w:t xml:space="preserve"> without worsening fibrosis compared to the pretreatment histological findings is determined as histological response. The virological response in patients who receive NA treatment is defined as undetectable by a sensitive polymerase chain reaction assay when HBV DNA is below the 10 IU/mL limit of detection. Serological responses for HBsAg are HBsAg loss and the development of anti-HBs. </w:t>
      </w:r>
      <w:proofErr w:type="spellStart"/>
      <w:r w:rsidRPr="00B729CD">
        <w:rPr>
          <w:rFonts w:ascii="Book Antiqua" w:eastAsia="Book Antiqua" w:hAnsi="Book Antiqua" w:cs="Book Antiqua"/>
          <w:color w:val="000000"/>
        </w:rPr>
        <w:t>Normalisation</w:t>
      </w:r>
      <w:proofErr w:type="spellEnd"/>
      <w:r w:rsidRPr="00B729CD">
        <w:rPr>
          <w:rFonts w:ascii="Book Antiqua" w:eastAsia="Book Antiqua" w:hAnsi="Book Antiqua" w:cs="Book Antiqua"/>
          <w:color w:val="000000"/>
        </w:rPr>
        <w:t xml:space="preserve"> of </w:t>
      </w:r>
      <w:r w:rsidR="000B2318" w:rsidRPr="00B729CD">
        <w:rPr>
          <w:rFonts w:ascii="Book Antiqua" w:eastAsia="Book Antiqua" w:hAnsi="Book Antiqua" w:cs="Book Antiqua"/>
          <w:color w:val="000000"/>
        </w:rPr>
        <w:t>alanine aminotransferase (</w:t>
      </w:r>
      <w:r w:rsidRPr="00B729CD">
        <w:rPr>
          <w:rFonts w:ascii="Book Antiqua" w:eastAsia="Book Antiqua" w:hAnsi="Book Antiqua" w:cs="Book Antiqua"/>
          <w:color w:val="000000"/>
        </w:rPr>
        <w:t>ALT</w:t>
      </w:r>
      <w:r w:rsidR="000B2318" w:rsidRPr="00B729CD">
        <w:rPr>
          <w:rFonts w:ascii="Book Antiqua" w:eastAsia="Book Antiqua" w:hAnsi="Book Antiqua" w:cs="Book Antiqua"/>
          <w:color w:val="000000"/>
        </w:rPr>
        <w:t>)</w:t>
      </w:r>
      <w:r w:rsidRPr="00B729CD">
        <w:rPr>
          <w:rFonts w:ascii="Book Antiqua" w:eastAsia="Book Antiqua" w:hAnsi="Book Antiqua" w:cs="Book Antiqua"/>
          <w:color w:val="000000"/>
        </w:rPr>
        <w:t xml:space="preserve"> levels based on the ULN (40 IU/L) is determined as biochemical response. </w:t>
      </w:r>
    </w:p>
    <w:p w14:paraId="72305590" w14:textId="77777777" w:rsidR="000B2318" w:rsidRPr="00B729CD" w:rsidRDefault="000B2318" w:rsidP="00B729CD">
      <w:pPr>
        <w:adjustRightInd w:val="0"/>
        <w:snapToGrid w:val="0"/>
        <w:spacing w:line="360" w:lineRule="auto"/>
        <w:jc w:val="both"/>
        <w:rPr>
          <w:rFonts w:ascii="Book Antiqua" w:eastAsia="Book Antiqua" w:hAnsi="Book Antiqua" w:cs="Book Antiqua"/>
          <w:i/>
          <w:iCs/>
          <w:color w:val="000000"/>
        </w:rPr>
      </w:pPr>
    </w:p>
    <w:p w14:paraId="667E6B4D" w14:textId="1B91AFCE" w:rsidR="00A77B3E" w:rsidRPr="00B729CD" w:rsidRDefault="00AB6A0E" w:rsidP="00B729CD">
      <w:pPr>
        <w:adjustRightInd w:val="0"/>
        <w:snapToGrid w:val="0"/>
        <w:spacing w:line="360" w:lineRule="auto"/>
        <w:jc w:val="both"/>
        <w:rPr>
          <w:rFonts w:ascii="Book Antiqua" w:hAnsi="Book Antiqua"/>
          <w:b/>
          <w:bCs/>
          <w:i/>
          <w:iCs/>
        </w:rPr>
      </w:pPr>
      <w:r w:rsidRPr="00B729CD">
        <w:rPr>
          <w:rFonts w:ascii="Book Antiqua" w:eastAsia="Book Antiqua" w:hAnsi="Book Antiqua" w:cs="Book Antiqua"/>
          <w:b/>
          <w:bCs/>
          <w:i/>
          <w:iCs/>
          <w:color w:val="000000"/>
        </w:rPr>
        <w:t>Statistical analysis</w:t>
      </w:r>
    </w:p>
    <w:p w14:paraId="1AE75000" w14:textId="67A86299"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lastRenderedPageBreak/>
        <w:t xml:space="preserve">The data are presented as the mean, median, standard deviation and percentage. All analysis was performed using IBM </w:t>
      </w:r>
      <w:r w:rsidR="000B2318" w:rsidRPr="00B729CD">
        <w:rPr>
          <w:rFonts w:ascii="Book Antiqua" w:eastAsia="Book Antiqua" w:hAnsi="Book Antiqua" w:cs="Book Antiqua"/>
          <w:color w:val="000000"/>
        </w:rPr>
        <w:t>Statistic Package for Social Science</w:t>
      </w:r>
      <w:r w:rsidRPr="00B729CD">
        <w:rPr>
          <w:rFonts w:ascii="Book Antiqua" w:eastAsia="Book Antiqua" w:hAnsi="Book Antiqua" w:cs="Book Antiqua"/>
          <w:color w:val="000000"/>
        </w:rPr>
        <w:t xml:space="preserve"> Statistics, V.20.0 (IBM Corp., Armonk, NY</w:t>
      </w:r>
      <w:r w:rsidR="004D3B9C" w:rsidRPr="00B729CD">
        <w:rPr>
          <w:rFonts w:ascii="Book Antiqua" w:eastAsia="Book Antiqua" w:hAnsi="Book Antiqua" w:cs="Book Antiqua"/>
          <w:color w:val="000000"/>
        </w:rPr>
        <w:t>, United States</w:t>
      </w:r>
      <w:r w:rsidRPr="00B729CD">
        <w:rPr>
          <w:rFonts w:ascii="Book Antiqua" w:eastAsia="Book Antiqua" w:hAnsi="Book Antiqua" w:cs="Book Antiqua"/>
          <w:color w:val="000000"/>
        </w:rPr>
        <w:t xml:space="preserve">). The Kolmogorov–Smirnov test was used to assess normality of quantitative variables. Differences in the variables pre and post treatment were </w:t>
      </w:r>
      <w:proofErr w:type="spellStart"/>
      <w:r w:rsidRPr="00B729CD">
        <w:rPr>
          <w:rFonts w:ascii="Book Antiqua" w:eastAsia="Book Antiqua" w:hAnsi="Book Antiqua" w:cs="Book Antiqua"/>
          <w:color w:val="000000"/>
        </w:rPr>
        <w:t>analysed</w:t>
      </w:r>
      <w:proofErr w:type="spellEnd"/>
      <w:r w:rsidRPr="00B729CD">
        <w:rPr>
          <w:rFonts w:ascii="Book Antiqua" w:eastAsia="Book Antiqua" w:hAnsi="Book Antiqua" w:cs="Book Antiqua"/>
          <w:color w:val="000000"/>
        </w:rPr>
        <w:t xml:space="preserve"> by the Wilcoxon test within groups. All tests were two-tailed, and </w:t>
      </w:r>
      <w:r w:rsidR="000B2318" w:rsidRPr="00B729CD">
        <w:rPr>
          <w:rFonts w:ascii="Book Antiqua" w:eastAsia="Book Antiqua" w:hAnsi="Book Antiqua" w:cs="Book Antiqua"/>
          <w:i/>
          <w:iCs/>
          <w:color w:val="000000"/>
        </w:rPr>
        <w:t>P</w:t>
      </w:r>
      <w:r w:rsidRPr="00B729CD">
        <w:rPr>
          <w:rFonts w:ascii="MS Gothic" w:eastAsia="MS Gothic" w:hAnsi="MS Gothic" w:cs="MS Gothic"/>
          <w:color w:val="000000"/>
        </w:rPr>
        <w:t> </w:t>
      </w:r>
      <w:r w:rsidRPr="00B729CD">
        <w:rPr>
          <w:rFonts w:ascii="Book Antiqua" w:eastAsia="Book Antiqua" w:hAnsi="Book Antiqua" w:cs="Book Antiqua"/>
          <w:color w:val="000000"/>
        </w:rPr>
        <w:t>&lt;</w:t>
      </w:r>
      <w:r w:rsidRPr="00B729CD">
        <w:rPr>
          <w:rFonts w:ascii="MS Gothic" w:eastAsia="MS Gothic" w:hAnsi="MS Gothic" w:cs="MS Gothic"/>
          <w:color w:val="000000"/>
        </w:rPr>
        <w:t> </w:t>
      </w:r>
      <w:r w:rsidRPr="00B729CD">
        <w:rPr>
          <w:rFonts w:ascii="Book Antiqua" w:eastAsia="Book Antiqua" w:hAnsi="Book Antiqua" w:cs="Book Antiqua"/>
          <w:color w:val="000000"/>
        </w:rPr>
        <w:t>0.05</w:t>
      </w:r>
      <w:r w:rsidR="000B2318"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was considered to be statistically significant.</w:t>
      </w:r>
    </w:p>
    <w:p w14:paraId="5CA5FCF1" w14:textId="77777777" w:rsidR="000B2318" w:rsidRPr="00B729CD" w:rsidRDefault="000B2318" w:rsidP="00B729CD">
      <w:pPr>
        <w:adjustRightInd w:val="0"/>
        <w:snapToGrid w:val="0"/>
        <w:spacing w:line="360" w:lineRule="auto"/>
        <w:jc w:val="both"/>
        <w:rPr>
          <w:rFonts w:ascii="Book Antiqua" w:eastAsia="Book Antiqua" w:hAnsi="Book Antiqua" w:cs="Book Antiqua"/>
          <w:i/>
          <w:iCs/>
          <w:color w:val="000000"/>
        </w:rPr>
      </w:pPr>
    </w:p>
    <w:p w14:paraId="36F4E079" w14:textId="08586AEF" w:rsidR="00A77B3E" w:rsidRPr="00B729CD" w:rsidRDefault="00AB6A0E" w:rsidP="00B729CD">
      <w:pPr>
        <w:adjustRightInd w:val="0"/>
        <w:snapToGrid w:val="0"/>
        <w:spacing w:line="360" w:lineRule="auto"/>
        <w:jc w:val="both"/>
        <w:rPr>
          <w:rFonts w:ascii="Book Antiqua" w:hAnsi="Book Antiqua"/>
          <w:b/>
          <w:bCs/>
        </w:rPr>
      </w:pPr>
      <w:r w:rsidRPr="00B729CD">
        <w:rPr>
          <w:rFonts w:ascii="Book Antiqua" w:eastAsia="Book Antiqua" w:hAnsi="Book Antiqua" w:cs="Book Antiqua"/>
          <w:b/>
          <w:bCs/>
          <w:i/>
          <w:iCs/>
          <w:color w:val="000000"/>
        </w:rPr>
        <w:t>Ethical approval</w:t>
      </w:r>
    </w:p>
    <w:p w14:paraId="6B545EF1" w14:textId="14E957E4"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This retrospective study was </w:t>
      </w:r>
      <w:proofErr w:type="spellStart"/>
      <w:r w:rsidRPr="00B729CD">
        <w:rPr>
          <w:rFonts w:ascii="Book Antiqua" w:eastAsia="Book Antiqua" w:hAnsi="Book Antiqua" w:cs="Book Antiqua"/>
          <w:color w:val="000000"/>
        </w:rPr>
        <w:t>organised</w:t>
      </w:r>
      <w:proofErr w:type="spellEnd"/>
      <w:r w:rsidRPr="00B729CD">
        <w:rPr>
          <w:rFonts w:ascii="Book Antiqua" w:eastAsia="Book Antiqua" w:hAnsi="Book Antiqua" w:cs="Book Antiqua"/>
          <w:color w:val="000000"/>
        </w:rPr>
        <w:t xml:space="preserve"> in accordance with the Helsinki Declaration. Local ethics committee approval was obtained (</w:t>
      </w:r>
      <w:r w:rsidR="00AA671A">
        <w:rPr>
          <w:rFonts w:ascii="Book Antiqua" w:eastAsia="Book Antiqua" w:hAnsi="Book Antiqua" w:cs="Book Antiqua"/>
          <w:color w:val="000000"/>
        </w:rPr>
        <w:t xml:space="preserve">No. </w:t>
      </w:r>
      <w:r w:rsidRPr="00B729CD">
        <w:rPr>
          <w:rFonts w:ascii="Book Antiqua" w:eastAsia="Book Antiqua" w:hAnsi="Book Antiqua" w:cs="Book Antiqua"/>
          <w:color w:val="000000"/>
        </w:rPr>
        <w:t>11.03.2020-52/756).</w:t>
      </w:r>
    </w:p>
    <w:bookmarkEnd w:id="8"/>
    <w:bookmarkEnd w:id="9"/>
    <w:p w14:paraId="1ECB2D5A" w14:textId="77777777" w:rsidR="00A77B3E" w:rsidRPr="00B729CD" w:rsidRDefault="00A77B3E" w:rsidP="00B729CD">
      <w:pPr>
        <w:adjustRightInd w:val="0"/>
        <w:snapToGrid w:val="0"/>
        <w:spacing w:line="360" w:lineRule="auto"/>
        <w:jc w:val="both"/>
        <w:rPr>
          <w:rFonts w:ascii="Book Antiqua" w:hAnsi="Book Antiqua"/>
        </w:rPr>
      </w:pPr>
    </w:p>
    <w:p w14:paraId="73979B7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aps/>
          <w:color w:val="000000"/>
          <w:u w:val="single"/>
        </w:rPr>
        <w:t>RESULTS</w:t>
      </w:r>
    </w:p>
    <w:p w14:paraId="1A338F1A" w14:textId="2DF7977B" w:rsidR="00A77B3E" w:rsidRPr="00B729CD" w:rsidRDefault="00AB6A0E" w:rsidP="00B729CD">
      <w:pPr>
        <w:adjustRightInd w:val="0"/>
        <w:snapToGrid w:val="0"/>
        <w:spacing w:line="360" w:lineRule="auto"/>
        <w:jc w:val="both"/>
        <w:rPr>
          <w:rFonts w:ascii="Book Antiqua" w:hAnsi="Book Antiqua"/>
          <w:b/>
          <w:bCs/>
        </w:rPr>
      </w:pPr>
      <w:bookmarkStart w:id="10" w:name="OLE_LINK14"/>
      <w:bookmarkStart w:id="11" w:name="OLE_LINK15"/>
      <w:r w:rsidRPr="00B729CD">
        <w:rPr>
          <w:rFonts w:ascii="Book Antiqua" w:eastAsia="Book Antiqua" w:hAnsi="Book Antiqua" w:cs="Book Antiqua"/>
          <w:b/>
          <w:bCs/>
          <w:i/>
          <w:iCs/>
          <w:color w:val="000000"/>
        </w:rPr>
        <w:t>Demographic characteristics of the study population</w:t>
      </w:r>
    </w:p>
    <w:p w14:paraId="4705A9E4" w14:textId="3702B2E5"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A total of 50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-negative chronic HBV patients were included in the study. The demographic characteristics of the patients are presented in Table 1. The baseline mean HAI score of the patients was 7.2 ± 3.2, and the mean baseline Ishak fibrosis score was 2.2 ± 1.4. The average time from the start of treatment to liver biopsy was 60.8 ± 9.7 wk. All patients were treated with tenofovir disoproxil fumarate (245 mg/d).</w:t>
      </w:r>
    </w:p>
    <w:p w14:paraId="23D82B52" w14:textId="77777777" w:rsidR="000B2318" w:rsidRPr="00B729CD" w:rsidRDefault="000B2318" w:rsidP="00B729CD">
      <w:pPr>
        <w:adjustRightInd w:val="0"/>
        <w:snapToGrid w:val="0"/>
        <w:spacing w:line="360" w:lineRule="auto"/>
        <w:jc w:val="both"/>
        <w:rPr>
          <w:rFonts w:ascii="Book Antiqua" w:eastAsia="Book Antiqua" w:hAnsi="Book Antiqua" w:cs="Book Antiqua"/>
          <w:i/>
          <w:iCs/>
          <w:color w:val="000000"/>
        </w:rPr>
      </w:pPr>
    </w:p>
    <w:p w14:paraId="3F537AAD" w14:textId="3FDBD07F" w:rsidR="00A77B3E" w:rsidRPr="00B729CD" w:rsidRDefault="00AB6A0E" w:rsidP="00B729CD">
      <w:pPr>
        <w:adjustRightInd w:val="0"/>
        <w:snapToGrid w:val="0"/>
        <w:spacing w:line="360" w:lineRule="auto"/>
        <w:jc w:val="both"/>
        <w:rPr>
          <w:rFonts w:ascii="Book Antiqua" w:hAnsi="Book Antiqua"/>
          <w:b/>
          <w:bCs/>
        </w:rPr>
      </w:pPr>
      <w:r w:rsidRPr="00B729CD">
        <w:rPr>
          <w:rFonts w:ascii="Book Antiqua" w:eastAsia="Book Antiqua" w:hAnsi="Book Antiqua" w:cs="Book Antiqua"/>
          <w:b/>
          <w:bCs/>
          <w:i/>
          <w:iCs/>
          <w:color w:val="000000"/>
        </w:rPr>
        <w:t xml:space="preserve">Histological </w:t>
      </w:r>
      <w:r w:rsidR="004D3B9C" w:rsidRPr="00B729CD">
        <w:rPr>
          <w:rFonts w:ascii="Book Antiqua" w:eastAsia="Book Antiqua" w:hAnsi="Book Antiqua" w:cs="Book Antiqua"/>
          <w:b/>
          <w:bCs/>
          <w:i/>
          <w:iCs/>
          <w:color w:val="000000"/>
        </w:rPr>
        <w:t>response</w:t>
      </w:r>
    </w:p>
    <w:p w14:paraId="00961971" w14:textId="29BD9132"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All biopsy samples were evaluated by a pathologist </w:t>
      </w:r>
      <w:proofErr w:type="spellStart"/>
      <w:r w:rsidRPr="00B729CD">
        <w:rPr>
          <w:rFonts w:ascii="Book Antiqua" w:eastAsia="Book Antiqua" w:hAnsi="Book Antiqua" w:cs="Book Antiqua"/>
          <w:color w:val="000000"/>
        </w:rPr>
        <w:t>specialising</w:t>
      </w:r>
      <w:proofErr w:type="spellEnd"/>
      <w:r w:rsidRPr="00B729CD">
        <w:rPr>
          <w:rFonts w:ascii="Book Antiqua" w:eastAsia="Book Antiqua" w:hAnsi="Book Antiqua" w:cs="Book Antiqua"/>
          <w:color w:val="000000"/>
        </w:rPr>
        <w:t xml:space="preserve"> in liver diseases. Histological improvement was observed in 78% (39) of the patients after 5 years of treatment. After 5 years of treatment, the mean Ishak score of the patients was 1.3 ± 1.3, and the mean HAI score was 4.1 ± 2.8. A 1.53 point reduction in Ishak fibrosis scores after long-term treatment was obtained.</w:t>
      </w:r>
      <w:r w:rsidR="00C958E2"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 xml:space="preserve">The long term treatment (60 </w:t>
      </w:r>
      <w:proofErr w:type="spellStart"/>
      <w:r w:rsidRPr="00B729CD">
        <w:rPr>
          <w:rFonts w:ascii="Book Antiqua" w:eastAsia="Book Antiqua" w:hAnsi="Book Antiqua" w:cs="Book Antiqua"/>
          <w:color w:val="000000"/>
        </w:rPr>
        <w:t>wk</w:t>
      </w:r>
      <w:proofErr w:type="spellEnd"/>
      <w:r w:rsidRPr="00B729CD">
        <w:rPr>
          <w:rFonts w:ascii="Book Antiqua" w:eastAsia="Book Antiqua" w:hAnsi="Book Antiqua" w:cs="Book Antiqua"/>
          <w:color w:val="000000"/>
        </w:rPr>
        <w:t xml:space="preserve">) resulted in most of patients with no or minimal necroinflammation, as </w:t>
      </w:r>
      <w:r w:rsidRPr="00B729CD">
        <w:rPr>
          <w:rFonts w:ascii="Book Antiqua" w:eastAsia="Book Antiqua" w:hAnsi="Book Antiqua" w:cs="Book Antiqua"/>
          <w:color w:val="000000"/>
        </w:rPr>
        <w:lastRenderedPageBreak/>
        <w:t>assessed by HAI score</w:t>
      </w:r>
      <w:r w:rsidR="009C0099" w:rsidRPr="00B729CD">
        <w:rPr>
          <w:rFonts w:ascii="Book Antiqua" w:eastAsia="Book Antiqua" w:hAnsi="Book Antiqua" w:cs="Book Antiqua"/>
          <w:color w:val="000000"/>
        </w:rPr>
        <w:t xml:space="preserve"> </w:t>
      </w:r>
      <w:r w:rsidR="00101092" w:rsidRPr="00B729CD">
        <w:rPr>
          <w:rFonts w:ascii="Book Antiqua" w:eastAsia="Book Antiqua" w:hAnsi="Book Antiqua" w:cs="Book Antiqua"/>
          <w:color w:val="000000"/>
        </w:rPr>
        <w:t>(Figure 1)</w:t>
      </w:r>
      <w:r w:rsidRPr="00B729CD">
        <w:rPr>
          <w:rFonts w:ascii="Book Antiqua" w:eastAsia="Book Antiqua" w:hAnsi="Book Antiqua" w:cs="Book Antiqua"/>
          <w:color w:val="000000"/>
        </w:rPr>
        <w:t xml:space="preserve">, and no or minimal fibrosis, as defined by Ishak classification </w:t>
      </w:r>
      <w:r w:rsidR="00101092" w:rsidRPr="00B729CD">
        <w:rPr>
          <w:rFonts w:ascii="Book Antiqua" w:eastAsia="Book Antiqua" w:hAnsi="Book Antiqua" w:cs="Book Antiqua"/>
          <w:color w:val="000000"/>
        </w:rPr>
        <w:t>(Figure 2</w:t>
      </w:r>
      <w:r w:rsidR="00B16EF2" w:rsidRPr="00B729CD">
        <w:rPr>
          <w:rFonts w:ascii="Book Antiqua" w:eastAsia="Book Antiqua" w:hAnsi="Book Antiqua" w:cs="Book Antiqua"/>
          <w:color w:val="000000"/>
        </w:rPr>
        <w:t>)</w:t>
      </w:r>
      <w:r w:rsidRPr="00B729CD">
        <w:rPr>
          <w:rFonts w:ascii="Book Antiqua" w:eastAsia="Book Antiqua" w:hAnsi="Book Antiqua" w:cs="Book Antiqua"/>
          <w:color w:val="000000"/>
        </w:rPr>
        <w:t>.</w:t>
      </w:r>
    </w:p>
    <w:p w14:paraId="48D3EA58" w14:textId="515459D5" w:rsidR="000B2318" w:rsidRPr="00B729CD" w:rsidRDefault="00AB6A0E" w:rsidP="00B729CD">
      <w:pPr>
        <w:adjustRightInd w:val="0"/>
        <w:snapToGrid w:val="0"/>
        <w:spacing w:line="360" w:lineRule="auto"/>
        <w:ind w:firstLineChars="100" w:firstLine="240"/>
        <w:jc w:val="both"/>
        <w:rPr>
          <w:rFonts w:ascii="Book Antiqua" w:eastAsia="Book Antiqua" w:hAnsi="Book Antiqua" w:cs="Book Antiqua"/>
          <w:color w:val="000000"/>
        </w:rPr>
      </w:pPr>
      <w:r w:rsidRPr="00B729CD">
        <w:rPr>
          <w:rFonts w:ascii="Book Antiqua" w:eastAsia="Book Antiqua" w:hAnsi="Book Antiqua" w:cs="Book Antiqua"/>
          <w:color w:val="000000"/>
        </w:rPr>
        <w:t>Eleven patients had advanced fibrosis or cirrhosis (Ishak score ≥</w:t>
      </w:r>
      <w:r w:rsidR="000B2318"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 xml:space="preserve">4) before the treatment. After long-term treatment, all patients demonstrated at least a </w:t>
      </w:r>
      <w:r w:rsidR="009C0099" w:rsidRPr="00B729CD">
        <w:rPr>
          <w:rFonts w:ascii="Book Antiqua" w:eastAsia="Book Antiqua" w:hAnsi="Book Antiqua" w:cs="Book Antiqua"/>
          <w:color w:val="000000"/>
        </w:rPr>
        <w:t xml:space="preserve">1 </w:t>
      </w:r>
      <w:r w:rsidRPr="00B729CD">
        <w:rPr>
          <w:rFonts w:ascii="Book Antiqua" w:eastAsia="Book Antiqua" w:hAnsi="Book Antiqua" w:cs="Book Antiqua"/>
          <w:color w:val="000000"/>
        </w:rPr>
        <w:t>point reduction in the Ishak fibrosis score, with a median reduction of 2.9 points from pre-treatment values</w:t>
      </w:r>
    </w:p>
    <w:p w14:paraId="2D81FD20" w14:textId="77777777" w:rsidR="00101092" w:rsidRPr="00B729CD" w:rsidRDefault="00101092" w:rsidP="00B729CD">
      <w:pPr>
        <w:adjustRightInd w:val="0"/>
        <w:snapToGrid w:val="0"/>
        <w:spacing w:line="360" w:lineRule="auto"/>
        <w:jc w:val="both"/>
        <w:rPr>
          <w:rFonts w:ascii="Book Antiqua" w:eastAsia="Book Antiqua" w:hAnsi="Book Antiqua" w:cs="Book Antiqua"/>
          <w:b/>
          <w:bCs/>
          <w:i/>
          <w:iCs/>
          <w:color w:val="000000"/>
        </w:rPr>
      </w:pPr>
    </w:p>
    <w:p w14:paraId="45F801F8" w14:textId="7853AAD1" w:rsidR="00A77B3E" w:rsidRPr="00B729CD" w:rsidRDefault="00AB6A0E" w:rsidP="00B729CD">
      <w:pPr>
        <w:adjustRightInd w:val="0"/>
        <w:snapToGrid w:val="0"/>
        <w:spacing w:line="360" w:lineRule="auto"/>
        <w:jc w:val="both"/>
        <w:rPr>
          <w:rFonts w:ascii="Book Antiqua" w:hAnsi="Book Antiqua"/>
          <w:b/>
          <w:bCs/>
        </w:rPr>
      </w:pPr>
      <w:r w:rsidRPr="00B729CD">
        <w:rPr>
          <w:rFonts w:ascii="Book Antiqua" w:eastAsia="Book Antiqua" w:hAnsi="Book Antiqua" w:cs="Book Antiqua"/>
          <w:b/>
          <w:bCs/>
          <w:i/>
          <w:iCs/>
          <w:color w:val="000000"/>
        </w:rPr>
        <w:t xml:space="preserve">Virological </w:t>
      </w:r>
      <w:r w:rsidR="00040424" w:rsidRPr="00B729CD">
        <w:rPr>
          <w:rFonts w:ascii="Book Antiqua" w:eastAsia="Book Antiqua" w:hAnsi="Book Antiqua" w:cs="Book Antiqua"/>
          <w:b/>
          <w:bCs/>
          <w:i/>
          <w:iCs/>
          <w:color w:val="000000"/>
        </w:rPr>
        <w:t>response</w:t>
      </w:r>
    </w:p>
    <w:p w14:paraId="56706491" w14:textId="0398382F"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At the time of post treatment biopsy, 100% of the patients (50/50) had an HBV DNA level &lt;</w:t>
      </w:r>
      <w:r w:rsidR="000B2318"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300 copies/mL; therefore, genotypic testing for resistance was not performed.</w:t>
      </w:r>
    </w:p>
    <w:p w14:paraId="2AF40BC5" w14:textId="77777777" w:rsidR="00082436" w:rsidRPr="00B729CD" w:rsidRDefault="00AB6A0E" w:rsidP="00B729CD">
      <w:pPr>
        <w:adjustRightInd w:val="0"/>
        <w:snapToGrid w:val="0"/>
        <w:spacing w:line="360" w:lineRule="auto"/>
        <w:jc w:val="both"/>
        <w:rPr>
          <w:rFonts w:ascii="Book Antiqua" w:eastAsia="Book Antiqua" w:hAnsi="Book Antiqua" w:cs="Book Antiqua"/>
          <w:color w:val="000000"/>
        </w:rPr>
      </w:pPr>
      <w:r w:rsidRPr="00B729CD">
        <w:rPr>
          <w:rFonts w:ascii="Book Antiqua" w:eastAsia="Book Antiqua" w:hAnsi="Book Antiqua" w:cs="Book Antiqua"/>
          <w:color w:val="000000"/>
        </w:rPr>
        <w:t> </w:t>
      </w:r>
    </w:p>
    <w:p w14:paraId="30CEEC30" w14:textId="16B046C9" w:rsidR="00A77B3E" w:rsidRPr="00B729CD" w:rsidRDefault="00AB6A0E" w:rsidP="00B729CD">
      <w:pPr>
        <w:adjustRightInd w:val="0"/>
        <w:snapToGrid w:val="0"/>
        <w:spacing w:line="360" w:lineRule="auto"/>
        <w:jc w:val="both"/>
        <w:rPr>
          <w:rFonts w:ascii="Book Antiqua" w:hAnsi="Book Antiqua"/>
          <w:b/>
          <w:bCs/>
          <w:i/>
          <w:iCs/>
        </w:rPr>
      </w:pPr>
      <w:r w:rsidRPr="00B729CD">
        <w:rPr>
          <w:rFonts w:ascii="Book Antiqua" w:eastAsia="Book Antiqua" w:hAnsi="Book Antiqua" w:cs="Book Antiqua"/>
          <w:b/>
          <w:bCs/>
          <w:i/>
          <w:iCs/>
          <w:color w:val="000000"/>
        </w:rPr>
        <w:t xml:space="preserve">Serological </w:t>
      </w:r>
      <w:r w:rsidR="00040424" w:rsidRPr="00B729CD">
        <w:rPr>
          <w:rFonts w:ascii="Book Antiqua" w:eastAsia="Book Antiqua" w:hAnsi="Book Antiqua" w:cs="Book Antiqua"/>
          <w:b/>
          <w:bCs/>
          <w:i/>
          <w:iCs/>
          <w:color w:val="000000"/>
        </w:rPr>
        <w:t>response</w:t>
      </w:r>
    </w:p>
    <w:p w14:paraId="0D47BB4B"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All patients were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 xml:space="preserve">-negative. After long-term tenofovir treatment, two of the 50 patients showed HBsAg seroconversion. </w:t>
      </w:r>
    </w:p>
    <w:bookmarkEnd w:id="10"/>
    <w:bookmarkEnd w:id="11"/>
    <w:p w14:paraId="13E8D529" w14:textId="77777777" w:rsidR="00A77B3E" w:rsidRPr="00B729CD" w:rsidRDefault="00A77B3E" w:rsidP="00B729CD">
      <w:pPr>
        <w:adjustRightInd w:val="0"/>
        <w:snapToGrid w:val="0"/>
        <w:spacing w:line="360" w:lineRule="auto"/>
        <w:jc w:val="both"/>
        <w:rPr>
          <w:rFonts w:ascii="Book Antiqua" w:hAnsi="Book Antiqua"/>
        </w:rPr>
      </w:pPr>
    </w:p>
    <w:p w14:paraId="6646401D"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aps/>
          <w:color w:val="000000"/>
          <w:u w:val="single"/>
        </w:rPr>
        <w:t>DISCUSSION</w:t>
      </w:r>
    </w:p>
    <w:p w14:paraId="3016778C" w14:textId="77777777" w:rsidR="00A77B3E" w:rsidRPr="00B729CD" w:rsidRDefault="00AB6A0E" w:rsidP="00B729CD">
      <w:pPr>
        <w:adjustRightInd w:val="0"/>
        <w:snapToGrid w:val="0"/>
        <w:spacing w:line="360" w:lineRule="auto"/>
        <w:jc w:val="both"/>
        <w:rPr>
          <w:rFonts w:ascii="Book Antiqua" w:hAnsi="Book Antiqua"/>
        </w:rPr>
      </w:pPr>
      <w:bookmarkStart w:id="12" w:name="OLE_LINK16"/>
      <w:bookmarkStart w:id="13" w:name="OLE_LINK17"/>
      <w:r w:rsidRPr="00B729CD">
        <w:rPr>
          <w:rFonts w:ascii="Book Antiqua" w:eastAsia="Book Antiqua" w:hAnsi="Book Antiqua" w:cs="Book Antiqua"/>
          <w:color w:val="000000"/>
        </w:rPr>
        <w:t>Many studies have shown a statistically significant and consistent correlation between the viral load level or viral load change and the histological grade and biochemical and serological responses over the course of chronic HBV.</w:t>
      </w:r>
    </w:p>
    <w:p w14:paraId="22B27507" w14:textId="77777777" w:rsidR="00C958E2" w:rsidRPr="00B729CD" w:rsidRDefault="00AB6A0E" w:rsidP="00B729CD">
      <w:pPr>
        <w:adjustRightInd w:val="0"/>
        <w:snapToGrid w:val="0"/>
        <w:spacing w:line="360" w:lineRule="auto"/>
        <w:ind w:firstLineChars="100" w:firstLine="240"/>
        <w:jc w:val="both"/>
        <w:rPr>
          <w:rFonts w:ascii="Book Antiqua" w:hAnsi="Book Antiqua"/>
        </w:rPr>
      </w:pPr>
      <w:r w:rsidRPr="00B729CD">
        <w:rPr>
          <w:rFonts w:ascii="Book Antiqua" w:eastAsia="Book Antiqua" w:hAnsi="Book Antiqua" w:cs="Book Antiqua"/>
          <w:color w:val="000000"/>
        </w:rPr>
        <w:t xml:space="preserve">With antiviral therapy, viral replication is brought under control, thereby suppressing </w:t>
      </w:r>
      <w:proofErr w:type="spellStart"/>
      <w:r w:rsidRPr="00B729CD">
        <w:rPr>
          <w:rFonts w:ascii="Book Antiqua" w:eastAsia="Book Antiqua" w:hAnsi="Book Antiqua" w:cs="Book Antiqua"/>
          <w:color w:val="000000"/>
        </w:rPr>
        <w:t>necroinflammatory</w:t>
      </w:r>
      <w:proofErr w:type="spellEnd"/>
      <w:r w:rsidRPr="00B729CD">
        <w:rPr>
          <w:rFonts w:ascii="Book Antiqua" w:eastAsia="Book Antiqua" w:hAnsi="Book Antiqua" w:cs="Book Antiqua"/>
          <w:color w:val="000000"/>
        </w:rPr>
        <w:t xml:space="preserve"> activity in the vast majority of patients. In this way, progressive liver damage is avoided, and there is a decreased risk of </w:t>
      </w:r>
      <w:r w:rsidR="000B2318" w:rsidRPr="00B729CD">
        <w:rPr>
          <w:rFonts w:ascii="Book Antiqua" w:eastAsia="Book Antiqua" w:hAnsi="Book Antiqua" w:cs="Book Antiqua"/>
          <w:color w:val="000000"/>
        </w:rPr>
        <w:t>hepatocellular carcinoma</w:t>
      </w:r>
      <w:r w:rsidRPr="00B729CD">
        <w:rPr>
          <w:rFonts w:ascii="Book Antiqua" w:eastAsia="Book Antiqua" w:hAnsi="Book Antiqua" w:cs="Book Antiqua"/>
          <w:color w:val="000000"/>
        </w:rPr>
        <w:t xml:space="preserve">. Untreated spontaneous recovery is rare in patients with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 xml:space="preserve">-negative CHB. Therefore, after the diagnosis is made, non-cirrhotic patients who meet the criteria should immediately begin treatment and continue it until HBsAg seroconversion occurs. Entecavir and tenofovir are frequently used for this treatment because of their low resistance profile. In patients with hepatitis B with cirrhosis, lifetime treatment is </w:t>
      </w:r>
      <w:proofErr w:type="gramStart"/>
      <w:r w:rsidRPr="00B729CD">
        <w:rPr>
          <w:rFonts w:ascii="Book Antiqua" w:eastAsia="Book Antiqua" w:hAnsi="Book Antiqua" w:cs="Book Antiqua"/>
          <w:color w:val="000000"/>
        </w:rPr>
        <w:t>recommended</w:t>
      </w:r>
      <w:r w:rsidR="00082436" w:rsidRPr="00B729CD">
        <w:rPr>
          <w:rFonts w:ascii="Book Antiqua" w:eastAsia="Book Antiqua" w:hAnsi="Book Antiqua" w:cs="Book Antiqua"/>
          <w:color w:val="000000"/>
          <w:vertAlign w:val="superscript"/>
        </w:rPr>
        <w:t>[</w:t>
      </w:r>
      <w:proofErr w:type="gramEnd"/>
      <w:r w:rsidRPr="00B729CD">
        <w:rPr>
          <w:rFonts w:ascii="Book Antiqua" w:eastAsia="Book Antiqua" w:hAnsi="Book Antiqua" w:cs="Book Antiqua"/>
          <w:color w:val="000000"/>
          <w:vertAlign w:val="superscript"/>
        </w:rPr>
        <w:t>2-9</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w:t>
      </w:r>
    </w:p>
    <w:p w14:paraId="1C189D33" w14:textId="0BA59E70" w:rsidR="00C958E2" w:rsidRPr="00B729CD" w:rsidRDefault="00AB6A0E" w:rsidP="00B729CD">
      <w:pPr>
        <w:adjustRightInd w:val="0"/>
        <w:snapToGrid w:val="0"/>
        <w:spacing w:line="360" w:lineRule="auto"/>
        <w:ind w:firstLineChars="100" w:firstLine="240"/>
        <w:jc w:val="both"/>
        <w:rPr>
          <w:rFonts w:ascii="Book Antiqua" w:eastAsia="Book Antiqua" w:hAnsi="Book Antiqua" w:cs="Book Antiqua"/>
          <w:color w:val="000000"/>
        </w:rPr>
      </w:pPr>
      <w:r w:rsidRPr="00B729CD">
        <w:rPr>
          <w:rFonts w:ascii="Book Antiqua" w:eastAsia="Book Antiqua" w:hAnsi="Book Antiqua" w:cs="Book Antiqua"/>
          <w:color w:val="000000"/>
        </w:rPr>
        <w:lastRenderedPageBreak/>
        <w:t xml:space="preserve">According to recent studies, tenofovir and entecavir are frequently used in cirrhotic and non-cirrhotic patients with CHB, and these drugs have been shown to be safe and effective. These two molecules are frequently used owing to their low resistance </w:t>
      </w:r>
      <w:proofErr w:type="gramStart"/>
      <w:r w:rsidRPr="00B729CD">
        <w:rPr>
          <w:rFonts w:ascii="Book Antiqua" w:eastAsia="Book Antiqua" w:hAnsi="Book Antiqua" w:cs="Book Antiqua"/>
          <w:color w:val="000000"/>
        </w:rPr>
        <w:t>profiles</w:t>
      </w:r>
      <w:r w:rsidR="00082436" w:rsidRPr="00B729CD">
        <w:rPr>
          <w:rFonts w:ascii="Book Antiqua" w:eastAsia="Book Antiqua" w:hAnsi="Book Antiqua" w:cs="Book Antiqua"/>
          <w:color w:val="000000"/>
          <w:vertAlign w:val="superscript"/>
        </w:rPr>
        <w:t>[</w:t>
      </w:r>
      <w:proofErr w:type="gramEnd"/>
      <w:r w:rsidRPr="00B729CD">
        <w:rPr>
          <w:rFonts w:ascii="Book Antiqua" w:eastAsia="Book Antiqua" w:hAnsi="Book Antiqua" w:cs="Book Antiqua"/>
          <w:color w:val="000000"/>
          <w:vertAlign w:val="superscript"/>
        </w:rPr>
        <w:t>9-11</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 According to initial studies, tenofovir treatment results in fibrosis improvement, including cirrhosis regression, in the majority of patients. In one study, 51% of the 348 patients with paired biopsies (at baseline and at week 240) showed fibrosis regression in their follow-up biopsy. Interestingly, 71 of 96 patients (74%) with Ishak stage 5 or 6 were found to have no cirrhosis at week 240</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vertAlign w:val="superscript"/>
        </w:rPr>
        <w:t>12</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 xml:space="preserve">. In their review, Pol </w:t>
      </w:r>
      <w:r w:rsidRPr="00B729CD">
        <w:rPr>
          <w:rFonts w:ascii="Book Antiqua" w:eastAsia="Book Antiqua" w:hAnsi="Book Antiqua" w:cs="Book Antiqua"/>
          <w:i/>
          <w:iCs/>
          <w:color w:val="000000"/>
        </w:rPr>
        <w:t xml:space="preserve">et </w:t>
      </w:r>
      <w:proofErr w:type="gramStart"/>
      <w:r w:rsidRPr="00B729CD">
        <w:rPr>
          <w:rFonts w:ascii="Book Antiqua" w:eastAsia="Book Antiqua" w:hAnsi="Book Antiqua" w:cs="Book Antiqua"/>
          <w:i/>
          <w:iCs/>
          <w:color w:val="000000"/>
        </w:rPr>
        <w:t>al</w:t>
      </w:r>
      <w:r w:rsidR="00082436" w:rsidRPr="00B729CD">
        <w:rPr>
          <w:rFonts w:ascii="Book Antiqua" w:eastAsia="Book Antiqua" w:hAnsi="Book Antiqua" w:cs="Book Antiqua"/>
          <w:color w:val="000000"/>
          <w:vertAlign w:val="superscript"/>
        </w:rPr>
        <w:t>[</w:t>
      </w:r>
      <w:proofErr w:type="gramEnd"/>
      <w:r w:rsidR="00082436" w:rsidRPr="00B729CD">
        <w:rPr>
          <w:rFonts w:ascii="Book Antiqua" w:eastAsia="Book Antiqua" w:hAnsi="Book Antiqua" w:cs="Book Antiqua"/>
          <w:color w:val="000000"/>
          <w:vertAlign w:val="superscript"/>
        </w:rPr>
        <w:t>13]</w:t>
      </w:r>
      <w:r w:rsidRPr="00B729CD">
        <w:rPr>
          <w:rFonts w:ascii="Book Antiqua" w:eastAsia="Book Antiqua" w:hAnsi="Book Antiqua" w:cs="Book Antiqua"/>
          <w:color w:val="000000"/>
        </w:rPr>
        <w:t xml:space="preserve"> reported the safety and efficacy data from two real-world cohorts in the United Kingdom and Europe (362 NA-naïve patients, follow up time: 9</w:t>
      </w:r>
      <w:r w:rsidR="00082436" w:rsidRPr="00B729CD">
        <w:rPr>
          <w:rFonts w:ascii="Book Antiqua" w:eastAsia="Book Antiqua" w:hAnsi="Book Antiqua" w:cs="Book Antiqua"/>
          <w:color w:val="000000"/>
        </w:rPr>
        <w:t>-</w:t>
      </w:r>
      <w:r w:rsidRPr="00B729CD">
        <w:rPr>
          <w:rFonts w:ascii="Book Antiqua" w:eastAsia="Book Antiqua" w:hAnsi="Book Antiqua" w:cs="Book Antiqua"/>
          <w:color w:val="000000"/>
        </w:rPr>
        <w:t xml:space="preserve">28 </w:t>
      </w:r>
      <w:proofErr w:type="spellStart"/>
      <w:r w:rsidRPr="00B729CD">
        <w:rPr>
          <w:rFonts w:ascii="Book Antiqua" w:eastAsia="Book Antiqua" w:hAnsi="Book Antiqua" w:cs="Book Antiqua"/>
          <w:color w:val="000000"/>
        </w:rPr>
        <w:t>mo</w:t>
      </w:r>
      <w:proofErr w:type="spellEnd"/>
      <w:r w:rsidRPr="00B729CD">
        <w:rPr>
          <w:rFonts w:ascii="Book Antiqua" w:eastAsia="Book Antiqua" w:hAnsi="Book Antiqua" w:cs="Book Antiqua"/>
          <w:color w:val="000000"/>
        </w:rPr>
        <w:t>). In this report, virological suppression was detected in 80</w:t>
      </w:r>
      <w:r w:rsidR="00082436" w:rsidRPr="00B729CD">
        <w:rPr>
          <w:rFonts w:ascii="Book Antiqua" w:eastAsia="Book Antiqua" w:hAnsi="Book Antiqua" w:cs="Book Antiqua"/>
          <w:color w:val="000000"/>
        </w:rPr>
        <w:t>%-</w:t>
      </w:r>
      <w:r w:rsidRPr="00B729CD">
        <w:rPr>
          <w:rFonts w:ascii="Book Antiqua" w:eastAsia="Book Antiqua" w:hAnsi="Book Antiqua" w:cs="Book Antiqua"/>
          <w:color w:val="000000"/>
        </w:rPr>
        <w:t xml:space="preserve">89% of patients; breakthrough was detected in 2% of patients without any corresponding resistance mutations.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 xml:space="preserve"> seroconversion was seen in 7</w:t>
      </w:r>
      <w:r w:rsidR="00082436" w:rsidRPr="00B729CD">
        <w:rPr>
          <w:rFonts w:ascii="Book Antiqua" w:eastAsia="Book Antiqua" w:hAnsi="Book Antiqua" w:cs="Book Antiqua"/>
          <w:color w:val="000000"/>
        </w:rPr>
        <w:t>%</w:t>
      </w:r>
      <w:r w:rsidR="00AA671A">
        <w:rPr>
          <w:rFonts w:ascii="Book Antiqua" w:eastAsia="Book Antiqua" w:hAnsi="Book Antiqua" w:cs="Book Antiqua"/>
          <w:color w:val="000000"/>
        </w:rPr>
        <w:t>-</w:t>
      </w:r>
      <w:r w:rsidRPr="00B729CD">
        <w:rPr>
          <w:rFonts w:ascii="Book Antiqua" w:eastAsia="Book Antiqua" w:hAnsi="Book Antiqua" w:cs="Book Antiqua"/>
          <w:color w:val="000000"/>
        </w:rPr>
        <w:t xml:space="preserve">18% of patients, and HBsAg loss occurred in 2% of the European cohort. ALT </w:t>
      </w:r>
      <w:proofErr w:type="spellStart"/>
      <w:r w:rsidRPr="00B729CD">
        <w:rPr>
          <w:rFonts w:ascii="Book Antiqua" w:eastAsia="Book Antiqua" w:hAnsi="Book Antiqua" w:cs="Book Antiqua"/>
          <w:color w:val="000000"/>
        </w:rPr>
        <w:t>normalisation</w:t>
      </w:r>
      <w:proofErr w:type="spellEnd"/>
      <w:r w:rsidRPr="00B729CD">
        <w:rPr>
          <w:rFonts w:ascii="Book Antiqua" w:eastAsia="Book Antiqua" w:hAnsi="Book Antiqua" w:cs="Book Antiqua"/>
          <w:color w:val="000000"/>
        </w:rPr>
        <w:t xml:space="preserve"> was detected in 87% of patients by week 30 wk. Pan </w:t>
      </w:r>
      <w:r w:rsidRPr="00B729CD">
        <w:rPr>
          <w:rFonts w:ascii="Book Antiqua" w:eastAsia="Book Antiqua" w:hAnsi="Book Antiqua" w:cs="Book Antiqua"/>
          <w:i/>
          <w:iCs/>
          <w:color w:val="000000"/>
        </w:rPr>
        <w:t xml:space="preserve">et </w:t>
      </w:r>
      <w:proofErr w:type="gramStart"/>
      <w:r w:rsidRPr="00B729CD">
        <w:rPr>
          <w:rFonts w:ascii="Book Antiqua" w:eastAsia="Book Antiqua" w:hAnsi="Book Antiqua" w:cs="Book Antiqua"/>
          <w:i/>
          <w:iCs/>
          <w:color w:val="000000"/>
        </w:rPr>
        <w:t>al</w:t>
      </w:r>
      <w:r w:rsidR="00082436" w:rsidRPr="00B729CD">
        <w:rPr>
          <w:rFonts w:ascii="Book Antiqua" w:eastAsia="Book Antiqua" w:hAnsi="Book Antiqua" w:cs="Book Antiqua"/>
          <w:color w:val="000000"/>
          <w:vertAlign w:val="superscript"/>
        </w:rPr>
        <w:t>[</w:t>
      </w:r>
      <w:proofErr w:type="gramEnd"/>
      <w:r w:rsidR="00082436" w:rsidRPr="00B729CD">
        <w:rPr>
          <w:rFonts w:ascii="Book Antiqua" w:eastAsia="Book Antiqua" w:hAnsi="Book Antiqua" w:cs="Book Antiqua"/>
          <w:color w:val="000000"/>
          <w:vertAlign w:val="superscript"/>
        </w:rPr>
        <w:t>14]</w:t>
      </w:r>
      <w:r w:rsidRPr="00B729CD">
        <w:rPr>
          <w:rFonts w:ascii="Book Antiqua" w:eastAsia="Book Antiqua" w:hAnsi="Book Antiqua" w:cs="Book Antiqua"/>
          <w:color w:val="000000"/>
        </w:rPr>
        <w:t xml:space="preserve"> reported the real-world safety and efficacy of TDF (90 Asian–American patients, 48 </w:t>
      </w:r>
      <w:proofErr w:type="spellStart"/>
      <w:r w:rsidRPr="00B729CD">
        <w:rPr>
          <w:rFonts w:ascii="Book Antiqua" w:eastAsia="Book Antiqua" w:hAnsi="Book Antiqua" w:cs="Book Antiqua"/>
          <w:color w:val="000000"/>
        </w:rPr>
        <w:t>wk</w:t>
      </w:r>
      <w:proofErr w:type="spellEnd"/>
      <w:r w:rsidRPr="00B729CD">
        <w:rPr>
          <w:rFonts w:ascii="Book Antiqua" w:eastAsia="Book Antiqua" w:hAnsi="Book Antiqua" w:cs="Book Antiqua"/>
          <w:color w:val="000000"/>
        </w:rPr>
        <w:t xml:space="preserve"> period). Ten percent of the patients had a prior treatment history with lamivudine or adefovir. The authors detected virological suppression in 82% of patients,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 xml:space="preserve"> seroconversion was detected in 12% and ALT </w:t>
      </w:r>
      <w:proofErr w:type="spellStart"/>
      <w:r w:rsidRPr="00B729CD">
        <w:rPr>
          <w:rFonts w:ascii="Book Antiqua" w:eastAsia="Book Antiqua" w:hAnsi="Book Antiqua" w:cs="Book Antiqua"/>
          <w:color w:val="000000"/>
        </w:rPr>
        <w:t>normalisation</w:t>
      </w:r>
      <w:proofErr w:type="spellEnd"/>
      <w:r w:rsidRPr="00B729CD">
        <w:rPr>
          <w:rFonts w:ascii="Book Antiqua" w:eastAsia="Book Antiqua" w:hAnsi="Book Antiqua" w:cs="Book Antiqua"/>
          <w:color w:val="000000"/>
        </w:rPr>
        <w:t xml:space="preserve"> was detected in 66% of the patients by the end of follow up. No TDF resistance was detected, and the treatment was considered well-tolerated. In the study conducted by Buti </w:t>
      </w:r>
      <w:r w:rsidRPr="00B729CD">
        <w:rPr>
          <w:rFonts w:ascii="Book Antiqua" w:eastAsia="Book Antiqua" w:hAnsi="Book Antiqua" w:cs="Book Antiqua"/>
          <w:i/>
          <w:iCs/>
          <w:color w:val="000000"/>
        </w:rPr>
        <w:t xml:space="preserve">et </w:t>
      </w:r>
      <w:proofErr w:type="gramStart"/>
      <w:r w:rsidRPr="00B729CD">
        <w:rPr>
          <w:rFonts w:ascii="Book Antiqua" w:eastAsia="Book Antiqua" w:hAnsi="Book Antiqua" w:cs="Book Antiqua"/>
          <w:i/>
          <w:iCs/>
          <w:color w:val="000000"/>
        </w:rPr>
        <w:t>al</w:t>
      </w:r>
      <w:r w:rsidR="00C958E2" w:rsidRPr="00B729CD">
        <w:rPr>
          <w:rFonts w:ascii="Book Antiqua" w:eastAsia="Book Antiqua" w:hAnsi="Book Antiqua" w:cs="Book Antiqua"/>
          <w:color w:val="000000"/>
          <w:vertAlign w:val="superscript"/>
        </w:rPr>
        <w:t>[</w:t>
      </w:r>
      <w:proofErr w:type="gramEnd"/>
      <w:r w:rsidR="00C958E2" w:rsidRPr="00B729CD">
        <w:rPr>
          <w:rFonts w:ascii="Book Antiqua" w:eastAsia="Book Antiqua" w:hAnsi="Book Antiqua" w:cs="Book Antiqua"/>
          <w:color w:val="000000"/>
          <w:vertAlign w:val="superscript"/>
        </w:rPr>
        <w:t>15]</w:t>
      </w:r>
      <w:r w:rsidRPr="00B729CD">
        <w:rPr>
          <w:rFonts w:ascii="Book Antiqua" w:eastAsia="Book Antiqua" w:hAnsi="Book Antiqua" w:cs="Book Antiqua"/>
          <w:color w:val="000000"/>
        </w:rPr>
        <w:t xml:space="preserve">, after 5 years of tenofovir treatment, improvement in the </w:t>
      </w:r>
      <w:proofErr w:type="spellStart"/>
      <w:r w:rsidRPr="00B729CD">
        <w:rPr>
          <w:rFonts w:ascii="Book Antiqua" w:eastAsia="Book Antiqua" w:hAnsi="Book Antiqua" w:cs="Book Antiqua"/>
          <w:color w:val="000000"/>
        </w:rPr>
        <w:t>Knodell</w:t>
      </w:r>
      <w:proofErr w:type="spellEnd"/>
      <w:r w:rsidRPr="00B729CD">
        <w:rPr>
          <w:rFonts w:ascii="Book Antiqua" w:eastAsia="Book Antiqua" w:hAnsi="Book Antiqua" w:cs="Book Antiqua"/>
          <w:color w:val="000000"/>
        </w:rPr>
        <w:t xml:space="preserve"> score (≥</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 xml:space="preserve">1 point decrease) was found in 93.8% of cirrhotic patients and in 90.8% of non-cirrhotic patients, and no difference was found between the groups. A similar histological response with tenofovir treatment, regardless of the presence of cirrhosis, has been </w:t>
      </w:r>
      <w:proofErr w:type="gramStart"/>
      <w:r w:rsidRPr="00B729CD">
        <w:rPr>
          <w:rFonts w:ascii="Book Antiqua" w:eastAsia="Book Antiqua" w:hAnsi="Book Antiqua" w:cs="Book Antiqua"/>
          <w:color w:val="000000"/>
        </w:rPr>
        <w:t>reported</w:t>
      </w:r>
      <w:r w:rsidR="00082436" w:rsidRPr="00B729CD">
        <w:rPr>
          <w:rFonts w:ascii="Book Antiqua" w:eastAsia="Book Antiqua" w:hAnsi="Book Antiqua" w:cs="Book Antiqua"/>
          <w:color w:val="000000"/>
          <w:vertAlign w:val="superscript"/>
        </w:rPr>
        <w:t>[</w:t>
      </w:r>
      <w:proofErr w:type="gramEnd"/>
      <w:r w:rsidRPr="00B729CD">
        <w:rPr>
          <w:rFonts w:ascii="Book Antiqua" w:eastAsia="Book Antiqua" w:hAnsi="Book Antiqua" w:cs="Book Antiqua"/>
          <w:color w:val="000000"/>
          <w:vertAlign w:val="superscript"/>
        </w:rPr>
        <w:t>15</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 xml:space="preserve">In a study, Tatar </w:t>
      </w:r>
      <w:r w:rsidRPr="00B729CD">
        <w:rPr>
          <w:rFonts w:ascii="Book Antiqua" w:eastAsia="Book Antiqua" w:hAnsi="Book Antiqua" w:cs="Book Antiqua"/>
          <w:i/>
          <w:iCs/>
          <w:color w:val="000000"/>
        </w:rPr>
        <w:t xml:space="preserve">et </w:t>
      </w:r>
      <w:proofErr w:type="gramStart"/>
      <w:r w:rsidRPr="00B729CD">
        <w:rPr>
          <w:rFonts w:ascii="Book Antiqua" w:eastAsia="Book Antiqua" w:hAnsi="Book Antiqua" w:cs="Book Antiqua"/>
          <w:i/>
          <w:iCs/>
          <w:color w:val="000000"/>
        </w:rPr>
        <w:t>al</w:t>
      </w:r>
      <w:r w:rsidR="00082436" w:rsidRPr="00B729CD">
        <w:rPr>
          <w:rFonts w:ascii="Book Antiqua" w:eastAsia="Book Antiqua" w:hAnsi="Book Antiqua" w:cs="Book Antiqua"/>
          <w:color w:val="000000"/>
          <w:vertAlign w:val="superscript"/>
        </w:rPr>
        <w:t>[</w:t>
      </w:r>
      <w:proofErr w:type="gramEnd"/>
      <w:r w:rsidR="00082436" w:rsidRPr="00B729CD">
        <w:rPr>
          <w:rFonts w:ascii="Book Antiqua" w:eastAsia="Book Antiqua" w:hAnsi="Book Antiqua" w:cs="Book Antiqua"/>
          <w:color w:val="000000"/>
          <w:vertAlign w:val="superscript"/>
        </w:rPr>
        <w:t>16]</w:t>
      </w:r>
      <w:r w:rsidRPr="00AA671A">
        <w:rPr>
          <w:rFonts w:ascii="Book Antiqua" w:eastAsia="Book Antiqua" w:hAnsi="Book Antiqua" w:cs="Book Antiqua"/>
          <w:color w:val="000000"/>
        </w:rPr>
        <w:t xml:space="preserve"> </w:t>
      </w:r>
      <w:r w:rsidRPr="00B729CD">
        <w:rPr>
          <w:rFonts w:ascii="Book Antiqua" w:eastAsia="Book Antiqua" w:hAnsi="Book Antiqua" w:cs="Book Antiqua"/>
          <w:color w:val="000000"/>
        </w:rPr>
        <w:t xml:space="preserve">reported remarkably good HBV DNA suppression, good biochemical response rate and improvement of liver necroinflammation in 52 CHB patients who were </w:t>
      </w:r>
      <w:proofErr w:type="spellStart"/>
      <w:r w:rsidRPr="00B729CD">
        <w:rPr>
          <w:rFonts w:ascii="Book Antiqua" w:eastAsia="Book Antiqua" w:hAnsi="Book Antiqua" w:cs="Book Antiqua"/>
          <w:color w:val="000000"/>
        </w:rPr>
        <w:t>terated</w:t>
      </w:r>
      <w:proofErr w:type="spellEnd"/>
      <w:r w:rsidRPr="00B729CD">
        <w:rPr>
          <w:rFonts w:ascii="Book Antiqua" w:eastAsia="Book Antiqua" w:hAnsi="Book Antiqua" w:cs="Book Antiqua"/>
          <w:color w:val="000000"/>
        </w:rPr>
        <w:t xml:space="preserve"> with TDF (The mean follow-up: 33</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 xml:space="preserve">11 </w:t>
      </w:r>
      <w:proofErr w:type="spellStart"/>
      <w:r w:rsidRPr="00B729CD">
        <w:rPr>
          <w:rFonts w:ascii="Book Antiqua" w:eastAsia="Book Antiqua" w:hAnsi="Book Antiqua" w:cs="Book Antiqua"/>
          <w:color w:val="000000"/>
        </w:rPr>
        <w:t>mo</w:t>
      </w:r>
      <w:proofErr w:type="spellEnd"/>
      <w:r w:rsidRPr="00B729CD">
        <w:rPr>
          <w:rFonts w:ascii="Book Antiqua" w:eastAsia="Book Antiqua" w:hAnsi="Book Antiqua" w:cs="Book Antiqua"/>
          <w:color w:val="000000"/>
        </w:rPr>
        <w:t xml:space="preserve">). In accordance with these studies, our results showed HBV DNA to be negative in 100% of the patients after treatment; 38 (76%) had an </w:t>
      </w:r>
      <w:r w:rsidRPr="00B729CD">
        <w:rPr>
          <w:rFonts w:ascii="Book Antiqua" w:eastAsia="Book Antiqua" w:hAnsi="Book Antiqua" w:cs="Book Antiqua"/>
          <w:color w:val="000000"/>
        </w:rPr>
        <w:lastRenderedPageBreak/>
        <w:t xml:space="preserve">improved Ishak fibrosis score, 34 (68%) had an improved </w:t>
      </w:r>
      <w:proofErr w:type="spellStart"/>
      <w:r w:rsidRPr="00B729CD">
        <w:rPr>
          <w:rFonts w:ascii="Book Antiqua" w:eastAsia="Book Antiqua" w:hAnsi="Book Antiqua" w:cs="Book Antiqua"/>
          <w:color w:val="000000"/>
        </w:rPr>
        <w:t>necroinflammatory</w:t>
      </w:r>
      <w:proofErr w:type="spellEnd"/>
      <w:r w:rsidRPr="00B729CD">
        <w:rPr>
          <w:rFonts w:ascii="Book Antiqua" w:eastAsia="Book Antiqua" w:hAnsi="Book Antiqua" w:cs="Book Antiqua"/>
          <w:color w:val="000000"/>
        </w:rPr>
        <w:t xml:space="preserve"> score (≥</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2 point improvement of HAI score), and HBsAg seroconversion was detected in 2 patients.</w:t>
      </w:r>
    </w:p>
    <w:p w14:paraId="78AA1576" w14:textId="5A417454" w:rsidR="00A77B3E" w:rsidRPr="00B729CD" w:rsidRDefault="00AB6A0E" w:rsidP="00B729CD">
      <w:pPr>
        <w:adjustRightInd w:val="0"/>
        <w:snapToGrid w:val="0"/>
        <w:spacing w:line="360" w:lineRule="auto"/>
        <w:ind w:firstLineChars="100" w:firstLine="240"/>
        <w:jc w:val="both"/>
        <w:rPr>
          <w:rFonts w:ascii="Book Antiqua" w:eastAsia="Book Antiqua" w:hAnsi="Book Antiqua" w:cs="Book Antiqua"/>
          <w:color w:val="000000"/>
        </w:rPr>
      </w:pPr>
      <w:r w:rsidRPr="00B729CD">
        <w:rPr>
          <w:rFonts w:ascii="Book Antiqua" w:eastAsia="Book Antiqua" w:hAnsi="Book Antiqua" w:cs="Book Antiqua"/>
          <w:color w:val="000000"/>
        </w:rPr>
        <w:t>Some studies have reported a strong histological response and fibrosis regression in patients with advanced fibrosis/cirrhosis. In a study with patients who received tenofovir treatment for 5 years, a decline in fibrosis score was observed in 51%. The authors stated that this rate increased to 74% in patients with Ishak fibrosis scores of 5 and 6 before treatment, and histological improvement was greater than 91% in those with Ishak fibrosis scores &gt;2</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vertAlign w:val="superscript"/>
        </w:rPr>
        <w:t>12</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 In our study, 11 of the 50 patients had advanced fibrosis or cirrhosis (Ishak score ≥</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4) at baseline. After long-term tenofovir therapy, all 11 patients demonstrated at least a 1 point reduction in the Ishak fibrosis score, with a median reduction from baseline of 2.9 points.</w:t>
      </w:r>
    </w:p>
    <w:p w14:paraId="30065B89" w14:textId="77777777" w:rsidR="00A77B3E" w:rsidRPr="00B729CD" w:rsidRDefault="00AB6A0E" w:rsidP="00B729CD">
      <w:pPr>
        <w:adjustRightInd w:val="0"/>
        <w:snapToGrid w:val="0"/>
        <w:spacing w:line="360" w:lineRule="auto"/>
        <w:ind w:firstLineChars="100" w:firstLine="240"/>
        <w:jc w:val="both"/>
        <w:rPr>
          <w:rFonts w:ascii="Book Antiqua" w:hAnsi="Book Antiqua"/>
        </w:rPr>
      </w:pPr>
      <w:r w:rsidRPr="00B729CD">
        <w:rPr>
          <w:rFonts w:ascii="Book Antiqua" w:eastAsia="Book Antiqua" w:hAnsi="Book Antiqua" w:cs="Book Antiqua"/>
          <w:color w:val="000000"/>
        </w:rPr>
        <w:t>This study is limited by its retrospective nature, which did not allow for the initial data to be diversified. Many pretreatment demographic characteristics that could affect the response to treatment could not be verified, and the effect of these factors on the treatment response could not be investigated.</w:t>
      </w:r>
    </w:p>
    <w:bookmarkEnd w:id="12"/>
    <w:bookmarkEnd w:id="13"/>
    <w:p w14:paraId="7EF2606C" w14:textId="77777777" w:rsidR="00A77B3E" w:rsidRPr="00B729CD" w:rsidRDefault="00A77B3E" w:rsidP="00B729CD">
      <w:pPr>
        <w:adjustRightInd w:val="0"/>
        <w:snapToGrid w:val="0"/>
        <w:spacing w:line="360" w:lineRule="auto"/>
        <w:jc w:val="both"/>
        <w:rPr>
          <w:rFonts w:ascii="Book Antiqua" w:hAnsi="Book Antiqua"/>
        </w:rPr>
      </w:pPr>
    </w:p>
    <w:p w14:paraId="3369FE47"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aps/>
          <w:color w:val="000000"/>
          <w:u w:val="single"/>
        </w:rPr>
        <w:t>CONCLUSION</w:t>
      </w:r>
    </w:p>
    <w:p w14:paraId="044CCB21" w14:textId="77777777" w:rsidR="00A77B3E" w:rsidRPr="00B729CD" w:rsidRDefault="00AB6A0E" w:rsidP="00B729CD">
      <w:pPr>
        <w:adjustRightInd w:val="0"/>
        <w:snapToGrid w:val="0"/>
        <w:spacing w:line="360" w:lineRule="auto"/>
        <w:jc w:val="both"/>
        <w:rPr>
          <w:rFonts w:ascii="Book Antiqua" w:hAnsi="Book Antiqua"/>
        </w:rPr>
      </w:pPr>
      <w:bookmarkStart w:id="14" w:name="OLE_LINK1"/>
      <w:bookmarkStart w:id="15" w:name="OLE_LINK2"/>
      <w:r w:rsidRPr="00B729CD">
        <w:rPr>
          <w:rFonts w:ascii="Book Antiqua" w:eastAsia="Book Antiqua" w:hAnsi="Book Antiqua" w:cs="Book Antiqua"/>
          <w:color w:val="000000"/>
        </w:rPr>
        <w:t xml:space="preserve">Compared to the initial liver biopsies, the liver biopsies performed at least 5 years after the initiation of TDF treatment revealed a significant histological response and regression of the </w:t>
      </w:r>
      <w:proofErr w:type="spellStart"/>
      <w:r w:rsidRPr="00B729CD">
        <w:rPr>
          <w:rFonts w:ascii="Book Antiqua" w:eastAsia="Book Antiqua" w:hAnsi="Book Antiqua" w:cs="Book Antiqua"/>
          <w:color w:val="000000"/>
        </w:rPr>
        <w:t>necroinflammatory</w:t>
      </w:r>
      <w:proofErr w:type="spellEnd"/>
      <w:r w:rsidRPr="00B729CD">
        <w:rPr>
          <w:rFonts w:ascii="Book Antiqua" w:eastAsia="Book Antiqua" w:hAnsi="Book Antiqua" w:cs="Book Antiqua"/>
          <w:color w:val="000000"/>
        </w:rPr>
        <w:t xml:space="preserve"> score. These promising findings should be verified in a larger population by conducting a </w:t>
      </w:r>
      <w:proofErr w:type="spellStart"/>
      <w:r w:rsidRPr="00B729CD">
        <w:rPr>
          <w:rFonts w:ascii="Book Antiqua" w:eastAsia="Book Antiqua" w:hAnsi="Book Antiqua" w:cs="Book Antiqua"/>
          <w:color w:val="000000"/>
        </w:rPr>
        <w:t>multicentre</w:t>
      </w:r>
      <w:proofErr w:type="spellEnd"/>
      <w:r w:rsidRPr="00B729CD">
        <w:rPr>
          <w:rFonts w:ascii="Book Antiqua" w:eastAsia="Book Antiqua" w:hAnsi="Book Antiqua" w:cs="Book Antiqua"/>
          <w:color w:val="000000"/>
        </w:rPr>
        <w:t>, prospective study.</w:t>
      </w:r>
    </w:p>
    <w:p w14:paraId="11196298" w14:textId="77777777" w:rsidR="00A77B3E" w:rsidRPr="00B729CD" w:rsidRDefault="00A77B3E" w:rsidP="00B729CD">
      <w:pPr>
        <w:adjustRightInd w:val="0"/>
        <w:snapToGrid w:val="0"/>
        <w:spacing w:line="360" w:lineRule="auto"/>
        <w:jc w:val="both"/>
        <w:rPr>
          <w:rFonts w:ascii="Book Antiqua" w:hAnsi="Book Antiqua"/>
        </w:rPr>
      </w:pPr>
    </w:p>
    <w:bookmarkEnd w:id="14"/>
    <w:bookmarkEnd w:id="15"/>
    <w:p w14:paraId="15E81E2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aps/>
          <w:color w:val="000000"/>
          <w:u w:val="single"/>
        </w:rPr>
        <w:t>ARTICLE HIGHLIGHTS</w:t>
      </w:r>
    </w:p>
    <w:p w14:paraId="04D8F20B"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background</w:t>
      </w:r>
    </w:p>
    <w:p w14:paraId="11CA54DC" w14:textId="56F81F04"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Hepatitis B virus is a universal health problem. There are approximately 250 million people living with hepatitis B worldwide, and approximately 600000 of these people die every year due to the virus. Viral suppression with treatment can also lead to histological healing.</w:t>
      </w:r>
    </w:p>
    <w:p w14:paraId="1A262CA1" w14:textId="77777777" w:rsidR="00A77B3E" w:rsidRPr="00B729CD" w:rsidRDefault="00A77B3E" w:rsidP="00B729CD">
      <w:pPr>
        <w:adjustRightInd w:val="0"/>
        <w:snapToGrid w:val="0"/>
        <w:spacing w:line="360" w:lineRule="auto"/>
        <w:jc w:val="both"/>
        <w:rPr>
          <w:rFonts w:ascii="Book Antiqua" w:hAnsi="Book Antiqua"/>
        </w:rPr>
      </w:pPr>
    </w:p>
    <w:p w14:paraId="458AD28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motivation</w:t>
      </w:r>
    </w:p>
    <w:p w14:paraId="79BAC401" w14:textId="5CA68FB9"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Recent studies have found histological improvements in </w:t>
      </w:r>
      <w:r w:rsidR="000B2318" w:rsidRPr="00B729CD">
        <w:rPr>
          <w:rFonts w:ascii="Book Antiqua" w:eastAsia="Book Antiqua" w:hAnsi="Book Antiqua" w:cs="Book Antiqua"/>
          <w:color w:val="000000"/>
        </w:rPr>
        <w:t>sexually transmitted disease</w:t>
      </w:r>
      <w:r w:rsidRPr="00B729CD">
        <w:rPr>
          <w:rFonts w:ascii="Book Antiqua" w:eastAsia="Book Antiqua" w:hAnsi="Book Antiqua" w:cs="Book Antiqua"/>
          <w:color w:val="000000"/>
        </w:rPr>
        <w:t xml:space="preserve"> patients who received antiviral therapy.</w:t>
      </w:r>
    </w:p>
    <w:p w14:paraId="0CFE4118" w14:textId="77777777" w:rsidR="00A77B3E" w:rsidRPr="00B729CD" w:rsidRDefault="00A77B3E" w:rsidP="00B729CD">
      <w:pPr>
        <w:adjustRightInd w:val="0"/>
        <w:snapToGrid w:val="0"/>
        <w:spacing w:line="360" w:lineRule="auto"/>
        <w:jc w:val="both"/>
        <w:rPr>
          <w:rFonts w:ascii="Book Antiqua" w:hAnsi="Book Antiqua"/>
        </w:rPr>
      </w:pPr>
    </w:p>
    <w:p w14:paraId="1113EA66"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objectives</w:t>
      </w:r>
    </w:p>
    <w:p w14:paraId="4413F2C4" w14:textId="56EA816E"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In the current study, we aimed to compare the pretreatment and post-treatment histopathological results of patients with </w:t>
      </w:r>
      <w:r w:rsidR="00082436" w:rsidRPr="00B729CD">
        <w:rPr>
          <w:rFonts w:ascii="Book Antiqua" w:eastAsia="Book Antiqua" w:hAnsi="Book Antiqua" w:cs="Book Antiqua"/>
          <w:color w:val="000000"/>
        </w:rPr>
        <w:t>hepatitis be antigen (</w:t>
      </w:r>
      <w:proofErr w:type="spellStart"/>
      <w:r w:rsidR="00082436" w:rsidRPr="00B729CD">
        <w:rPr>
          <w:rFonts w:ascii="Book Antiqua" w:eastAsia="Book Antiqua" w:hAnsi="Book Antiqua" w:cs="Book Antiqua"/>
          <w:color w:val="000000"/>
        </w:rPr>
        <w:t>HBeAg</w:t>
      </w:r>
      <w:proofErr w:type="spellEnd"/>
      <w:r w:rsidR="00082436" w:rsidRPr="00B729CD">
        <w:rPr>
          <w:rFonts w:ascii="Book Antiqua" w:eastAsia="Book Antiqua" w:hAnsi="Book Antiqua" w:cs="Book Antiqua"/>
          <w:color w:val="000000"/>
        </w:rPr>
        <w:t>)</w:t>
      </w:r>
      <w:r w:rsidRPr="00B729CD">
        <w:rPr>
          <w:rFonts w:ascii="Book Antiqua" w:eastAsia="Book Antiqua" w:hAnsi="Book Antiqua" w:cs="Book Antiqua"/>
          <w:color w:val="000000"/>
        </w:rPr>
        <w:t xml:space="preserve">-negative </w:t>
      </w:r>
      <w:r w:rsidR="00082436" w:rsidRPr="00B729CD">
        <w:rPr>
          <w:rFonts w:ascii="Book Antiqua" w:eastAsia="Book Antiqua" w:hAnsi="Book Antiqua" w:cs="Book Antiqua"/>
          <w:color w:val="000000"/>
        </w:rPr>
        <w:t>chronic hepatitis B (CHB)</w:t>
      </w:r>
      <w:r w:rsidRPr="00B729CD">
        <w:rPr>
          <w:rFonts w:ascii="Book Antiqua" w:eastAsia="Book Antiqua" w:hAnsi="Book Antiqua" w:cs="Book Antiqua"/>
          <w:color w:val="000000"/>
        </w:rPr>
        <w:t xml:space="preserve"> who have been receiving tenofovir disoproxil fumarate (TDF) treatment at our clinic for at least 5 years. </w:t>
      </w:r>
    </w:p>
    <w:p w14:paraId="4C552D62" w14:textId="77777777" w:rsidR="00A77B3E" w:rsidRPr="00B729CD" w:rsidRDefault="00A77B3E" w:rsidP="00B729CD">
      <w:pPr>
        <w:adjustRightInd w:val="0"/>
        <w:snapToGrid w:val="0"/>
        <w:spacing w:line="360" w:lineRule="auto"/>
        <w:jc w:val="both"/>
        <w:rPr>
          <w:rFonts w:ascii="Book Antiqua" w:hAnsi="Book Antiqua"/>
        </w:rPr>
      </w:pPr>
    </w:p>
    <w:p w14:paraId="7ABADCD1"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methods</w:t>
      </w:r>
    </w:p>
    <w:p w14:paraId="6DB6446B" w14:textId="1883B060"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Patients with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-negative CHB who were being treated with TDF (245 mg/d) were included in the study. Liver biopsies of patients before TDF treatment and liver biopsies after 5 years of TDF treatment were retrospectively compared.</w:t>
      </w:r>
    </w:p>
    <w:p w14:paraId="046BBEE0" w14:textId="77777777" w:rsidR="00A77B3E" w:rsidRPr="00B729CD" w:rsidRDefault="00A77B3E" w:rsidP="00B729CD">
      <w:pPr>
        <w:adjustRightInd w:val="0"/>
        <w:snapToGrid w:val="0"/>
        <w:spacing w:line="360" w:lineRule="auto"/>
        <w:jc w:val="both"/>
        <w:rPr>
          <w:rFonts w:ascii="Book Antiqua" w:hAnsi="Book Antiqua"/>
        </w:rPr>
      </w:pPr>
    </w:p>
    <w:p w14:paraId="3486508C"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results</w:t>
      </w:r>
    </w:p>
    <w:p w14:paraId="1FCCD50A" w14:textId="5602066C"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A total of 50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-negative CHB patients were included in the study (mean age: 47.9 ± 10.4 years, men: 27.54%). Histological improvement was observed in 78% (39) of the patients after 5 years of treatment. After the 5 years of treatment, the mean Ishak score of the patients was 1.3 ± 1.3, and the mean histologic activity index score was 4.1 ± 2.8. A 1.53 point reduction in Ishak fibrosis score was detected after long-term TDF treatment.</w:t>
      </w:r>
    </w:p>
    <w:p w14:paraId="1015B3BB" w14:textId="77777777" w:rsidR="00A77B3E" w:rsidRPr="00B729CD" w:rsidRDefault="00A77B3E" w:rsidP="00B729CD">
      <w:pPr>
        <w:adjustRightInd w:val="0"/>
        <w:snapToGrid w:val="0"/>
        <w:spacing w:line="360" w:lineRule="auto"/>
        <w:jc w:val="both"/>
        <w:rPr>
          <w:rFonts w:ascii="Book Antiqua" w:hAnsi="Book Antiqua"/>
        </w:rPr>
      </w:pPr>
    </w:p>
    <w:p w14:paraId="2B9CD145"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conclusions</w:t>
      </w:r>
    </w:p>
    <w:p w14:paraId="3A1510B8"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Liver biopsies after 5 years of TDF treatment revealed a significant histological response and a regression of the </w:t>
      </w:r>
      <w:proofErr w:type="spellStart"/>
      <w:r w:rsidRPr="00B729CD">
        <w:rPr>
          <w:rFonts w:ascii="Book Antiqua" w:eastAsia="Book Antiqua" w:hAnsi="Book Antiqua" w:cs="Book Antiqua"/>
          <w:color w:val="000000"/>
        </w:rPr>
        <w:t>necroinflammatory</w:t>
      </w:r>
      <w:proofErr w:type="spellEnd"/>
      <w:r w:rsidRPr="00B729CD">
        <w:rPr>
          <w:rFonts w:ascii="Book Antiqua" w:eastAsia="Book Antiqua" w:hAnsi="Book Antiqua" w:cs="Book Antiqua"/>
          <w:color w:val="000000"/>
        </w:rPr>
        <w:t xml:space="preserve"> score compared to pretreatment liver biopsies.</w:t>
      </w:r>
    </w:p>
    <w:p w14:paraId="552F35B7" w14:textId="77777777" w:rsidR="00A77B3E" w:rsidRPr="00B729CD" w:rsidRDefault="00A77B3E" w:rsidP="00B729CD">
      <w:pPr>
        <w:adjustRightInd w:val="0"/>
        <w:snapToGrid w:val="0"/>
        <w:spacing w:line="360" w:lineRule="auto"/>
        <w:jc w:val="both"/>
        <w:rPr>
          <w:rFonts w:ascii="Book Antiqua" w:hAnsi="Book Antiqua"/>
        </w:rPr>
      </w:pPr>
    </w:p>
    <w:p w14:paraId="0F2C8347"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perspectives</w:t>
      </w:r>
    </w:p>
    <w:p w14:paraId="39B4ED72"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lastRenderedPageBreak/>
        <w:t xml:space="preserve">These promising findings should be verified in a larger population by conducting a </w:t>
      </w:r>
      <w:proofErr w:type="spellStart"/>
      <w:r w:rsidRPr="00B729CD">
        <w:rPr>
          <w:rFonts w:ascii="Book Antiqua" w:eastAsia="Book Antiqua" w:hAnsi="Book Antiqua" w:cs="Book Antiqua"/>
          <w:color w:val="000000"/>
        </w:rPr>
        <w:t>multicentre</w:t>
      </w:r>
      <w:proofErr w:type="spellEnd"/>
      <w:r w:rsidRPr="00B729CD">
        <w:rPr>
          <w:rFonts w:ascii="Book Antiqua" w:eastAsia="Book Antiqua" w:hAnsi="Book Antiqua" w:cs="Book Antiqua"/>
          <w:color w:val="000000"/>
        </w:rPr>
        <w:t>, prospective study.</w:t>
      </w:r>
    </w:p>
    <w:p w14:paraId="6D060029" w14:textId="77777777" w:rsidR="00A77B3E" w:rsidRPr="00B729CD" w:rsidRDefault="00A77B3E" w:rsidP="00B729CD">
      <w:pPr>
        <w:adjustRightInd w:val="0"/>
        <w:snapToGrid w:val="0"/>
        <w:spacing w:line="360" w:lineRule="auto"/>
        <w:jc w:val="both"/>
        <w:rPr>
          <w:rFonts w:ascii="Book Antiqua" w:hAnsi="Book Antiqua"/>
        </w:rPr>
      </w:pPr>
    </w:p>
    <w:p w14:paraId="1A410541"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REFERENCES</w:t>
      </w:r>
    </w:p>
    <w:p w14:paraId="4B7358DE" w14:textId="2B0DFD6D" w:rsidR="00A77B3E" w:rsidRPr="00B729CD" w:rsidRDefault="00AB6A0E" w:rsidP="00B729CD">
      <w:pPr>
        <w:adjustRightInd w:val="0"/>
        <w:snapToGrid w:val="0"/>
        <w:spacing w:line="360" w:lineRule="auto"/>
        <w:jc w:val="both"/>
        <w:rPr>
          <w:rFonts w:ascii="Book Antiqua" w:hAnsi="Book Antiqua"/>
        </w:rPr>
      </w:pPr>
      <w:bookmarkStart w:id="16" w:name="OLE_LINK2610"/>
      <w:bookmarkStart w:id="17" w:name="OLE_LINK2611"/>
      <w:r w:rsidRPr="00B729CD">
        <w:rPr>
          <w:rFonts w:ascii="Book Antiqua" w:eastAsia="Book Antiqua" w:hAnsi="Book Antiqua" w:cs="Book Antiqua"/>
          <w:color w:val="000000"/>
          <w:highlight w:val="yellow"/>
        </w:rPr>
        <w:t xml:space="preserve">1 </w:t>
      </w:r>
      <w:r w:rsidRPr="00B729CD">
        <w:rPr>
          <w:rFonts w:ascii="Book Antiqua" w:eastAsia="Book Antiqua" w:hAnsi="Book Antiqua" w:cs="Book Antiqua"/>
          <w:b/>
          <w:color w:val="000000"/>
          <w:highlight w:val="yellow"/>
        </w:rPr>
        <w:t xml:space="preserve">World Health Organization. </w:t>
      </w:r>
      <w:r w:rsidRPr="00B729CD">
        <w:rPr>
          <w:rFonts w:ascii="Book Antiqua" w:eastAsia="Book Antiqua" w:hAnsi="Book Antiqua" w:cs="Book Antiqua"/>
          <w:color w:val="000000"/>
          <w:highlight w:val="yellow"/>
        </w:rPr>
        <w:t>Hepatitis B fact sheet</w:t>
      </w:r>
      <w:r w:rsidR="00AA671A">
        <w:rPr>
          <w:rFonts w:ascii="Book Antiqua" w:eastAsia="Book Antiqua" w:hAnsi="Book Antiqua" w:cs="Book Antiqua"/>
          <w:color w:val="000000"/>
          <w:highlight w:val="yellow"/>
        </w:rPr>
        <w:t>.</w:t>
      </w:r>
      <w:r w:rsidR="00B729CD" w:rsidRPr="00B729CD">
        <w:rPr>
          <w:rFonts w:ascii="Book Antiqua" w:eastAsia="Book Antiqua" w:hAnsi="Book Antiqua" w:cs="Book Antiqua"/>
          <w:color w:val="000000"/>
          <w:highlight w:val="yellow"/>
        </w:rPr>
        <w:t xml:space="preserve"> [cited 4 </w:t>
      </w:r>
      <w:r w:rsidR="00AA671A">
        <w:rPr>
          <w:rFonts w:ascii="Book Antiqua" w:eastAsia="Book Antiqua" w:hAnsi="Book Antiqua" w:cs="Book Antiqua"/>
          <w:color w:val="000000"/>
          <w:highlight w:val="yellow"/>
        </w:rPr>
        <w:t>December</w:t>
      </w:r>
      <w:r w:rsidR="00B729CD" w:rsidRPr="00B729CD">
        <w:rPr>
          <w:rFonts w:ascii="Book Antiqua" w:eastAsia="Book Antiqua" w:hAnsi="Book Antiqua" w:cs="Book Antiqua"/>
          <w:color w:val="000000"/>
          <w:highlight w:val="yellow"/>
        </w:rPr>
        <w:t xml:space="preserve"> 20</w:t>
      </w:r>
      <w:r w:rsidR="00AA671A">
        <w:rPr>
          <w:rFonts w:ascii="Book Antiqua" w:eastAsia="Book Antiqua" w:hAnsi="Book Antiqua" w:cs="Book Antiqua"/>
          <w:color w:val="000000"/>
          <w:highlight w:val="yellow"/>
        </w:rPr>
        <w:t>20</w:t>
      </w:r>
      <w:r w:rsidR="00B729CD" w:rsidRPr="00B729CD">
        <w:rPr>
          <w:rFonts w:ascii="Book Antiqua" w:eastAsia="Book Antiqua" w:hAnsi="Book Antiqua" w:cs="Book Antiqua"/>
          <w:color w:val="000000"/>
          <w:highlight w:val="yellow"/>
        </w:rPr>
        <w:t>]</w:t>
      </w:r>
      <w:r w:rsidRPr="00B729CD">
        <w:rPr>
          <w:rFonts w:ascii="Book Antiqua" w:eastAsia="Book Antiqua" w:hAnsi="Book Antiqua" w:cs="Book Antiqua"/>
          <w:color w:val="000000"/>
          <w:highlight w:val="yellow"/>
        </w:rPr>
        <w:t xml:space="preserve">. </w:t>
      </w:r>
      <w:r w:rsidR="00B729CD" w:rsidRPr="00B729CD">
        <w:rPr>
          <w:rFonts w:ascii="Book Antiqua" w:eastAsia="Book Antiqua" w:hAnsi="Book Antiqua" w:cs="Book Antiqua"/>
          <w:color w:val="000000"/>
          <w:highlight w:val="yellow"/>
        </w:rPr>
        <w:t xml:space="preserve">Available from: </w:t>
      </w:r>
      <w:r w:rsidRPr="00B729CD">
        <w:rPr>
          <w:rFonts w:ascii="Book Antiqua" w:eastAsia="Book Antiqua" w:hAnsi="Book Antiqua" w:cs="Book Antiqua"/>
          <w:color w:val="000000"/>
          <w:highlight w:val="yellow"/>
        </w:rPr>
        <w:t>http://www.who. int/</w:t>
      </w:r>
      <w:proofErr w:type="spellStart"/>
      <w:r w:rsidRPr="00B729CD">
        <w:rPr>
          <w:rFonts w:ascii="Book Antiqua" w:eastAsia="Book Antiqua" w:hAnsi="Book Antiqua" w:cs="Book Antiqua"/>
          <w:color w:val="000000"/>
          <w:highlight w:val="yellow"/>
        </w:rPr>
        <w:t>mediacentre</w:t>
      </w:r>
      <w:proofErr w:type="spellEnd"/>
      <w:r w:rsidRPr="00B729CD">
        <w:rPr>
          <w:rFonts w:ascii="Book Antiqua" w:eastAsia="Book Antiqua" w:hAnsi="Book Antiqua" w:cs="Book Antiqua"/>
          <w:color w:val="000000"/>
          <w:highlight w:val="yellow"/>
        </w:rPr>
        <w:t>/factsheets/fs204/</w:t>
      </w:r>
      <w:proofErr w:type="spellStart"/>
      <w:r w:rsidRPr="00B729CD">
        <w:rPr>
          <w:rFonts w:ascii="Book Antiqua" w:eastAsia="Book Antiqua" w:hAnsi="Book Antiqua" w:cs="Book Antiqua"/>
          <w:color w:val="000000"/>
          <w:highlight w:val="yellow"/>
        </w:rPr>
        <w:t>en</w:t>
      </w:r>
      <w:proofErr w:type="spellEnd"/>
      <w:r w:rsidRPr="00B729CD">
        <w:rPr>
          <w:rFonts w:ascii="Book Antiqua" w:eastAsia="Book Antiqua" w:hAnsi="Book Antiqua" w:cs="Book Antiqua"/>
          <w:color w:val="000000"/>
          <w:highlight w:val="yellow"/>
        </w:rPr>
        <w:t>/</w:t>
      </w:r>
    </w:p>
    <w:p w14:paraId="232516B7"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2 </w:t>
      </w:r>
      <w:proofErr w:type="spellStart"/>
      <w:r w:rsidRPr="00B729CD">
        <w:rPr>
          <w:rFonts w:ascii="Book Antiqua" w:eastAsia="Book Antiqua" w:hAnsi="Book Antiqua" w:cs="Book Antiqua"/>
          <w:b/>
          <w:bCs/>
          <w:color w:val="000000"/>
        </w:rPr>
        <w:t>Terrault</w:t>
      </w:r>
      <w:proofErr w:type="spellEnd"/>
      <w:r w:rsidRPr="00B729CD">
        <w:rPr>
          <w:rFonts w:ascii="Book Antiqua" w:eastAsia="Book Antiqua" w:hAnsi="Book Antiqua" w:cs="Book Antiqua"/>
          <w:b/>
          <w:bCs/>
          <w:color w:val="000000"/>
        </w:rPr>
        <w:t xml:space="preserve"> NA</w:t>
      </w:r>
      <w:r w:rsidRPr="00B729CD">
        <w:rPr>
          <w:rFonts w:ascii="Book Antiqua" w:eastAsia="Book Antiqua" w:hAnsi="Book Antiqua" w:cs="Book Antiqua"/>
          <w:color w:val="000000"/>
        </w:rPr>
        <w:t xml:space="preserve">, Lok ASF, McMahon BJ, Chang KM, Hwang JP, Jonas MM, Brown RS Jr, </w:t>
      </w:r>
      <w:proofErr w:type="spellStart"/>
      <w:r w:rsidRPr="00B729CD">
        <w:rPr>
          <w:rFonts w:ascii="Book Antiqua" w:eastAsia="Book Antiqua" w:hAnsi="Book Antiqua" w:cs="Book Antiqua"/>
          <w:color w:val="000000"/>
        </w:rPr>
        <w:t>Bzowej</w:t>
      </w:r>
      <w:proofErr w:type="spellEnd"/>
      <w:r w:rsidRPr="00B729CD">
        <w:rPr>
          <w:rFonts w:ascii="Book Antiqua" w:eastAsia="Book Antiqua" w:hAnsi="Book Antiqua" w:cs="Book Antiqua"/>
          <w:color w:val="000000"/>
        </w:rPr>
        <w:t xml:space="preserve"> NH, Wong JB. Update on Prevention, Diagnosis, and Treatment of Chronic Hepatitis B: AASLD 2018 Hepatitis B Guidance. </w:t>
      </w:r>
      <w:r w:rsidRPr="00B729CD">
        <w:rPr>
          <w:rFonts w:ascii="Book Antiqua" w:eastAsia="Book Antiqua" w:hAnsi="Book Antiqua" w:cs="Book Antiqua"/>
          <w:i/>
          <w:iCs/>
          <w:color w:val="000000"/>
        </w:rPr>
        <w:t>Clin Liver Dis (Hoboken)</w:t>
      </w:r>
      <w:r w:rsidRPr="00B729CD">
        <w:rPr>
          <w:rFonts w:ascii="Book Antiqua" w:eastAsia="Book Antiqua" w:hAnsi="Book Antiqua" w:cs="Book Antiqua"/>
          <w:color w:val="000000"/>
        </w:rPr>
        <w:t xml:space="preserve"> 2018; </w:t>
      </w:r>
      <w:r w:rsidRPr="00B729CD">
        <w:rPr>
          <w:rFonts w:ascii="Book Antiqua" w:eastAsia="Book Antiqua" w:hAnsi="Book Antiqua" w:cs="Book Antiqua"/>
          <w:b/>
          <w:bCs/>
          <w:color w:val="000000"/>
        </w:rPr>
        <w:t>12</w:t>
      </w:r>
      <w:r w:rsidRPr="00B729CD">
        <w:rPr>
          <w:rFonts w:ascii="Book Antiqua" w:eastAsia="Book Antiqua" w:hAnsi="Book Antiqua" w:cs="Book Antiqua"/>
          <w:color w:val="000000"/>
        </w:rPr>
        <w:t>: 33-34 [PMID: 30988907 DOI: 10.1002/cld.728]</w:t>
      </w:r>
    </w:p>
    <w:p w14:paraId="60E52AB1"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3 </w:t>
      </w:r>
      <w:r w:rsidRPr="00B729CD">
        <w:rPr>
          <w:rFonts w:ascii="Book Antiqua" w:eastAsia="Book Antiqua" w:hAnsi="Book Antiqua" w:cs="Book Antiqua"/>
          <w:b/>
          <w:bCs/>
          <w:color w:val="000000"/>
        </w:rPr>
        <w:t>Sarin SK</w:t>
      </w:r>
      <w:r w:rsidRPr="00B729CD">
        <w:rPr>
          <w:rFonts w:ascii="Book Antiqua" w:eastAsia="Book Antiqua" w:hAnsi="Book Antiqua" w:cs="Book Antiqua"/>
          <w:color w:val="000000"/>
        </w:rPr>
        <w:t xml:space="preserve">, Kumar M, Lau GK, Abbas Z, Chan HL, Chen CJ, Chen DS, Chen HL, Chen PJ, </w:t>
      </w:r>
      <w:proofErr w:type="spellStart"/>
      <w:r w:rsidRPr="00B729CD">
        <w:rPr>
          <w:rFonts w:ascii="Book Antiqua" w:eastAsia="Book Antiqua" w:hAnsi="Book Antiqua" w:cs="Book Antiqua"/>
          <w:color w:val="000000"/>
        </w:rPr>
        <w:t>Chien</w:t>
      </w:r>
      <w:proofErr w:type="spellEnd"/>
      <w:r w:rsidRPr="00B729CD">
        <w:rPr>
          <w:rFonts w:ascii="Book Antiqua" w:eastAsia="Book Antiqua" w:hAnsi="Book Antiqua" w:cs="Book Antiqua"/>
          <w:color w:val="000000"/>
        </w:rPr>
        <w:t xml:space="preserve"> RN, </w:t>
      </w:r>
      <w:proofErr w:type="spellStart"/>
      <w:r w:rsidRPr="00B729CD">
        <w:rPr>
          <w:rFonts w:ascii="Book Antiqua" w:eastAsia="Book Antiqua" w:hAnsi="Book Antiqua" w:cs="Book Antiqua"/>
          <w:color w:val="000000"/>
        </w:rPr>
        <w:t>Dokmeci</w:t>
      </w:r>
      <w:proofErr w:type="spellEnd"/>
      <w:r w:rsidRPr="00B729CD">
        <w:rPr>
          <w:rFonts w:ascii="Book Antiqua" w:eastAsia="Book Antiqua" w:hAnsi="Book Antiqua" w:cs="Book Antiqua"/>
          <w:color w:val="000000"/>
        </w:rPr>
        <w:t xml:space="preserve"> AK, </w:t>
      </w:r>
      <w:proofErr w:type="spellStart"/>
      <w:r w:rsidRPr="00B729CD">
        <w:rPr>
          <w:rFonts w:ascii="Book Antiqua" w:eastAsia="Book Antiqua" w:hAnsi="Book Antiqua" w:cs="Book Antiqua"/>
          <w:color w:val="000000"/>
        </w:rPr>
        <w:t>Gane</w:t>
      </w:r>
      <w:proofErr w:type="spellEnd"/>
      <w:r w:rsidRPr="00B729CD">
        <w:rPr>
          <w:rFonts w:ascii="Book Antiqua" w:eastAsia="Book Antiqua" w:hAnsi="Book Antiqua" w:cs="Book Antiqua"/>
          <w:color w:val="000000"/>
        </w:rPr>
        <w:t xml:space="preserve"> E, Hou JL, Jafri W, Jia J, Kim JH, Lai CL, Lee HC, Lim SG, Liu CJ, </w:t>
      </w:r>
      <w:proofErr w:type="spellStart"/>
      <w:r w:rsidRPr="00B729CD">
        <w:rPr>
          <w:rFonts w:ascii="Book Antiqua" w:eastAsia="Book Antiqua" w:hAnsi="Book Antiqua" w:cs="Book Antiqua"/>
          <w:color w:val="000000"/>
        </w:rPr>
        <w:t>Locarnini</w:t>
      </w:r>
      <w:proofErr w:type="spellEnd"/>
      <w:r w:rsidRPr="00B729CD">
        <w:rPr>
          <w:rFonts w:ascii="Book Antiqua" w:eastAsia="Book Antiqua" w:hAnsi="Book Antiqua" w:cs="Book Antiqua"/>
          <w:color w:val="000000"/>
        </w:rPr>
        <w:t xml:space="preserve"> S, Al </w:t>
      </w:r>
      <w:proofErr w:type="spellStart"/>
      <w:r w:rsidRPr="00B729CD">
        <w:rPr>
          <w:rFonts w:ascii="Book Antiqua" w:eastAsia="Book Antiqua" w:hAnsi="Book Antiqua" w:cs="Book Antiqua"/>
          <w:color w:val="000000"/>
        </w:rPr>
        <w:t>Mahtab</w:t>
      </w:r>
      <w:proofErr w:type="spellEnd"/>
      <w:r w:rsidRPr="00B729CD">
        <w:rPr>
          <w:rFonts w:ascii="Book Antiqua" w:eastAsia="Book Antiqua" w:hAnsi="Book Antiqua" w:cs="Book Antiqua"/>
          <w:color w:val="000000"/>
        </w:rPr>
        <w:t xml:space="preserve"> M, Mohamed R, </w:t>
      </w:r>
      <w:proofErr w:type="spellStart"/>
      <w:r w:rsidRPr="00B729CD">
        <w:rPr>
          <w:rFonts w:ascii="Book Antiqua" w:eastAsia="Book Antiqua" w:hAnsi="Book Antiqua" w:cs="Book Antiqua"/>
          <w:color w:val="000000"/>
        </w:rPr>
        <w:t>Omata</w:t>
      </w:r>
      <w:proofErr w:type="spellEnd"/>
      <w:r w:rsidRPr="00B729CD">
        <w:rPr>
          <w:rFonts w:ascii="Book Antiqua" w:eastAsia="Book Antiqua" w:hAnsi="Book Antiqua" w:cs="Book Antiqua"/>
          <w:color w:val="000000"/>
        </w:rPr>
        <w:t xml:space="preserve"> M, Park J, </w:t>
      </w:r>
      <w:proofErr w:type="spellStart"/>
      <w:r w:rsidRPr="00B729CD">
        <w:rPr>
          <w:rFonts w:ascii="Book Antiqua" w:eastAsia="Book Antiqua" w:hAnsi="Book Antiqua" w:cs="Book Antiqua"/>
          <w:color w:val="000000"/>
        </w:rPr>
        <w:t>Piratvisuth</w:t>
      </w:r>
      <w:proofErr w:type="spellEnd"/>
      <w:r w:rsidRPr="00B729CD">
        <w:rPr>
          <w:rFonts w:ascii="Book Antiqua" w:eastAsia="Book Antiqua" w:hAnsi="Book Antiqua" w:cs="Book Antiqua"/>
          <w:color w:val="000000"/>
        </w:rPr>
        <w:t xml:space="preserve"> T, Sharma BC, </w:t>
      </w:r>
      <w:proofErr w:type="spellStart"/>
      <w:r w:rsidRPr="00B729CD">
        <w:rPr>
          <w:rFonts w:ascii="Book Antiqua" w:eastAsia="Book Antiqua" w:hAnsi="Book Antiqua" w:cs="Book Antiqua"/>
          <w:color w:val="000000"/>
        </w:rPr>
        <w:t>Sollano</w:t>
      </w:r>
      <w:proofErr w:type="spellEnd"/>
      <w:r w:rsidRPr="00B729CD">
        <w:rPr>
          <w:rFonts w:ascii="Book Antiqua" w:eastAsia="Book Antiqua" w:hAnsi="Book Antiqua" w:cs="Book Antiqua"/>
          <w:color w:val="000000"/>
        </w:rPr>
        <w:t xml:space="preserve"> J, Wang FS, Wei L, Yuen MF, Zheng SS, Kao JH. Asian-Pacific clinical practice guidelines on the management of hepatitis B: a 2015 update. </w:t>
      </w:r>
      <w:r w:rsidRPr="00B729CD">
        <w:rPr>
          <w:rFonts w:ascii="Book Antiqua" w:eastAsia="Book Antiqua" w:hAnsi="Book Antiqua" w:cs="Book Antiqua"/>
          <w:i/>
          <w:iCs/>
          <w:color w:val="000000"/>
        </w:rPr>
        <w:t>Hepatol Int</w:t>
      </w:r>
      <w:r w:rsidRPr="00B729CD">
        <w:rPr>
          <w:rFonts w:ascii="Book Antiqua" w:eastAsia="Book Antiqua" w:hAnsi="Book Antiqua" w:cs="Book Antiqua"/>
          <w:color w:val="000000"/>
        </w:rPr>
        <w:t xml:space="preserve"> 2016; </w:t>
      </w:r>
      <w:r w:rsidRPr="00B729CD">
        <w:rPr>
          <w:rFonts w:ascii="Book Antiqua" w:eastAsia="Book Antiqua" w:hAnsi="Book Antiqua" w:cs="Book Antiqua"/>
          <w:b/>
          <w:bCs/>
          <w:color w:val="000000"/>
        </w:rPr>
        <w:t>10</w:t>
      </w:r>
      <w:r w:rsidRPr="00B729CD">
        <w:rPr>
          <w:rFonts w:ascii="Book Antiqua" w:eastAsia="Book Antiqua" w:hAnsi="Book Antiqua" w:cs="Book Antiqua"/>
          <w:color w:val="000000"/>
        </w:rPr>
        <w:t>: 1-98 [PMID: 26563120 DOI: 10.1007/s12072-015-9675-4]</w:t>
      </w:r>
    </w:p>
    <w:p w14:paraId="52A3BBB1" w14:textId="47037A39"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4 </w:t>
      </w:r>
      <w:r w:rsidRPr="00B729CD">
        <w:rPr>
          <w:rFonts w:ascii="Book Antiqua" w:eastAsia="Book Antiqua" w:hAnsi="Book Antiqua" w:cs="Book Antiqua"/>
          <w:b/>
          <w:bCs/>
          <w:color w:val="000000"/>
        </w:rPr>
        <w:t xml:space="preserve">European Association for the Study of the Liver. </w:t>
      </w:r>
      <w:r w:rsidRPr="00B729CD">
        <w:rPr>
          <w:rFonts w:ascii="Book Antiqua" w:eastAsia="Book Antiqua" w:hAnsi="Book Antiqua" w:cs="Book Antiqua"/>
          <w:color w:val="000000"/>
        </w:rPr>
        <w:t xml:space="preserve">EASL 2017 Clinical Practice Guidelines on the management of hepatitis B virus infection. </w:t>
      </w:r>
      <w:r w:rsidRPr="00B729CD">
        <w:rPr>
          <w:rFonts w:ascii="Book Antiqua" w:eastAsia="Book Antiqua" w:hAnsi="Book Antiqua" w:cs="Book Antiqua"/>
          <w:i/>
          <w:iCs/>
          <w:color w:val="000000"/>
        </w:rPr>
        <w:t>J Hepatol</w:t>
      </w:r>
      <w:r w:rsidRPr="00B729CD">
        <w:rPr>
          <w:rFonts w:ascii="Book Antiqua" w:eastAsia="Book Antiqua" w:hAnsi="Book Antiqua" w:cs="Book Antiqua"/>
          <w:color w:val="000000"/>
        </w:rPr>
        <w:t xml:space="preserve"> 2017; </w:t>
      </w:r>
      <w:r w:rsidRPr="00B729CD">
        <w:rPr>
          <w:rFonts w:ascii="Book Antiqua" w:eastAsia="Book Antiqua" w:hAnsi="Book Antiqua" w:cs="Book Antiqua"/>
          <w:b/>
          <w:bCs/>
          <w:color w:val="000000"/>
        </w:rPr>
        <w:t>67</w:t>
      </w:r>
      <w:r w:rsidRPr="00B729CD">
        <w:rPr>
          <w:rFonts w:ascii="Book Antiqua" w:eastAsia="Book Antiqua" w:hAnsi="Book Antiqua" w:cs="Book Antiqua"/>
          <w:color w:val="000000"/>
        </w:rPr>
        <w:t>: 370-398 [PMID: 28427875 DOI: 10.1016/j.jhep.2017.03.021]</w:t>
      </w:r>
    </w:p>
    <w:p w14:paraId="6E6444A6"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5 </w:t>
      </w:r>
      <w:r w:rsidRPr="00B729CD">
        <w:rPr>
          <w:rFonts w:ascii="Book Antiqua" w:eastAsia="Book Antiqua" w:hAnsi="Book Antiqua" w:cs="Book Antiqua"/>
          <w:b/>
          <w:bCs/>
          <w:color w:val="000000"/>
        </w:rPr>
        <w:t>Gish RG</w:t>
      </w:r>
      <w:r w:rsidRPr="00B729CD">
        <w:rPr>
          <w:rFonts w:ascii="Book Antiqua" w:eastAsia="Book Antiqua" w:hAnsi="Book Antiqua" w:cs="Book Antiqua"/>
          <w:color w:val="000000"/>
        </w:rPr>
        <w:t xml:space="preserve">, Given BD, Lai CL, </w:t>
      </w:r>
      <w:proofErr w:type="spellStart"/>
      <w:r w:rsidRPr="00B729CD">
        <w:rPr>
          <w:rFonts w:ascii="Book Antiqua" w:eastAsia="Book Antiqua" w:hAnsi="Book Antiqua" w:cs="Book Antiqua"/>
          <w:color w:val="000000"/>
        </w:rPr>
        <w:t>Locarnini</w:t>
      </w:r>
      <w:proofErr w:type="spellEnd"/>
      <w:r w:rsidRPr="00B729CD">
        <w:rPr>
          <w:rFonts w:ascii="Book Antiqua" w:eastAsia="Book Antiqua" w:hAnsi="Book Antiqua" w:cs="Book Antiqua"/>
          <w:color w:val="000000"/>
        </w:rPr>
        <w:t xml:space="preserve"> SA, Lau JY, Lewis DL, </w:t>
      </w:r>
      <w:proofErr w:type="spellStart"/>
      <w:r w:rsidRPr="00B729CD">
        <w:rPr>
          <w:rFonts w:ascii="Book Antiqua" w:eastAsia="Book Antiqua" w:hAnsi="Book Antiqua" w:cs="Book Antiqua"/>
          <w:color w:val="000000"/>
        </w:rPr>
        <w:t>Schluep</w:t>
      </w:r>
      <w:proofErr w:type="spellEnd"/>
      <w:r w:rsidRPr="00B729CD">
        <w:rPr>
          <w:rFonts w:ascii="Book Antiqua" w:eastAsia="Book Antiqua" w:hAnsi="Book Antiqua" w:cs="Book Antiqua"/>
          <w:color w:val="000000"/>
        </w:rPr>
        <w:t xml:space="preserve"> T. Chronic hepatitis B: Virology, natural history, current management and a glimpse at future opportunities. </w:t>
      </w:r>
      <w:r w:rsidRPr="00B729CD">
        <w:rPr>
          <w:rFonts w:ascii="Book Antiqua" w:eastAsia="Book Antiqua" w:hAnsi="Book Antiqua" w:cs="Book Antiqua"/>
          <w:i/>
          <w:iCs/>
          <w:color w:val="000000"/>
        </w:rPr>
        <w:t>Antiviral Res</w:t>
      </w:r>
      <w:r w:rsidRPr="00B729CD">
        <w:rPr>
          <w:rFonts w:ascii="Book Antiqua" w:eastAsia="Book Antiqua" w:hAnsi="Book Antiqua" w:cs="Book Antiqua"/>
          <w:color w:val="000000"/>
        </w:rPr>
        <w:t xml:space="preserve"> 2015; </w:t>
      </w:r>
      <w:r w:rsidRPr="00B729CD">
        <w:rPr>
          <w:rFonts w:ascii="Book Antiqua" w:eastAsia="Book Antiqua" w:hAnsi="Book Antiqua" w:cs="Book Antiqua"/>
          <w:b/>
          <w:bCs/>
          <w:color w:val="000000"/>
        </w:rPr>
        <w:t>121</w:t>
      </w:r>
      <w:r w:rsidRPr="00B729CD">
        <w:rPr>
          <w:rFonts w:ascii="Book Antiqua" w:eastAsia="Book Antiqua" w:hAnsi="Book Antiqua" w:cs="Book Antiqua"/>
          <w:color w:val="000000"/>
        </w:rPr>
        <w:t>: 47-58 [PMID: 26092643 DOI: 10.1016/j.antiviral.2015.06.008]</w:t>
      </w:r>
    </w:p>
    <w:p w14:paraId="17AA7BDC"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6 </w:t>
      </w:r>
      <w:proofErr w:type="spellStart"/>
      <w:r w:rsidRPr="00B729CD">
        <w:rPr>
          <w:rFonts w:ascii="Book Antiqua" w:eastAsia="Book Antiqua" w:hAnsi="Book Antiqua" w:cs="Book Antiqua"/>
          <w:b/>
          <w:bCs/>
          <w:color w:val="000000"/>
        </w:rPr>
        <w:t>Iloeje</w:t>
      </w:r>
      <w:proofErr w:type="spellEnd"/>
      <w:r w:rsidRPr="00B729CD">
        <w:rPr>
          <w:rFonts w:ascii="Book Antiqua" w:eastAsia="Book Antiqua" w:hAnsi="Book Antiqua" w:cs="Book Antiqua"/>
          <w:b/>
          <w:bCs/>
          <w:color w:val="000000"/>
        </w:rPr>
        <w:t xml:space="preserve"> UH</w:t>
      </w:r>
      <w:r w:rsidRPr="00B729CD">
        <w:rPr>
          <w:rFonts w:ascii="Book Antiqua" w:eastAsia="Book Antiqua" w:hAnsi="Book Antiqua" w:cs="Book Antiqua"/>
          <w:color w:val="000000"/>
        </w:rPr>
        <w:t xml:space="preserve">, Yang HI, Su J, Jen CL, You SL, Chen CJ; Risk Evaluation of Viral Load Elevation and Associated Liver Disease/Cancer-In HBV (the REVEAL-HBV) Study Group. Predicting cirrhosis risk based on the level of circulating hepatitis B viral load. </w:t>
      </w:r>
      <w:r w:rsidRPr="00B729CD">
        <w:rPr>
          <w:rFonts w:ascii="Book Antiqua" w:eastAsia="Book Antiqua" w:hAnsi="Book Antiqua" w:cs="Book Antiqua"/>
          <w:i/>
          <w:iCs/>
          <w:color w:val="000000"/>
        </w:rPr>
        <w:t>Gastroenterology</w:t>
      </w:r>
      <w:r w:rsidRPr="00B729CD">
        <w:rPr>
          <w:rFonts w:ascii="Book Antiqua" w:eastAsia="Book Antiqua" w:hAnsi="Book Antiqua" w:cs="Book Antiqua"/>
          <w:color w:val="000000"/>
        </w:rPr>
        <w:t xml:space="preserve"> 2006; </w:t>
      </w:r>
      <w:r w:rsidRPr="00B729CD">
        <w:rPr>
          <w:rFonts w:ascii="Book Antiqua" w:eastAsia="Book Antiqua" w:hAnsi="Book Antiqua" w:cs="Book Antiqua"/>
          <w:b/>
          <w:bCs/>
          <w:color w:val="000000"/>
        </w:rPr>
        <w:t>130</w:t>
      </w:r>
      <w:r w:rsidRPr="00B729CD">
        <w:rPr>
          <w:rFonts w:ascii="Book Antiqua" w:eastAsia="Book Antiqua" w:hAnsi="Book Antiqua" w:cs="Book Antiqua"/>
          <w:color w:val="000000"/>
        </w:rPr>
        <w:t>: 678-686 [PMID: 16530509 DOI: 10.1053/j.gastro.2005.11.016]</w:t>
      </w:r>
    </w:p>
    <w:p w14:paraId="025E5B9A"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lastRenderedPageBreak/>
        <w:t xml:space="preserve">7 </w:t>
      </w:r>
      <w:r w:rsidRPr="00B729CD">
        <w:rPr>
          <w:rFonts w:ascii="Book Antiqua" w:eastAsia="Book Antiqua" w:hAnsi="Book Antiqua" w:cs="Book Antiqua"/>
          <w:b/>
          <w:bCs/>
          <w:color w:val="000000"/>
        </w:rPr>
        <w:t>Sanai FM</w:t>
      </w:r>
      <w:r w:rsidRPr="00B729CD">
        <w:rPr>
          <w:rFonts w:ascii="Book Antiqua" w:eastAsia="Book Antiqua" w:hAnsi="Book Antiqua" w:cs="Book Antiqua"/>
          <w:color w:val="000000"/>
        </w:rPr>
        <w:t xml:space="preserve">, Helmy A, </w:t>
      </w:r>
      <w:proofErr w:type="spellStart"/>
      <w:r w:rsidRPr="00B729CD">
        <w:rPr>
          <w:rFonts w:ascii="Book Antiqua" w:eastAsia="Book Antiqua" w:hAnsi="Book Antiqua" w:cs="Book Antiqua"/>
          <w:color w:val="000000"/>
        </w:rPr>
        <w:t>Bzeizi</w:t>
      </w:r>
      <w:proofErr w:type="spellEnd"/>
      <w:r w:rsidRPr="00B729CD">
        <w:rPr>
          <w:rFonts w:ascii="Book Antiqua" w:eastAsia="Book Antiqua" w:hAnsi="Book Antiqua" w:cs="Book Antiqua"/>
          <w:color w:val="000000"/>
        </w:rPr>
        <w:t xml:space="preserve"> KI, </w:t>
      </w:r>
      <w:proofErr w:type="spellStart"/>
      <w:r w:rsidRPr="00B729CD">
        <w:rPr>
          <w:rFonts w:ascii="Book Antiqua" w:eastAsia="Book Antiqua" w:hAnsi="Book Antiqua" w:cs="Book Antiqua"/>
          <w:color w:val="000000"/>
        </w:rPr>
        <w:t>Babatin</w:t>
      </w:r>
      <w:proofErr w:type="spellEnd"/>
      <w:r w:rsidRPr="00B729CD">
        <w:rPr>
          <w:rFonts w:ascii="Book Antiqua" w:eastAsia="Book Antiqua" w:hAnsi="Book Antiqua" w:cs="Book Antiqua"/>
          <w:color w:val="000000"/>
        </w:rPr>
        <w:t xml:space="preserve"> MA, Al-Qahtani A, Al-</w:t>
      </w:r>
      <w:proofErr w:type="spellStart"/>
      <w:r w:rsidRPr="00B729CD">
        <w:rPr>
          <w:rFonts w:ascii="Book Antiqua" w:eastAsia="Book Antiqua" w:hAnsi="Book Antiqua" w:cs="Book Antiqua"/>
          <w:color w:val="000000"/>
        </w:rPr>
        <w:t>Ashgar</w:t>
      </w:r>
      <w:proofErr w:type="spellEnd"/>
      <w:r w:rsidRPr="00B729CD">
        <w:rPr>
          <w:rFonts w:ascii="Book Antiqua" w:eastAsia="Book Antiqua" w:hAnsi="Book Antiqua" w:cs="Book Antiqua"/>
          <w:color w:val="000000"/>
        </w:rPr>
        <w:t xml:space="preserve"> HA, Al-</w:t>
      </w:r>
      <w:proofErr w:type="spellStart"/>
      <w:r w:rsidRPr="00B729CD">
        <w:rPr>
          <w:rFonts w:ascii="Book Antiqua" w:eastAsia="Book Antiqua" w:hAnsi="Book Antiqua" w:cs="Book Antiqua"/>
          <w:color w:val="000000"/>
        </w:rPr>
        <w:t>Mdani</w:t>
      </w:r>
      <w:proofErr w:type="spellEnd"/>
      <w:r w:rsidRPr="00B729CD">
        <w:rPr>
          <w:rFonts w:ascii="Book Antiqua" w:eastAsia="Book Antiqua" w:hAnsi="Book Antiqua" w:cs="Book Antiqua"/>
          <w:color w:val="000000"/>
        </w:rPr>
        <w:t xml:space="preserve"> AS, Al-</w:t>
      </w:r>
      <w:proofErr w:type="spellStart"/>
      <w:r w:rsidRPr="00B729CD">
        <w:rPr>
          <w:rFonts w:ascii="Book Antiqua" w:eastAsia="Book Antiqua" w:hAnsi="Book Antiqua" w:cs="Book Antiqua"/>
          <w:color w:val="000000"/>
        </w:rPr>
        <w:t>Akwaa</w:t>
      </w:r>
      <w:proofErr w:type="spellEnd"/>
      <w:r w:rsidRPr="00B729CD">
        <w:rPr>
          <w:rFonts w:ascii="Book Antiqua" w:eastAsia="Book Antiqua" w:hAnsi="Book Antiqua" w:cs="Book Antiqua"/>
          <w:color w:val="000000"/>
        </w:rPr>
        <w:t xml:space="preserve"> A, </w:t>
      </w:r>
      <w:proofErr w:type="spellStart"/>
      <w:r w:rsidRPr="00B729CD">
        <w:rPr>
          <w:rFonts w:ascii="Book Antiqua" w:eastAsia="Book Antiqua" w:hAnsi="Book Antiqua" w:cs="Book Antiqua"/>
          <w:color w:val="000000"/>
        </w:rPr>
        <w:t>Almutharea</w:t>
      </w:r>
      <w:proofErr w:type="spellEnd"/>
      <w:r w:rsidRPr="00B729CD">
        <w:rPr>
          <w:rFonts w:ascii="Book Antiqua" w:eastAsia="Book Antiqua" w:hAnsi="Book Antiqua" w:cs="Book Antiqua"/>
          <w:color w:val="000000"/>
        </w:rPr>
        <w:t xml:space="preserve"> S, Khan MQ, Alghamdi AS, Farah T, Al-</w:t>
      </w:r>
      <w:proofErr w:type="spellStart"/>
      <w:r w:rsidRPr="00B729CD">
        <w:rPr>
          <w:rFonts w:ascii="Book Antiqua" w:eastAsia="Book Antiqua" w:hAnsi="Book Antiqua" w:cs="Book Antiqua"/>
          <w:color w:val="000000"/>
        </w:rPr>
        <w:t>Hamoudi</w:t>
      </w:r>
      <w:proofErr w:type="spellEnd"/>
      <w:r w:rsidRPr="00B729CD">
        <w:rPr>
          <w:rFonts w:ascii="Book Antiqua" w:eastAsia="Book Antiqua" w:hAnsi="Book Antiqua" w:cs="Book Antiqua"/>
          <w:color w:val="000000"/>
        </w:rPr>
        <w:t xml:space="preserve"> W, Saadeh M, Abdo AA. Discriminant value of serum HBV DNA levels as predictors of liver fibrosis in chronic hepatitis B. </w:t>
      </w:r>
      <w:r w:rsidRPr="00B729CD">
        <w:rPr>
          <w:rFonts w:ascii="Book Antiqua" w:eastAsia="Book Antiqua" w:hAnsi="Book Antiqua" w:cs="Book Antiqua"/>
          <w:i/>
          <w:iCs/>
          <w:color w:val="000000"/>
        </w:rPr>
        <w:t xml:space="preserve">J Viral </w:t>
      </w:r>
      <w:proofErr w:type="spellStart"/>
      <w:r w:rsidRPr="00B729CD">
        <w:rPr>
          <w:rFonts w:ascii="Book Antiqua" w:eastAsia="Book Antiqua" w:hAnsi="Book Antiqua" w:cs="Book Antiqua"/>
          <w:i/>
          <w:iCs/>
          <w:color w:val="000000"/>
        </w:rPr>
        <w:t>Hepat</w:t>
      </w:r>
      <w:proofErr w:type="spellEnd"/>
      <w:r w:rsidRPr="00B729CD">
        <w:rPr>
          <w:rFonts w:ascii="Book Antiqua" w:eastAsia="Book Antiqua" w:hAnsi="Book Antiqua" w:cs="Book Antiqua"/>
          <w:color w:val="000000"/>
        </w:rPr>
        <w:t xml:space="preserve"> 2011; </w:t>
      </w:r>
      <w:r w:rsidRPr="00B729CD">
        <w:rPr>
          <w:rFonts w:ascii="Book Antiqua" w:eastAsia="Book Antiqua" w:hAnsi="Book Antiqua" w:cs="Book Antiqua"/>
          <w:b/>
          <w:bCs/>
          <w:color w:val="000000"/>
        </w:rPr>
        <w:t>18</w:t>
      </w:r>
      <w:r w:rsidRPr="00B729CD">
        <w:rPr>
          <w:rFonts w:ascii="Book Antiqua" w:eastAsia="Book Antiqua" w:hAnsi="Book Antiqua" w:cs="Book Antiqua"/>
          <w:color w:val="000000"/>
        </w:rPr>
        <w:t>: e217-e225 [PMID: 21692936 DOI: 10.1111/j.1365-2893.2011.01437.x]</w:t>
      </w:r>
    </w:p>
    <w:p w14:paraId="78ECCAA7"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8 </w:t>
      </w:r>
      <w:proofErr w:type="spellStart"/>
      <w:r w:rsidRPr="00B729CD">
        <w:rPr>
          <w:rFonts w:ascii="Book Antiqua" w:eastAsia="Book Antiqua" w:hAnsi="Book Antiqua" w:cs="Book Antiqua"/>
          <w:b/>
          <w:bCs/>
          <w:color w:val="000000"/>
        </w:rPr>
        <w:t>Dienstag</w:t>
      </w:r>
      <w:proofErr w:type="spellEnd"/>
      <w:r w:rsidRPr="00B729CD">
        <w:rPr>
          <w:rFonts w:ascii="Book Antiqua" w:eastAsia="Book Antiqua" w:hAnsi="Book Antiqua" w:cs="Book Antiqua"/>
          <w:b/>
          <w:bCs/>
          <w:color w:val="000000"/>
        </w:rPr>
        <w:t xml:space="preserve"> JL</w:t>
      </w:r>
      <w:r w:rsidRPr="00B729CD">
        <w:rPr>
          <w:rFonts w:ascii="Book Antiqua" w:eastAsia="Book Antiqua" w:hAnsi="Book Antiqua" w:cs="Book Antiqua"/>
          <w:color w:val="000000"/>
        </w:rPr>
        <w:t xml:space="preserve">, Goldin RD, Heathcote EJ, Hann HW, </w:t>
      </w:r>
      <w:proofErr w:type="spellStart"/>
      <w:r w:rsidRPr="00B729CD">
        <w:rPr>
          <w:rFonts w:ascii="Book Antiqua" w:eastAsia="Book Antiqua" w:hAnsi="Book Antiqua" w:cs="Book Antiqua"/>
          <w:color w:val="000000"/>
        </w:rPr>
        <w:t>Woessner</w:t>
      </w:r>
      <w:proofErr w:type="spellEnd"/>
      <w:r w:rsidRPr="00B729CD">
        <w:rPr>
          <w:rFonts w:ascii="Book Antiqua" w:eastAsia="Book Antiqua" w:hAnsi="Book Antiqua" w:cs="Book Antiqua"/>
          <w:color w:val="000000"/>
        </w:rPr>
        <w:t xml:space="preserve"> M, Stephenson SL, Gardner S, Gray DF, Schiff ER. Histological outcome during long-term lamivudine therapy. </w:t>
      </w:r>
      <w:r w:rsidRPr="00B729CD">
        <w:rPr>
          <w:rFonts w:ascii="Book Antiqua" w:eastAsia="Book Antiqua" w:hAnsi="Book Antiqua" w:cs="Book Antiqua"/>
          <w:i/>
          <w:iCs/>
          <w:color w:val="000000"/>
        </w:rPr>
        <w:t>Gastroenterology</w:t>
      </w:r>
      <w:r w:rsidRPr="00B729CD">
        <w:rPr>
          <w:rFonts w:ascii="Book Antiqua" w:eastAsia="Book Antiqua" w:hAnsi="Book Antiqua" w:cs="Book Antiqua"/>
          <w:color w:val="000000"/>
        </w:rPr>
        <w:t xml:space="preserve"> 2003; </w:t>
      </w:r>
      <w:r w:rsidRPr="00B729CD">
        <w:rPr>
          <w:rFonts w:ascii="Book Antiqua" w:eastAsia="Book Antiqua" w:hAnsi="Book Antiqua" w:cs="Book Antiqua"/>
          <w:b/>
          <w:bCs/>
          <w:color w:val="000000"/>
        </w:rPr>
        <w:t>124</w:t>
      </w:r>
      <w:r w:rsidRPr="00B729CD">
        <w:rPr>
          <w:rFonts w:ascii="Book Antiqua" w:eastAsia="Book Antiqua" w:hAnsi="Book Antiqua" w:cs="Book Antiqua"/>
          <w:color w:val="000000"/>
        </w:rPr>
        <w:t>: 105-117 [PMID: 12512035 DOI: 10.1053/gast.2003.50013]</w:t>
      </w:r>
    </w:p>
    <w:p w14:paraId="2F277337"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9 </w:t>
      </w:r>
      <w:r w:rsidRPr="00B729CD">
        <w:rPr>
          <w:rFonts w:ascii="Book Antiqua" w:eastAsia="Book Antiqua" w:hAnsi="Book Antiqua" w:cs="Book Antiqua"/>
          <w:b/>
          <w:bCs/>
          <w:color w:val="000000"/>
        </w:rPr>
        <w:t>Schiff ER</w:t>
      </w:r>
      <w:r w:rsidRPr="00B729CD">
        <w:rPr>
          <w:rFonts w:ascii="Book Antiqua" w:eastAsia="Book Antiqua" w:hAnsi="Book Antiqua" w:cs="Book Antiqua"/>
          <w:color w:val="000000"/>
        </w:rPr>
        <w:t xml:space="preserve">, Lee SS, Chao YC, Kew Yoon S, </w:t>
      </w:r>
      <w:proofErr w:type="spellStart"/>
      <w:r w:rsidRPr="00B729CD">
        <w:rPr>
          <w:rFonts w:ascii="Book Antiqua" w:eastAsia="Book Antiqua" w:hAnsi="Book Antiqua" w:cs="Book Antiqua"/>
          <w:color w:val="000000"/>
        </w:rPr>
        <w:t>Bessone</w:t>
      </w:r>
      <w:proofErr w:type="spellEnd"/>
      <w:r w:rsidRPr="00B729CD">
        <w:rPr>
          <w:rFonts w:ascii="Book Antiqua" w:eastAsia="Book Antiqua" w:hAnsi="Book Antiqua" w:cs="Book Antiqua"/>
          <w:color w:val="000000"/>
        </w:rPr>
        <w:t xml:space="preserve"> F, Wu SS, </w:t>
      </w:r>
      <w:proofErr w:type="spellStart"/>
      <w:r w:rsidRPr="00B729CD">
        <w:rPr>
          <w:rFonts w:ascii="Book Antiqua" w:eastAsia="Book Antiqua" w:hAnsi="Book Antiqua" w:cs="Book Antiqua"/>
          <w:color w:val="000000"/>
        </w:rPr>
        <w:t>Kryczka</w:t>
      </w:r>
      <w:proofErr w:type="spellEnd"/>
      <w:r w:rsidRPr="00B729CD">
        <w:rPr>
          <w:rFonts w:ascii="Book Antiqua" w:eastAsia="Book Antiqua" w:hAnsi="Book Antiqua" w:cs="Book Antiqua"/>
          <w:color w:val="000000"/>
        </w:rPr>
        <w:t xml:space="preserve"> W, Lurie Y, </w:t>
      </w:r>
      <w:proofErr w:type="spellStart"/>
      <w:r w:rsidRPr="00B729CD">
        <w:rPr>
          <w:rFonts w:ascii="Book Antiqua" w:eastAsia="Book Antiqua" w:hAnsi="Book Antiqua" w:cs="Book Antiqua"/>
          <w:color w:val="000000"/>
        </w:rPr>
        <w:t>Gadano</w:t>
      </w:r>
      <w:proofErr w:type="spellEnd"/>
      <w:r w:rsidRPr="00B729CD">
        <w:rPr>
          <w:rFonts w:ascii="Book Antiqua" w:eastAsia="Book Antiqua" w:hAnsi="Book Antiqua" w:cs="Book Antiqua"/>
          <w:color w:val="000000"/>
        </w:rPr>
        <w:t xml:space="preserve"> A, </w:t>
      </w:r>
      <w:proofErr w:type="spellStart"/>
      <w:r w:rsidRPr="00B729CD">
        <w:rPr>
          <w:rFonts w:ascii="Book Antiqua" w:eastAsia="Book Antiqua" w:hAnsi="Book Antiqua" w:cs="Book Antiqua"/>
          <w:color w:val="000000"/>
        </w:rPr>
        <w:t>Kitis</w:t>
      </w:r>
      <w:proofErr w:type="spellEnd"/>
      <w:r w:rsidRPr="00B729CD">
        <w:rPr>
          <w:rFonts w:ascii="Book Antiqua" w:eastAsia="Book Antiqua" w:hAnsi="Book Antiqua" w:cs="Book Antiqua"/>
          <w:color w:val="000000"/>
        </w:rPr>
        <w:t xml:space="preserve"> G, Beebe S, Xu D, Tang H, </w:t>
      </w:r>
      <w:proofErr w:type="spellStart"/>
      <w:r w:rsidRPr="00B729CD">
        <w:rPr>
          <w:rFonts w:ascii="Book Antiqua" w:eastAsia="Book Antiqua" w:hAnsi="Book Antiqua" w:cs="Book Antiqua"/>
          <w:color w:val="000000"/>
        </w:rPr>
        <w:t>Iloeje</w:t>
      </w:r>
      <w:proofErr w:type="spellEnd"/>
      <w:r w:rsidRPr="00B729CD">
        <w:rPr>
          <w:rFonts w:ascii="Book Antiqua" w:eastAsia="Book Antiqua" w:hAnsi="Book Antiqua" w:cs="Book Antiqua"/>
          <w:color w:val="000000"/>
        </w:rPr>
        <w:t xml:space="preserve"> U. Long-term treatment with entecavir induces reversal of advanced fibrosis or cirrhosis in patients with chronic hepatitis B. </w:t>
      </w:r>
      <w:r w:rsidRPr="00B729CD">
        <w:rPr>
          <w:rFonts w:ascii="Book Antiqua" w:eastAsia="Book Antiqua" w:hAnsi="Book Antiqua" w:cs="Book Antiqua"/>
          <w:i/>
          <w:iCs/>
          <w:color w:val="000000"/>
        </w:rPr>
        <w:t>Clin Gastroenterol Hepatol</w:t>
      </w:r>
      <w:r w:rsidRPr="00B729CD">
        <w:rPr>
          <w:rFonts w:ascii="Book Antiqua" w:eastAsia="Book Antiqua" w:hAnsi="Book Antiqua" w:cs="Book Antiqua"/>
          <w:color w:val="000000"/>
        </w:rPr>
        <w:t xml:space="preserve"> 2011; </w:t>
      </w:r>
      <w:r w:rsidRPr="00B729CD">
        <w:rPr>
          <w:rFonts w:ascii="Book Antiqua" w:eastAsia="Book Antiqua" w:hAnsi="Book Antiqua" w:cs="Book Antiqua"/>
          <w:b/>
          <w:bCs/>
          <w:color w:val="000000"/>
        </w:rPr>
        <w:t>9</w:t>
      </w:r>
      <w:r w:rsidRPr="00B729CD">
        <w:rPr>
          <w:rFonts w:ascii="Book Antiqua" w:eastAsia="Book Antiqua" w:hAnsi="Book Antiqua" w:cs="Book Antiqua"/>
          <w:color w:val="000000"/>
        </w:rPr>
        <w:t>: 274-276 [PMID: 21145419 DOI: 10.1016/j.cgh.2010.11.040]</w:t>
      </w:r>
    </w:p>
    <w:p w14:paraId="177BC9D8"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10 </w:t>
      </w:r>
      <w:r w:rsidRPr="00B729CD">
        <w:rPr>
          <w:rFonts w:ascii="Book Antiqua" w:eastAsia="Book Antiqua" w:hAnsi="Book Antiqua" w:cs="Book Antiqua"/>
          <w:b/>
          <w:bCs/>
          <w:color w:val="000000"/>
        </w:rPr>
        <w:t>Chang TT</w:t>
      </w:r>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Liaw</w:t>
      </w:r>
      <w:proofErr w:type="spellEnd"/>
      <w:r w:rsidRPr="00B729CD">
        <w:rPr>
          <w:rFonts w:ascii="Book Antiqua" w:eastAsia="Book Antiqua" w:hAnsi="Book Antiqua" w:cs="Book Antiqua"/>
          <w:color w:val="000000"/>
        </w:rPr>
        <w:t xml:space="preserve"> YF, Wu SS, Schiff E, Han KH, Lai CL, Safadi R, Lee SS, </w:t>
      </w:r>
      <w:proofErr w:type="spellStart"/>
      <w:r w:rsidRPr="00B729CD">
        <w:rPr>
          <w:rFonts w:ascii="Book Antiqua" w:eastAsia="Book Antiqua" w:hAnsi="Book Antiqua" w:cs="Book Antiqua"/>
          <w:color w:val="000000"/>
        </w:rPr>
        <w:t>Halota</w:t>
      </w:r>
      <w:proofErr w:type="spellEnd"/>
      <w:r w:rsidRPr="00B729CD">
        <w:rPr>
          <w:rFonts w:ascii="Book Antiqua" w:eastAsia="Book Antiqua" w:hAnsi="Book Antiqua" w:cs="Book Antiqua"/>
          <w:color w:val="000000"/>
        </w:rPr>
        <w:t xml:space="preserve"> W, Goodman Z, Chi YC, Zhang H, </w:t>
      </w:r>
      <w:proofErr w:type="spellStart"/>
      <w:r w:rsidRPr="00B729CD">
        <w:rPr>
          <w:rFonts w:ascii="Book Antiqua" w:eastAsia="Book Antiqua" w:hAnsi="Book Antiqua" w:cs="Book Antiqua"/>
          <w:color w:val="000000"/>
        </w:rPr>
        <w:t>Hindes</w:t>
      </w:r>
      <w:proofErr w:type="spellEnd"/>
      <w:r w:rsidRPr="00B729CD">
        <w:rPr>
          <w:rFonts w:ascii="Book Antiqua" w:eastAsia="Book Antiqua" w:hAnsi="Book Antiqua" w:cs="Book Antiqua"/>
          <w:color w:val="000000"/>
        </w:rPr>
        <w:t xml:space="preserve"> R, </w:t>
      </w:r>
      <w:proofErr w:type="spellStart"/>
      <w:r w:rsidRPr="00B729CD">
        <w:rPr>
          <w:rFonts w:ascii="Book Antiqua" w:eastAsia="Book Antiqua" w:hAnsi="Book Antiqua" w:cs="Book Antiqua"/>
          <w:color w:val="000000"/>
        </w:rPr>
        <w:t>Iloeje</w:t>
      </w:r>
      <w:proofErr w:type="spellEnd"/>
      <w:r w:rsidRPr="00B729CD">
        <w:rPr>
          <w:rFonts w:ascii="Book Antiqua" w:eastAsia="Book Antiqua" w:hAnsi="Book Antiqua" w:cs="Book Antiqua"/>
          <w:color w:val="000000"/>
        </w:rPr>
        <w:t xml:space="preserve"> U, Beebe S, </w:t>
      </w:r>
      <w:proofErr w:type="spellStart"/>
      <w:r w:rsidRPr="00B729CD">
        <w:rPr>
          <w:rFonts w:ascii="Book Antiqua" w:eastAsia="Book Antiqua" w:hAnsi="Book Antiqua" w:cs="Book Antiqua"/>
          <w:color w:val="000000"/>
        </w:rPr>
        <w:t>Kreter</w:t>
      </w:r>
      <w:proofErr w:type="spellEnd"/>
      <w:r w:rsidRPr="00B729CD">
        <w:rPr>
          <w:rFonts w:ascii="Book Antiqua" w:eastAsia="Book Antiqua" w:hAnsi="Book Antiqua" w:cs="Book Antiqua"/>
          <w:color w:val="000000"/>
        </w:rPr>
        <w:t xml:space="preserve"> B. Long-term entecavir therapy results in the reversal of fibrosis/cirrhosis and continued histological improvement in patients with chronic hepatitis B. </w:t>
      </w:r>
      <w:r w:rsidRPr="00B729CD">
        <w:rPr>
          <w:rFonts w:ascii="Book Antiqua" w:eastAsia="Book Antiqua" w:hAnsi="Book Antiqua" w:cs="Book Antiqua"/>
          <w:i/>
          <w:iCs/>
          <w:color w:val="000000"/>
        </w:rPr>
        <w:t>Hepatology</w:t>
      </w:r>
      <w:r w:rsidRPr="00B729CD">
        <w:rPr>
          <w:rFonts w:ascii="Book Antiqua" w:eastAsia="Book Antiqua" w:hAnsi="Book Antiqua" w:cs="Book Antiqua"/>
          <w:color w:val="000000"/>
        </w:rPr>
        <w:t xml:space="preserve"> 2010; </w:t>
      </w:r>
      <w:r w:rsidRPr="00B729CD">
        <w:rPr>
          <w:rFonts w:ascii="Book Antiqua" w:eastAsia="Book Antiqua" w:hAnsi="Book Antiqua" w:cs="Book Antiqua"/>
          <w:b/>
          <w:bCs/>
          <w:color w:val="000000"/>
        </w:rPr>
        <w:t>52</w:t>
      </w:r>
      <w:r w:rsidRPr="00B729CD">
        <w:rPr>
          <w:rFonts w:ascii="Book Antiqua" w:eastAsia="Book Antiqua" w:hAnsi="Book Antiqua" w:cs="Book Antiqua"/>
          <w:color w:val="000000"/>
        </w:rPr>
        <w:t>: 886-893 [PMID: 20683932 DOI: 10.1002/hep.23785]</w:t>
      </w:r>
    </w:p>
    <w:p w14:paraId="02FB142D"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11 </w:t>
      </w:r>
      <w:proofErr w:type="spellStart"/>
      <w:r w:rsidRPr="00B729CD">
        <w:rPr>
          <w:rFonts w:ascii="Book Antiqua" w:eastAsia="Book Antiqua" w:hAnsi="Book Antiqua" w:cs="Book Antiqua"/>
          <w:b/>
          <w:bCs/>
          <w:color w:val="000000"/>
        </w:rPr>
        <w:t>Papachrysos</w:t>
      </w:r>
      <w:proofErr w:type="spellEnd"/>
      <w:r w:rsidRPr="00B729CD">
        <w:rPr>
          <w:rFonts w:ascii="Book Antiqua" w:eastAsia="Book Antiqua" w:hAnsi="Book Antiqua" w:cs="Book Antiqua"/>
          <w:b/>
          <w:bCs/>
          <w:color w:val="000000"/>
        </w:rPr>
        <w:t xml:space="preserve"> N</w:t>
      </w:r>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Hytiroglou</w:t>
      </w:r>
      <w:proofErr w:type="spellEnd"/>
      <w:r w:rsidRPr="00B729CD">
        <w:rPr>
          <w:rFonts w:ascii="Book Antiqua" w:eastAsia="Book Antiqua" w:hAnsi="Book Antiqua" w:cs="Book Antiqua"/>
          <w:color w:val="000000"/>
        </w:rPr>
        <w:t xml:space="preserve"> P, </w:t>
      </w:r>
      <w:proofErr w:type="spellStart"/>
      <w:r w:rsidRPr="00B729CD">
        <w:rPr>
          <w:rFonts w:ascii="Book Antiqua" w:eastAsia="Book Antiqua" w:hAnsi="Book Antiqua" w:cs="Book Antiqua"/>
          <w:color w:val="000000"/>
        </w:rPr>
        <w:t>Papalavrentios</w:t>
      </w:r>
      <w:proofErr w:type="spellEnd"/>
      <w:r w:rsidRPr="00B729CD">
        <w:rPr>
          <w:rFonts w:ascii="Book Antiqua" w:eastAsia="Book Antiqua" w:hAnsi="Book Antiqua" w:cs="Book Antiqua"/>
          <w:color w:val="000000"/>
        </w:rPr>
        <w:t xml:space="preserve"> L, </w:t>
      </w:r>
      <w:proofErr w:type="spellStart"/>
      <w:r w:rsidRPr="00B729CD">
        <w:rPr>
          <w:rFonts w:ascii="Book Antiqua" w:eastAsia="Book Antiqua" w:hAnsi="Book Antiqua" w:cs="Book Antiqua"/>
          <w:color w:val="000000"/>
        </w:rPr>
        <w:t>Sinakos</w:t>
      </w:r>
      <w:proofErr w:type="spellEnd"/>
      <w:r w:rsidRPr="00B729CD">
        <w:rPr>
          <w:rFonts w:ascii="Book Antiqua" w:eastAsia="Book Antiqua" w:hAnsi="Book Antiqua" w:cs="Book Antiqua"/>
          <w:color w:val="000000"/>
        </w:rPr>
        <w:t xml:space="preserve"> E, </w:t>
      </w:r>
      <w:proofErr w:type="spellStart"/>
      <w:r w:rsidRPr="00B729CD">
        <w:rPr>
          <w:rFonts w:ascii="Book Antiqua" w:eastAsia="Book Antiqua" w:hAnsi="Book Antiqua" w:cs="Book Antiqua"/>
          <w:color w:val="000000"/>
        </w:rPr>
        <w:t>Kouvelis</w:t>
      </w:r>
      <w:proofErr w:type="spellEnd"/>
      <w:r w:rsidRPr="00B729CD">
        <w:rPr>
          <w:rFonts w:ascii="Book Antiqua" w:eastAsia="Book Antiqua" w:hAnsi="Book Antiqua" w:cs="Book Antiqua"/>
          <w:color w:val="000000"/>
        </w:rPr>
        <w:t xml:space="preserve"> I, </w:t>
      </w:r>
      <w:proofErr w:type="spellStart"/>
      <w:r w:rsidRPr="00B729CD">
        <w:rPr>
          <w:rFonts w:ascii="Book Antiqua" w:eastAsia="Book Antiqua" w:hAnsi="Book Antiqua" w:cs="Book Antiqua"/>
          <w:color w:val="000000"/>
        </w:rPr>
        <w:t>Akriviadis</w:t>
      </w:r>
      <w:proofErr w:type="spellEnd"/>
      <w:r w:rsidRPr="00B729CD">
        <w:rPr>
          <w:rFonts w:ascii="Book Antiqua" w:eastAsia="Book Antiqua" w:hAnsi="Book Antiqua" w:cs="Book Antiqua"/>
          <w:color w:val="000000"/>
        </w:rPr>
        <w:t xml:space="preserve"> E. Antiviral therapy leads to histological improvement of </w:t>
      </w:r>
      <w:proofErr w:type="spellStart"/>
      <w:r w:rsidRPr="00B729CD">
        <w:rPr>
          <w:rFonts w:ascii="Book Antiqua" w:eastAsia="Book Antiqua" w:hAnsi="Book Antiqua" w:cs="Book Antiqua"/>
          <w:color w:val="000000"/>
        </w:rPr>
        <w:t>HBeAg</w:t>
      </w:r>
      <w:proofErr w:type="spellEnd"/>
      <w:r w:rsidRPr="00B729CD">
        <w:rPr>
          <w:rFonts w:ascii="Book Antiqua" w:eastAsia="Book Antiqua" w:hAnsi="Book Antiqua" w:cs="Book Antiqua"/>
          <w:color w:val="000000"/>
        </w:rPr>
        <w:t xml:space="preserve">-negative chronic hepatitis B patients. </w:t>
      </w:r>
      <w:r w:rsidRPr="00B729CD">
        <w:rPr>
          <w:rFonts w:ascii="Book Antiqua" w:eastAsia="Book Antiqua" w:hAnsi="Book Antiqua" w:cs="Book Antiqua"/>
          <w:i/>
          <w:iCs/>
          <w:color w:val="000000"/>
        </w:rPr>
        <w:t>Ann Gastroenterol</w:t>
      </w:r>
      <w:r w:rsidRPr="00B729CD">
        <w:rPr>
          <w:rFonts w:ascii="Book Antiqua" w:eastAsia="Book Antiqua" w:hAnsi="Book Antiqua" w:cs="Book Antiqua"/>
          <w:color w:val="000000"/>
        </w:rPr>
        <w:t xml:space="preserve"> 2015; </w:t>
      </w:r>
      <w:r w:rsidRPr="00B729CD">
        <w:rPr>
          <w:rFonts w:ascii="Book Antiqua" w:eastAsia="Book Antiqua" w:hAnsi="Book Antiqua" w:cs="Book Antiqua"/>
          <w:b/>
          <w:bCs/>
          <w:color w:val="000000"/>
        </w:rPr>
        <w:t>28</w:t>
      </w:r>
      <w:r w:rsidRPr="00B729CD">
        <w:rPr>
          <w:rFonts w:ascii="Book Antiqua" w:eastAsia="Book Antiqua" w:hAnsi="Book Antiqua" w:cs="Book Antiqua"/>
          <w:color w:val="000000"/>
        </w:rPr>
        <w:t>: 374-378 [PMID: 26126929]</w:t>
      </w:r>
    </w:p>
    <w:p w14:paraId="7541B85E"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12 </w:t>
      </w:r>
      <w:r w:rsidRPr="00B729CD">
        <w:rPr>
          <w:rFonts w:ascii="Book Antiqua" w:eastAsia="Book Antiqua" w:hAnsi="Book Antiqua" w:cs="Book Antiqua"/>
          <w:b/>
          <w:bCs/>
          <w:color w:val="000000"/>
        </w:rPr>
        <w:t>Marcellin P</w:t>
      </w:r>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Gane</w:t>
      </w:r>
      <w:proofErr w:type="spellEnd"/>
      <w:r w:rsidRPr="00B729CD">
        <w:rPr>
          <w:rFonts w:ascii="Book Antiqua" w:eastAsia="Book Antiqua" w:hAnsi="Book Antiqua" w:cs="Book Antiqua"/>
          <w:color w:val="000000"/>
        </w:rPr>
        <w:t xml:space="preserve"> E, Buti M, </w:t>
      </w:r>
      <w:proofErr w:type="spellStart"/>
      <w:r w:rsidRPr="00B729CD">
        <w:rPr>
          <w:rFonts w:ascii="Book Antiqua" w:eastAsia="Book Antiqua" w:hAnsi="Book Antiqua" w:cs="Book Antiqua"/>
          <w:color w:val="000000"/>
        </w:rPr>
        <w:t>Afdhal</w:t>
      </w:r>
      <w:proofErr w:type="spellEnd"/>
      <w:r w:rsidRPr="00B729CD">
        <w:rPr>
          <w:rFonts w:ascii="Book Antiqua" w:eastAsia="Book Antiqua" w:hAnsi="Book Antiqua" w:cs="Book Antiqua"/>
          <w:color w:val="000000"/>
        </w:rPr>
        <w:t xml:space="preserve"> N, Sievert W, Jacobson IM, Washington MK, </w:t>
      </w:r>
      <w:proofErr w:type="spellStart"/>
      <w:r w:rsidRPr="00B729CD">
        <w:rPr>
          <w:rFonts w:ascii="Book Antiqua" w:eastAsia="Book Antiqua" w:hAnsi="Book Antiqua" w:cs="Book Antiqua"/>
          <w:color w:val="000000"/>
        </w:rPr>
        <w:t>Germanidis</w:t>
      </w:r>
      <w:proofErr w:type="spellEnd"/>
      <w:r w:rsidRPr="00B729CD">
        <w:rPr>
          <w:rFonts w:ascii="Book Antiqua" w:eastAsia="Book Antiqua" w:hAnsi="Book Antiqua" w:cs="Book Antiqua"/>
          <w:color w:val="000000"/>
        </w:rPr>
        <w:t xml:space="preserve"> G, Flaherty JF, Aguilar </w:t>
      </w:r>
      <w:proofErr w:type="spellStart"/>
      <w:r w:rsidRPr="00B729CD">
        <w:rPr>
          <w:rFonts w:ascii="Book Antiqua" w:eastAsia="Book Antiqua" w:hAnsi="Book Antiqua" w:cs="Book Antiqua"/>
          <w:color w:val="000000"/>
        </w:rPr>
        <w:t>Schall</w:t>
      </w:r>
      <w:proofErr w:type="spellEnd"/>
      <w:r w:rsidRPr="00B729CD">
        <w:rPr>
          <w:rFonts w:ascii="Book Antiqua" w:eastAsia="Book Antiqua" w:hAnsi="Book Antiqua" w:cs="Book Antiqua"/>
          <w:color w:val="000000"/>
        </w:rPr>
        <w:t xml:space="preserve"> R, Bornstein JD, </w:t>
      </w:r>
      <w:proofErr w:type="spellStart"/>
      <w:r w:rsidRPr="00B729CD">
        <w:rPr>
          <w:rFonts w:ascii="Book Antiqua" w:eastAsia="Book Antiqua" w:hAnsi="Book Antiqua" w:cs="Book Antiqua"/>
          <w:color w:val="000000"/>
        </w:rPr>
        <w:t>Kitrinos</w:t>
      </w:r>
      <w:proofErr w:type="spellEnd"/>
      <w:r w:rsidRPr="00B729CD">
        <w:rPr>
          <w:rFonts w:ascii="Book Antiqua" w:eastAsia="Book Antiqua" w:hAnsi="Book Antiqua" w:cs="Book Antiqua"/>
          <w:color w:val="000000"/>
        </w:rPr>
        <w:t xml:space="preserve"> KM, Subramanian GM, </w:t>
      </w:r>
      <w:proofErr w:type="spellStart"/>
      <w:r w:rsidRPr="00B729CD">
        <w:rPr>
          <w:rFonts w:ascii="Book Antiqua" w:eastAsia="Book Antiqua" w:hAnsi="Book Antiqua" w:cs="Book Antiqua"/>
          <w:color w:val="000000"/>
        </w:rPr>
        <w:t>McHutchison</w:t>
      </w:r>
      <w:proofErr w:type="spellEnd"/>
      <w:r w:rsidRPr="00B729CD">
        <w:rPr>
          <w:rFonts w:ascii="Book Antiqua" w:eastAsia="Book Antiqua" w:hAnsi="Book Antiqua" w:cs="Book Antiqua"/>
          <w:color w:val="000000"/>
        </w:rPr>
        <w:t xml:space="preserve"> JG, Heathcote EJ. Regression of cirrhosis during treatment with tenofovir disoproxil fumarate for chronic hepatitis B: a 5-year open-label follow-up study. </w:t>
      </w:r>
      <w:r w:rsidRPr="00B729CD">
        <w:rPr>
          <w:rFonts w:ascii="Book Antiqua" w:eastAsia="Book Antiqua" w:hAnsi="Book Antiqua" w:cs="Book Antiqua"/>
          <w:i/>
          <w:iCs/>
          <w:color w:val="000000"/>
        </w:rPr>
        <w:t>Lancet</w:t>
      </w:r>
      <w:r w:rsidRPr="00B729CD">
        <w:rPr>
          <w:rFonts w:ascii="Book Antiqua" w:eastAsia="Book Antiqua" w:hAnsi="Book Antiqua" w:cs="Book Antiqua"/>
          <w:color w:val="000000"/>
        </w:rPr>
        <w:t xml:space="preserve"> 2013; </w:t>
      </w:r>
      <w:r w:rsidRPr="00B729CD">
        <w:rPr>
          <w:rFonts w:ascii="Book Antiqua" w:eastAsia="Book Antiqua" w:hAnsi="Book Antiqua" w:cs="Book Antiqua"/>
          <w:b/>
          <w:bCs/>
          <w:color w:val="000000"/>
        </w:rPr>
        <w:t>381</w:t>
      </w:r>
      <w:r w:rsidRPr="00B729CD">
        <w:rPr>
          <w:rFonts w:ascii="Book Antiqua" w:eastAsia="Book Antiqua" w:hAnsi="Book Antiqua" w:cs="Book Antiqua"/>
          <w:color w:val="000000"/>
        </w:rPr>
        <w:t>: 468-475 [PMID: 23234725 DOI: 10.1016/S0140-6736(12)61425-1]</w:t>
      </w:r>
    </w:p>
    <w:p w14:paraId="754AECED"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lastRenderedPageBreak/>
        <w:t xml:space="preserve">13 </w:t>
      </w:r>
      <w:r w:rsidRPr="00B729CD">
        <w:rPr>
          <w:rFonts w:ascii="Book Antiqua" w:eastAsia="Book Antiqua" w:hAnsi="Book Antiqua" w:cs="Book Antiqua"/>
          <w:b/>
          <w:bCs/>
          <w:color w:val="000000"/>
        </w:rPr>
        <w:t>Pol S</w:t>
      </w:r>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Lampertico</w:t>
      </w:r>
      <w:proofErr w:type="spellEnd"/>
      <w:r w:rsidRPr="00B729CD">
        <w:rPr>
          <w:rFonts w:ascii="Book Antiqua" w:eastAsia="Book Antiqua" w:hAnsi="Book Antiqua" w:cs="Book Antiqua"/>
          <w:color w:val="000000"/>
        </w:rPr>
        <w:t xml:space="preserve"> P. First-line treatment of chronic hepatitis B with entecavir or tenofovir in 'real-life' settings: from clinical trials to clinical practice. </w:t>
      </w:r>
      <w:r w:rsidRPr="00B729CD">
        <w:rPr>
          <w:rFonts w:ascii="Book Antiqua" w:eastAsia="Book Antiqua" w:hAnsi="Book Antiqua" w:cs="Book Antiqua"/>
          <w:i/>
          <w:iCs/>
          <w:color w:val="000000"/>
        </w:rPr>
        <w:t xml:space="preserve">J Viral </w:t>
      </w:r>
      <w:proofErr w:type="spellStart"/>
      <w:r w:rsidRPr="00B729CD">
        <w:rPr>
          <w:rFonts w:ascii="Book Antiqua" w:eastAsia="Book Antiqua" w:hAnsi="Book Antiqua" w:cs="Book Antiqua"/>
          <w:i/>
          <w:iCs/>
          <w:color w:val="000000"/>
        </w:rPr>
        <w:t>Hepat</w:t>
      </w:r>
      <w:proofErr w:type="spellEnd"/>
      <w:r w:rsidRPr="00B729CD">
        <w:rPr>
          <w:rFonts w:ascii="Book Antiqua" w:eastAsia="Book Antiqua" w:hAnsi="Book Antiqua" w:cs="Book Antiqua"/>
          <w:color w:val="000000"/>
        </w:rPr>
        <w:t xml:space="preserve"> 2012; </w:t>
      </w:r>
      <w:r w:rsidRPr="00B729CD">
        <w:rPr>
          <w:rFonts w:ascii="Book Antiqua" w:eastAsia="Book Antiqua" w:hAnsi="Book Antiqua" w:cs="Book Antiqua"/>
          <w:b/>
          <w:bCs/>
          <w:color w:val="000000"/>
        </w:rPr>
        <w:t>19</w:t>
      </w:r>
      <w:r w:rsidRPr="00B729CD">
        <w:rPr>
          <w:rFonts w:ascii="Book Antiqua" w:eastAsia="Book Antiqua" w:hAnsi="Book Antiqua" w:cs="Book Antiqua"/>
          <w:color w:val="000000"/>
        </w:rPr>
        <w:t>: 377-386 [PMID: 22571899 DOI: 10.1111/j.1365-2893.2012.01602.x]</w:t>
      </w:r>
    </w:p>
    <w:p w14:paraId="56703DE7"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14 </w:t>
      </w:r>
      <w:r w:rsidRPr="00B729CD">
        <w:rPr>
          <w:rFonts w:ascii="Book Antiqua" w:eastAsia="Book Antiqua" w:hAnsi="Book Antiqua" w:cs="Book Antiqua"/>
          <w:b/>
          <w:bCs/>
          <w:color w:val="000000"/>
        </w:rPr>
        <w:t>Pan CQ</w:t>
      </w:r>
      <w:r w:rsidRPr="00B729CD">
        <w:rPr>
          <w:rFonts w:ascii="Book Antiqua" w:eastAsia="Book Antiqua" w:hAnsi="Book Antiqua" w:cs="Book Antiqua"/>
          <w:color w:val="000000"/>
        </w:rPr>
        <w:t xml:space="preserve">, Trinh H, Yao A, Bae H, Lou L, Chan S; Study 123 Group. Efficacy and safety of tenofovir disoproxil fumarate in Asian-Americans with chronic hepatitis B in community settings. </w:t>
      </w:r>
      <w:proofErr w:type="spellStart"/>
      <w:r w:rsidRPr="00B729CD">
        <w:rPr>
          <w:rFonts w:ascii="Book Antiqua" w:eastAsia="Book Antiqua" w:hAnsi="Book Antiqua" w:cs="Book Antiqua"/>
          <w:i/>
          <w:iCs/>
          <w:color w:val="000000"/>
        </w:rPr>
        <w:t>PLoS</w:t>
      </w:r>
      <w:proofErr w:type="spellEnd"/>
      <w:r w:rsidRPr="00B729CD">
        <w:rPr>
          <w:rFonts w:ascii="Book Antiqua" w:eastAsia="Book Antiqua" w:hAnsi="Book Antiqua" w:cs="Book Antiqua"/>
          <w:i/>
          <w:iCs/>
          <w:color w:val="000000"/>
        </w:rPr>
        <w:t xml:space="preserve"> One</w:t>
      </w:r>
      <w:r w:rsidRPr="00B729CD">
        <w:rPr>
          <w:rFonts w:ascii="Book Antiqua" w:eastAsia="Book Antiqua" w:hAnsi="Book Antiqua" w:cs="Book Antiqua"/>
          <w:color w:val="000000"/>
        </w:rPr>
        <w:t xml:space="preserve"> 2014; </w:t>
      </w:r>
      <w:r w:rsidRPr="00B729CD">
        <w:rPr>
          <w:rFonts w:ascii="Book Antiqua" w:eastAsia="Book Antiqua" w:hAnsi="Book Antiqua" w:cs="Book Antiqua"/>
          <w:b/>
          <w:bCs/>
          <w:color w:val="000000"/>
        </w:rPr>
        <w:t>9</w:t>
      </w:r>
      <w:r w:rsidRPr="00B729CD">
        <w:rPr>
          <w:rFonts w:ascii="Book Antiqua" w:eastAsia="Book Antiqua" w:hAnsi="Book Antiqua" w:cs="Book Antiqua"/>
          <w:color w:val="000000"/>
        </w:rPr>
        <w:t>: e89789 [PMID: 24594870 DOI: 10.1371/journal.pone.0089789]</w:t>
      </w:r>
    </w:p>
    <w:p w14:paraId="2B039FDC"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15 </w:t>
      </w:r>
      <w:r w:rsidRPr="00B729CD">
        <w:rPr>
          <w:rFonts w:ascii="Book Antiqua" w:eastAsia="Book Antiqua" w:hAnsi="Book Antiqua" w:cs="Book Antiqua"/>
          <w:b/>
          <w:bCs/>
          <w:color w:val="000000"/>
        </w:rPr>
        <w:t>Buti M</w:t>
      </w:r>
      <w:r w:rsidRPr="00B729CD">
        <w:rPr>
          <w:rFonts w:ascii="Book Antiqua" w:eastAsia="Book Antiqua" w:hAnsi="Book Antiqua" w:cs="Book Antiqua"/>
          <w:color w:val="000000"/>
        </w:rPr>
        <w:t xml:space="preserve">, Fung S, </w:t>
      </w:r>
      <w:proofErr w:type="spellStart"/>
      <w:r w:rsidRPr="00B729CD">
        <w:rPr>
          <w:rFonts w:ascii="Book Antiqua" w:eastAsia="Book Antiqua" w:hAnsi="Book Antiqua" w:cs="Book Antiqua"/>
          <w:color w:val="000000"/>
        </w:rPr>
        <w:t>Gane</w:t>
      </w:r>
      <w:proofErr w:type="spellEnd"/>
      <w:r w:rsidRPr="00B729CD">
        <w:rPr>
          <w:rFonts w:ascii="Book Antiqua" w:eastAsia="Book Antiqua" w:hAnsi="Book Antiqua" w:cs="Book Antiqua"/>
          <w:color w:val="000000"/>
        </w:rPr>
        <w:t xml:space="preserve"> E, </w:t>
      </w:r>
      <w:proofErr w:type="spellStart"/>
      <w:r w:rsidRPr="00B729CD">
        <w:rPr>
          <w:rFonts w:ascii="Book Antiqua" w:eastAsia="Book Antiqua" w:hAnsi="Book Antiqua" w:cs="Book Antiqua"/>
          <w:color w:val="000000"/>
        </w:rPr>
        <w:t>Afdhal</w:t>
      </w:r>
      <w:proofErr w:type="spellEnd"/>
      <w:r w:rsidRPr="00B729CD">
        <w:rPr>
          <w:rFonts w:ascii="Book Antiqua" w:eastAsia="Book Antiqua" w:hAnsi="Book Antiqua" w:cs="Book Antiqua"/>
          <w:color w:val="000000"/>
        </w:rPr>
        <w:t xml:space="preserve"> NH, </w:t>
      </w:r>
      <w:proofErr w:type="spellStart"/>
      <w:r w:rsidRPr="00B729CD">
        <w:rPr>
          <w:rFonts w:ascii="Book Antiqua" w:eastAsia="Book Antiqua" w:hAnsi="Book Antiqua" w:cs="Book Antiqua"/>
          <w:color w:val="000000"/>
        </w:rPr>
        <w:t>Flisiak</w:t>
      </w:r>
      <w:proofErr w:type="spellEnd"/>
      <w:r w:rsidRPr="00B729CD">
        <w:rPr>
          <w:rFonts w:ascii="Book Antiqua" w:eastAsia="Book Antiqua" w:hAnsi="Book Antiqua" w:cs="Book Antiqua"/>
          <w:color w:val="000000"/>
        </w:rPr>
        <w:t xml:space="preserve"> R, </w:t>
      </w:r>
      <w:proofErr w:type="spellStart"/>
      <w:r w:rsidRPr="00B729CD">
        <w:rPr>
          <w:rFonts w:ascii="Book Antiqua" w:eastAsia="Book Antiqua" w:hAnsi="Book Antiqua" w:cs="Book Antiqua"/>
          <w:color w:val="000000"/>
        </w:rPr>
        <w:t>Gurel</w:t>
      </w:r>
      <w:proofErr w:type="spellEnd"/>
      <w:r w:rsidRPr="00B729CD">
        <w:rPr>
          <w:rFonts w:ascii="Book Antiqua" w:eastAsia="Book Antiqua" w:hAnsi="Book Antiqua" w:cs="Book Antiqua"/>
          <w:color w:val="000000"/>
        </w:rPr>
        <w:t xml:space="preserve"> S, Flaherty JF, Martins EB, Yee LJ, </w:t>
      </w:r>
      <w:proofErr w:type="spellStart"/>
      <w:r w:rsidRPr="00B729CD">
        <w:rPr>
          <w:rFonts w:ascii="Book Antiqua" w:eastAsia="Book Antiqua" w:hAnsi="Book Antiqua" w:cs="Book Antiqua"/>
          <w:color w:val="000000"/>
        </w:rPr>
        <w:t>Dinh</w:t>
      </w:r>
      <w:proofErr w:type="spellEnd"/>
      <w:r w:rsidRPr="00B729CD">
        <w:rPr>
          <w:rFonts w:ascii="Book Antiqua" w:eastAsia="Book Antiqua" w:hAnsi="Book Antiqua" w:cs="Book Antiqua"/>
          <w:color w:val="000000"/>
        </w:rPr>
        <w:t xml:space="preserve"> P, Bornstein JD, Mani Subramanian G, Janssen HL, George J, Marcellin P. Long-term clinical outcomes in cirrhotic chronic hepatitis B patients treated with tenofovir disoproxil fumarate for up to 5 years. </w:t>
      </w:r>
      <w:r w:rsidRPr="00B729CD">
        <w:rPr>
          <w:rFonts w:ascii="Book Antiqua" w:eastAsia="Book Antiqua" w:hAnsi="Book Antiqua" w:cs="Book Antiqua"/>
          <w:i/>
          <w:iCs/>
          <w:color w:val="000000"/>
        </w:rPr>
        <w:t>Hepatol Int</w:t>
      </w:r>
      <w:r w:rsidRPr="00B729CD">
        <w:rPr>
          <w:rFonts w:ascii="Book Antiqua" w:eastAsia="Book Antiqua" w:hAnsi="Book Antiqua" w:cs="Book Antiqua"/>
          <w:color w:val="000000"/>
        </w:rPr>
        <w:t xml:space="preserve"> 2015; </w:t>
      </w:r>
      <w:r w:rsidRPr="00B729CD">
        <w:rPr>
          <w:rFonts w:ascii="Book Antiqua" w:eastAsia="Book Antiqua" w:hAnsi="Book Antiqua" w:cs="Book Antiqua"/>
          <w:b/>
          <w:bCs/>
          <w:color w:val="000000"/>
        </w:rPr>
        <w:t>9</w:t>
      </w:r>
      <w:r w:rsidRPr="00B729CD">
        <w:rPr>
          <w:rFonts w:ascii="Book Antiqua" w:eastAsia="Book Antiqua" w:hAnsi="Book Antiqua" w:cs="Book Antiqua"/>
          <w:color w:val="000000"/>
        </w:rPr>
        <w:t>: 243-250 [PMID: 25788199 DOI: 10.1007/s12072-015-9614-4]</w:t>
      </w:r>
    </w:p>
    <w:p w14:paraId="451885B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16 </w:t>
      </w:r>
      <w:r w:rsidRPr="00B729CD">
        <w:rPr>
          <w:rFonts w:ascii="Book Antiqua" w:eastAsia="Book Antiqua" w:hAnsi="Book Antiqua" w:cs="Book Antiqua"/>
          <w:b/>
          <w:bCs/>
          <w:color w:val="000000"/>
        </w:rPr>
        <w:t>Tatar B</w:t>
      </w:r>
      <w:r w:rsidRPr="00B729CD">
        <w:rPr>
          <w:rFonts w:ascii="Book Antiqua" w:eastAsia="Book Antiqua" w:hAnsi="Book Antiqua" w:cs="Book Antiqua"/>
          <w:color w:val="000000"/>
        </w:rPr>
        <w:t xml:space="preserve">, </w:t>
      </w:r>
      <w:proofErr w:type="spellStart"/>
      <w:r w:rsidRPr="00B729CD">
        <w:rPr>
          <w:rFonts w:ascii="Book Antiqua" w:eastAsia="Book Antiqua" w:hAnsi="Book Antiqua" w:cs="Book Antiqua"/>
          <w:color w:val="000000"/>
        </w:rPr>
        <w:t>Gül</w:t>
      </w:r>
      <w:proofErr w:type="spellEnd"/>
      <w:r w:rsidRPr="00B729CD">
        <w:rPr>
          <w:rFonts w:ascii="Book Antiqua" w:eastAsia="Book Antiqua" w:hAnsi="Book Antiqua" w:cs="Book Antiqua"/>
          <w:color w:val="000000"/>
        </w:rPr>
        <w:t xml:space="preserve"> S, </w:t>
      </w:r>
      <w:proofErr w:type="spellStart"/>
      <w:r w:rsidRPr="00B729CD">
        <w:rPr>
          <w:rFonts w:ascii="Book Antiqua" w:eastAsia="Book Antiqua" w:hAnsi="Book Antiqua" w:cs="Book Antiqua"/>
          <w:color w:val="000000"/>
        </w:rPr>
        <w:t>Köse</w:t>
      </w:r>
      <w:proofErr w:type="spellEnd"/>
      <w:r w:rsidRPr="00B729CD">
        <w:rPr>
          <w:rFonts w:ascii="Book Antiqua" w:eastAsia="Book Antiqua" w:hAnsi="Book Antiqua" w:cs="Book Antiqua"/>
          <w:color w:val="000000"/>
        </w:rPr>
        <w:t xml:space="preserve"> Ş, Pala E. Long-Term Effects of Tenofovir on Liver Histopathology in Patients with Chronic Viral Hepatitis B Infection. </w:t>
      </w:r>
      <w:r w:rsidRPr="00B729CD">
        <w:rPr>
          <w:rFonts w:ascii="Book Antiqua" w:eastAsia="Book Antiqua" w:hAnsi="Book Antiqua" w:cs="Book Antiqua"/>
          <w:i/>
          <w:iCs/>
          <w:color w:val="000000"/>
        </w:rPr>
        <w:t xml:space="preserve">Turk </w:t>
      </w:r>
      <w:proofErr w:type="spellStart"/>
      <w:r w:rsidRPr="00B729CD">
        <w:rPr>
          <w:rFonts w:ascii="Book Antiqua" w:eastAsia="Book Antiqua" w:hAnsi="Book Antiqua" w:cs="Book Antiqua"/>
          <w:i/>
          <w:iCs/>
          <w:color w:val="000000"/>
        </w:rPr>
        <w:t>Patoloji</w:t>
      </w:r>
      <w:proofErr w:type="spellEnd"/>
      <w:r w:rsidRPr="00B729CD">
        <w:rPr>
          <w:rFonts w:ascii="Book Antiqua" w:eastAsia="Book Antiqua" w:hAnsi="Book Antiqua" w:cs="Book Antiqua"/>
          <w:i/>
          <w:iCs/>
          <w:color w:val="000000"/>
        </w:rPr>
        <w:t xml:space="preserve"> </w:t>
      </w:r>
      <w:proofErr w:type="spellStart"/>
      <w:r w:rsidRPr="00B729CD">
        <w:rPr>
          <w:rFonts w:ascii="Book Antiqua" w:eastAsia="Book Antiqua" w:hAnsi="Book Antiqua" w:cs="Book Antiqua"/>
          <w:i/>
          <w:iCs/>
          <w:color w:val="000000"/>
        </w:rPr>
        <w:t>Derg</w:t>
      </w:r>
      <w:proofErr w:type="spellEnd"/>
      <w:r w:rsidRPr="00B729CD">
        <w:rPr>
          <w:rFonts w:ascii="Book Antiqua" w:eastAsia="Book Antiqua" w:hAnsi="Book Antiqua" w:cs="Book Antiqua"/>
          <w:color w:val="000000"/>
        </w:rPr>
        <w:t xml:space="preserve"> 2020; </w:t>
      </w:r>
      <w:r w:rsidRPr="00B729CD">
        <w:rPr>
          <w:rFonts w:ascii="Book Antiqua" w:eastAsia="Book Antiqua" w:hAnsi="Book Antiqua" w:cs="Book Antiqua"/>
          <w:b/>
          <w:bCs/>
          <w:color w:val="000000"/>
        </w:rPr>
        <w:t>1</w:t>
      </w:r>
      <w:r w:rsidRPr="00B729CD">
        <w:rPr>
          <w:rFonts w:ascii="Book Antiqua" w:eastAsia="Book Antiqua" w:hAnsi="Book Antiqua" w:cs="Book Antiqua"/>
          <w:color w:val="000000"/>
        </w:rPr>
        <w:t>: 154-158 [PMID: 32149362 DOI: 10.5146/tjpath.2020.01478]</w:t>
      </w:r>
    </w:p>
    <w:bookmarkEnd w:id="16"/>
    <w:bookmarkEnd w:id="17"/>
    <w:p w14:paraId="58CE0881" w14:textId="77777777" w:rsidR="00A77B3E" w:rsidRPr="00B729CD" w:rsidRDefault="00A77B3E" w:rsidP="00B729CD">
      <w:pPr>
        <w:adjustRightInd w:val="0"/>
        <w:snapToGrid w:val="0"/>
        <w:spacing w:line="360" w:lineRule="auto"/>
        <w:jc w:val="both"/>
        <w:rPr>
          <w:rFonts w:ascii="Book Antiqua" w:hAnsi="Book Antiqua"/>
        </w:rPr>
        <w:sectPr w:rsidR="00A77B3E" w:rsidRPr="00B729CD" w:rsidSect="00B858BC">
          <w:type w:val="continuous"/>
          <w:pgSz w:w="12240" w:h="15840"/>
          <w:pgMar w:top="1440" w:right="1800" w:bottom="1440" w:left="1800" w:header="720" w:footer="720" w:gutter="0"/>
          <w:cols w:space="720"/>
          <w:docGrid w:linePitch="360"/>
        </w:sectPr>
      </w:pPr>
    </w:p>
    <w:p w14:paraId="35CCE278" w14:textId="77777777" w:rsidR="00040424" w:rsidRPr="00B729CD" w:rsidRDefault="00040424" w:rsidP="00B729CD">
      <w:pPr>
        <w:snapToGrid w:val="0"/>
        <w:spacing w:line="360" w:lineRule="auto"/>
        <w:jc w:val="both"/>
        <w:rPr>
          <w:rFonts w:ascii="Book Antiqua" w:eastAsia="Book Antiqua" w:hAnsi="Book Antiqua" w:cs="Book Antiqua"/>
          <w:b/>
          <w:color w:val="000000"/>
        </w:rPr>
      </w:pPr>
      <w:r w:rsidRPr="00B729CD">
        <w:rPr>
          <w:rFonts w:ascii="Book Antiqua" w:eastAsia="Book Antiqua" w:hAnsi="Book Antiqua" w:cs="Book Antiqua"/>
          <w:b/>
          <w:color w:val="000000"/>
        </w:rPr>
        <w:br w:type="page"/>
      </w:r>
    </w:p>
    <w:p w14:paraId="73292CF4" w14:textId="4027113B"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lastRenderedPageBreak/>
        <w:t>Footnotes</w:t>
      </w:r>
    </w:p>
    <w:p w14:paraId="0DAE82A8" w14:textId="2CBA049E" w:rsidR="00A77B3E" w:rsidRDefault="00AB6A0E" w:rsidP="00B729CD">
      <w:pPr>
        <w:adjustRightInd w:val="0"/>
        <w:snapToGrid w:val="0"/>
        <w:spacing w:line="360" w:lineRule="auto"/>
        <w:jc w:val="both"/>
        <w:rPr>
          <w:rFonts w:ascii="Book Antiqua" w:eastAsia="Book Antiqua" w:hAnsi="Book Antiqua" w:cs="Book Antiqua"/>
          <w:color w:val="000000"/>
        </w:rPr>
      </w:pPr>
      <w:r w:rsidRPr="00B729CD">
        <w:rPr>
          <w:rFonts w:ascii="Book Antiqua" w:eastAsia="Book Antiqua" w:hAnsi="Book Antiqua" w:cs="Book Antiqua"/>
          <w:b/>
          <w:bCs/>
          <w:color w:val="000000"/>
        </w:rPr>
        <w:t xml:space="preserve">Institutional review board statement: </w:t>
      </w:r>
      <w:bookmarkStart w:id="18" w:name="OLE_LINK18"/>
      <w:bookmarkStart w:id="19" w:name="OLE_LINK19"/>
      <w:r w:rsidRPr="00B729CD">
        <w:rPr>
          <w:rFonts w:ascii="Book Antiqua" w:eastAsia="Book Antiqua" w:hAnsi="Book Antiqua" w:cs="Book Antiqua"/>
          <w:color w:val="000000"/>
        </w:rPr>
        <w:t xml:space="preserve">This retrospective study was </w:t>
      </w:r>
      <w:proofErr w:type="spellStart"/>
      <w:r w:rsidRPr="00B729CD">
        <w:rPr>
          <w:rFonts w:ascii="Book Antiqua" w:eastAsia="Book Antiqua" w:hAnsi="Book Antiqua" w:cs="Book Antiqua"/>
          <w:color w:val="000000"/>
        </w:rPr>
        <w:t>organised</w:t>
      </w:r>
      <w:proofErr w:type="spellEnd"/>
      <w:r w:rsidRPr="00B729CD">
        <w:rPr>
          <w:rFonts w:ascii="Book Antiqua" w:eastAsia="Book Antiqua" w:hAnsi="Book Antiqua" w:cs="Book Antiqua"/>
          <w:color w:val="000000"/>
        </w:rPr>
        <w:t xml:space="preserve"> in accordance with the Helsinki Declaration. Local ethics committee approval was obtained (</w:t>
      </w:r>
      <w:r w:rsidR="00AA671A">
        <w:rPr>
          <w:rFonts w:ascii="Book Antiqua" w:eastAsia="Book Antiqua" w:hAnsi="Book Antiqua" w:cs="Book Antiqua"/>
          <w:color w:val="000000"/>
        </w:rPr>
        <w:t xml:space="preserve">No. </w:t>
      </w:r>
      <w:r w:rsidRPr="00B729CD">
        <w:rPr>
          <w:rFonts w:ascii="Book Antiqua" w:eastAsia="Book Antiqua" w:hAnsi="Book Antiqua" w:cs="Book Antiqua"/>
          <w:color w:val="000000"/>
        </w:rPr>
        <w:t>11.03.2020-52/756).</w:t>
      </w:r>
    </w:p>
    <w:p w14:paraId="774FEC2C" w14:textId="0BFEA087" w:rsidR="00AA671A" w:rsidRDefault="00AA671A" w:rsidP="00B729CD">
      <w:pPr>
        <w:adjustRightInd w:val="0"/>
        <w:snapToGrid w:val="0"/>
        <w:spacing w:line="360" w:lineRule="auto"/>
        <w:jc w:val="both"/>
        <w:rPr>
          <w:rFonts w:ascii="Book Antiqua" w:eastAsia="Book Antiqua" w:hAnsi="Book Antiqua" w:cs="Book Antiqua"/>
          <w:color w:val="000000"/>
        </w:rPr>
      </w:pPr>
    </w:p>
    <w:p w14:paraId="42610620" w14:textId="7957909C" w:rsidR="00AA671A" w:rsidRPr="00AA671A" w:rsidRDefault="00AA671A" w:rsidP="00B729CD">
      <w:pPr>
        <w:adjustRightInd w:val="0"/>
        <w:snapToGrid w:val="0"/>
        <w:spacing w:line="360" w:lineRule="auto"/>
        <w:jc w:val="both"/>
        <w:rPr>
          <w:rFonts w:ascii="Book Antiqua" w:hAnsi="Book Antiqua"/>
          <w:b/>
        </w:rPr>
      </w:pPr>
      <w:r w:rsidRPr="00A37D48">
        <w:rPr>
          <w:rFonts w:ascii="Book Antiqua" w:hAnsi="Book Antiqua"/>
          <w:b/>
        </w:rPr>
        <w:t>Informed consent statement</w:t>
      </w:r>
      <w:r w:rsidRPr="00A37D48">
        <w:rPr>
          <w:rFonts w:ascii="Book Antiqua" w:hAnsi="Book Antiqua"/>
          <w:b/>
          <w:iCs/>
          <w:color w:val="000000"/>
        </w:rPr>
        <w:t xml:space="preserve">: </w:t>
      </w:r>
      <w:bookmarkStart w:id="20" w:name="OLE_LINK1781"/>
      <w:bookmarkStart w:id="21" w:name="OLE_LINK1782"/>
      <w:r w:rsidRPr="00A37D48">
        <w:rPr>
          <w:rFonts w:ascii="Book Antiqua" w:hAnsi="Book Antiqua"/>
        </w:rPr>
        <w:t xml:space="preserve">Patients were not required to give informed consent to the study because the analysis used anonymous clinical data that were obtained after each patient agreed to treatment by written consent. </w:t>
      </w:r>
      <w:bookmarkEnd w:id="20"/>
      <w:bookmarkEnd w:id="21"/>
    </w:p>
    <w:bookmarkEnd w:id="18"/>
    <w:bookmarkEnd w:id="19"/>
    <w:p w14:paraId="7AD71DCD" w14:textId="77777777" w:rsidR="00A77B3E" w:rsidRPr="00B729CD" w:rsidRDefault="00A77B3E" w:rsidP="00B729CD">
      <w:pPr>
        <w:adjustRightInd w:val="0"/>
        <w:snapToGrid w:val="0"/>
        <w:spacing w:line="360" w:lineRule="auto"/>
        <w:jc w:val="both"/>
        <w:rPr>
          <w:rFonts w:ascii="Book Antiqua" w:hAnsi="Book Antiqua"/>
        </w:rPr>
      </w:pPr>
    </w:p>
    <w:p w14:paraId="299F3936"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Conflict-of-interest statement: </w:t>
      </w:r>
      <w:r w:rsidRPr="00B729CD">
        <w:rPr>
          <w:rFonts w:ascii="Book Antiqua" w:eastAsia="Book Antiqua" w:hAnsi="Book Antiqua" w:cs="Book Antiqua"/>
          <w:color w:val="000000"/>
        </w:rPr>
        <w:t xml:space="preserve">For all of authors of this manuscript, there is no </w:t>
      </w:r>
      <w:r w:rsidRPr="00B729CD">
        <w:rPr>
          <w:rFonts w:ascii="Book Antiqua" w:eastAsia="Book Antiqua" w:hAnsi="Book Antiqua" w:cs="Book Antiqua"/>
          <w:color w:val="000000"/>
          <w:shd w:val="clear" w:color="auto" w:fill="FFFFFF"/>
        </w:rPr>
        <w:t>potential, personal,</w:t>
      </w:r>
      <w:r w:rsidRPr="00B729CD">
        <w:rPr>
          <w:rFonts w:ascii="Book Antiqua" w:eastAsia="Book Antiqua" w:hAnsi="Book Antiqua" w:cs="Book Antiqua"/>
          <w:color w:val="000000"/>
        </w:rPr>
        <w:t xml:space="preserve"> financial arrangement (</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employment, consultancies, honoraria, stock ownership or options, expert testimony, grants/patents received, and royalties) with a company whose product figures prominently in the submitted manuscript or with a company that makes a competing product.</w:t>
      </w:r>
    </w:p>
    <w:p w14:paraId="5C628A48" w14:textId="77777777" w:rsidR="00A77B3E" w:rsidRPr="00B729CD" w:rsidRDefault="00A77B3E" w:rsidP="00B729CD">
      <w:pPr>
        <w:adjustRightInd w:val="0"/>
        <w:snapToGrid w:val="0"/>
        <w:spacing w:line="360" w:lineRule="auto"/>
        <w:jc w:val="both"/>
        <w:rPr>
          <w:rFonts w:ascii="Book Antiqua" w:hAnsi="Book Antiqua"/>
        </w:rPr>
      </w:pPr>
    </w:p>
    <w:p w14:paraId="4B5FD8CD"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Data sharing statement: </w:t>
      </w:r>
      <w:r w:rsidRPr="00B729CD">
        <w:rPr>
          <w:rFonts w:ascii="Book Antiqua" w:eastAsia="Book Antiqua" w:hAnsi="Book Antiqua" w:cs="Book Antiqua"/>
          <w:color w:val="000000"/>
          <w:shd w:val="clear" w:color="auto" w:fill="FFFFFF"/>
        </w:rPr>
        <w:t>No additional data are available.</w:t>
      </w:r>
    </w:p>
    <w:p w14:paraId="370D18D9" w14:textId="77777777" w:rsidR="00A77B3E" w:rsidRPr="00B729CD" w:rsidRDefault="00A77B3E" w:rsidP="00B729CD">
      <w:pPr>
        <w:adjustRightInd w:val="0"/>
        <w:snapToGrid w:val="0"/>
        <w:spacing w:line="360" w:lineRule="auto"/>
        <w:jc w:val="both"/>
        <w:rPr>
          <w:rFonts w:ascii="Book Antiqua" w:hAnsi="Book Antiqua"/>
        </w:rPr>
      </w:pPr>
    </w:p>
    <w:p w14:paraId="0C7F17A6"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Open-Access: </w:t>
      </w:r>
      <w:r w:rsidRPr="00B729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729CD">
        <w:rPr>
          <w:rFonts w:ascii="Book Antiqua" w:eastAsia="Book Antiqua" w:hAnsi="Book Antiqua" w:cs="Book Antiqua"/>
          <w:color w:val="000000"/>
        </w:rPr>
        <w:t>NonCommercial</w:t>
      </w:r>
      <w:proofErr w:type="spellEnd"/>
      <w:r w:rsidRPr="00B729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BAF47B" w14:textId="77777777" w:rsidR="00A77B3E" w:rsidRPr="00B729CD" w:rsidRDefault="00A77B3E" w:rsidP="00B729CD">
      <w:pPr>
        <w:adjustRightInd w:val="0"/>
        <w:snapToGrid w:val="0"/>
        <w:spacing w:line="360" w:lineRule="auto"/>
        <w:jc w:val="both"/>
        <w:rPr>
          <w:rFonts w:ascii="Book Antiqua" w:hAnsi="Book Antiqua"/>
        </w:rPr>
      </w:pPr>
    </w:p>
    <w:p w14:paraId="5941B680" w14:textId="4F33C692" w:rsidR="00A77B3E" w:rsidRPr="00B729CD" w:rsidRDefault="00AB6A0E" w:rsidP="00B729CD">
      <w:pPr>
        <w:adjustRightInd w:val="0"/>
        <w:snapToGrid w:val="0"/>
        <w:spacing w:line="360" w:lineRule="auto"/>
        <w:jc w:val="both"/>
        <w:rPr>
          <w:rFonts w:ascii="Book Antiqua" w:eastAsia="Book Antiqua" w:hAnsi="Book Antiqua" w:cs="Book Antiqua"/>
          <w:color w:val="000000"/>
        </w:rPr>
      </w:pPr>
      <w:r w:rsidRPr="00B729CD">
        <w:rPr>
          <w:rFonts w:ascii="Book Antiqua" w:eastAsia="Book Antiqua" w:hAnsi="Book Antiqua" w:cs="Book Antiqua"/>
          <w:b/>
          <w:color w:val="000000"/>
        </w:rPr>
        <w:t xml:space="preserve">Manuscript source: </w:t>
      </w:r>
      <w:r w:rsidRPr="00B729CD">
        <w:rPr>
          <w:rFonts w:ascii="Book Antiqua" w:eastAsia="Book Antiqua" w:hAnsi="Book Antiqua" w:cs="Book Antiqua"/>
          <w:color w:val="000000"/>
        </w:rPr>
        <w:t xml:space="preserve">Invited </w:t>
      </w:r>
      <w:r w:rsidR="00040424" w:rsidRPr="00B729CD">
        <w:rPr>
          <w:rFonts w:ascii="Book Antiqua" w:eastAsia="Book Antiqua" w:hAnsi="Book Antiqua" w:cs="Book Antiqua"/>
          <w:color w:val="000000"/>
        </w:rPr>
        <w:t>manuscript</w:t>
      </w:r>
    </w:p>
    <w:p w14:paraId="1018EDDD" w14:textId="77777777" w:rsidR="00040424" w:rsidRPr="00B729CD" w:rsidRDefault="00040424" w:rsidP="00B729CD">
      <w:pPr>
        <w:adjustRightInd w:val="0"/>
        <w:snapToGrid w:val="0"/>
        <w:spacing w:line="360" w:lineRule="auto"/>
        <w:jc w:val="both"/>
        <w:rPr>
          <w:rFonts w:ascii="Book Antiqua" w:hAnsi="Book Antiqua"/>
        </w:rPr>
      </w:pPr>
    </w:p>
    <w:p w14:paraId="49031F99" w14:textId="3D96EC10"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Corresponding Author's Membership in Professional Societies: </w:t>
      </w:r>
      <w:bookmarkStart w:id="22" w:name="OLE_LINK5"/>
      <w:r w:rsidR="0008721C" w:rsidRPr="00B729CD">
        <w:rPr>
          <w:rFonts w:ascii="Book Antiqua" w:eastAsia="Book Antiqua" w:hAnsi="Book Antiqua" w:cs="Book Antiqua"/>
          <w:color w:val="000000"/>
        </w:rPr>
        <w:t>European Association for the Study of the Liver</w:t>
      </w:r>
      <w:bookmarkEnd w:id="22"/>
      <w:r w:rsidRPr="00B729CD">
        <w:rPr>
          <w:rFonts w:ascii="Book Antiqua" w:eastAsia="Book Antiqua" w:hAnsi="Book Antiqua" w:cs="Book Antiqua"/>
          <w:color w:val="000000"/>
        </w:rPr>
        <w:t>.</w:t>
      </w:r>
    </w:p>
    <w:p w14:paraId="17E00BEC" w14:textId="77777777" w:rsidR="00A77B3E" w:rsidRPr="00B729CD" w:rsidRDefault="00A77B3E" w:rsidP="00B729CD">
      <w:pPr>
        <w:adjustRightInd w:val="0"/>
        <w:snapToGrid w:val="0"/>
        <w:spacing w:line="360" w:lineRule="auto"/>
        <w:jc w:val="both"/>
        <w:rPr>
          <w:rFonts w:ascii="Book Antiqua" w:hAnsi="Book Antiqua"/>
        </w:rPr>
      </w:pPr>
    </w:p>
    <w:p w14:paraId="0936205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lastRenderedPageBreak/>
        <w:t xml:space="preserve">Peer-review started: </w:t>
      </w:r>
      <w:r w:rsidRPr="00B729CD">
        <w:rPr>
          <w:rFonts w:ascii="Book Antiqua" w:eastAsia="Book Antiqua" w:hAnsi="Book Antiqua" w:cs="Book Antiqua"/>
          <w:color w:val="000000"/>
        </w:rPr>
        <w:t>December 18, 2020</w:t>
      </w:r>
    </w:p>
    <w:p w14:paraId="7C82BD7B"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First decision: </w:t>
      </w:r>
      <w:r w:rsidRPr="00B729CD">
        <w:rPr>
          <w:rFonts w:ascii="Book Antiqua" w:eastAsia="Book Antiqua" w:hAnsi="Book Antiqua" w:cs="Book Antiqua"/>
          <w:color w:val="000000"/>
        </w:rPr>
        <w:t>January 10, 2021</w:t>
      </w:r>
    </w:p>
    <w:p w14:paraId="3EAC13C4"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Article in press: </w:t>
      </w:r>
    </w:p>
    <w:p w14:paraId="6A7F183F" w14:textId="77777777" w:rsidR="00A77B3E" w:rsidRPr="00B729CD" w:rsidRDefault="00A77B3E" w:rsidP="00B729CD">
      <w:pPr>
        <w:adjustRightInd w:val="0"/>
        <w:snapToGrid w:val="0"/>
        <w:spacing w:line="360" w:lineRule="auto"/>
        <w:jc w:val="both"/>
        <w:rPr>
          <w:rFonts w:ascii="Book Antiqua" w:hAnsi="Book Antiqua"/>
        </w:rPr>
      </w:pPr>
    </w:p>
    <w:p w14:paraId="28D2251F" w14:textId="46B7277A"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Specialty type: </w:t>
      </w:r>
      <w:r w:rsidRPr="00B729CD">
        <w:rPr>
          <w:rFonts w:ascii="Book Antiqua" w:eastAsia="Book Antiqua" w:hAnsi="Book Antiqua" w:cs="Book Antiqua"/>
          <w:color w:val="000000"/>
        </w:rPr>
        <w:t xml:space="preserve">Gastroenterology and </w:t>
      </w:r>
      <w:r w:rsidR="00040424" w:rsidRPr="00B729CD">
        <w:rPr>
          <w:rFonts w:ascii="Book Antiqua" w:eastAsia="Book Antiqua" w:hAnsi="Book Antiqua" w:cs="Book Antiqua"/>
          <w:color w:val="000000"/>
        </w:rPr>
        <w:t>hepatology</w:t>
      </w:r>
    </w:p>
    <w:p w14:paraId="20E6CFE2"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Country/Territory of origin: </w:t>
      </w:r>
      <w:r w:rsidRPr="00B729CD">
        <w:rPr>
          <w:rFonts w:ascii="Book Antiqua" w:eastAsia="Book Antiqua" w:hAnsi="Book Antiqua" w:cs="Book Antiqua"/>
          <w:color w:val="000000"/>
        </w:rPr>
        <w:t>Turkey</w:t>
      </w:r>
    </w:p>
    <w:p w14:paraId="51C1DEBA"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Peer-review report’s scientific quality classification</w:t>
      </w:r>
    </w:p>
    <w:p w14:paraId="158A664E"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Grade A (Excellent): 0</w:t>
      </w:r>
    </w:p>
    <w:p w14:paraId="798384EA" w14:textId="21364B89"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Grade B (Very good):</w:t>
      </w:r>
      <w:r w:rsidR="00101092" w:rsidRPr="00B729CD">
        <w:rPr>
          <w:rFonts w:ascii="Book Antiqua" w:eastAsia="Book Antiqua" w:hAnsi="Book Antiqua" w:cs="Book Antiqua"/>
          <w:color w:val="000000"/>
        </w:rPr>
        <w:t xml:space="preserve"> 0</w:t>
      </w:r>
    </w:p>
    <w:p w14:paraId="458F0942" w14:textId="40ABEC1A"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Grade C (Good): C</w:t>
      </w:r>
      <w:r w:rsidR="00AA671A">
        <w:rPr>
          <w:rFonts w:ascii="Book Antiqua" w:eastAsia="Book Antiqua" w:hAnsi="Book Antiqua" w:cs="Book Antiqua"/>
          <w:color w:val="000000"/>
        </w:rPr>
        <w:t>, B</w:t>
      </w:r>
    </w:p>
    <w:p w14:paraId="1B62F362"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Grade D (Fair): 0</w:t>
      </w:r>
    </w:p>
    <w:p w14:paraId="3E1FB83D"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Grade E (Poor): 0</w:t>
      </w:r>
    </w:p>
    <w:p w14:paraId="61EBDA7E" w14:textId="77777777" w:rsidR="00A77B3E" w:rsidRPr="00B729CD" w:rsidRDefault="00A77B3E" w:rsidP="00B729CD">
      <w:pPr>
        <w:adjustRightInd w:val="0"/>
        <w:snapToGrid w:val="0"/>
        <w:spacing w:line="360" w:lineRule="auto"/>
        <w:jc w:val="both"/>
        <w:rPr>
          <w:rFonts w:ascii="Book Antiqua" w:hAnsi="Book Antiqua"/>
        </w:rPr>
      </w:pPr>
    </w:p>
    <w:p w14:paraId="302A07EA" w14:textId="431C2F67" w:rsidR="00A77B3E" w:rsidRPr="00B729CD" w:rsidRDefault="00AB6A0E" w:rsidP="00B729CD">
      <w:pPr>
        <w:adjustRightInd w:val="0"/>
        <w:snapToGrid w:val="0"/>
        <w:spacing w:line="360" w:lineRule="auto"/>
        <w:jc w:val="both"/>
        <w:rPr>
          <w:rFonts w:ascii="Book Antiqua" w:hAnsi="Book Antiqua"/>
        </w:rPr>
        <w:sectPr w:rsidR="00A77B3E" w:rsidRPr="00B729CD" w:rsidSect="00B858BC">
          <w:type w:val="continuous"/>
          <w:pgSz w:w="12240" w:h="15840"/>
          <w:pgMar w:top="1440" w:right="1800" w:bottom="1440" w:left="1800" w:header="720" w:footer="720" w:gutter="0"/>
          <w:cols w:space="720"/>
          <w:docGrid w:linePitch="360"/>
        </w:sectPr>
      </w:pPr>
      <w:r w:rsidRPr="00B729CD">
        <w:rPr>
          <w:rFonts w:ascii="Book Antiqua" w:eastAsia="Book Antiqua" w:hAnsi="Book Antiqua" w:cs="Book Antiqua"/>
          <w:b/>
          <w:color w:val="000000"/>
        </w:rPr>
        <w:t xml:space="preserve">P-Reviewer: </w:t>
      </w:r>
      <w:proofErr w:type="spellStart"/>
      <w:r w:rsidRPr="00B729CD">
        <w:rPr>
          <w:rFonts w:ascii="Book Antiqua" w:eastAsia="Book Antiqua" w:hAnsi="Book Antiqua" w:cs="Book Antiqua"/>
          <w:color w:val="000000"/>
        </w:rPr>
        <w:t>Manrai</w:t>
      </w:r>
      <w:proofErr w:type="spellEnd"/>
      <w:r w:rsidRPr="00B729CD">
        <w:rPr>
          <w:rFonts w:ascii="Book Antiqua" w:eastAsia="Book Antiqua" w:hAnsi="Book Antiqua" w:cs="Book Antiqua"/>
          <w:color w:val="000000"/>
        </w:rPr>
        <w:t xml:space="preserve"> M</w:t>
      </w:r>
      <w:r w:rsidRPr="00B729CD">
        <w:rPr>
          <w:rFonts w:ascii="Book Antiqua" w:eastAsia="Book Antiqua" w:hAnsi="Book Antiqua" w:cs="Book Antiqua"/>
          <w:b/>
          <w:color w:val="000000"/>
        </w:rPr>
        <w:t xml:space="preserve"> S-Editor: </w:t>
      </w:r>
      <w:r w:rsidRPr="00B729CD">
        <w:rPr>
          <w:rFonts w:ascii="Book Antiqua" w:eastAsia="Book Antiqua" w:hAnsi="Book Antiqua" w:cs="Book Antiqua"/>
          <w:color w:val="000000"/>
        </w:rPr>
        <w:t>Zhang L</w:t>
      </w:r>
      <w:r w:rsidRPr="00B729CD">
        <w:rPr>
          <w:rFonts w:ascii="Book Antiqua" w:eastAsia="Book Antiqua" w:hAnsi="Book Antiqua" w:cs="Book Antiqua"/>
          <w:b/>
          <w:color w:val="000000"/>
        </w:rPr>
        <w:t xml:space="preserve"> L-Editor: P-Editor: </w:t>
      </w:r>
    </w:p>
    <w:p w14:paraId="6DD58F3C" w14:textId="77777777" w:rsidR="00040424" w:rsidRPr="00B729CD" w:rsidRDefault="00040424" w:rsidP="00B729CD">
      <w:pPr>
        <w:snapToGrid w:val="0"/>
        <w:spacing w:line="360" w:lineRule="auto"/>
        <w:jc w:val="both"/>
        <w:rPr>
          <w:rFonts w:ascii="Book Antiqua" w:eastAsia="Book Antiqua" w:hAnsi="Book Antiqua" w:cs="Book Antiqua"/>
          <w:b/>
          <w:color w:val="000000"/>
        </w:rPr>
      </w:pPr>
      <w:r w:rsidRPr="00B729CD">
        <w:rPr>
          <w:rFonts w:ascii="Book Antiqua" w:eastAsia="Book Antiqua" w:hAnsi="Book Antiqua" w:cs="Book Antiqua"/>
          <w:b/>
          <w:color w:val="000000"/>
        </w:rPr>
        <w:br w:type="page"/>
      </w:r>
    </w:p>
    <w:p w14:paraId="577E6450" w14:textId="7B725FE3" w:rsidR="00A77B3E" w:rsidRPr="00B729CD" w:rsidRDefault="00AB6A0E" w:rsidP="00B729CD">
      <w:pPr>
        <w:adjustRightInd w:val="0"/>
        <w:snapToGrid w:val="0"/>
        <w:spacing w:line="360" w:lineRule="auto"/>
        <w:jc w:val="both"/>
        <w:rPr>
          <w:rFonts w:ascii="Book Antiqua" w:eastAsia="Book Antiqua" w:hAnsi="Book Antiqua" w:cs="Book Antiqua"/>
          <w:b/>
          <w:color w:val="000000"/>
        </w:rPr>
      </w:pPr>
      <w:r w:rsidRPr="00B729CD">
        <w:rPr>
          <w:rFonts w:ascii="Book Antiqua" w:eastAsia="Book Antiqua" w:hAnsi="Book Antiqua" w:cs="Book Antiqua"/>
          <w:b/>
          <w:color w:val="000000"/>
        </w:rPr>
        <w:lastRenderedPageBreak/>
        <w:t>Figure Legends</w:t>
      </w:r>
    </w:p>
    <w:p w14:paraId="2668B1EC" w14:textId="18F45196" w:rsidR="00082436" w:rsidRPr="00B729CD" w:rsidRDefault="0008721C" w:rsidP="00B729CD">
      <w:pPr>
        <w:adjustRightInd w:val="0"/>
        <w:snapToGrid w:val="0"/>
        <w:spacing w:line="360" w:lineRule="auto"/>
        <w:jc w:val="both"/>
        <w:rPr>
          <w:rFonts w:ascii="Book Antiqua" w:hAnsi="Book Antiqua"/>
        </w:rPr>
      </w:pPr>
      <w:r w:rsidRPr="00B729CD">
        <w:rPr>
          <w:rFonts w:ascii="Book Antiqua" w:hAnsi="Book Antiqua"/>
          <w:noProof/>
          <w:lang w:eastAsia="zh-CN"/>
        </w:rPr>
        <w:drawing>
          <wp:inline distT="0" distB="0" distL="0" distR="0" wp14:anchorId="6FEAA801" wp14:editId="671A85B9">
            <wp:extent cx="5486400" cy="43408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4340860"/>
                    </a:xfrm>
                    <a:prstGeom prst="rect">
                      <a:avLst/>
                    </a:prstGeom>
                  </pic:spPr>
                </pic:pic>
              </a:graphicData>
            </a:graphic>
          </wp:inline>
        </w:drawing>
      </w:r>
    </w:p>
    <w:p w14:paraId="26DB35C5" w14:textId="1E8D88EC" w:rsidR="00A77B3E" w:rsidRPr="00B729CD" w:rsidRDefault="00AB6A0E" w:rsidP="00B729CD">
      <w:pPr>
        <w:adjustRightInd w:val="0"/>
        <w:snapToGrid w:val="0"/>
        <w:spacing w:line="360" w:lineRule="auto"/>
        <w:jc w:val="both"/>
        <w:rPr>
          <w:rFonts w:ascii="Book Antiqua" w:hAnsi="Book Antiqua"/>
          <w:bCs/>
        </w:rPr>
      </w:pPr>
      <w:bookmarkStart w:id="23" w:name="OLE_LINK20"/>
      <w:bookmarkStart w:id="24" w:name="OLE_LINK21"/>
      <w:r w:rsidRPr="00B729CD">
        <w:rPr>
          <w:rFonts w:ascii="Book Antiqua" w:eastAsia="Book Antiqua" w:hAnsi="Book Antiqua" w:cs="Book Antiqua"/>
          <w:b/>
          <w:bCs/>
          <w:color w:val="000000"/>
        </w:rPr>
        <w:t>Figure 1 Ishak scores of the patients before and after treatmen</w:t>
      </w:r>
      <w:r w:rsidR="00AA671A">
        <w:rPr>
          <w:rFonts w:ascii="Book Antiqua" w:eastAsia="Book Antiqua" w:hAnsi="Book Antiqua" w:cs="Book Antiqua"/>
          <w:b/>
          <w:bCs/>
          <w:color w:val="000000"/>
        </w:rPr>
        <w:t>t</w:t>
      </w:r>
      <w:r w:rsidRPr="00B729CD">
        <w:rPr>
          <w:rFonts w:ascii="Book Antiqua" w:eastAsia="Book Antiqua" w:hAnsi="Book Antiqua" w:cs="Book Antiqua"/>
          <w:b/>
          <w:bCs/>
          <w:color w:val="000000"/>
        </w:rPr>
        <w:t>.</w:t>
      </w:r>
      <w:r w:rsidR="0008721C" w:rsidRPr="00B729CD">
        <w:rPr>
          <w:rFonts w:ascii="Book Antiqua" w:eastAsia="Book Antiqua" w:hAnsi="Book Antiqua" w:cs="Book Antiqua"/>
          <w:b/>
          <w:bCs/>
          <w:color w:val="000000"/>
        </w:rPr>
        <w:t xml:space="preserve"> </w:t>
      </w:r>
      <w:r w:rsidR="0008721C" w:rsidRPr="00B729CD">
        <w:rPr>
          <w:rFonts w:ascii="Book Antiqua" w:eastAsia="Book Antiqua" w:hAnsi="Book Antiqua" w:cs="Book Antiqua"/>
          <w:bCs/>
          <w:color w:val="000000"/>
        </w:rPr>
        <w:t>BT: Before treatment; AT: After treatment.</w:t>
      </w:r>
    </w:p>
    <w:bookmarkEnd w:id="23"/>
    <w:bookmarkEnd w:id="24"/>
    <w:p w14:paraId="3A878221" w14:textId="7F88FD5E" w:rsidR="00082436" w:rsidRPr="00B729CD" w:rsidRDefault="00082436" w:rsidP="00B729CD">
      <w:pPr>
        <w:adjustRightInd w:val="0"/>
        <w:snapToGrid w:val="0"/>
        <w:spacing w:line="360" w:lineRule="auto"/>
        <w:jc w:val="both"/>
        <w:rPr>
          <w:rFonts w:ascii="Book Antiqua" w:eastAsia="Book Antiqua" w:hAnsi="Book Antiqua" w:cs="Book Antiqua"/>
          <w:b/>
          <w:bCs/>
          <w:color w:val="000000"/>
        </w:rPr>
      </w:pPr>
      <w:r w:rsidRPr="00B729CD">
        <w:rPr>
          <w:rFonts w:ascii="Book Antiqua" w:eastAsia="Book Antiqua" w:hAnsi="Book Antiqua" w:cs="Book Antiqua"/>
          <w:b/>
          <w:bCs/>
          <w:color w:val="000000"/>
        </w:rPr>
        <w:br w:type="page"/>
      </w:r>
    </w:p>
    <w:p w14:paraId="456D0652" w14:textId="26A8F45F" w:rsidR="0008721C" w:rsidRPr="00B729CD" w:rsidRDefault="0008721C" w:rsidP="00B729CD">
      <w:pPr>
        <w:adjustRightInd w:val="0"/>
        <w:snapToGrid w:val="0"/>
        <w:spacing w:line="360" w:lineRule="auto"/>
        <w:jc w:val="both"/>
        <w:rPr>
          <w:rFonts w:ascii="Book Antiqua" w:eastAsia="Book Antiqua" w:hAnsi="Book Antiqua" w:cs="Book Antiqua"/>
          <w:b/>
          <w:bCs/>
          <w:color w:val="000000"/>
        </w:rPr>
      </w:pPr>
      <w:r w:rsidRPr="00B729CD">
        <w:rPr>
          <w:rFonts w:ascii="Book Antiqua" w:eastAsia="Book Antiqua" w:hAnsi="Book Antiqua" w:cs="Book Antiqua"/>
          <w:b/>
          <w:bCs/>
          <w:noProof/>
          <w:color w:val="000000"/>
          <w:lang w:eastAsia="zh-CN"/>
        </w:rPr>
        <w:lastRenderedPageBreak/>
        <w:drawing>
          <wp:inline distT="0" distB="0" distL="0" distR="0" wp14:anchorId="3AB3AB38" wp14:editId="59ADE2D5">
            <wp:extent cx="5486400" cy="41478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4147820"/>
                    </a:xfrm>
                    <a:prstGeom prst="rect">
                      <a:avLst/>
                    </a:prstGeom>
                  </pic:spPr>
                </pic:pic>
              </a:graphicData>
            </a:graphic>
          </wp:inline>
        </w:drawing>
      </w:r>
    </w:p>
    <w:p w14:paraId="2BCDF830" w14:textId="31DF0A35" w:rsidR="0008721C" w:rsidRPr="00B729CD" w:rsidRDefault="00AB6A0E" w:rsidP="00B729CD">
      <w:pPr>
        <w:adjustRightInd w:val="0"/>
        <w:snapToGrid w:val="0"/>
        <w:spacing w:line="360" w:lineRule="auto"/>
        <w:jc w:val="both"/>
        <w:rPr>
          <w:rFonts w:ascii="Book Antiqua" w:hAnsi="Book Antiqua"/>
          <w:bCs/>
        </w:rPr>
      </w:pPr>
      <w:r w:rsidRPr="00B729CD">
        <w:rPr>
          <w:rFonts w:ascii="Book Antiqua" w:eastAsia="Book Antiqua" w:hAnsi="Book Antiqua" w:cs="Book Antiqua"/>
          <w:b/>
          <w:bCs/>
          <w:color w:val="000000"/>
        </w:rPr>
        <w:t>Figure 2 Histology activity index scores of the patients before and after treatment.</w:t>
      </w:r>
      <w:r w:rsidR="0008721C" w:rsidRPr="00B729CD">
        <w:rPr>
          <w:rFonts w:ascii="Book Antiqua" w:eastAsia="Book Antiqua" w:hAnsi="Book Antiqua" w:cs="Book Antiqua"/>
          <w:b/>
          <w:bCs/>
          <w:color w:val="000000"/>
        </w:rPr>
        <w:t xml:space="preserve"> </w:t>
      </w:r>
      <w:r w:rsidR="0008721C" w:rsidRPr="00B729CD">
        <w:rPr>
          <w:rFonts w:ascii="Book Antiqua" w:eastAsia="Book Antiqua" w:hAnsi="Book Antiqua" w:cs="Book Antiqua"/>
          <w:bCs/>
          <w:color w:val="000000"/>
        </w:rPr>
        <w:t>HAI:</w:t>
      </w:r>
      <w:r w:rsidR="0008721C" w:rsidRPr="00B729CD">
        <w:rPr>
          <w:rFonts w:ascii="Book Antiqua" w:eastAsia="Book Antiqua" w:hAnsi="Book Antiqua" w:cs="Book Antiqua"/>
          <w:b/>
          <w:bCs/>
          <w:color w:val="000000"/>
        </w:rPr>
        <w:t xml:space="preserve"> </w:t>
      </w:r>
      <w:r w:rsidR="0008721C" w:rsidRPr="00B729CD">
        <w:rPr>
          <w:rFonts w:ascii="Book Antiqua" w:eastAsia="Book Antiqua" w:hAnsi="Book Antiqua" w:cs="Book Antiqua"/>
          <w:color w:val="000000"/>
        </w:rPr>
        <w:t xml:space="preserve">Histologic activity index; </w:t>
      </w:r>
      <w:r w:rsidR="0008721C" w:rsidRPr="00B729CD">
        <w:rPr>
          <w:rFonts w:ascii="Book Antiqua" w:eastAsia="Book Antiqua" w:hAnsi="Book Antiqua" w:cs="Book Antiqua"/>
          <w:bCs/>
          <w:color w:val="000000"/>
        </w:rPr>
        <w:t>BT: Before treatment; AT: After treatment.</w:t>
      </w:r>
    </w:p>
    <w:p w14:paraId="466EDE96" w14:textId="7EE3E5E2" w:rsidR="007453DF" w:rsidRPr="00B729CD" w:rsidRDefault="007453DF" w:rsidP="00B729CD">
      <w:pPr>
        <w:adjustRightInd w:val="0"/>
        <w:snapToGrid w:val="0"/>
        <w:spacing w:line="360" w:lineRule="auto"/>
        <w:jc w:val="both"/>
        <w:rPr>
          <w:rFonts w:ascii="Book Antiqua" w:eastAsia="Book Antiqua" w:hAnsi="Book Antiqua" w:cs="Book Antiqua"/>
          <w:b/>
          <w:bCs/>
          <w:color w:val="000000"/>
        </w:rPr>
        <w:sectPr w:rsidR="007453DF" w:rsidRPr="00B729CD" w:rsidSect="00B858BC">
          <w:type w:val="continuous"/>
          <w:pgSz w:w="12240" w:h="15840"/>
          <w:pgMar w:top="1440" w:right="1800" w:bottom="1440" w:left="1800" w:header="720" w:footer="720" w:gutter="0"/>
          <w:cols w:space="720"/>
          <w:docGrid w:linePitch="360"/>
        </w:sectPr>
      </w:pPr>
    </w:p>
    <w:p w14:paraId="42AA7ED6" w14:textId="17367FD0" w:rsidR="00A77B3E" w:rsidRPr="00B729CD" w:rsidRDefault="0013415A" w:rsidP="00B729CD">
      <w:pPr>
        <w:adjustRightInd w:val="0"/>
        <w:snapToGrid w:val="0"/>
        <w:spacing w:line="360" w:lineRule="auto"/>
        <w:jc w:val="both"/>
        <w:rPr>
          <w:rFonts w:ascii="Book Antiqua" w:hAnsi="Book Antiqua"/>
          <w:b/>
          <w:bCs/>
        </w:rPr>
      </w:pPr>
      <w:r w:rsidRPr="00B729CD">
        <w:rPr>
          <w:rFonts w:ascii="Book Antiqua" w:hAnsi="Book Antiqua"/>
          <w:b/>
          <w:bCs/>
        </w:rPr>
        <w:lastRenderedPageBreak/>
        <w:t>Table 1 Demographics of the patients before and after treatment</w:t>
      </w:r>
    </w:p>
    <w:tbl>
      <w:tblPr>
        <w:tblW w:w="12960" w:type="dxa"/>
        <w:tblCellSpacing w:w="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889"/>
        <w:gridCol w:w="2851"/>
        <w:gridCol w:w="3218"/>
        <w:gridCol w:w="3002"/>
      </w:tblGrid>
      <w:tr w:rsidR="00C958E2" w:rsidRPr="00B729CD" w14:paraId="55B88747" w14:textId="77777777" w:rsidTr="00101092">
        <w:trPr>
          <w:tblCellSpacing w:w="0" w:type="dxa"/>
        </w:trPr>
        <w:tc>
          <w:tcPr>
            <w:tcW w:w="3889" w:type="dxa"/>
            <w:tcBorders>
              <w:top w:val="nil"/>
              <w:bottom w:val="single" w:sz="4" w:space="0" w:color="auto"/>
            </w:tcBorders>
            <w:shd w:val="clear" w:color="auto" w:fill="FFFFFF" w:themeFill="background1"/>
            <w:tcMar>
              <w:top w:w="0" w:type="dxa"/>
              <w:left w:w="108" w:type="dxa"/>
              <w:bottom w:w="0" w:type="dxa"/>
              <w:right w:w="108" w:type="dxa"/>
            </w:tcMar>
            <w:hideMark/>
          </w:tcPr>
          <w:p w14:paraId="3CE47568"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b/>
                <w:bCs/>
                <w:color w:val="000000"/>
                <w:shd w:val="clear" w:color="auto" w:fill="FFFFFF" w:themeFill="background1"/>
                <w:lang w:eastAsia="zh-CN"/>
              </w:rPr>
              <w:t> </w:t>
            </w:r>
          </w:p>
        </w:tc>
        <w:tc>
          <w:tcPr>
            <w:tcW w:w="2851" w:type="dxa"/>
            <w:tcBorders>
              <w:top w:val="nil"/>
              <w:bottom w:val="single" w:sz="4" w:space="0" w:color="auto"/>
            </w:tcBorders>
            <w:shd w:val="clear" w:color="auto" w:fill="FFFFFF" w:themeFill="background1"/>
          </w:tcPr>
          <w:p w14:paraId="494C6F52" w14:textId="77777777" w:rsidR="00C958E2" w:rsidRPr="00B729CD" w:rsidRDefault="00C958E2" w:rsidP="00B729CD">
            <w:pPr>
              <w:adjustRightInd w:val="0"/>
              <w:snapToGrid w:val="0"/>
              <w:spacing w:line="360" w:lineRule="auto"/>
              <w:jc w:val="both"/>
              <w:rPr>
                <w:rFonts w:ascii="Book Antiqua" w:eastAsia="SimSun" w:hAnsi="Book Antiqua"/>
                <w:b/>
                <w:bCs/>
                <w:color w:val="000000"/>
                <w:shd w:val="clear" w:color="auto" w:fill="FFFFFF" w:themeFill="background1"/>
                <w:lang w:eastAsia="zh-CN"/>
              </w:rPr>
            </w:pPr>
          </w:p>
        </w:tc>
        <w:tc>
          <w:tcPr>
            <w:tcW w:w="3218" w:type="dxa"/>
            <w:tcBorders>
              <w:top w:val="nil"/>
              <w:bottom w:val="single" w:sz="4" w:space="0" w:color="auto"/>
            </w:tcBorders>
            <w:shd w:val="clear" w:color="auto" w:fill="FFFFFF" w:themeFill="background1"/>
            <w:tcMar>
              <w:top w:w="0" w:type="dxa"/>
              <w:left w:w="108" w:type="dxa"/>
              <w:bottom w:w="0" w:type="dxa"/>
              <w:right w:w="108" w:type="dxa"/>
            </w:tcMar>
            <w:hideMark/>
          </w:tcPr>
          <w:p w14:paraId="2378F6B1" w14:textId="60521DC1"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b/>
                <w:bCs/>
                <w:color w:val="000000"/>
                <w:shd w:val="clear" w:color="auto" w:fill="FFFFFF" w:themeFill="background1"/>
                <w:lang w:eastAsia="zh-CN"/>
              </w:rPr>
              <w:t>Mean ± SD</w:t>
            </w:r>
          </w:p>
        </w:tc>
        <w:tc>
          <w:tcPr>
            <w:tcW w:w="3002" w:type="dxa"/>
            <w:tcBorders>
              <w:top w:val="nil"/>
              <w:bottom w:val="single" w:sz="4" w:space="0" w:color="auto"/>
            </w:tcBorders>
            <w:shd w:val="clear" w:color="auto" w:fill="FFFFFF" w:themeFill="background1"/>
            <w:tcMar>
              <w:top w:w="0" w:type="dxa"/>
              <w:left w:w="108" w:type="dxa"/>
              <w:bottom w:w="0" w:type="dxa"/>
              <w:right w:w="108" w:type="dxa"/>
            </w:tcMar>
            <w:hideMark/>
          </w:tcPr>
          <w:p w14:paraId="7F575DDB"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b/>
                <w:bCs/>
                <w:i/>
                <w:iCs/>
                <w:color w:val="000000"/>
                <w:shd w:val="clear" w:color="auto" w:fill="FFFFFF" w:themeFill="background1"/>
                <w:lang w:eastAsia="zh-CN"/>
              </w:rPr>
              <w:t>P</w:t>
            </w:r>
            <w:r w:rsidRPr="00B729CD">
              <w:rPr>
                <w:rFonts w:ascii="Book Antiqua" w:eastAsia="SimSun" w:hAnsi="Book Antiqua"/>
                <w:b/>
                <w:bCs/>
                <w:color w:val="000000"/>
                <w:shd w:val="clear" w:color="auto" w:fill="FFFFFF" w:themeFill="background1"/>
                <w:lang w:eastAsia="zh-CN"/>
              </w:rPr>
              <w:t> value</w:t>
            </w:r>
          </w:p>
        </w:tc>
      </w:tr>
      <w:tr w:rsidR="00C958E2" w:rsidRPr="00B729CD" w14:paraId="7D39533A" w14:textId="77777777" w:rsidTr="00C958E2">
        <w:trPr>
          <w:tblCellSpacing w:w="0" w:type="dxa"/>
        </w:trPr>
        <w:tc>
          <w:tcPr>
            <w:tcW w:w="3889" w:type="dxa"/>
            <w:shd w:val="clear" w:color="auto" w:fill="FFFFFF" w:themeFill="background1"/>
            <w:tcMar>
              <w:top w:w="0" w:type="dxa"/>
              <w:left w:w="108" w:type="dxa"/>
              <w:bottom w:w="0" w:type="dxa"/>
              <w:right w:w="108" w:type="dxa"/>
            </w:tcMar>
            <w:hideMark/>
          </w:tcPr>
          <w:p w14:paraId="232A9E37"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Age</w:t>
            </w:r>
          </w:p>
        </w:tc>
        <w:tc>
          <w:tcPr>
            <w:tcW w:w="2851" w:type="dxa"/>
            <w:shd w:val="clear" w:color="auto" w:fill="FFFFFF" w:themeFill="background1"/>
          </w:tcPr>
          <w:p w14:paraId="7BE75F37" w14:textId="77777777"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p>
        </w:tc>
        <w:tc>
          <w:tcPr>
            <w:tcW w:w="3218" w:type="dxa"/>
            <w:shd w:val="clear" w:color="auto" w:fill="FFFFFF" w:themeFill="background1"/>
            <w:tcMar>
              <w:top w:w="0" w:type="dxa"/>
              <w:left w:w="108" w:type="dxa"/>
              <w:bottom w:w="0" w:type="dxa"/>
              <w:right w:w="108" w:type="dxa"/>
            </w:tcMar>
            <w:hideMark/>
          </w:tcPr>
          <w:p w14:paraId="35045B47" w14:textId="14578072"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47.9 ± 10.4</w:t>
            </w:r>
          </w:p>
        </w:tc>
        <w:tc>
          <w:tcPr>
            <w:tcW w:w="3002" w:type="dxa"/>
            <w:shd w:val="clear" w:color="auto" w:fill="FFFFFF" w:themeFill="background1"/>
            <w:tcMar>
              <w:top w:w="0" w:type="dxa"/>
              <w:left w:w="108" w:type="dxa"/>
              <w:bottom w:w="0" w:type="dxa"/>
              <w:right w:w="108" w:type="dxa"/>
            </w:tcMar>
            <w:hideMark/>
          </w:tcPr>
          <w:p w14:paraId="2C20B12A"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 </w:t>
            </w:r>
          </w:p>
        </w:tc>
      </w:tr>
      <w:tr w:rsidR="00C958E2" w:rsidRPr="00B729CD" w14:paraId="52EDDB2E" w14:textId="77777777" w:rsidTr="00C958E2">
        <w:trPr>
          <w:tblCellSpacing w:w="0" w:type="dxa"/>
        </w:trPr>
        <w:tc>
          <w:tcPr>
            <w:tcW w:w="3889" w:type="dxa"/>
            <w:shd w:val="clear" w:color="auto" w:fill="FFFFFF" w:themeFill="background1"/>
            <w:tcMar>
              <w:top w:w="0" w:type="dxa"/>
              <w:left w:w="108" w:type="dxa"/>
              <w:bottom w:w="0" w:type="dxa"/>
              <w:right w:w="108" w:type="dxa"/>
            </w:tcMar>
            <w:hideMark/>
          </w:tcPr>
          <w:p w14:paraId="1B3AC70B"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Male</w:t>
            </w:r>
          </w:p>
        </w:tc>
        <w:tc>
          <w:tcPr>
            <w:tcW w:w="2851" w:type="dxa"/>
            <w:shd w:val="clear" w:color="auto" w:fill="FFFFFF" w:themeFill="background1"/>
          </w:tcPr>
          <w:p w14:paraId="13505F4F" w14:textId="77777777"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p>
        </w:tc>
        <w:tc>
          <w:tcPr>
            <w:tcW w:w="3218" w:type="dxa"/>
            <w:shd w:val="clear" w:color="auto" w:fill="FFFFFF" w:themeFill="background1"/>
            <w:tcMar>
              <w:top w:w="0" w:type="dxa"/>
              <w:left w:w="108" w:type="dxa"/>
              <w:bottom w:w="0" w:type="dxa"/>
              <w:right w:w="108" w:type="dxa"/>
            </w:tcMar>
            <w:hideMark/>
          </w:tcPr>
          <w:p w14:paraId="38F2A4EC" w14:textId="763CBDF5"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27 (54%)</w:t>
            </w:r>
          </w:p>
        </w:tc>
        <w:tc>
          <w:tcPr>
            <w:tcW w:w="3002" w:type="dxa"/>
            <w:shd w:val="clear" w:color="auto" w:fill="FFFFFF" w:themeFill="background1"/>
            <w:tcMar>
              <w:top w:w="0" w:type="dxa"/>
              <w:left w:w="108" w:type="dxa"/>
              <w:bottom w:w="0" w:type="dxa"/>
              <w:right w:w="108" w:type="dxa"/>
            </w:tcMar>
            <w:hideMark/>
          </w:tcPr>
          <w:p w14:paraId="58B28038"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 </w:t>
            </w:r>
          </w:p>
        </w:tc>
      </w:tr>
      <w:tr w:rsidR="00C958E2" w:rsidRPr="00B729CD" w14:paraId="60AB8F2E" w14:textId="77777777" w:rsidTr="00C958E2">
        <w:trPr>
          <w:tblCellSpacing w:w="0" w:type="dxa"/>
        </w:trPr>
        <w:tc>
          <w:tcPr>
            <w:tcW w:w="3889" w:type="dxa"/>
            <w:shd w:val="clear" w:color="auto" w:fill="FFFFFF" w:themeFill="background1"/>
            <w:tcMar>
              <w:top w:w="0" w:type="dxa"/>
              <w:left w:w="108" w:type="dxa"/>
              <w:bottom w:w="0" w:type="dxa"/>
              <w:right w:w="108" w:type="dxa"/>
            </w:tcMar>
            <w:hideMark/>
          </w:tcPr>
          <w:p w14:paraId="09FE50B3" w14:textId="718A6DE5"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Treatment period (</w:t>
            </w:r>
            <w:proofErr w:type="spellStart"/>
            <w:r w:rsidRPr="00B729CD">
              <w:rPr>
                <w:rFonts w:ascii="Book Antiqua" w:eastAsia="SimSun" w:hAnsi="Book Antiqua"/>
                <w:color w:val="000000"/>
                <w:shd w:val="clear" w:color="auto" w:fill="FFFFFF" w:themeFill="background1"/>
                <w:lang w:eastAsia="zh-CN"/>
              </w:rPr>
              <w:t>wk</w:t>
            </w:r>
            <w:proofErr w:type="spellEnd"/>
            <w:r w:rsidRPr="00B729CD">
              <w:rPr>
                <w:rFonts w:ascii="Book Antiqua" w:eastAsia="SimSun" w:hAnsi="Book Antiqua"/>
                <w:color w:val="000000"/>
                <w:shd w:val="clear" w:color="auto" w:fill="FFFFFF" w:themeFill="background1"/>
                <w:lang w:eastAsia="zh-CN"/>
              </w:rPr>
              <w:t>)</w:t>
            </w:r>
          </w:p>
        </w:tc>
        <w:tc>
          <w:tcPr>
            <w:tcW w:w="2851" w:type="dxa"/>
            <w:shd w:val="clear" w:color="auto" w:fill="FFFFFF" w:themeFill="background1"/>
          </w:tcPr>
          <w:p w14:paraId="7C3820AB" w14:textId="77777777"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p>
        </w:tc>
        <w:tc>
          <w:tcPr>
            <w:tcW w:w="3218" w:type="dxa"/>
            <w:shd w:val="clear" w:color="auto" w:fill="FFFFFF" w:themeFill="background1"/>
            <w:tcMar>
              <w:top w:w="0" w:type="dxa"/>
              <w:left w:w="108" w:type="dxa"/>
              <w:bottom w:w="0" w:type="dxa"/>
              <w:right w:w="108" w:type="dxa"/>
            </w:tcMar>
            <w:hideMark/>
          </w:tcPr>
          <w:p w14:paraId="7C6AA676" w14:textId="0D65248E"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60.8 ± 9.7</w:t>
            </w:r>
          </w:p>
        </w:tc>
        <w:tc>
          <w:tcPr>
            <w:tcW w:w="3002" w:type="dxa"/>
            <w:shd w:val="clear" w:color="auto" w:fill="FFFFFF" w:themeFill="background1"/>
            <w:tcMar>
              <w:top w:w="0" w:type="dxa"/>
              <w:left w:w="108" w:type="dxa"/>
              <w:bottom w:w="0" w:type="dxa"/>
              <w:right w:w="108" w:type="dxa"/>
            </w:tcMar>
            <w:hideMark/>
          </w:tcPr>
          <w:p w14:paraId="46770FF2"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 </w:t>
            </w:r>
          </w:p>
        </w:tc>
      </w:tr>
      <w:tr w:rsidR="00C958E2" w:rsidRPr="00B729CD" w14:paraId="69C237D9" w14:textId="77777777" w:rsidTr="00C958E2">
        <w:trPr>
          <w:tblCellSpacing w:w="0" w:type="dxa"/>
        </w:trPr>
        <w:tc>
          <w:tcPr>
            <w:tcW w:w="3889" w:type="dxa"/>
            <w:vMerge w:val="restart"/>
            <w:shd w:val="clear" w:color="auto" w:fill="FFFFFF" w:themeFill="background1"/>
            <w:tcMar>
              <w:top w:w="0" w:type="dxa"/>
              <w:left w:w="108" w:type="dxa"/>
              <w:bottom w:w="0" w:type="dxa"/>
              <w:right w:w="108" w:type="dxa"/>
            </w:tcMar>
            <w:hideMark/>
          </w:tcPr>
          <w:p w14:paraId="1FA001B5" w14:textId="69A99E1D"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AST</w:t>
            </w:r>
          </w:p>
        </w:tc>
        <w:tc>
          <w:tcPr>
            <w:tcW w:w="2851" w:type="dxa"/>
            <w:shd w:val="clear" w:color="auto" w:fill="FFFFFF" w:themeFill="background1"/>
          </w:tcPr>
          <w:p w14:paraId="088A64D2" w14:textId="5E63FFD7"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BT</w:t>
            </w:r>
          </w:p>
        </w:tc>
        <w:tc>
          <w:tcPr>
            <w:tcW w:w="3218" w:type="dxa"/>
            <w:shd w:val="clear" w:color="auto" w:fill="FFFFFF" w:themeFill="background1"/>
            <w:tcMar>
              <w:top w:w="0" w:type="dxa"/>
              <w:left w:w="108" w:type="dxa"/>
              <w:bottom w:w="0" w:type="dxa"/>
              <w:right w:w="108" w:type="dxa"/>
            </w:tcMar>
            <w:hideMark/>
          </w:tcPr>
          <w:p w14:paraId="586E431C" w14:textId="104A2C19"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82.3 ± 218.6</w:t>
            </w:r>
          </w:p>
        </w:tc>
        <w:tc>
          <w:tcPr>
            <w:tcW w:w="3002" w:type="dxa"/>
            <w:vMerge w:val="restart"/>
            <w:shd w:val="clear" w:color="auto" w:fill="FFFFFF" w:themeFill="background1"/>
            <w:tcMar>
              <w:top w:w="0" w:type="dxa"/>
              <w:left w:w="108" w:type="dxa"/>
              <w:bottom w:w="0" w:type="dxa"/>
              <w:right w:w="108" w:type="dxa"/>
            </w:tcMar>
            <w:hideMark/>
          </w:tcPr>
          <w:p w14:paraId="4E4936A5" w14:textId="57978A20"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&lt; 0.001</w:t>
            </w:r>
          </w:p>
        </w:tc>
      </w:tr>
      <w:tr w:rsidR="00C958E2" w:rsidRPr="00B729CD" w14:paraId="68FE1695" w14:textId="77777777" w:rsidTr="00C958E2">
        <w:trPr>
          <w:tblCellSpacing w:w="0" w:type="dxa"/>
        </w:trPr>
        <w:tc>
          <w:tcPr>
            <w:tcW w:w="3889" w:type="dxa"/>
            <w:vMerge/>
            <w:shd w:val="clear" w:color="auto" w:fill="FFFFFF" w:themeFill="background1"/>
            <w:vAlign w:val="center"/>
            <w:hideMark/>
          </w:tcPr>
          <w:p w14:paraId="5AE56CDA"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0614285E" w14:textId="5F68D0B8"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AT</w:t>
            </w:r>
          </w:p>
        </w:tc>
        <w:tc>
          <w:tcPr>
            <w:tcW w:w="3218" w:type="dxa"/>
            <w:shd w:val="clear" w:color="auto" w:fill="FFFFFF" w:themeFill="background1"/>
            <w:tcMar>
              <w:top w:w="0" w:type="dxa"/>
              <w:left w:w="108" w:type="dxa"/>
              <w:bottom w:w="0" w:type="dxa"/>
              <w:right w:w="108" w:type="dxa"/>
            </w:tcMar>
            <w:hideMark/>
          </w:tcPr>
          <w:p w14:paraId="2E8DCC0D" w14:textId="404A866F"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23.7 ± 14.1</w:t>
            </w:r>
          </w:p>
        </w:tc>
        <w:tc>
          <w:tcPr>
            <w:tcW w:w="3002" w:type="dxa"/>
            <w:vMerge/>
            <w:vAlign w:val="center"/>
            <w:hideMark/>
          </w:tcPr>
          <w:p w14:paraId="0FCA8FDF"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r>
      <w:tr w:rsidR="00C958E2" w:rsidRPr="00B729CD" w14:paraId="4198A83C" w14:textId="77777777" w:rsidTr="00C958E2">
        <w:trPr>
          <w:tblCellSpacing w:w="0" w:type="dxa"/>
        </w:trPr>
        <w:tc>
          <w:tcPr>
            <w:tcW w:w="3889" w:type="dxa"/>
            <w:vMerge w:val="restart"/>
            <w:tcMar>
              <w:top w:w="0" w:type="dxa"/>
              <w:left w:w="108" w:type="dxa"/>
              <w:bottom w:w="0" w:type="dxa"/>
              <w:right w:w="108" w:type="dxa"/>
            </w:tcMar>
            <w:hideMark/>
          </w:tcPr>
          <w:p w14:paraId="2030B196" w14:textId="79D73965"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ALT </w:t>
            </w:r>
          </w:p>
        </w:tc>
        <w:tc>
          <w:tcPr>
            <w:tcW w:w="2851" w:type="dxa"/>
            <w:shd w:val="clear" w:color="auto" w:fill="FFFFFF" w:themeFill="background1"/>
          </w:tcPr>
          <w:p w14:paraId="6F86BC79" w14:textId="5591C86C"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BT</w:t>
            </w:r>
          </w:p>
        </w:tc>
        <w:tc>
          <w:tcPr>
            <w:tcW w:w="3218" w:type="dxa"/>
            <w:shd w:val="clear" w:color="auto" w:fill="FFFFFF" w:themeFill="background1"/>
            <w:tcMar>
              <w:top w:w="0" w:type="dxa"/>
              <w:left w:w="108" w:type="dxa"/>
              <w:bottom w:w="0" w:type="dxa"/>
              <w:right w:w="108" w:type="dxa"/>
            </w:tcMar>
            <w:hideMark/>
          </w:tcPr>
          <w:p w14:paraId="071988E9" w14:textId="4E5D6208"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74.3 ± 118.1</w:t>
            </w:r>
          </w:p>
        </w:tc>
        <w:tc>
          <w:tcPr>
            <w:tcW w:w="3002" w:type="dxa"/>
            <w:vMerge w:val="restart"/>
            <w:tcMar>
              <w:top w:w="0" w:type="dxa"/>
              <w:left w:w="108" w:type="dxa"/>
              <w:bottom w:w="0" w:type="dxa"/>
              <w:right w:w="108" w:type="dxa"/>
            </w:tcMar>
            <w:hideMark/>
          </w:tcPr>
          <w:p w14:paraId="6ED02141" w14:textId="3C20F659"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&lt; 0.001</w:t>
            </w:r>
          </w:p>
        </w:tc>
      </w:tr>
      <w:tr w:rsidR="00C958E2" w:rsidRPr="00B729CD" w14:paraId="2F906B11" w14:textId="77777777" w:rsidTr="00C958E2">
        <w:trPr>
          <w:tblCellSpacing w:w="0" w:type="dxa"/>
        </w:trPr>
        <w:tc>
          <w:tcPr>
            <w:tcW w:w="3889" w:type="dxa"/>
            <w:vMerge/>
            <w:vAlign w:val="center"/>
            <w:hideMark/>
          </w:tcPr>
          <w:p w14:paraId="187AD5C0"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5EED7021" w14:textId="54C2AC34"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AT</w:t>
            </w:r>
          </w:p>
        </w:tc>
        <w:tc>
          <w:tcPr>
            <w:tcW w:w="3218" w:type="dxa"/>
            <w:shd w:val="clear" w:color="auto" w:fill="FFFFFF" w:themeFill="background1"/>
            <w:tcMar>
              <w:top w:w="0" w:type="dxa"/>
              <w:left w:w="108" w:type="dxa"/>
              <w:bottom w:w="0" w:type="dxa"/>
              <w:right w:w="108" w:type="dxa"/>
            </w:tcMar>
            <w:hideMark/>
          </w:tcPr>
          <w:p w14:paraId="3B66D2F5" w14:textId="1EF9598E"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23.7 ± 14.1</w:t>
            </w:r>
          </w:p>
        </w:tc>
        <w:tc>
          <w:tcPr>
            <w:tcW w:w="3002" w:type="dxa"/>
            <w:vMerge/>
            <w:vAlign w:val="center"/>
            <w:hideMark/>
          </w:tcPr>
          <w:p w14:paraId="134A9706"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r>
      <w:tr w:rsidR="00C958E2" w:rsidRPr="00B729CD" w14:paraId="24115141" w14:textId="77777777" w:rsidTr="00C958E2">
        <w:trPr>
          <w:tblCellSpacing w:w="0" w:type="dxa"/>
        </w:trPr>
        <w:tc>
          <w:tcPr>
            <w:tcW w:w="3889" w:type="dxa"/>
            <w:vMerge w:val="restart"/>
            <w:tcMar>
              <w:top w:w="0" w:type="dxa"/>
              <w:left w:w="108" w:type="dxa"/>
              <w:bottom w:w="0" w:type="dxa"/>
              <w:right w:w="108" w:type="dxa"/>
            </w:tcMar>
            <w:hideMark/>
          </w:tcPr>
          <w:p w14:paraId="52683342" w14:textId="67E771F3"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roofErr w:type="spellStart"/>
            <w:r w:rsidRPr="00B729CD">
              <w:rPr>
                <w:rFonts w:ascii="Book Antiqua" w:eastAsia="SimSun" w:hAnsi="Book Antiqua"/>
                <w:color w:val="000000"/>
                <w:shd w:val="clear" w:color="auto" w:fill="FFFFFF" w:themeFill="background1"/>
                <w:lang w:eastAsia="zh-CN"/>
              </w:rPr>
              <w:t>T.Bil</w:t>
            </w:r>
            <w:proofErr w:type="spellEnd"/>
            <w:r w:rsidRPr="00B729CD">
              <w:rPr>
                <w:rFonts w:ascii="Book Antiqua" w:eastAsia="SimSun" w:hAnsi="Book Antiqua"/>
                <w:color w:val="000000"/>
                <w:shd w:val="clear" w:color="auto" w:fill="FFFFFF" w:themeFill="background1"/>
                <w:lang w:eastAsia="zh-CN"/>
              </w:rPr>
              <w:t>.</w:t>
            </w:r>
          </w:p>
          <w:p w14:paraId="02833AC7" w14:textId="50C1BF8B"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7BED42A3" w14:textId="4B551FFB"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BT</w:t>
            </w:r>
          </w:p>
        </w:tc>
        <w:tc>
          <w:tcPr>
            <w:tcW w:w="3218" w:type="dxa"/>
            <w:shd w:val="clear" w:color="auto" w:fill="FFFFFF" w:themeFill="background1"/>
            <w:tcMar>
              <w:top w:w="0" w:type="dxa"/>
              <w:left w:w="108" w:type="dxa"/>
              <w:bottom w:w="0" w:type="dxa"/>
              <w:right w:w="108" w:type="dxa"/>
            </w:tcMar>
            <w:hideMark/>
          </w:tcPr>
          <w:p w14:paraId="7F72A8EC" w14:textId="55F39022"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0.8 ± 0.4</w:t>
            </w:r>
          </w:p>
        </w:tc>
        <w:tc>
          <w:tcPr>
            <w:tcW w:w="3002" w:type="dxa"/>
            <w:vMerge w:val="restart"/>
            <w:tcMar>
              <w:top w:w="0" w:type="dxa"/>
              <w:left w:w="108" w:type="dxa"/>
              <w:bottom w:w="0" w:type="dxa"/>
              <w:right w:w="108" w:type="dxa"/>
            </w:tcMar>
            <w:hideMark/>
          </w:tcPr>
          <w:p w14:paraId="3AD1F784"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0.024</w:t>
            </w:r>
          </w:p>
        </w:tc>
      </w:tr>
      <w:tr w:rsidR="00C958E2" w:rsidRPr="00B729CD" w14:paraId="1109B159" w14:textId="77777777" w:rsidTr="00C958E2">
        <w:trPr>
          <w:tblCellSpacing w:w="0" w:type="dxa"/>
        </w:trPr>
        <w:tc>
          <w:tcPr>
            <w:tcW w:w="3889" w:type="dxa"/>
            <w:vMerge/>
            <w:vAlign w:val="center"/>
            <w:hideMark/>
          </w:tcPr>
          <w:p w14:paraId="4766FD56"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3A312DB1" w14:textId="1BB8B8E7"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AT</w:t>
            </w:r>
          </w:p>
        </w:tc>
        <w:tc>
          <w:tcPr>
            <w:tcW w:w="3218" w:type="dxa"/>
            <w:shd w:val="clear" w:color="auto" w:fill="FFFFFF" w:themeFill="background1"/>
            <w:tcMar>
              <w:top w:w="0" w:type="dxa"/>
              <w:left w:w="108" w:type="dxa"/>
              <w:bottom w:w="0" w:type="dxa"/>
              <w:right w:w="108" w:type="dxa"/>
            </w:tcMar>
            <w:hideMark/>
          </w:tcPr>
          <w:p w14:paraId="55119419" w14:textId="582262B2"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0.8 ± 1</w:t>
            </w:r>
          </w:p>
        </w:tc>
        <w:tc>
          <w:tcPr>
            <w:tcW w:w="3002" w:type="dxa"/>
            <w:vMerge/>
            <w:vAlign w:val="center"/>
            <w:hideMark/>
          </w:tcPr>
          <w:p w14:paraId="18F52E9B"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r>
      <w:tr w:rsidR="00C958E2" w:rsidRPr="00B729CD" w14:paraId="62397C97" w14:textId="77777777" w:rsidTr="00C958E2">
        <w:trPr>
          <w:tblCellSpacing w:w="0" w:type="dxa"/>
        </w:trPr>
        <w:tc>
          <w:tcPr>
            <w:tcW w:w="3889" w:type="dxa"/>
            <w:vMerge w:val="restart"/>
            <w:tcMar>
              <w:top w:w="0" w:type="dxa"/>
              <w:left w:w="108" w:type="dxa"/>
              <w:bottom w:w="0" w:type="dxa"/>
              <w:right w:w="108" w:type="dxa"/>
            </w:tcMar>
            <w:hideMark/>
          </w:tcPr>
          <w:p w14:paraId="3BE57049" w14:textId="0171BE28"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Albumin </w:t>
            </w:r>
          </w:p>
          <w:p w14:paraId="6C1168E6" w14:textId="350B5CF5"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610E1BEA" w14:textId="189A2BCB"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BT</w:t>
            </w:r>
          </w:p>
        </w:tc>
        <w:tc>
          <w:tcPr>
            <w:tcW w:w="3218" w:type="dxa"/>
            <w:shd w:val="clear" w:color="auto" w:fill="FFFFFF" w:themeFill="background1"/>
            <w:tcMar>
              <w:top w:w="0" w:type="dxa"/>
              <w:left w:w="108" w:type="dxa"/>
              <w:bottom w:w="0" w:type="dxa"/>
              <w:right w:w="108" w:type="dxa"/>
            </w:tcMar>
            <w:hideMark/>
          </w:tcPr>
          <w:p w14:paraId="72F22B39" w14:textId="0BB2AFC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3.9 ± 0.7</w:t>
            </w:r>
          </w:p>
        </w:tc>
        <w:tc>
          <w:tcPr>
            <w:tcW w:w="3002" w:type="dxa"/>
            <w:vMerge w:val="restart"/>
            <w:tcMar>
              <w:top w:w="0" w:type="dxa"/>
              <w:left w:w="108" w:type="dxa"/>
              <w:bottom w:w="0" w:type="dxa"/>
              <w:right w:w="108" w:type="dxa"/>
            </w:tcMar>
            <w:hideMark/>
          </w:tcPr>
          <w:p w14:paraId="437E6019" w14:textId="472045C2"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&gt; 0.5</w:t>
            </w:r>
          </w:p>
        </w:tc>
      </w:tr>
      <w:tr w:rsidR="00C958E2" w:rsidRPr="00B729CD" w14:paraId="795905E7" w14:textId="77777777" w:rsidTr="00C958E2">
        <w:trPr>
          <w:tblCellSpacing w:w="0" w:type="dxa"/>
        </w:trPr>
        <w:tc>
          <w:tcPr>
            <w:tcW w:w="3889" w:type="dxa"/>
            <w:vMerge/>
            <w:vAlign w:val="center"/>
            <w:hideMark/>
          </w:tcPr>
          <w:p w14:paraId="526DA112"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5DB7CFF5" w14:textId="6D8ED539"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AT</w:t>
            </w:r>
          </w:p>
        </w:tc>
        <w:tc>
          <w:tcPr>
            <w:tcW w:w="3218" w:type="dxa"/>
            <w:shd w:val="clear" w:color="auto" w:fill="FFFFFF" w:themeFill="background1"/>
            <w:tcMar>
              <w:top w:w="0" w:type="dxa"/>
              <w:left w:w="108" w:type="dxa"/>
              <w:bottom w:w="0" w:type="dxa"/>
              <w:right w:w="108" w:type="dxa"/>
            </w:tcMar>
            <w:hideMark/>
          </w:tcPr>
          <w:p w14:paraId="52C8FED0" w14:textId="7551C9CE"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4 ± 0.8</w:t>
            </w:r>
          </w:p>
        </w:tc>
        <w:tc>
          <w:tcPr>
            <w:tcW w:w="3002" w:type="dxa"/>
            <w:vMerge/>
            <w:vAlign w:val="center"/>
            <w:hideMark/>
          </w:tcPr>
          <w:p w14:paraId="69303473"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r>
      <w:tr w:rsidR="00C958E2" w:rsidRPr="00B729CD" w14:paraId="4DF970B0" w14:textId="77777777" w:rsidTr="00C958E2">
        <w:trPr>
          <w:tblCellSpacing w:w="0" w:type="dxa"/>
        </w:trPr>
        <w:tc>
          <w:tcPr>
            <w:tcW w:w="3889" w:type="dxa"/>
            <w:vMerge w:val="restart"/>
            <w:tcMar>
              <w:top w:w="0" w:type="dxa"/>
              <w:left w:w="108" w:type="dxa"/>
              <w:bottom w:w="0" w:type="dxa"/>
              <w:right w:w="108" w:type="dxa"/>
            </w:tcMar>
            <w:hideMark/>
          </w:tcPr>
          <w:p w14:paraId="67445EDC" w14:textId="37E96C7E"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Creatine </w:t>
            </w:r>
          </w:p>
          <w:p w14:paraId="44F80626" w14:textId="0398C13A"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1253FFE7" w14:textId="1B96DAAE"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BT</w:t>
            </w:r>
          </w:p>
        </w:tc>
        <w:tc>
          <w:tcPr>
            <w:tcW w:w="3218" w:type="dxa"/>
            <w:shd w:val="clear" w:color="auto" w:fill="FFFFFF" w:themeFill="background1"/>
            <w:tcMar>
              <w:top w:w="0" w:type="dxa"/>
              <w:left w:w="108" w:type="dxa"/>
              <w:bottom w:w="0" w:type="dxa"/>
              <w:right w:w="108" w:type="dxa"/>
            </w:tcMar>
            <w:hideMark/>
          </w:tcPr>
          <w:p w14:paraId="7A10ACAE" w14:textId="6FB1C809"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1 ± 1.98</w:t>
            </w:r>
          </w:p>
        </w:tc>
        <w:tc>
          <w:tcPr>
            <w:tcW w:w="3002" w:type="dxa"/>
            <w:vMerge w:val="restart"/>
            <w:tcMar>
              <w:top w:w="0" w:type="dxa"/>
              <w:left w:w="108" w:type="dxa"/>
              <w:bottom w:w="0" w:type="dxa"/>
              <w:right w:w="108" w:type="dxa"/>
            </w:tcMar>
            <w:hideMark/>
          </w:tcPr>
          <w:p w14:paraId="3B8A916A" w14:textId="2FEA35D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&gt; 0.5</w:t>
            </w:r>
          </w:p>
        </w:tc>
      </w:tr>
      <w:tr w:rsidR="00C958E2" w:rsidRPr="00B729CD" w14:paraId="0F89DF46" w14:textId="77777777" w:rsidTr="00C958E2">
        <w:trPr>
          <w:tblCellSpacing w:w="0" w:type="dxa"/>
        </w:trPr>
        <w:tc>
          <w:tcPr>
            <w:tcW w:w="3889" w:type="dxa"/>
            <w:vMerge/>
            <w:vAlign w:val="center"/>
            <w:hideMark/>
          </w:tcPr>
          <w:p w14:paraId="75650054"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296619EB" w14:textId="054FF924"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AT</w:t>
            </w:r>
          </w:p>
        </w:tc>
        <w:tc>
          <w:tcPr>
            <w:tcW w:w="3218" w:type="dxa"/>
            <w:shd w:val="clear" w:color="auto" w:fill="FFFFFF" w:themeFill="background1"/>
            <w:tcMar>
              <w:top w:w="0" w:type="dxa"/>
              <w:left w:w="108" w:type="dxa"/>
              <w:bottom w:w="0" w:type="dxa"/>
              <w:right w:w="108" w:type="dxa"/>
            </w:tcMar>
            <w:hideMark/>
          </w:tcPr>
          <w:p w14:paraId="3ECA820A" w14:textId="3B8CF37F"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0.8 ± 0.2</w:t>
            </w:r>
          </w:p>
        </w:tc>
        <w:tc>
          <w:tcPr>
            <w:tcW w:w="3002" w:type="dxa"/>
            <w:vMerge/>
            <w:vAlign w:val="center"/>
            <w:hideMark/>
          </w:tcPr>
          <w:p w14:paraId="5B8B7164"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r>
      <w:tr w:rsidR="00C958E2" w:rsidRPr="00B729CD" w14:paraId="01FFFF5D" w14:textId="77777777" w:rsidTr="00C958E2">
        <w:trPr>
          <w:tblCellSpacing w:w="0" w:type="dxa"/>
        </w:trPr>
        <w:tc>
          <w:tcPr>
            <w:tcW w:w="3889" w:type="dxa"/>
            <w:vMerge w:val="restart"/>
            <w:tcMar>
              <w:top w:w="0" w:type="dxa"/>
              <w:left w:w="108" w:type="dxa"/>
              <w:bottom w:w="0" w:type="dxa"/>
              <w:right w:w="108" w:type="dxa"/>
            </w:tcMar>
            <w:hideMark/>
          </w:tcPr>
          <w:p w14:paraId="37474105" w14:textId="728808B4"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PLT</w:t>
            </w:r>
          </w:p>
          <w:p w14:paraId="43962652" w14:textId="10F3FABE"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22882724" w14:textId="681588D5"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BT</w:t>
            </w:r>
          </w:p>
        </w:tc>
        <w:tc>
          <w:tcPr>
            <w:tcW w:w="3218" w:type="dxa"/>
            <w:shd w:val="clear" w:color="auto" w:fill="FFFFFF" w:themeFill="background1"/>
            <w:tcMar>
              <w:top w:w="0" w:type="dxa"/>
              <w:left w:w="108" w:type="dxa"/>
              <w:bottom w:w="0" w:type="dxa"/>
              <w:right w:w="108" w:type="dxa"/>
            </w:tcMar>
            <w:hideMark/>
          </w:tcPr>
          <w:p w14:paraId="7248F8E5" w14:textId="4CFD0A7C"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208000 ± 55000</w:t>
            </w:r>
          </w:p>
        </w:tc>
        <w:tc>
          <w:tcPr>
            <w:tcW w:w="3002" w:type="dxa"/>
            <w:vMerge w:val="restart"/>
            <w:tcMar>
              <w:top w:w="0" w:type="dxa"/>
              <w:left w:w="108" w:type="dxa"/>
              <w:bottom w:w="0" w:type="dxa"/>
              <w:right w:w="108" w:type="dxa"/>
            </w:tcMar>
            <w:hideMark/>
          </w:tcPr>
          <w:p w14:paraId="204B40C1"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0.007</w:t>
            </w:r>
          </w:p>
        </w:tc>
      </w:tr>
      <w:tr w:rsidR="00C958E2" w:rsidRPr="00B729CD" w14:paraId="16E2A491" w14:textId="77777777" w:rsidTr="00C958E2">
        <w:trPr>
          <w:tblCellSpacing w:w="0" w:type="dxa"/>
        </w:trPr>
        <w:tc>
          <w:tcPr>
            <w:tcW w:w="3889" w:type="dxa"/>
            <w:vMerge/>
            <w:vAlign w:val="center"/>
            <w:hideMark/>
          </w:tcPr>
          <w:p w14:paraId="54F43EB1"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5F2F3FA1" w14:textId="1D2F3A68"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AT</w:t>
            </w:r>
          </w:p>
        </w:tc>
        <w:tc>
          <w:tcPr>
            <w:tcW w:w="3218" w:type="dxa"/>
            <w:shd w:val="clear" w:color="auto" w:fill="FFFFFF" w:themeFill="background1"/>
            <w:tcMar>
              <w:top w:w="0" w:type="dxa"/>
              <w:left w:w="108" w:type="dxa"/>
              <w:bottom w:w="0" w:type="dxa"/>
              <w:right w:w="108" w:type="dxa"/>
            </w:tcMar>
            <w:hideMark/>
          </w:tcPr>
          <w:p w14:paraId="3915F714" w14:textId="5C525FBA"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238000 ± 78000</w:t>
            </w:r>
          </w:p>
        </w:tc>
        <w:tc>
          <w:tcPr>
            <w:tcW w:w="3002" w:type="dxa"/>
            <w:vMerge/>
            <w:vAlign w:val="center"/>
            <w:hideMark/>
          </w:tcPr>
          <w:p w14:paraId="1966C6BB"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r>
      <w:tr w:rsidR="00C958E2" w:rsidRPr="00B729CD" w14:paraId="70732BA1" w14:textId="77777777" w:rsidTr="00C958E2">
        <w:trPr>
          <w:tblCellSpacing w:w="0" w:type="dxa"/>
        </w:trPr>
        <w:tc>
          <w:tcPr>
            <w:tcW w:w="3889" w:type="dxa"/>
            <w:vMerge w:val="restart"/>
            <w:tcMar>
              <w:top w:w="0" w:type="dxa"/>
              <w:left w:w="108" w:type="dxa"/>
              <w:bottom w:w="0" w:type="dxa"/>
              <w:right w:w="108" w:type="dxa"/>
            </w:tcMar>
            <w:hideMark/>
          </w:tcPr>
          <w:p w14:paraId="0FCFFDBC" w14:textId="331B1C8A"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Ishak score </w:t>
            </w:r>
          </w:p>
          <w:p w14:paraId="3945CB79" w14:textId="3C0E689B"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16AF499E" w14:textId="37E07841"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BT</w:t>
            </w:r>
          </w:p>
        </w:tc>
        <w:tc>
          <w:tcPr>
            <w:tcW w:w="3218" w:type="dxa"/>
            <w:shd w:val="clear" w:color="auto" w:fill="FFFFFF" w:themeFill="background1"/>
            <w:tcMar>
              <w:top w:w="0" w:type="dxa"/>
              <w:left w:w="108" w:type="dxa"/>
              <w:bottom w:w="0" w:type="dxa"/>
              <w:right w:w="108" w:type="dxa"/>
            </w:tcMar>
            <w:hideMark/>
          </w:tcPr>
          <w:p w14:paraId="459BA0F2" w14:textId="32A8F442"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2.2 ± 1.4</w:t>
            </w:r>
          </w:p>
        </w:tc>
        <w:tc>
          <w:tcPr>
            <w:tcW w:w="3002" w:type="dxa"/>
            <w:vMerge w:val="restart"/>
            <w:tcMar>
              <w:top w:w="0" w:type="dxa"/>
              <w:left w:w="108" w:type="dxa"/>
              <w:bottom w:w="0" w:type="dxa"/>
              <w:right w:w="108" w:type="dxa"/>
            </w:tcMar>
            <w:hideMark/>
          </w:tcPr>
          <w:p w14:paraId="33521EC5"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0.002</w:t>
            </w:r>
          </w:p>
        </w:tc>
      </w:tr>
      <w:tr w:rsidR="00C958E2" w:rsidRPr="00B729CD" w14:paraId="70EA4EE0" w14:textId="77777777" w:rsidTr="00C958E2">
        <w:trPr>
          <w:tblCellSpacing w:w="0" w:type="dxa"/>
        </w:trPr>
        <w:tc>
          <w:tcPr>
            <w:tcW w:w="3889" w:type="dxa"/>
            <w:vMerge/>
            <w:vAlign w:val="center"/>
            <w:hideMark/>
          </w:tcPr>
          <w:p w14:paraId="0D5DA4F2"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0DD70C4A" w14:textId="3972329A"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AT</w:t>
            </w:r>
          </w:p>
        </w:tc>
        <w:tc>
          <w:tcPr>
            <w:tcW w:w="3218" w:type="dxa"/>
            <w:shd w:val="clear" w:color="auto" w:fill="FFFFFF" w:themeFill="background1"/>
            <w:tcMar>
              <w:top w:w="0" w:type="dxa"/>
              <w:left w:w="108" w:type="dxa"/>
              <w:bottom w:w="0" w:type="dxa"/>
              <w:right w:w="108" w:type="dxa"/>
            </w:tcMar>
            <w:hideMark/>
          </w:tcPr>
          <w:p w14:paraId="5C8D894A" w14:textId="5DA7EA5E"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1.3 ± 1.3</w:t>
            </w:r>
          </w:p>
        </w:tc>
        <w:tc>
          <w:tcPr>
            <w:tcW w:w="3002" w:type="dxa"/>
            <w:vMerge/>
            <w:vAlign w:val="center"/>
            <w:hideMark/>
          </w:tcPr>
          <w:p w14:paraId="64C83D73"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r>
      <w:tr w:rsidR="00C958E2" w:rsidRPr="00B729CD" w14:paraId="50E13E90" w14:textId="77777777" w:rsidTr="00C958E2">
        <w:trPr>
          <w:tblCellSpacing w:w="0" w:type="dxa"/>
        </w:trPr>
        <w:tc>
          <w:tcPr>
            <w:tcW w:w="3889" w:type="dxa"/>
            <w:vMerge w:val="restart"/>
            <w:tcMar>
              <w:top w:w="0" w:type="dxa"/>
              <w:left w:w="108" w:type="dxa"/>
              <w:bottom w:w="0" w:type="dxa"/>
              <w:right w:w="108" w:type="dxa"/>
            </w:tcMar>
            <w:hideMark/>
          </w:tcPr>
          <w:p w14:paraId="67E0C901" w14:textId="34E55B74"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HAI score</w:t>
            </w:r>
          </w:p>
          <w:p w14:paraId="358C1F47" w14:textId="3222ADC1"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138E8525" w14:textId="6D0C0161"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BT</w:t>
            </w:r>
          </w:p>
        </w:tc>
        <w:tc>
          <w:tcPr>
            <w:tcW w:w="3218" w:type="dxa"/>
            <w:shd w:val="clear" w:color="auto" w:fill="FFFFFF" w:themeFill="background1"/>
            <w:tcMar>
              <w:top w:w="0" w:type="dxa"/>
              <w:left w:w="108" w:type="dxa"/>
              <w:bottom w:w="0" w:type="dxa"/>
              <w:right w:w="108" w:type="dxa"/>
            </w:tcMar>
            <w:hideMark/>
          </w:tcPr>
          <w:p w14:paraId="5B98C08E" w14:textId="0DFF3B31"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7.2 ± 3.2</w:t>
            </w:r>
          </w:p>
        </w:tc>
        <w:tc>
          <w:tcPr>
            <w:tcW w:w="3002" w:type="dxa"/>
            <w:vMerge w:val="restart"/>
            <w:tcMar>
              <w:top w:w="0" w:type="dxa"/>
              <w:left w:w="108" w:type="dxa"/>
              <w:bottom w:w="0" w:type="dxa"/>
              <w:right w:w="108" w:type="dxa"/>
            </w:tcMar>
            <w:hideMark/>
          </w:tcPr>
          <w:p w14:paraId="7B92FC2D" w14:textId="71F71B96"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&lt; 0.001</w:t>
            </w:r>
          </w:p>
        </w:tc>
      </w:tr>
      <w:tr w:rsidR="00C958E2" w:rsidRPr="00B729CD" w14:paraId="4CC75FA9" w14:textId="77777777" w:rsidTr="00C958E2">
        <w:trPr>
          <w:tblCellSpacing w:w="0" w:type="dxa"/>
        </w:trPr>
        <w:tc>
          <w:tcPr>
            <w:tcW w:w="3889" w:type="dxa"/>
            <w:vMerge/>
            <w:vAlign w:val="center"/>
            <w:hideMark/>
          </w:tcPr>
          <w:p w14:paraId="6C29E9A9"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c>
          <w:tcPr>
            <w:tcW w:w="2851" w:type="dxa"/>
            <w:shd w:val="clear" w:color="auto" w:fill="FFFFFF" w:themeFill="background1"/>
          </w:tcPr>
          <w:p w14:paraId="74D3F3C3" w14:textId="5AF3B534" w:rsidR="00C958E2" w:rsidRPr="00B729CD" w:rsidRDefault="00C958E2" w:rsidP="00B729CD">
            <w:pPr>
              <w:adjustRightInd w:val="0"/>
              <w:snapToGrid w:val="0"/>
              <w:spacing w:line="360" w:lineRule="auto"/>
              <w:jc w:val="both"/>
              <w:rPr>
                <w:rFonts w:ascii="Book Antiqua" w:eastAsia="SimSun" w:hAnsi="Book Antiqua"/>
                <w:color w:val="000000"/>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AT</w:t>
            </w:r>
          </w:p>
        </w:tc>
        <w:tc>
          <w:tcPr>
            <w:tcW w:w="3218" w:type="dxa"/>
            <w:shd w:val="clear" w:color="auto" w:fill="FFFFFF" w:themeFill="background1"/>
            <w:tcMar>
              <w:top w:w="0" w:type="dxa"/>
              <w:left w:w="108" w:type="dxa"/>
              <w:bottom w:w="0" w:type="dxa"/>
              <w:right w:w="108" w:type="dxa"/>
            </w:tcMar>
            <w:hideMark/>
          </w:tcPr>
          <w:p w14:paraId="1EF5DFF3" w14:textId="5D9694B6"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r w:rsidRPr="00B729CD">
              <w:rPr>
                <w:rFonts w:ascii="Book Antiqua" w:eastAsia="SimSun" w:hAnsi="Book Antiqua"/>
                <w:color w:val="000000"/>
                <w:shd w:val="clear" w:color="auto" w:fill="FFFFFF" w:themeFill="background1"/>
                <w:lang w:eastAsia="zh-CN"/>
              </w:rPr>
              <w:t>4.1 ± 2.8</w:t>
            </w:r>
          </w:p>
        </w:tc>
        <w:tc>
          <w:tcPr>
            <w:tcW w:w="3002" w:type="dxa"/>
            <w:vMerge/>
            <w:vAlign w:val="center"/>
            <w:hideMark/>
          </w:tcPr>
          <w:p w14:paraId="7C2C5BB6" w14:textId="77777777" w:rsidR="00C958E2" w:rsidRPr="00B729CD" w:rsidRDefault="00C958E2" w:rsidP="00B729CD">
            <w:pPr>
              <w:adjustRightInd w:val="0"/>
              <w:snapToGrid w:val="0"/>
              <w:spacing w:line="360" w:lineRule="auto"/>
              <w:jc w:val="both"/>
              <w:rPr>
                <w:rFonts w:ascii="Book Antiqua" w:eastAsia="SimSun" w:hAnsi="Book Antiqua" w:cs="SimSun"/>
                <w:shd w:val="clear" w:color="auto" w:fill="FFFFFF" w:themeFill="background1"/>
                <w:lang w:eastAsia="zh-CN"/>
              </w:rPr>
            </w:pPr>
          </w:p>
        </w:tc>
      </w:tr>
    </w:tbl>
    <w:p w14:paraId="6B24F83B" w14:textId="17C853D4" w:rsidR="005143A9" w:rsidRPr="00B729CD" w:rsidRDefault="0013415A" w:rsidP="00B729CD">
      <w:pPr>
        <w:adjustRightInd w:val="0"/>
        <w:snapToGrid w:val="0"/>
        <w:spacing w:line="360" w:lineRule="auto"/>
        <w:jc w:val="both"/>
        <w:rPr>
          <w:rFonts w:ascii="Book Antiqua" w:hAnsi="Book Antiqua"/>
          <w:shd w:val="clear" w:color="auto" w:fill="FFFFFF" w:themeFill="background1"/>
        </w:rPr>
      </w:pPr>
      <w:r w:rsidRPr="00B729CD">
        <w:rPr>
          <w:rFonts w:ascii="Book Antiqua" w:hAnsi="Book Antiqua"/>
          <w:shd w:val="clear" w:color="auto" w:fill="FFFFFF" w:themeFill="background1"/>
        </w:rPr>
        <w:lastRenderedPageBreak/>
        <w:t>ALT: Alanine aminotransferase; AST: Aspartate aminotransferase; TBIL: Total bilirubin; PLT: Platelets; HAI: Histology activity index; BT: Before treatment; AT: After treatment</w:t>
      </w:r>
      <w:r w:rsidR="0008721C" w:rsidRPr="00B729CD">
        <w:rPr>
          <w:rFonts w:ascii="Book Antiqua" w:hAnsi="Book Antiqua"/>
          <w:shd w:val="clear" w:color="auto" w:fill="FFFFFF" w:themeFill="background1"/>
        </w:rPr>
        <w:t>.</w:t>
      </w:r>
    </w:p>
    <w:sectPr w:rsidR="005143A9" w:rsidRPr="00B729CD" w:rsidSect="00B858BC">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BA8B9" w14:textId="77777777" w:rsidR="00B24577" w:rsidRDefault="00B24577" w:rsidP="00101092">
      <w:r>
        <w:separator/>
      </w:r>
    </w:p>
  </w:endnote>
  <w:endnote w:type="continuationSeparator" w:id="0">
    <w:p w14:paraId="0A601DC6" w14:textId="77777777" w:rsidR="00B24577" w:rsidRDefault="00B24577" w:rsidP="0010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215355"/>
      <w:docPartObj>
        <w:docPartGallery w:val="Page Numbers (Bottom of Page)"/>
        <w:docPartUnique/>
      </w:docPartObj>
    </w:sdtPr>
    <w:sdtEndPr/>
    <w:sdtContent>
      <w:sdt>
        <w:sdtPr>
          <w:id w:val="-1769616900"/>
          <w:docPartObj>
            <w:docPartGallery w:val="Page Numbers (Top of Page)"/>
            <w:docPartUnique/>
          </w:docPartObj>
        </w:sdtPr>
        <w:sdtEndPr/>
        <w:sdtContent>
          <w:p w14:paraId="07C30445" w14:textId="6A50E036" w:rsidR="00101092" w:rsidRDefault="0010109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0644C">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0644C">
              <w:rPr>
                <w:b/>
                <w:bCs/>
                <w:noProof/>
              </w:rPr>
              <w:t>20</w:t>
            </w:r>
            <w:r>
              <w:rPr>
                <w:b/>
                <w:bCs/>
                <w:sz w:val="24"/>
                <w:szCs w:val="24"/>
              </w:rPr>
              <w:fldChar w:fldCharType="end"/>
            </w:r>
          </w:p>
        </w:sdtContent>
      </w:sdt>
    </w:sdtContent>
  </w:sdt>
  <w:p w14:paraId="4BC84523" w14:textId="77777777" w:rsidR="00101092" w:rsidRDefault="0010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F97B3" w14:textId="77777777" w:rsidR="00B24577" w:rsidRDefault="00B24577" w:rsidP="00101092">
      <w:r>
        <w:separator/>
      </w:r>
    </w:p>
  </w:footnote>
  <w:footnote w:type="continuationSeparator" w:id="0">
    <w:p w14:paraId="412C10A7" w14:textId="77777777" w:rsidR="00B24577" w:rsidRDefault="00B24577" w:rsidP="00101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424"/>
    <w:rsid w:val="00082436"/>
    <w:rsid w:val="0008721C"/>
    <w:rsid w:val="000B2318"/>
    <w:rsid w:val="00101092"/>
    <w:rsid w:val="0013415A"/>
    <w:rsid w:val="00137E03"/>
    <w:rsid w:val="001502E0"/>
    <w:rsid w:val="001845C1"/>
    <w:rsid w:val="002A34F5"/>
    <w:rsid w:val="0046707C"/>
    <w:rsid w:val="004D3B9C"/>
    <w:rsid w:val="005143A9"/>
    <w:rsid w:val="00530651"/>
    <w:rsid w:val="005A23AD"/>
    <w:rsid w:val="00626C1A"/>
    <w:rsid w:val="00727BDC"/>
    <w:rsid w:val="007453DF"/>
    <w:rsid w:val="0080644C"/>
    <w:rsid w:val="00833815"/>
    <w:rsid w:val="0086238D"/>
    <w:rsid w:val="009C0099"/>
    <w:rsid w:val="00A50939"/>
    <w:rsid w:val="00A77B3E"/>
    <w:rsid w:val="00AA671A"/>
    <w:rsid w:val="00AB6A0E"/>
    <w:rsid w:val="00AC7F4E"/>
    <w:rsid w:val="00B16EF2"/>
    <w:rsid w:val="00B24577"/>
    <w:rsid w:val="00B26C7D"/>
    <w:rsid w:val="00B729CD"/>
    <w:rsid w:val="00B858BC"/>
    <w:rsid w:val="00C816F7"/>
    <w:rsid w:val="00C958E2"/>
    <w:rsid w:val="00CA2A55"/>
    <w:rsid w:val="00F326BD"/>
    <w:rsid w:val="00F715A3"/>
    <w:rsid w:val="00FD5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7F783"/>
  <w15:docId w15:val="{BE89541D-A726-45FE-B9A3-FFC9561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ip">
    <w:name w:val="skip"/>
    <w:basedOn w:val="DefaultParagraphFont"/>
    <w:rsid w:val="001845C1"/>
  </w:style>
  <w:style w:type="character" w:styleId="Hyperlink">
    <w:name w:val="Hyperlink"/>
    <w:basedOn w:val="DefaultParagraphFont"/>
    <w:uiPriority w:val="99"/>
    <w:semiHidden/>
    <w:unhideWhenUsed/>
    <w:rsid w:val="001845C1"/>
    <w:rPr>
      <w:color w:val="0000FF"/>
      <w:u w:val="single"/>
    </w:rPr>
  </w:style>
  <w:style w:type="character" w:customStyle="1" w:styleId="apple-converted-space">
    <w:name w:val="apple-converted-space"/>
    <w:basedOn w:val="DefaultParagraphFont"/>
    <w:rsid w:val="001845C1"/>
  </w:style>
  <w:style w:type="paragraph" w:styleId="NormalWeb">
    <w:name w:val="Normal (Web)"/>
    <w:basedOn w:val="Normal"/>
    <w:uiPriority w:val="99"/>
    <w:semiHidden/>
    <w:unhideWhenUsed/>
    <w:rsid w:val="007453DF"/>
    <w:pPr>
      <w:spacing w:before="100" w:beforeAutospacing="1" w:after="100" w:afterAutospacing="1"/>
    </w:pPr>
    <w:rPr>
      <w:rFonts w:ascii="SimSun" w:eastAsia="SimSun" w:hAnsi="SimSun" w:cs="SimSun"/>
      <w:lang w:eastAsia="zh-CN"/>
    </w:rPr>
  </w:style>
  <w:style w:type="paragraph" w:styleId="ListParagraph">
    <w:name w:val="List Paragraph"/>
    <w:basedOn w:val="Normal"/>
    <w:uiPriority w:val="34"/>
    <w:qFormat/>
    <w:rsid w:val="0013415A"/>
    <w:pPr>
      <w:ind w:firstLineChars="200" w:firstLine="420"/>
    </w:pPr>
  </w:style>
  <w:style w:type="paragraph" w:styleId="Header">
    <w:name w:val="header"/>
    <w:basedOn w:val="Normal"/>
    <w:link w:val="HeaderChar"/>
    <w:unhideWhenUsed/>
    <w:rsid w:val="001010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01092"/>
    <w:rPr>
      <w:sz w:val="18"/>
      <w:szCs w:val="18"/>
    </w:rPr>
  </w:style>
  <w:style w:type="paragraph" w:styleId="Footer">
    <w:name w:val="footer"/>
    <w:basedOn w:val="Normal"/>
    <w:link w:val="FooterChar"/>
    <w:uiPriority w:val="99"/>
    <w:unhideWhenUsed/>
    <w:rsid w:val="0010109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010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57663">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Li Ma</cp:lastModifiedBy>
  <cp:revision>3</cp:revision>
  <dcterms:created xsi:type="dcterms:W3CDTF">2021-03-10T18:41:00Z</dcterms:created>
  <dcterms:modified xsi:type="dcterms:W3CDTF">2021-03-10T18:46:00Z</dcterms:modified>
</cp:coreProperties>
</file>