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C973C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Name of Journal: </w:t>
      </w:r>
      <w:r w:rsidRPr="00173E46">
        <w:rPr>
          <w:rFonts w:ascii="Book Antiqua" w:eastAsia="Book Antiqua" w:hAnsi="Book Antiqua" w:cs="Book Antiqua"/>
          <w:i/>
          <w:color w:val="000000"/>
        </w:rPr>
        <w:t>World Journal of Gastrointestinal Surgery</w:t>
      </w:r>
    </w:p>
    <w:p w14:paraId="2C6C344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Manuscript NO: </w:t>
      </w:r>
      <w:r w:rsidRPr="00173E46">
        <w:rPr>
          <w:rFonts w:ascii="Book Antiqua" w:eastAsia="Book Antiqua" w:hAnsi="Book Antiqua" w:cs="Book Antiqua"/>
          <w:color w:val="000000"/>
        </w:rPr>
        <w:t>62013</w:t>
      </w:r>
    </w:p>
    <w:p w14:paraId="4E1F239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Manuscript Type: </w:t>
      </w:r>
      <w:r w:rsidRPr="00173E46">
        <w:rPr>
          <w:rFonts w:ascii="Book Antiqua" w:eastAsia="Book Antiqua" w:hAnsi="Book Antiqua" w:cs="Book Antiqua"/>
          <w:color w:val="000000"/>
        </w:rPr>
        <w:t>ORIGINAL ARTICLE</w:t>
      </w:r>
    </w:p>
    <w:p w14:paraId="1BA666B4" w14:textId="77777777" w:rsidR="00A77B3E" w:rsidRPr="00173E46" w:rsidRDefault="00A77B3E" w:rsidP="00173E46">
      <w:pPr>
        <w:adjustRightInd w:val="0"/>
        <w:snapToGrid w:val="0"/>
        <w:spacing w:line="360" w:lineRule="auto"/>
        <w:jc w:val="both"/>
        <w:rPr>
          <w:rFonts w:ascii="Book Antiqua" w:hAnsi="Book Antiqua"/>
        </w:rPr>
      </w:pPr>
    </w:p>
    <w:p w14:paraId="59BEB5F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Basic Study</w:t>
      </w:r>
    </w:p>
    <w:p w14:paraId="0458D0BB" w14:textId="76D064AE"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Feasibility </w:t>
      </w:r>
      <w:r w:rsidR="00173E46" w:rsidRPr="00173E46">
        <w:rPr>
          <w:rFonts w:ascii="Book Antiqua" w:eastAsia="Book Antiqua" w:hAnsi="Book Antiqua" w:cs="Book Antiqua"/>
          <w:b/>
          <w:bCs/>
          <w:color w:val="000000"/>
        </w:rPr>
        <w:t>and safety of “bridging” pancreaticogastrostomy for pancreatic trauma in Landrace pigs</w:t>
      </w:r>
    </w:p>
    <w:p w14:paraId="5E4C4849" w14:textId="77777777" w:rsidR="00A77B3E" w:rsidRPr="00173E46" w:rsidRDefault="00A77B3E" w:rsidP="00173E46">
      <w:pPr>
        <w:adjustRightInd w:val="0"/>
        <w:snapToGrid w:val="0"/>
        <w:spacing w:line="360" w:lineRule="auto"/>
        <w:jc w:val="both"/>
        <w:rPr>
          <w:rFonts w:ascii="Book Antiqua" w:hAnsi="Book Antiqua"/>
        </w:rPr>
      </w:pPr>
    </w:p>
    <w:p w14:paraId="2F7DF4C2" w14:textId="389B6E78"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F</w:t>
      </w:r>
      <w:r w:rsidRPr="00173E46">
        <w:rPr>
          <w:rFonts w:ascii="Book Antiqua" w:hAnsi="Book Antiqua" w:cs="Book Antiqua"/>
          <w:color w:val="000000"/>
          <w:lang w:eastAsia="zh-CN"/>
        </w:rPr>
        <w:t>eng</w:t>
      </w:r>
      <w:r w:rsidRPr="00173E46">
        <w:rPr>
          <w:rFonts w:ascii="Book Antiqua" w:eastAsia="Book Antiqua" w:hAnsi="Book Antiqua" w:cs="Book Antiqua"/>
          <w:color w:val="000000"/>
        </w:rPr>
        <w:t xml:space="preserve"> J</w:t>
      </w:r>
      <w:r w:rsidRPr="00173E46">
        <w:rPr>
          <w:rFonts w:ascii="Book Antiqua" w:eastAsia="Book Antiqua" w:hAnsi="Book Antiqua" w:cs="Book Antiqua"/>
          <w:i/>
          <w:iCs/>
          <w:color w:val="000000"/>
        </w:rPr>
        <w:t xml:space="preserve"> et al</w:t>
      </w:r>
      <w:r w:rsidRPr="00173E46">
        <w:rPr>
          <w:rFonts w:ascii="Book Antiqua" w:eastAsia="Book Antiqua" w:hAnsi="Book Antiqua" w:cs="Book Antiqua"/>
          <w:color w:val="000000"/>
        </w:rPr>
        <w:t xml:space="preserve">. Feasibility </w:t>
      </w:r>
      <w:r w:rsidR="00173E46" w:rsidRPr="00173E46">
        <w:rPr>
          <w:rFonts w:ascii="Book Antiqua" w:eastAsia="Book Antiqua" w:hAnsi="Book Antiqua" w:cs="Book Antiqua"/>
          <w:color w:val="000000"/>
        </w:rPr>
        <w:t>and safety of “bridging” pancreaticogastrostomy</w:t>
      </w:r>
    </w:p>
    <w:p w14:paraId="0E2380F5" w14:textId="77777777" w:rsidR="00A77B3E" w:rsidRPr="00173E46" w:rsidRDefault="00A77B3E" w:rsidP="00173E46">
      <w:pPr>
        <w:adjustRightInd w:val="0"/>
        <w:snapToGrid w:val="0"/>
        <w:spacing w:line="360" w:lineRule="auto"/>
        <w:jc w:val="both"/>
        <w:rPr>
          <w:rFonts w:ascii="Book Antiqua" w:hAnsi="Book Antiqua"/>
        </w:rPr>
      </w:pPr>
    </w:p>
    <w:p w14:paraId="0316FF9D"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Jian Feng, Hang-Yu Zhang, Li Yan, Zi-Man Zhu, Bin Liang, Peng-Fei Wang, Xiang-Qian Zhao, Yong-Liang Chen</w:t>
      </w:r>
    </w:p>
    <w:p w14:paraId="2458DDE3" w14:textId="77777777" w:rsidR="00A77B3E" w:rsidRPr="00173E46" w:rsidRDefault="00A77B3E" w:rsidP="00173E46">
      <w:pPr>
        <w:adjustRightInd w:val="0"/>
        <w:snapToGrid w:val="0"/>
        <w:spacing w:line="360" w:lineRule="auto"/>
        <w:jc w:val="both"/>
        <w:rPr>
          <w:rFonts w:ascii="Book Antiqua" w:hAnsi="Book Antiqua"/>
        </w:rPr>
      </w:pPr>
    </w:p>
    <w:p w14:paraId="65F0A9B1" w14:textId="24748EE4" w:rsidR="00F24245" w:rsidRPr="00F24245"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Jian Feng, </w:t>
      </w:r>
      <w:r w:rsidR="00F24245" w:rsidRPr="00F24245">
        <w:rPr>
          <w:rFonts w:ascii="Book Antiqua" w:eastAsia="Book Antiqua" w:hAnsi="Book Antiqua" w:cs="Book Antiqua"/>
          <w:color w:val="000000"/>
        </w:rPr>
        <w:t>Department of Hepatopancreatobiliary Surgery, Peking University Shougang Hospital, Beijing</w:t>
      </w:r>
      <w:r w:rsidR="00F24245">
        <w:rPr>
          <w:rFonts w:ascii="Book Antiqua" w:eastAsia="Book Antiqua" w:hAnsi="Book Antiqua" w:cs="Book Antiqua"/>
          <w:color w:val="000000"/>
        </w:rPr>
        <w:t xml:space="preserve"> </w:t>
      </w:r>
      <w:r w:rsidR="00F24245" w:rsidRPr="00F24245">
        <w:rPr>
          <w:rFonts w:ascii="Book Antiqua" w:eastAsia="Book Antiqua" w:hAnsi="Book Antiqua" w:cs="Book Antiqua"/>
          <w:color w:val="000000"/>
        </w:rPr>
        <w:t>100144, China</w:t>
      </w:r>
    </w:p>
    <w:p w14:paraId="2098ADE3" w14:textId="77777777" w:rsidR="00F24245" w:rsidRDefault="00F24245" w:rsidP="00173E46">
      <w:pPr>
        <w:adjustRightInd w:val="0"/>
        <w:snapToGrid w:val="0"/>
        <w:spacing w:line="360" w:lineRule="auto"/>
        <w:jc w:val="both"/>
        <w:rPr>
          <w:rFonts w:ascii="Book Antiqua" w:eastAsia="Book Antiqua" w:hAnsi="Book Antiqua" w:cs="Book Antiqua"/>
          <w:b/>
          <w:bCs/>
          <w:color w:val="000000"/>
        </w:rPr>
      </w:pPr>
    </w:p>
    <w:p w14:paraId="00451B9F" w14:textId="5CAAD420"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Hang-Yu Zhang, Li Yan, Zi-Man Zhu, Bin Liang, Peng-Fei Wang, Xiang-Qian Zhao, Yong-Liang Chen, </w:t>
      </w:r>
      <w:r w:rsidRPr="00173E46">
        <w:rPr>
          <w:rFonts w:ascii="Book Antiqua" w:eastAsia="Book Antiqua" w:hAnsi="Book Antiqua" w:cs="Book Antiqua"/>
          <w:color w:val="000000"/>
        </w:rPr>
        <w:t>Faculty of Hepato-Pancreato-Biliary Surgery, Institute of Hepatobiliary Surgery of Chinese PLA, Key Laboratory of Digital Hepetobiliary Surgery, Chinese PLA General Hospital, Beijing 100853, China</w:t>
      </w:r>
    </w:p>
    <w:p w14:paraId="7641582F" w14:textId="77777777" w:rsidR="00A77B3E" w:rsidRPr="00173E46" w:rsidRDefault="00A77B3E" w:rsidP="00173E46">
      <w:pPr>
        <w:adjustRightInd w:val="0"/>
        <w:snapToGrid w:val="0"/>
        <w:spacing w:line="360" w:lineRule="auto"/>
        <w:jc w:val="both"/>
        <w:rPr>
          <w:rFonts w:ascii="Book Antiqua" w:hAnsi="Book Antiqua"/>
        </w:rPr>
      </w:pPr>
    </w:p>
    <w:p w14:paraId="43E0F079" w14:textId="604F0F43"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Author contributions: </w:t>
      </w:r>
      <w:r w:rsidRPr="00173E46">
        <w:rPr>
          <w:rFonts w:ascii="Book Antiqua" w:eastAsia="Book Antiqua" w:hAnsi="Book Antiqua" w:cs="Book Antiqua"/>
          <w:color w:val="000000"/>
        </w:rPr>
        <w:t xml:space="preserve">Chen </w:t>
      </w:r>
      <w:r w:rsidR="00F1368B" w:rsidRPr="00173E46">
        <w:rPr>
          <w:rFonts w:ascii="Book Antiqua" w:eastAsia="Book Antiqua" w:hAnsi="Book Antiqua" w:cs="Book Antiqua"/>
          <w:color w:val="000000"/>
        </w:rPr>
        <w:t xml:space="preserve">YL </w:t>
      </w:r>
      <w:r w:rsidRPr="00173E46">
        <w:rPr>
          <w:rFonts w:ascii="Book Antiqua" w:eastAsia="Book Antiqua" w:hAnsi="Book Antiqua" w:cs="Book Antiqua"/>
          <w:color w:val="000000"/>
        </w:rPr>
        <w:t>is the guarantor of the integrity of the entire study, carried out the study design, defined the intellectual content, participated in the literature research, and reviewed the manuscript; Feng</w:t>
      </w:r>
      <w:r w:rsidR="00F1368B" w:rsidRPr="00173E46">
        <w:rPr>
          <w:rFonts w:ascii="Book Antiqua" w:eastAsia="Book Antiqua" w:hAnsi="Book Antiqua" w:cs="Book Antiqua"/>
          <w:color w:val="000000"/>
        </w:rPr>
        <w:t xml:space="preserve"> J</w:t>
      </w:r>
      <w:r w:rsidRPr="00173E46">
        <w:rPr>
          <w:rFonts w:ascii="Book Antiqua" w:eastAsia="Book Antiqua" w:hAnsi="Book Antiqua" w:cs="Book Antiqua"/>
          <w:color w:val="000000"/>
        </w:rPr>
        <w:t xml:space="preserve">, Zhang </w:t>
      </w:r>
      <w:r w:rsidR="00F1368B" w:rsidRPr="00173E46">
        <w:rPr>
          <w:rFonts w:ascii="Book Antiqua" w:eastAsia="Book Antiqua" w:hAnsi="Book Antiqua" w:cs="Book Antiqua"/>
          <w:color w:val="000000"/>
        </w:rPr>
        <w:t>HY</w:t>
      </w:r>
      <w:r w:rsidR="005165FD">
        <w:rPr>
          <w:rFonts w:ascii="Book Antiqua" w:eastAsia="Book Antiqua" w:hAnsi="Book Antiqua" w:cs="Book Antiqua"/>
          <w:color w:val="000000"/>
        </w:rPr>
        <w:t>,</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and Yan </w:t>
      </w:r>
      <w:r w:rsidR="00F1368B" w:rsidRPr="00173E46">
        <w:rPr>
          <w:rFonts w:ascii="Book Antiqua" w:eastAsia="Book Antiqua" w:hAnsi="Book Antiqua" w:cs="Book Antiqua"/>
          <w:color w:val="000000"/>
        </w:rPr>
        <w:t xml:space="preserve">L </w:t>
      </w:r>
      <w:r w:rsidRPr="00173E46">
        <w:rPr>
          <w:rFonts w:ascii="Book Antiqua" w:eastAsia="Book Antiqua" w:hAnsi="Book Antiqua" w:cs="Book Antiqua"/>
          <w:color w:val="000000"/>
        </w:rPr>
        <w:t>performed</w:t>
      </w:r>
      <w:r w:rsidRPr="00173E46">
        <w:rPr>
          <w:rFonts w:ascii="MS Gothic" w:eastAsia="MS Gothic" w:hAnsi="MS Gothic" w:cs="MS Gothic" w:hint="eastAsia"/>
          <w:color w:val="000000"/>
        </w:rPr>
        <w:t> </w:t>
      </w:r>
      <w:r w:rsidRPr="00173E46">
        <w:rPr>
          <w:rFonts w:ascii="Book Antiqua" w:eastAsia="Book Antiqua" w:hAnsi="Book Antiqua" w:cs="Book Antiqua"/>
          <w:color w:val="000000"/>
        </w:rPr>
        <w:t>the research, wrote the first draft, and analyzed</w:t>
      </w:r>
      <w:r w:rsidRPr="00173E46">
        <w:rPr>
          <w:rFonts w:ascii="MS Gothic" w:eastAsia="MS Gothic" w:hAnsi="MS Gothic" w:cs="MS Gothic" w:hint="eastAsia"/>
          <w:color w:val="000000"/>
        </w:rPr>
        <w:t> </w:t>
      </w:r>
      <w:r w:rsidRPr="00173E46">
        <w:rPr>
          <w:rFonts w:ascii="Book Antiqua" w:eastAsia="Book Antiqua" w:hAnsi="Book Antiqua" w:cs="Book Antiqua"/>
          <w:color w:val="000000"/>
        </w:rPr>
        <w:t>the</w:t>
      </w:r>
      <w:r w:rsidRPr="00173E46">
        <w:rPr>
          <w:rFonts w:ascii="MS Gothic" w:eastAsia="MS Gothic" w:hAnsi="MS Gothic" w:cs="MS Gothic" w:hint="eastAsia"/>
          <w:color w:val="000000"/>
        </w:rPr>
        <w:t> </w:t>
      </w:r>
      <w:r w:rsidRPr="00173E46">
        <w:rPr>
          <w:rFonts w:ascii="Book Antiqua" w:eastAsia="Book Antiqua" w:hAnsi="Book Antiqua" w:cs="Book Antiqua"/>
          <w:color w:val="000000"/>
        </w:rPr>
        <w:t>data; Zhu</w:t>
      </w:r>
      <w:r w:rsidR="00F1368B" w:rsidRPr="00173E46">
        <w:rPr>
          <w:rFonts w:ascii="Book Antiqua" w:eastAsia="Book Antiqua" w:hAnsi="Book Antiqua" w:cs="Book Antiqua"/>
          <w:color w:val="000000"/>
        </w:rPr>
        <w:t xml:space="preserve"> ZM</w:t>
      </w:r>
      <w:r w:rsidRPr="00173E46">
        <w:rPr>
          <w:rFonts w:ascii="Book Antiqua" w:eastAsia="Book Antiqua" w:hAnsi="Book Antiqua" w:cs="Book Antiqua"/>
          <w:color w:val="000000"/>
        </w:rPr>
        <w:t>, Liang</w:t>
      </w:r>
      <w:r w:rsidR="00F1368B" w:rsidRPr="00173E46">
        <w:rPr>
          <w:rFonts w:ascii="Book Antiqua" w:eastAsia="Book Antiqua" w:hAnsi="Book Antiqua" w:cs="Book Antiqua"/>
          <w:color w:val="000000"/>
        </w:rPr>
        <w:t xml:space="preserve"> B</w:t>
      </w:r>
      <w:r w:rsidRPr="00173E46">
        <w:rPr>
          <w:rFonts w:ascii="Book Antiqua" w:eastAsia="Book Antiqua" w:hAnsi="Book Antiqua" w:cs="Book Antiqua"/>
          <w:color w:val="000000"/>
        </w:rPr>
        <w:t xml:space="preserve">, Wang </w:t>
      </w:r>
      <w:r w:rsidR="00F1368B" w:rsidRPr="00173E46">
        <w:rPr>
          <w:rFonts w:ascii="Book Antiqua" w:eastAsia="Book Antiqua" w:hAnsi="Book Antiqua" w:cs="Book Antiqua"/>
          <w:color w:val="000000"/>
        </w:rPr>
        <w:t>PF</w:t>
      </w:r>
      <w:r w:rsidR="005165FD">
        <w:rPr>
          <w:rFonts w:ascii="Book Antiqua" w:eastAsia="Book Antiqua" w:hAnsi="Book Antiqua" w:cs="Book Antiqua"/>
          <w:color w:val="000000"/>
        </w:rPr>
        <w:t>,</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and Zhao </w:t>
      </w:r>
      <w:r w:rsidR="00F1368B" w:rsidRPr="00173E46">
        <w:rPr>
          <w:rFonts w:ascii="Book Antiqua" w:eastAsia="Book Antiqua" w:hAnsi="Book Antiqua" w:cs="Book Antiqua"/>
          <w:color w:val="000000"/>
        </w:rPr>
        <w:t xml:space="preserve">XQ </w:t>
      </w:r>
      <w:r w:rsidRPr="00173E46">
        <w:rPr>
          <w:rFonts w:ascii="Book Antiqua" w:eastAsia="Book Antiqua" w:hAnsi="Book Antiqua" w:cs="Book Antiqua"/>
          <w:color w:val="000000"/>
        </w:rPr>
        <w:t>assisted in animal experiments and acquired data</w:t>
      </w:r>
      <w:r w:rsidR="00F1368B" w:rsidRPr="00173E46">
        <w:rPr>
          <w:rFonts w:ascii="Book Antiqua" w:eastAsia="Book Antiqua" w:hAnsi="Book Antiqua" w:cs="Book Antiqua"/>
          <w:color w:val="000000"/>
        </w:rPr>
        <w:t>;</w:t>
      </w:r>
      <w:r w:rsidRPr="00173E46">
        <w:rPr>
          <w:rFonts w:ascii="Book Antiqua" w:eastAsia="Book Antiqua" w:hAnsi="Book Antiqua" w:cs="Book Antiqua"/>
          <w:color w:val="000000"/>
        </w:rPr>
        <w:t xml:space="preserve"> Zhang </w:t>
      </w:r>
      <w:r w:rsidR="00F1368B" w:rsidRPr="00173E46">
        <w:rPr>
          <w:rFonts w:ascii="Book Antiqua" w:eastAsia="Book Antiqua" w:hAnsi="Book Antiqua" w:cs="Book Antiqua"/>
          <w:color w:val="000000"/>
        </w:rPr>
        <w:t xml:space="preserve">HY </w:t>
      </w:r>
      <w:r w:rsidRPr="00173E46">
        <w:rPr>
          <w:rFonts w:ascii="Book Antiqua" w:eastAsia="Book Antiqua" w:hAnsi="Book Antiqua" w:cs="Book Antiqua"/>
          <w:color w:val="000000"/>
        </w:rPr>
        <w:t xml:space="preserve">and Yan </w:t>
      </w:r>
      <w:r w:rsidR="00F1368B" w:rsidRPr="00173E46">
        <w:rPr>
          <w:rFonts w:ascii="Book Antiqua" w:eastAsia="Book Antiqua" w:hAnsi="Book Antiqua" w:cs="Book Antiqua"/>
          <w:color w:val="000000"/>
        </w:rPr>
        <w:t xml:space="preserve">L </w:t>
      </w:r>
      <w:r w:rsidRPr="00173E46">
        <w:rPr>
          <w:rFonts w:ascii="Book Antiqua" w:eastAsia="Book Antiqua" w:hAnsi="Book Antiqua" w:cs="Book Antiqua"/>
          <w:color w:val="000000"/>
        </w:rPr>
        <w:t>are considered co-first author</w:t>
      </w:r>
      <w:r w:rsidR="00F1368B" w:rsidRPr="00173E46">
        <w:rPr>
          <w:rFonts w:ascii="Book Antiqua" w:eastAsia="Book Antiqua" w:hAnsi="Book Antiqua" w:cs="Book Antiqua"/>
          <w:color w:val="000000"/>
        </w:rPr>
        <w:t>;</w:t>
      </w:r>
      <w:r w:rsidRPr="00173E46">
        <w:rPr>
          <w:rFonts w:ascii="Book Antiqua" w:eastAsia="Book Antiqua" w:hAnsi="Book Antiqua" w:cs="Book Antiqua"/>
          <w:color w:val="000000"/>
        </w:rPr>
        <w:t xml:space="preserve"> </w:t>
      </w:r>
      <w:r w:rsidR="00F527DA">
        <w:rPr>
          <w:rFonts w:ascii="Book Antiqua" w:eastAsia="Book Antiqua" w:hAnsi="Book Antiqua" w:cs="Book Antiqua"/>
          <w:color w:val="000000"/>
        </w:rPr>
        <w:t>A</w:t>
      </w:r>
      <w:r w:rsidR="00F1368B" w:rsidRPr="00173E46">
        <w:rPr>
          <w:rFonts w:ascii="Book Antiqua" w:eastAsia="Book Antiqua" w:hAnsi="Book Antiqua" w:cs="Book Antiqua"/>
          <w:color w:val="000000"/>
        </w:rPr>
        <w:t xml:space="preserve">ll </w:t>
      </w:r>
      <w:r w:rsidRPr="00173E46">
        <w:rPr>
          <w:rFonts w:ascii="Book Antiqua" w:eastAsia="Book Antiqua" w:hAnsi="Book Antiqua" w:cs="Book Antiqua"/>
          <w:color w:val="000000"/>
        </w:rPr>
        <w:t>authors read and approved the final manuscript.</w:t>
      </w:r>
    </w:p>
    <w:p w14:paraId="27761B50" w14:textId="77777777" w:rsidR="00A77B3E" w:rsidRPr="00173E46" w:rsidRDefault="00A77B3E" w:rsidP="00173E46">
      <w:pPr>
        <w:adjustRightInd w:val="0"/>
        <w:snapToGrid w:val="0"/>
        <w:spacing w:line="360" w:lineRule="auto"/>
        <w:jc w:val="both"/>
        <w:rPr>
          <w:rFonts w:ascii="Book Antiqua" w:hAnsi="Book Antiqua"/>
        </w:rPr>
      </w:pPr>
    </w:p>
    <w:p w14:paraId="79029F3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Corresponding author: Yong-Liang Chen, MD, PhD, Director, Doctor, </w:t>
      </w:r>
      <w:r w:rsidRPr="00173E46">
        <w:rPr>
          <w:rFonts w:ascii="Book Antiqua" w:eastAsia="Book Antiqua" w:hAnsi="Book Antiqua" w:cs="Book Antiqua"/>
          <w:color w:val="000000"/>
        </w:rPr>
        <w:t xml:space="preserve">Faculty of Hepato-Pancreato-Biliary Surgery, Institute of Hepatobiliary Surgery of Chinese PLA, </w:t>
      </w:r>
      <w:r w:rsidRPr="00173E46">
        <w:rPr>
          <w:rFonts w:ascii="Book Antiqua" w:eastAsia="Book Antiqua" w:hAnsi="Book Antiqua" w:cs="Book Antiqua"/>
          <w:color w:val="000000"/>
        </w:rPr>
        <w:lastRenderedPageBreak/>
        <w:t>Key Laboratory of Digital Hepetobiliary Surgery, Chinese PLA General Hospital, No. 28 Fuxing Road, Beijing 100853, China. chenyongl301@163.com</w:t>
      </w:r>
    </w:p>
    <w:p w14:paraId="74A38C19" w14:textId="77777777" w:rsidR="00A77B3E" w:rsidRPr="00173E46" w:rsidRDefault="00A77B3E" w:rsidP="00173E46">
      <w:pPr>
        <w:adjustRightInd w:val="0"/>
        <w:snapToGrid w:val="0"/>
        <w:spacing w:line="360" w:lineRule="auto"/>
        <w:jc w:val="both"/>
        <w:rPr>
          <w:rFonts w:ascii="Book Antiqua" w:hAnsi="Book Antiqua"/>
        </w:rPr>
      </w:pPr>
    </w:p>
    <w:p w14:paraId="41428A0D"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Received: </w:t>
      </w:r>
      <w:r w:rsidRPr="00173E46">
        <w:rPr>
          <w:rFonts w:ascii="Book Antiqua" w:eastAsia="Book Antiqua" w:hAnsi="Book Antiqua" w:cs="Book Antiqua"/>
          <w:color w:val="000000"/>
        </w:rPr>
        <w:t>January 12, 2021</w:t>
      </w:r>
    </w:p>
    <w:p w14:paraId="30B6EF03"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Revised: </w:t>
      </w:r>
      <w:r w:rsidRPr="00173E46">
        <w:rPr>
          <w:rFonts w:ascii="Book Antiqua" w:eastAsia="Book Antiqua" w:hAnsi="Book Antiqua" w:cs="Book Antiqua"/>
          <w:color w:val="000000"/>
        </w:rPr>
        <w:t>February 19, 2021</w:t>
      </w:r>
    </w:p>
    <w:p w14:paraId="74FC1B35" w14:textId="5E14DF19"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Accepted: </w:t>
      </w:r>
      <w:r w:rsidR="00802AEE" w:rsidRPr="00802AEE">
        <w:rPr>
          <w:rFonts w:ascii="Book Antiqua" w:eastAsia="Book Antiqua" w:hAnsi="Book Antiqua" w:cs="Book Antiqua"/>
          <w:color w:val="000000"/>
        </w:rPr>
        <w:t>April 26, 2021</w:t>
      </w:r>
    </w:p>
    <w:p w14:paraId="06ACA749"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Published online: </w:t>
      </w:r>
    </w:p>
    <w:p w14:paraId="289A45B5" w14:textId="77777777" w:rsidR="00A77B3E" w:rsidRPr="00173E46" w:rsidRDefault="00A77B3E" w:rsidP="00173E46">
      <w:pPr>
        <w:adjustRightInd w:val="0"/>
        <w:snapToGrid w:val="0"/>
        <w:spacing w:line="360" w:lineRule="auto"/>
        <w:jc w:val="both"/>
        <w:rPr>
          <w:rFonts w:ascii="Book Antiqua" w:hAnsi="Book Antiqua"/>
        </w:rPr>
        <w:sectPr w:rsidR="00A77B3E" w:rsidRPr="00173E46">
          <w:footerReference w:type="default" r:id="rId7"/>
          <w:pgSz w:w="12240" w:h="15840"/>
          <w:pgMar w:top="1440" w:right="1440" w:bottom="1440" w:left="1440" w:header="720" w:footer="720" w:gutter="0"/>
          <w:cols w:space="720"/>
          <w:docGrid w:linePitch="360"/>
        </w:sectPr>
      </w:pPr>
    </w:p>
    <w:p w14:paraId="4170EE5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lastRenderedPageBreak/>
        <w:t>Abstract</w:t>
      </w:r>
    </w:p>
    <w:p w14:paraId="24748BA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BACKGROUND</w:t>
      </w:r>
    </w:p>
    <w:p w14:paraId="261E2571" w14:textId="3AA1ABE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In recent years, we created and employed a new anastomosis method, “bridging” pancreaticogastrostomy, to treat patients with extremely severe pancreatic injury. This surgery has advantages such as short length of surgery, low secondary trauma, rapid construction of shunts for pancreatic fluid, preventing second surgeries, and achieving good treatment outcomes in clinical practice. However, due to the limited number of clinical cases, there is a lack of strong evidence to support the feasibility and safety of this surgical procedure. Therefore, we carried out animal experiments to examine this procedure, which is reported </w:t>
      </w:r>
      <w:r w:rsidR="005165FD">
        <w:rPr>
          <w:rFonts w:ascii="Book Antiqua" w:eastAsia="Book Antiqua" w:hAnsi="Book Antiqua" w:cs="Book Antiqua"/>
          <w:color w:val="000000"/>
        </w:rPr>
        <w:t>here</w:t>
      </w:r>
      <w:r w:rsidRPr="00173E46">
        <w:rPr>
          <w:rFonts w:ascii="Book Antiqua" w:eastAsia="Book Antiqua" w:hAnsi="Book Antiqua" w:cs="Book Antiqua"/>
          <w:color w:val="000000"/>
        </w:rPr>
        <w:t>.</w:t>
      </w:r>
    </w:p>
    <w:p w14:paraId="6D8F1420" w14:textId="77777777" w:rsidR="00A77B3E" w:rsidRPr="00173E46" w:rsidRDefault="00A77B3E" w:rsidP="00173E46">
      <w:pPr>
        <w:adjustRightInd w:val="0"/>
        <w:snapToGrid w:val="0"/>
        <w:spacing w:line="360" w:lineRule="auto"/>
        <w:jc w:val="both"/>
        <w:rPr>
          <w:rFonts w:ascii="Book Antiqua" w:hAnsi="Book Antiqua"/>
        </w:rPr>
      </w:pPr>
    </w:p>
    <w:p w14:paraId="2503F2A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AIM</w:t>
      </w:r>
    </w:p>
    <w:p w14:paraId="2381DC26" w14:textId="674CB926"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To examine the feasibility and safety of a new rapid method of pancreaticogastrostomy, “bridging” pancreaticogastrostomy.</w:t>
      </w:r>
    </w:p>
    <w:p w14:paraId="47E7569A" w14:textId="77777777" w:rsidR="00A77B3E" w:rsidRPr="00173E46" w:rsidRDefault="00A77B3E" w:rsidP="00173E46">
      <w:pPr>
        <w:adjustRightInd w:val="0"/>
        <w:snapToGrid w:val="0"/>
        <w:spacing w:line="360" w:lineRule="auto"/>
        <w:jc w:val="both"/>
        <w:rPr>
          <w:rFonts w:ascii="Book Antiqua" w:hAnsi="Book Antiqua"/>
        </w:rPr>
      </w:pPr>
    </w:p>
    <w:p w14:paraId="10F21FA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METHODS</w:t>
      </w:r>
    </w:p>
    <w:p w14:paraId="33B4E4A5" w14:textId="4732D49C"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Ten Landrace pigs were randomized into the experimental and control groups, with </w:t>
      </w:r>
      <w:r w:rsidR="005165FD">
        <w:rPr>
          <w:rFonts w:ascii="Book Antiqua" w:eastAsia="Book Antiqua" w:hAnsi="Book Antiqua" w:cs="Book Antiqua"/>
          <w:color w:val="000000"/>
        </w:rPr>
        <w:t>five</w:t>
      </w:r>
      <w:r w:rsidRPr="00173E46">
        <w:rPr>
          <w:rFonts w:ascii="Book Antiqua" w:eastAsia="Book Antiqua" w:hAnsi="Book Antiqua" w:cs="Book Antiqua"/>
          <w:color w:val="000000"/>
        </w:rPr>
        <w:t xml:space="preserve"> pigs in each </w:t>
      </w:r>
      <w:r w:rsidR="005165FD">
        <w:rPr>
          <w:rFonts w:ascii="Book Antiqua" w:eastAsia="Book Antiqua" w:hAnsi="Book Antiqua" w:cs="Book Antiqua"/>
          <w:color w:val="000000"/>
        </w:rPr>
        <w:t>group</w:t>
      </w:r>
      <w:r w:rsidRPr="00173E46">
        <w:rPr>
          <w:rFonts w:ascii="Book Antiqua" w:eastAsia="Book Antiqua" w:hAnsi="Book Antiqua" w:cs="Book Antiqua"/>
          <w:color w:val="000000"/>
        </w:rPr>
        <w:t>. “Bridging” pancreaticogastrostomy was performed in the experimental group, while routine mucosa-to-mucosa pancreaticogastrostomy was performed in the control group. After surgery, the general condition, amylase levels in drainage fluid on Days 1, 3, 5, and 7,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blood glucose 6 mo after surgery, fasting,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peripheral blood insulin</w:t>
      </w:r>
      <w:r w:rsidR="007553FB">
        <w:rPr>
          <w:rFonts w:ascii="Book Antiqua" w:eastAsia="Book Antiqua" w:hAnsi="Book Antiqua" w:cs="Book Antiqua"/>
          <w:color w:val="000000"/>
        </w:rPr>
        <w:t>,</w:t>
      </w:r>
      <w:r w:rsidRPr="00173E46">
        <w:rPr>
          <w:rFonts w:ascii="Book Antiqua" w:eastAsia="Book Antiqua" w:hAnsi="Book Antiqua" w:cs="Book Antiqua"/>
          <w:color w:val="000000"/>
        </w:rPr>
        <w:t xml:space="preserve"> and portal vein blood insulin 6 mo after surgery were assessed. Resurgery was carried out at 1 and 6 mo after the former one to examine the condition of the abdominal cavity</w:t>
      </w:r>
      <w:r w:rsidR="007553FB">
        <w:rPr>
          <w:rFonts w:ascii="Book Antiqua" w:eastAsia="Book Antiqua" w:hAnsi="Book Antiqua" w:cs="Book Antiqua"/>
          <w:color w:val="000000"/>
        </w:rPr>
        <w:t xml:space="preserve"> and</w:t>
      </w:r>
      <w:r w:rsidRPr="00173E46">
        <w:rPr>
          <w:rFonts w:ascii="Book Antiqua" w:eastAsia="Book Antiqua" w:hAnsi="Book Antiqua" w:cs="Book Antiqua"/>
          <w:color w:val="000000"/>
        </w:rPr>
        <w:t xml:space="preserve"> firmness and tightness of the pancreaticogastric anastomosis and pancreas.</w:t>
      </w:r>
    </w:p>
    <w:p w14:paraId="3DB45067" w14:textId="77777777" w:rsidR="00A77B3E" w:rsidRPr="00173E46" w:rsidRDefault="00A77B3E" w:rsidP="00173E46">
      <w:pPr>
        <w:adjustRightInd w:val="0"/>
        <w:snapToGrid w:val="0"/>
        <w:spacing w:line="360" w:lineRule="auto"/>
        <w:jc w:val="both"/>
        <w:rPr>
          <w:rFonts w:ascii="Book Antiqua" w:hAnsi="Book Antiqua"/>
        </w:rPr>
      </w:pPr>
    </w:p>
    <w:p w14:paraId="497D5DAD"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RESULTS</w:t>
      </w:r>
    </w:p>
    <w:p w14:paraId="697FA304" w14:textId="3E66F70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After surgery, the general condition of the animals was good. One in the control group did not gain weight 6 mo after surgery, whereas significant weight gain was present in the other</w:t>
      </w:r>
      <w:r w:rsidR="007553FB">
        <w:rPr>
          <w:rFonts w:ascii="Book Antiqua" w:eastAsia="Book Antiqua" w:hAnsi="Book Antiqua" w:cs="Book Antiqua"/>
          <w:color w:val="000000"/>
        </w:rPr>
        <w:t>s</w:t>
      </w:r>
      <w:r w:rsidRPr="00173E46">
        <w:rPr>
          <w:rFonts w:ascii="Book Antiqua" w:eastAsia="Book Antiqua" w:hAnsi="Book Antiqua" w:cs="Book Antiqua"/>
          <w:color w:val="000000"/>
        </w:rPr>
        <w:t xml:space="preserve">. There were significant differences on Days 1 and 3 after surgery between the </w:t>
      </w:r>
      <w:r w:rsidRPr="00173E46">
        <w:rPr>
          <w:rFonts w:ascii="Book Antiqua" w:eastAsia="Book Antiqua" w:hAnsi="Book Antiqua" w:cs="Book Antiqua"/>
          <w:color w:val="000000"/>
        </w:rPr>
        <w:lastRenderedPageBreak/>
        <w:t>two groups but no differences on Days 5 and 7. There were no differences in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blood glucose and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insulin values of postprandial peripheral blood and portal vein blood 6 mo after surgery between the two groups. One month after surgery, the sinus tract orifice/anastomosis was patent in the two groups. Six months after surgery, the sinus tract orifice/anastomosis was sealed</w:t>
      </w:r>
      <w:r w:rsidR="007553FB">
        <w:rPr>
          <w:rFonts w:ascii="Book Antiqua" w:eastAsia="Book Antiqua" w:hAnsi="Book Antiqua" w:cs="Book Antiqua"/>
          <w:color w:val="000000"/>
        </w:rPr>
        <w:t>,</w:t>
      </w:r>
      <w:r w:rsidRPr="00173E46">
        <w:rPr>
          <w:rFonts w:ascii="Book Antiqua" w:eastAsia="Book Antiqua" w:hAnsi="Book Antiqua" w:cs="Book Antiqua"/>
          <w:color w:val="000000"/>
        </w:rPr>
        <w:t xml:space="preserve"> and pancreases in both groups presented with chronic pancreatitis.</w:t>
      </w:r>
    </w:p>
    <w:p w14:paraId="609DC33E" w14:textId="77777777" w:rsidR="00A77B3E" w:rsidRPr="00173E46" w:rsidRDefault="00A77B3E" w:rsidP="00173E46">
      <w:pPr>
        <w:adjustRightInd w:val="0"/>
        <w:snapToGrid w:val="0"/>
        <w:spacing w:line="360" w:lineRule="auto"/>
        <w:jc w:val="both"/>
        <w:rPr>
          <w:rFonts w:ascii="Book Antiqua" w:hAnsi="Book Antiqua"/>
        </w:rPr>
      </w:pPr>
    </w:p>
    <w:p w14:paraId="1F5805D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CONCLUSION</w:t>
      </w:r>
    </w:p>
    <w:p w14:paraId="4111C9CB" w14:textId="498E6DEB" w:rsidR="007553FB" w:rsidRPr="00173E46" w:rsidRDefault="007553FB" w:rsidP="007553FB">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w:t>
      </w:r>
      <w:r>
        <w:rPr>
          <w:rFonts w:ascii="Book Antiqua" w:eastAsia="Book Antiqua" w:hAnsi="Book Antiqua" w:cs="Book Antiqua"/>
          <w:color w:val="000000"/>
        </w:rPr>
        <w:t>B</w:t>
      </w:r>
      <w:r w:rsidRPr="00173E46">
        <w:rPr>
          <w:rFonts w:ascii="Book Antiqua" w:eastAsia="Book Antiqua" w:hAnsi="Book Antiqua" w:cs="Book Antiqua"/>
          <w:color w:val="000000"/>
        </w:rPr>
        <w:t>ridging” pancreaticogastrostomy</w:t>
      </w:r>
      <w:r w:rsidRPr="00173E46" w:rsidDel="007553FB">
        <w:rPr>
          <w:rFonts w:ascii="Book Antiqua" w:eastAsia="Book Antiqua" w:hAnsi="Book Antiqua" w:cs="Book Antiqua"/>
          <w:color w:val="000000"/>
        </w:rPr>
        <w:t xml:space="preserve"> </w:t>
      </w:r>
      <w:r>
        <w:rPr>
          <w:rFonts w:ascii="Book Antiqua" w:eastAsia="Book Antiqua" w:hAnsi="Book Antiqua" w:cs="Book Antiqua"/>
          <w:color w:val="000000"/>
        </w:rPr>
        <w:t>is a feasible and safe</w:t>
      </w:r>
      <w:r w:rsidRPr="00173E46">
        <w:rPr>
          <w:rFonts w:ascii="Book Antiqua" w:eastAsia="Book Antiqua" w:hAnsi="Book Antiqua" w:cs="Book Antiqua"/>
          <w:color w:val="000000"/>
        </w:rPr>
        <w:t xml:space="preserve"> a means of damage control surgery during the early stage of pancreatic injury. </w:t>
      </w:r>
    </w:p>
    <w:p w14:paraId="10617A97" w14:textId="77777777" w:rsidR="00A77B3E" w:rsidRPr="00173E46" w:rsidRDefault="00A77B3E" w:rsidP="00173E46">
      <w:pPr>
        <w:adjustRightInd w:val="0"/>
        <w:snapToGrid w:val="0"/>
        <w:spacing w:line="360" w:lineRule="auto"/>
        <w:jc w:val="both"/>
        <w:rPr>
          <w:rFonts w:ascii="Book Antiqua" w:hAnsi="Book Antiqua"/>
        </w:rPr>
      </w:pPr>
    </w:p>
    <w:p w14:paraId="06A8A8CF" w14:textId="4FBF0F61"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Key Words: </w:t>
      </w:r>
      <w:r w:rsidR="00710080" w:rsidRPr="00173E46">
        <w:rPr>
          <w:rFonts w:ascii="Book Antiqua" w:eastAsia="Book Antiqua" w:hAnsi="Book Antiqua" w:cs="Book Antiqua"/>
          <w:color w:val="000000"/>
        </w:rPr>
        <w:t xml:space="preserve">Pancreatic </w:t>
      </w:r>
      <w:r w:rsidRPr="00173E46">
        <w:rPr>
          <w:rFonts w:ascii="Book Antiqua" w:eastAsia="Book Antiqua" w:hAnsi="Book Antiqua" w:cs="Book Antiqua"/>
          <w:color w:val="000000"/>
        </w:rPr>
        <w:t xml:space="preserve">trauma; </w:t>
      </w:r>
      <w:r w:rsidR="00710080" w:rsidRPr="00173E46">
        <w:rPr>
          <w:rFonts w:ascii="Book Antiqua" w:eastAsia="Book Antiqua" w:hAnsi="Book Antiqua" w:cs="Book Antiqua"/>
          <w:color w:val="000000"/>
        </w:rPr>
        <w:t xml:space="preserve">Damage </w:t>
      </w:r>
      <w:r w:rsidRPr="00173E46">
        <w:rPr>
          <w:rFonts w:ascii="Book Antiqua" w:eastAsia="Book Antiqua" w:hAnsi="Book Antiqua" w:cs="Book Antiqua"/>
          <w:color w:val="000000"/>
        </w:rPr>
        <w:t>control surgery; “Bridging” pancreaticogastrostomy</w:t>
      </w:r>
      <w:r w:rsidR="00F527DA">
        <w:rPr>
          <w:rFonts w:ascii="Book Antiqua" w:eastAsia="Book Antiqua" w:hAnsi="Book Antiqua" w:cs="Book Antiqua"/>
          <w:color w:val="000000"/>
        </w:rPr>
        <w:t>; S</w:t>
      </w:r>
      <w:r w:rsidR="00F527DA" w:rsidRPr="00173E46">
        <w:rPr>
          <w:rFonts w:ascii="Book Antiqua" w:eastAsia="Book Antiqua" w:hAnsi="Book Antiqua" w:cs="Book Antiqua"/>
          <w:color w:val="000000"/>
        </w:rPr>
        <w:t>evere pancreatic injury</w:t>
      </w:r>
      <w:r w:rsidR="00F527DA">
        <w:rPr>
          <w:rFonts w:ascii="Book Antiqua" w:eastAsia="Book Antiqua" w:hAnsi="Book Antiqua" w:cs="Book Antiqua"/>
          <w:color w:val="000000"/>
        </w:rPr>
        <w:t>; Safety</w:t>
      </w:r>
    </w:p>
    <w:p w14:paraId="0F60B849" w14:textId="77777777" w:rsidR="00A77B3E" w:rsidRPr="00173E46" w:rsidRDefault="00A77B3E" w:rsidP="00173E46">
      <w:pPr>
        <w:adjustRightInd w:val="0"/>
        <w:snapToGrid w:val="0"/>
        <w:spacing w:line="360" w:lineRule="auto"/>
        <w:jc w:val="both"/>
        <w:rPr>
          <w:rFonts w:ascii="Book Antiqua" w:hAnsi="Book Antiqua"/>
        </w:rPr>
      </w:pPr>
    </w:p>
    <w:p w14:paraId="0C8A8D02" w14:textId="1FC73DFF"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Feng J, Zhang HY, Yan L, Zhu ZM, Liang B, Wang PF, Zhao XQ, Chen YL. </w:t>
      </w:r>
      <w:r w:rsidR="00F1368B" w:rsidRPr="00173E46">
        <w:rPr>
          <w:rFonts w:ascii="Book Antiqua" w:eastAsia="Book Antiqua" w:hAnsi="Book Antiqua" w:cs="Book Antiqua"/>
          <w:color w:val="000000"/>
        </w:rPr>
        <w:t xml:space="preserve">Feasibility </w:t>
      </w:r>
      <w:r w:rsidRPr="00173E46">
        <w:rPr>
          <w:rFonts w:ascii="Book Antiqua" w:eastAsia="Book Antiqua" w:hAnsi="Book Antiqua" w:cs="Book Antiqua"/>
          <w:color w:val="000000"/>
        </w:rPr>
        <w:t xml:space="preserve">and safety of “bridging” pancreaticogastrostomy for pancreatic trauma in Landrace pigs. </w:t>
      </w:r>
      <w:r w:rsidRPr="00173E46">
        <w:rPr>
          <w:rFonts w:ascii="Book Antiqua" w:eastAsia="Book Antiqua" w:hAnsi="Book Antiqua" w:cs="Book Antiqua"/>
          <w:i/>
          <w:iCs/>
          <w:color w:val="000000"/>
        </w:rPr>
        <w:t>World J Gastrointest Surg</w:t>
      </w:r>
      <w:r w:rsidRPr="00173E46">
        <w:rPr>
          <w:rFonts w:ascii="Book Antiqua" w:eastAsia="Book Antiqua" w:hAnsi="Book Antiqua" w:cs="Book Antiqua"/>
          <w:color w:val="000000"/>
        </w:rPr>
        <w:t xml:space="preserve"> 2021; In press</w:t>
      </w:r>
    </w:p>
    <w:p w14:paraId="3A5039F4" w14:textId="77777777" w:rsidR="00A77B3E" w:rsidRPr="00173E46" w:rsidRDefault="00A77B3E" w:rsidP="00173E46">
      <w:pPr>
        <w:adjustRightInd w:val="0"/>
        <w:snapToGrid w:val="0"/>
        <w:spacing w:line="360" w:lineRule="auto"/>
        <w:jc w:val="both"/>
        <w:rPr>
          <w:rFonts w:ascii="Book Antiqua" w:hAnsi="Book Antiqua"/>
        </w:rPr>
      </w:pPr>
    </w:p>
    <w:p w14:paraId="32CC1045" w14:textId="2CD7D86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Core Tip: </w:t>
      </w:r>
      <w:r w:rsidRPr="00173E46">
        <w:rPr>
          <w:rFonts w:ascii="Book Antiqua" w:eastAsia="Book Antiqua" w:hAnsi="Book Antiqua" w:cs="Book Antiqua"/>
          <w:color w:val="000000"/>
        </w:rPr>
        <w:t xml:space="preserve">This is a basic experimental research paper on the damage control surgery for pancreatic trauma, "bridging" pancreaticogastrostomy. To examine the feasibility and safety of this technique in </w:t>
      </w:r>
      <w:r w:rsidR="007553FB">
        <w:rPr>
          <w:rFonts w:ascii="Book Antiqua" w:eastAsia="Book Antiqua" w:hAnsi="Book Antiqua" w:cs="Book Antiqua"/>
          <w:color w:val="000000"/>
        </w:rPr>
        <w:t>L</w:t>
      </w:r>
      <w:r w:rsidRPr="00173E46">
        <w:rPr>
          <w:rFonts w:ascii="Book Antiqua" w:eastAsia="Book Antiqua" w:hAnsi="Book Antiqua" w:cs="Book Antiqua"/>
          <w:color w:val="000000"/>
        </w:rPr>
        <w:t>andrace pigs, we designed a series of research experiments. We found “</w:t>
      </w:r>
      <w:r w:rsidR="007553FB">
        <w:rPr>
          <w:rFonts w:ascii="Book Antiqua" w:eastAsia="Book Antiqua" w:hAnsi="Book Antiqua" w:cs="Book Antiqua"/>
          <w:color w:val="000000"/>
        </w:rPr>
        <w:t>b</w:t>
      </w:r>
      <w:r w:rsidRPr="00173E46">
        <w:rPr>
          <w:rFonts w:ascii="Book Antiqua" w:eastAsia="Book Antiqua" w:hAnsi="Book Antiqua" w:cs="Book Antiqua"/>
          <w:color w:val="000000"/>
        </w:rPr>
        <w:t xml:space="preserve">ridging” pancreaticogastrostomy can be used to </w:t>
      </w:r>
      <w:r w:rsidR="007553FB">
        <w:rPr>
          <w:rFonts w:ascii="Book Antiqua" w:eastAsia="Book Antiqua" w:hAnsi="Book Antiqua" w:cs="Book Antiqua"/>
          <w:color w:val="000000"/>
        </w:rPr>
        <w:t xml:space="preserve">establish </w:t>
      </w:r>
      <w:r w:rsidRPr="00173E46">
        <w:rPr>
          <w:rFonts w:ascii="Book Antiqua" w:eastAsia="Book Antiqua" w:hAnsi="Book Antiqua" w:cs="Book Antiqua"/>
          <w:color w:val="000000"/>
        </w:rPr>
        <w:t>rapidly a channel and has similar short- and long-term results compared with the routine mucosa-mucosa pancreaticogastrostomy.</w:t>
      </w:r>
    </w:p>
    <w:p w14:paraId="5998FD9B" w14:textId="77777777" w:rsidR="00A77B3E" w:rsidRPr="00173E46" w:rsidRDefault="00A77B3E" w:rsidP="00173E46">
      <w:pPr>
        <w:adjustRightInd w:val="0"/>
        <w:snapToGrid w:val="0"/>
        <w:spacing w:line="360" w:lineRule="auto"/>
        <w:jc w:val="both"/>
        <w:rPr>
          <w:rFonts w:ascii="Book Antiqua" w:hAnsi="Book Antiqua"/>
        </w:rPr>
      </w:pPr>
    </w:p>
    <w:p w14:paraId="4F53FF0A" w14:textId="77777777" w:rsidR="00454283" w:rsidRDefault="00454283" w:rsidP="00173E46">
      <w:pPr>
        <w:adjustRightInd w:val="0"/>
        <w:snapToGrid w:val="0"/>
        <w:spacing w:line="360" w:lineRule="auto"/>
        <w:jc w:val="both"/>
        <w:rPr>
          <w:rFonts w:ascii="Book Antiqua" w:eastAsia="Book Antiqua" w:hAnsi="Book Antiqua" w:cs="Book Antiqua"/>
          <w:b/>
          <w:caps/>
          <w:color w:val="000000"/>
          <w:u w:val="single"/>
        </w:rPr>
        <w:sectPr w:rsidR="00454283">
          <w:pgSz w:w="12240" w:h="15840"/>
          <w:pgMar w:top="1440" w:right="1440" w:bottom="1440" w:left="1440" w:header="720" w:footer="720" w:gutter="0"/>
          <w:cols w:space="720"/>
          <w:docGrid w:linePitch="360"/>
        </w:sectPr>
      </w:pPr>
    </w:p>
    <w:p w14:paraId="5D461BA4" w14:textId="39A21A4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lastRenderedPageBreak/>
        <w:t>INTRODUCTION</w:t>
      </w:r>
    </w:p>
    <w:p w14:paraId="659F57D7" w14:textId="0300ECF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In emergency surgery for severe pancreatic trauma, controlling damage and preventing secondary damage is a problem that deserves attention</w:t>
      </w:r>
      <w:r w:rsidRPr="00173E46">
        <w:rPr>
          <w:rFonts w:ascii="Book Antiqua" w:eastAsia="Book Antiqua" w:hAnsi="Book Antiqua" w:cs="Book Antiqua"/>
          <w:color w:val="000000"/>
          <w:vertAlign w:val="superscript"/>
        </w:rPr>
        <w:t>[1-4]</w:t>
      </w:r>
      <w:r w:rsidRPr="00173E46">
        <w:rPr>
          <w:rFonts w:ascii="Book Antiqua" w:eastAsia="Book Antiqua" w:hAnsi="Book Antiqua" w:cs="Book Antiqua"/>
          <w:color w:val="000000"/>
        </w:rPr>
        <w:t>. There are not many options for surgeons to deal with this problem. Examples include emergent pancreaticoduodenectomy and pancreatic repair surgery</w:t>
      </w:r>
      <w:r w:rsidRPr="00173E46">
        <w:rPr>
          <w:rFonts w:ascii="Book Antiqua" w:eastAsia="Book Antiqua" w:hAnsi="Book Antiqua" w:cs="Book Antiqua"/>
          <w:color w:val="000000"/>
          <w:vertAlign w:val="superscript"/>
        </w:rPr>
        <w:t>[5-7]</w:t>
      </w:r>
      <w:r w:rsidRPr="00173E46">
        <w:rPr>
          <w:rFonts w:ascii="Book Antiqua" w:eastAsia="Book Antiqua" w:hAnsi="Book Antiqua" w:cs="Book Antiqua"/>
          <w:color w:val="000000"/>
        </w:rPr>
        <w:t xml:space="preserve">. The aims of the surgery are to shunt </w:t>
      </w:r>
      <w:r w:rsidR="00DD3E7D">
        <w:rPr>
          <w:rFonts w:ascii="Book Antiqua" w:eastAsia="Book Antiqua" w:hAnsi="Book Antiqua" w:cs="Book Antiqua"/>
          <w:color w:val="000000"/>
        </w:rPr>
        <w:t xml:space="preserve">rationally </w:t>
      </w:r>
      <w:r w:rsidRPr="00173E46">
        <w:rPr>
          <w:rFonts w:ascii="Book Antiqua" w:eastAsia="Book Antiqua" w:hAnsi="Book Antiqua" w:cs="Book Antiqua"/>
          <w:color w:val="000000"/>
        </w:rPr>
        <w:t xml:space="preserve">pancreatic fluid, bile, and digestive juices in addition to hemostasis and </w:t>
      </w:r>
      <w:r w:rsidR="00DD3E7D">
        <w:rPr>
          <w:rFonts w:ascii="Book Antiqua" w:eastAsia="Book Antiqua" w:hAnsi="Book Antiqua" w:cs="Book Antiqua"/>
          <w:color w:val="000000"/>
        </w:rPr>
        <w:t xml:space="preserve">to </w:t>
      </w:r>
      <w:r w:rsidRPr="00173E46">
        <w:rPr>
          <w:rFonts w:ascii="Book Antiqua" w:eastAsia="Book Antiqua" w:hAnsi="Book Antiqua" w:cs="Book Antiqua"/>
          <w:color w:val="000000"/>
        </w:rPr>
        <w:t xml:space="preserve">repair organ damage in the cavity. In recent years, we created and employed a new anastomosis method, “bridging” pancreaticogastrostomy, to treat patients with an extremely severe pancreatic injury. This surgery has advantages such as short length of surgery, low secondary trauma, rapid construction of shunts for pancreatic fluid, preventing second surgeries, and achieving good treatment outcomes in clinical practice. However, due to the limited number of clinical cases, there is a lack of strong evidence to support the feasibility and safety of this surgical procedure. Therefore, we carried out animal experiments to examine this procedure, which is reported </w:t>
      </w:r>
      <w:r w:rsidR="00DD3E7D">
        <w:rPr>
          <w:rFonts w:ascii="Book Antiqua" w:eastAsia="Book Antiqua" w:hAnsi="Book Antiqua" w:cs="Book Antiqua"/>
          <w:color w:val="000000"/>
        </w:rPr>
        <w:t>here</w:t>
      </w:r>
      <w:r w:rsidRPr="00173E46">
        <w:rPr>
          <w:rFonts w:ascii="Book Antiqua" w:eastAsia="Book Antiqua" w:hAnsi="Book Antiqua" w:cs="Book Antiqua"/>
          <w:color w:val="000000"/>
        </w:rPr>
        <w:t>.</w:t>
      </w:r>
    </w:p>
    <w:p w14:paraId="2CF9B736" w14:textId="77777777" w:rsidR="00A77B3E" w:rsidRPr="00173E46" w:rsidRDefault="00A77B3E" w:rsidP="00173E46">
      <w:pPr>
        <w:adjustRightInd w:val="0"/>
        <w:snapToGrid w:val="0"/>
        <w:spacing w:line="360" w:lineRule="auto"/>
        <w:jc w:val="both"/>
        <w:rPr>
          <w:rFonts w:ascii="Book Antiqua" w:hAnsi="Book Antiqua"/>
        </w:rPr>
      </w:pPr>
    </w:p>
    <w:p w14:paraId="02F65FD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MATERIALS AND METHODS</w:t>
      </w:r>
    </w:p>
    <w:p w14:paraId="40C8ABE7"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Selection and grouping of experimental animals</w:t>
      </w:r>
    </w:p>
    <w:p w14:paraId="6D77981B" w14:textId="364423D2"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Ten healthy Landrace pigs weighing 20</w:t>
      </w:r>
      <w:r w:rsidR="00454283">
        <w:rPr>
          <w:rFonts w:ascii="Book Antiqua" w:eastAsia="Book Antiqua" w:hAnsi="Book Antiqua" w:cs="Book Antiqua"/>
          <w:color w:val="000000"/>
        </w:rPr>
        <w:t>-</w:t>
      </w:r>
      <w:r w:rsidRPr="00173E46">
        <w:rPr>
          <w:rFonts w:ascii="Book Antiqua" w:eastAsia="Book Antiqua" w:hAnsi="Book Antiqua" w:cs="Book Antiqua"/>
          <w:color w:val="000000"/>
        </w:rPr>
        <w:t xml:space="preserve">25 kg were selected with no gender restrictions. The pigs were provided by the Experimental Animal Center of Chinese PLA General Hospital. All animals were reared in single cages and periodically fed with refined standard pig feed. Animals were fasted </w:t>
      </w:r>
      <w:r w:rsidR="00DD3E7D">
        <w:rPr>
          <w:rFonts w:ascii="Book Antiqua" w:eastAsia="Book Antiqua" w:hAnsi="Book Antiqua" w:cs="Book Antiqua"/>
          <w:color w:val="000000"/>
        </w:rPr>
        <w:t>1 d</w:t>
      </w:r>
      <w:r w:rsidRPr="00173E46">
        <w:rPr>
          <w:rFonts w:ascii="Book Antiqua" w:eastAsia="Book Antiqua" w:hAnsi="Book Antiqua" w:cs="Book Antiqua"/>
          <w:color w:val="000000"/>
        </w:rPr>
        <w:t xml:space="preserve"> before surgery and in the first 2 </w:t>
      </w:r>
      <w:r w:rsidR="00F1368B" w:rsidRPr="00173E46">
        <w:rPr>
          <w:rFonts w:ascii="Book Antiqua" w:eastAsia="Book Antiqua" w:hAnsi="Book Antiqua" w:cs="Book Antiqua"/>
          <w:color w:val="000000"/>
        </w:rPr>
        <w:t>d</w:t>
      </w:r>
      <w:r w:rsidRPr="00173E46">
        <w:rPr>
          <w:rFonts w:ascii="Book Antiqua" w:eastAsia="Book Antiqua" w:hAnsi="Book Antiqua" w:cs="Book Antiqua"/>
          <w:color w:val="000000"/>
        </w:rPr>
        <w:t xml:space="preserve"> after surgery but allowed to drink water. Feeding was gradually resumed from Day 3 onwards. Pigs were randomized into the experimental and control groups, with </w:t>
      </w:r>
      <w:r w:rsidR="00DD3E7D">
        <w:rPr>
          <w:rFonts w:ascii="Book Antiqua" w:eastAsia="Book Antiqua" w:hAnsi="Book Antiqua" w:cs="Book Antiqua"/>
          <w:color w:val="000000"/>
        </w:rPr>
        <w:t>five</w:t>
      </w:r>
      <w:r w:rsidRPr="00173E46">
        <w:rPr>
          <w:rFonts w:ascii="Book Antiqua" w:eastAsia="Book Antiqua" w:hAnsi="Book Antiqua" w:cs="Book Antiqua"/>
          <w:color w:val="000000"/>
        </w:rPr>
        <w:t xml:space="preserve"> pigs in each one. “Bridging” pancreaticogastrostomy was performed in the experimental group (Group A), while routine mucosa-to-mucosa pancreaticogastrostomy was performed in the control group (Group B). The operational procedures for the animal experiments were approved by the Institutional Animal Care and Use Committee of PLA General Hospital.</w:t>
      </w:r>
    </w:p>
    <w:p w14:paraId="201336D3" w14:textId="77777777" w:rsidR="00A77B3E" w:rsidRPr="00173E46" w:rsidRDefault="00A77B3E" w:rsidP="00173E46">
      <w:pPr>
        <w:adjustRightInd w:val="0"/>
        <w:snapToGrid w:val="0"/>
        <w:spacing w:line="360" w:lineRule="auto"/>
        <w:jc w:val="both"/>
        <w:rPr>
          <w:rFonts w:ascii="Book Antiqua" w:hAnsi="Book Antiqua"/>
        </w:rPr>
      </w:pPr>
    </w:p>
    <w:p w14:paraId="1C2B0F9A"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Experimental methods and procedures</w:t>
      </w:r>
    </w:p>
    <w:p w14:paraId="3B023D58" w14:textId="6F1F107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lastRenderedPageBreak/>
        <w:t>Animal anesthesia</w:t>
      </w:r>
      <w:r w:rsidR="00F1368B" w:rsidRPr="00173E46">
        <w:rPr>
          <w:rFonts w:ascii="Book Antiqua" w:eastAsia="Book Antiqua" w:hAnsi="Book Antiqua" w:cs="Book Antiqua"/>
          <w:b/>
          <w:bCs/>
          <w:color w:val="000000"/>
        </w:rPr>
        <w:t xml:space="preserve">: </w:t>
      </w:r>
      <w:r w:rsidRPr="00173E46">
        <w:rPr>
          <w:rFonts w:ascii="Book Antiqua" w:eastAsia="Book Antiqua" w:hAnsi="Book Antiqua" w:cs="Book Antiqua"/>
          <w:color w:val="000000"/>
        </w:rPr>
        <w:t>Sedazine II (xylazine hydrochloride injection) + midazolam injection (volume ratio: 1</w:t>
      </w:r>
      <w:r w:rsidR="00F1368B" w:rsidRPr="00173E46">
        <w:rPr>
          <w:rFonts w:ascii="Book Antiqua" w:eastAsia="Book Antiqua" w:hAnsi="Book Antiqua" w:cs="Book Antiqua"/>
          <w:color w:val="000000"/>
        </w:rPr>
        <w:t>:</w:t>
      </w:r>
      <w:r w:rsidRPr="00173E46">
        <w:rPr>
          <w:rFonts w:ascii="Book Antiqua" w:eastAsia="Book Antiqua" w:hAnsi="Book Antiqua" w:cs="Book Antiqua"/>
          <w:color w:val="000000"/>
        </w:rPr>
        <w:t>1) was used for anesthesia induction by 0.5 mL/kg intramuscular injection. After endotracheal intubation was successful, the ventilator was first connected and then adjusted so that tidal volume was 10 mL/kg, respiratory rate was 16/min, and FIO</w:t>
      </w:r>
      <w:r w:rsidRPr="00173E46">
        <w:rPr>
          <w:rFonts w:ascii="Book Antiqua" w:eastAsia="Book Antiqua" w:hAnsi="Book Antiqua" w:cs="Book Antiqua"/>
          <w:color w:val="000000"/>
          <w:vertAlign w:val="subscript"/>
        </w:rPr>
        <w:t>2</w:t>
      </w:r>
      <w:r w:rsidRPr="00173E46">
        <w:rPr>
          <w:rFonts w:ascii="Book Antiqua" w:eastAsia="Book Antiqua" w:hAnsi="Book Antiqua" w:cs="Book Antiqua"/>
          <w:color w:val="000000"/>
        </w:rPr>
        <w:t xml:space="preserve"> was 0.4. Positive end-expiratory pressure was maintained at 4 cm H</w:t>
      </w:r>
      <w:r w:rsidRPr="00173E46">
        <w:rPr>
          <w:rFonts w:ascii="Book Antiqua" w:eastAsia="Book Antiqua" w:hAnsi="Book Antiqua" w:cs="Book Antiqua"/>
          <w:color w:val="000000"/>
          <w:vertAlign w:val="subscript"/>
        </w:rPr>
        <w:t>2</w:t>
      </w:r>
      <w:r w:rsidRPr="00173E46">
        <w:rPr>
          <w:rFonts w:ascii="Book Antiqua" w:eastAsia="Book Antiqua" w:hAnsi="Book Antiqua" w:cs="Book Antiqua"/>
          <w:color w:val="000000"/>
        </w:rPr>
        <w:t xml:space="preserve">O to maintain good oxygenation in animals. </w:t>
      </w:r>
      <w:r w:rsidR="00DD3E7D">
        <w:rPr>
          <w:rFonts w:ascii="Book Antiqua" w:eastAsia="Book Antiqua" w:hAnsi="Book Antiqua" w:cs="Book Antiqua"/>
          <w:color w:val="000000"/>
        </w:rPr>
        <w:t>I</w:t>
      </w:r>
      <w:r w:rsidRPr="00173E46">
        <w:rPr>
          <w:rFonts w:ascii="Book Antiqua" w:eastAsia="Book Antiqua" w:hAnsi="Book Antiqua" w:cs="Book Antiqua"/>
          <w:color w:val="000000"/>
        </w:rPr>
        <w:t>soflurane</w:t>
      </w:r>
      <w:r w:rsidR="00DD3E7D">
        <w:rPr>
          <w:rFonts w:ascii="Book Antiqua" w:eastAsia="Book Antiqua" w:hAnsi="Book Antiqua" w:cs="Book Antiqua"/>
          <w:color w:val="000000"/>
        </w:rPr>
        <w:t xml:space="preserve"> (0.8%)</w:t>
      </w:r>
      <w:r w:rsidRPr="00173E46">
        <w:rPr>
          <w:rFonts w:ascii="Book Antiqua" w:eastAsia="Book Antiqua" w:hAnsi="Book Antiqua" w:cs="Book Antiqua"/>
          <w:color w:val="000000"/>
        </w:rPr>
        <w:t xml:space="preserve"> inhalation anesthesia combined with intravenous injection of 2-5 mg/kg fentanyl citrate through the ear vein was used for anesthesia maintenance. Intravenous infusion of rocuronium bromide (20-50 mg/pig) was used as the muscle relaxant. The external jugular vein was dissected to establish venous access. The carotid artery was dissected for connection to the arterial monitoring machine. During surgery, balanced solutions were used to supplement the physiological needs and intraoperative fluid loss in animals. During surgery, blood pressure, heart rate, and temperature were monitored.</w:t>
      </w:r>
    </w:p>
    <w:p w14:paraId="5FF82DDC" w14:textId="77777777" w:rsidR="00A77B3E" w:rsidRPr="00173E46" w:rsidRDefault="00A77B3E" w:rsidP="00173E46">
      <w:pPr>
        <w:adjustRightInd w:val="0"/>
        <w:snapToGrid w:val="0"/>
        <w:spacing w:line="360" w:lineRule="auto"/>
        <w:jc w:val="both"/>
        <w:rPr>
          <w:rFonts w:ascii="Book Antiqua" w:hAnsi="Book Antiqua"/>
        </w:rPr>
      </w:pPr>
    </w:p>
    <w:p w14:paraId="35FAA22D" w14:textId="15C7BBFD" w:rsidR="00F1368B"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Surgery procedures</w:t>
      </w:r>
      <w:r w:rsidR="00F1368B" w:rsidRPr="00173E46">
        <w:rPr>
          <w:rFonts w:ascii="Book Antiqua" w:eastAsia="Book Antiqua" w:hAnsi="Book Antiqua" w:cs="Book Antiqua"/>
          <w:b/>
          <w:bCs/>
          <w:color w:val="000000"/>
        </w:rPr>
        <w:t xml:space="preserve">: </w:t>
      </w:r>
      <w:r w:rsidRPr="00173E46">
        <w:rPr>
          <w:rFonts w:ascii="Book Antiqua" w:eastAsia="Book Antiqua" w:hAnsi="Book Antiqua" w:cs="Book Antiqua"/>
          <w:color w:val="000000"/>
        </w:rPr>
        <w:t>After anesthesia, an abdominal midline incision was made up to the second row of nipples and down to 5 cm above the navel. The total length was approximately 12 cm</w:t>
      </w:r>
      <w:r w:rsidR="00803047">
        <w:rPr>
          <w:rFonts w:ascii="Book Antiqua" w:eastAsia="Book Antiqua" w:hAnsi="Book Antiqua" w:cs="Book Antiqua"/>
          <w:color w:val="000000"/>
        </w:rPr>
        <w:t>,</w:t>
      </w:r>
      <w:r w:rsidRPr="00173E46">
        <w:rPr>
          <w:rFonts w:ascii="Book Antiqua" w:eastAsia="Book Antiqua" w:hAnsi="Book Antiqua" w:cs="Book Antiqua"/>
          <w:color w:val="000000"/>
        </w:rPr>
        <w:t xml:space="preserve"> and the abdomen was accessed layer by layer. The duodenum was palpated along the stomach and pylorus, and the duodenum was pulled. A thin pink pancreatic head could be seen to be pulled up. The pancreatic head was dissected, the proximal pancreas was retained, and a cross U-type was made using 5-0 prolene sutures (Figure 1). A 0.6 mm or 0.8 mm pancreatic duct drainage tube was inserted into the distal end.</w:t>
      </w:r>
    </w:p>
    <w:p w14:paraId="1322C6DE" w14:textId="2A839E12" w:rsidR="00F1368B"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A “bridging” pancreaticogastrostomy was performed in the experimental group: </w:t>
      </w:r>
      <w:r w:rsidR="00EB04BD">
        <w:rPr>
          <w:rFonts w:ascii="Book Antiqua" w:eastAsia="Book Antiqua" w:hAnsi="Book Antiqua" w:cs="Book Antiqua"/>
          <w:color w:val="000000"/>
        </w:rPr>
        <w:t>T</w:t>
      </w:r>
      <w:r w:rsidRPr="00173E46">
        <w:rPr>
          <w:rFonts w:ascii="Book Antiqua" w:eastAsia="Book Antiqua" w:hAnsi="Book Antiqua" w:cs="Book Antiqua"/>
          <w:color w:val="000000"/>
        </w:rPr>
        <w:t xml:space="preserve">he gastric wall near the pancreatic stump (generally, the posterior gastric wall at the greater curvature near the pylorus is selected) was used for perforation in an avascular region before the pancreatic duct was inserted into the gastric cavity. At the insertion site, a purse-string suture of the serosa was carried out. Approximately 2 cm of the pancreatic duct was retained between the pancreas and the stomach (Figure 2). A large volume of physiological saline was used to rinse the abdominal cavity. A rubber drainage tube was retained at the abdominal wall and secured. Another hole was made beside the incision </w:t>
      </w:r>
      <w:r w:rsidRPr="00173E46">
        <w:rPr>
          <w:rFonts w:ascii="Book Antiqua" w:eastAsia="Book Antiqua" w:hAnsi="Book Antiqua" w:cs="Book Antiqua"/>
          <w:color w:val="000000"/>
        </w:rPr>
        <w:lastRenderedPageBreak/>
        <w:t>for drainage. Approximately 2 cm of drainage tube was retained at the outer end. The pig was carefully examined for the absence of pancreatic fistula and bleeding before the abdomen was closed layer by layer.</w:t>
      </w:r>
    </w:p>
    <w:p w14:paraId="58A84442" w14:textId="6B681402" w:rsidR="00A77B3E"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Routine pancreaticogastrostomy was performed in the control group: </w:t>
      </w:r>
      <w:r w:rsidR="00454283" w:rsidRPr="00173E46">
        <w:rPr>
          <w:rFonts w:ascii="Book Antiqua" w:eastAsia="Book Antiqua" w:hAnsi="Book Antiqua" w:cs="Book Antiqua"/>
          <w:color w:val="000000"/>
        </w:rPr>
        <w:t>M</w:t>
      </w:r>
      <w:r w:rsidRPr="00173E46">
        <w:rPr>
          <w:rFonts w:ascii="Book Antiqua" w:eastAsia="Book Antiqua" w:hAnsi="Book Antiqua" w:cs="Book Antiqua"/>
          <w:color w:val="000000"/>
        </w:rPr>
        <w:t>ucosa-to-mucosa pancreaticogastrostomy was carried out at the gastric wall at the pancreatic stump side (Figure 3). Other procedures were the same as the experimental group.</w:t>
      </w:r>
    </w:p>
    <w:p w14:paraId="5125B1E9" w14:textId="77777777" w:rsidR="00F1368B" w:rsidRPr="00173E46" w:rsidRDefault="00F1368B" w:rsidP="00173E46">
      <w:pPr>
        <w:adjustRightInd w:val="0"/>
        <w:snapToGrid w:val="0"/>
        <w:spacing w:line="360" w:lineRule="auto"/>
        <w:jc w:val="both"/>
        <w:rPr>
          <w:rFonts w:ascii="Book Antiqua" w:hAnsi="Book Antiqua"/>
        </w:rPr>
      </w:pPr>
    </w:p>
    <w:p w14:paraId="68CD828E" w14:textId="1FF9E72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Observation indicators</w:t>
      </w:r>
    </w:p>
    <w:p w14:paraId="2F16780D" w14:textId="655C4B9A"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Observation indicators included the general condition of animals, such as feeding, bowel movements, activity, and weight changes. Pancreatic fistula evaluation: </w:t>
      </w:r>
      <w:r w:rsidR="00EB04BD">
        <w:rPr>
          <w:rFonts w:ascii="Book Antiqua" w:eastAsia="Book Antiqua" w:hAnsi="Book Antiqua" w:cs="Book Antiqua"/>
          <w:color w:val="000000"/>
        </w:rPr>
        <w:t>D</w:t>
      </w:r>
      <w:r w:rsidRPr="00173E46">
        <w:rPr>
          <w:rFonts w:ascii="Book Antiqua" w:eastAsia="Book Antiqua" w:hAnsi="Book Antiqua" w:cs="Book Antiqua"/>
          <w:color w:val="000000"/>
        </w:rPr>
        <w:t xml:space="preserve">rainage fluid was collected on Days 1, 3, 5, and 7 after surgery to measure amylase levels. The animals were euthanized in two batches: </w:t>
      </w:r>
      <w:r w:rsidR="00EB04BD">
        <w:rPr>
          <w:rFonts w:ascii="Book Antiqua" w:eastAsia="Book Antiqua" w:hAnsi="Book Antiqua" w:cs="Book Antiqua"/>
          <w:color w:val="000000"/>
        </w:rPr>
        <w:t>T</w:t>
      </w:r>
      <w:r w:rsidRPr="00173E46">
        <w:rPr>
          <w:rFonts w:ascii="Book Antiqua" w:eastAsia="Book Antiqua" w:hAnsi="Book Antiqua" w:cs="Book Antiqua"/>
          <w:color w:val="000000"/>
        </w:rPr>
        <w:t xml:space="preserve">he first batch was euthanized 1 mo after surgery, and </w:t>
      </w:r>
      <w:r w:rsidR="00EB04BD">
        <w:rPr>
          <w:rFonts w:ascii="Book Antiqua" w:eastAsia="Book Antiqua" w:hAnsi="Book Antiqua" w:cs="Book Antiqua"/>
          <w:color w:val="000000"/>
        </w:rPr>
        <w:t>two</w:t>
      </w:r>
      <w:r w:rsidRPr="00173E46">
        <w:rPr>
          <w:rFonts w:ascii="Book Antiqua" w:eastAsia="Book Antiqua" w:hAnsi="Book Antiqua" w:cs="Book Antiqua"/>
          <w:color w:val="000000"/>
        </w:rPr>
        <w:t xml:space="preserve"> pigs each were randomly selected from the experimental and control groups. The second batch was euthanized 6 mo after surgery, and </w:t>
      </w:r>
      <w:r w:rsidR="00EB04BD">
        <w:rPr>
          <w:rFonts w:ascii="Book Antiqua" w:eastAsia="Book Antiqua" w:hAnsi="Book Antiqua" w:cs="Book Antiqua"/>
          <w:color w:val="000000"/>
        </w:rPr>
        <w:t>three</w:t>
      </w:r>
      <w:r w:rsidRPr="00173E46">
        <w:rPr>
          <w:rFonts w:ascii="Book Antiqua" w:eastAsia="Book Antiqua" w:hAnsi="Book Antiqua" w:cs="Book Antiqua"/>
          <w:color w:val="000000"/>
        </w:rPr>
        <w:t xml:space="preserve"> pigs each were randomly selected from the experimental and control groups. Resurgery was performed before euthanasia in the animals, and the anesthesia procedure was the same as above. Surgery was performed to examine the abdominal cavity, including the presence/absence of walled-off necrosis, inflammation in the residual pancreas (color, texture), and patency of the sinus tract between the pancreas and stomach.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insulin values of postprandial venous blood were collected before euthanasia for animals that were euthanized 6 mo after surgery. Blood samples were used for blood glucose and insulin measurements. During surgery, portal vein blood was collected to measure insulin levels.</w:t>
      </w:r>
    </w:p>
    <w:p w14:paraId="0C0844DF" w14:textId="77777777" w:rsidR="00A77B3E" w:rsidRPr="00173E46" w:rsidRDefault="00A77B3E" w:rsidP="00173E46">
      <w:pPr>
        <w:adjustRightInd w:val="0"/>
        <w:snapToGrid w:val="0"/>
        <w:spacing w:line="360" w:lineRule="auto"/>
        <w:jc w:val="both"/>
        <w:rPr>
          <w:rFonts w:ascii="Book Antiqua" w:hAnsi="Book Antiqua"/>
        </w:rPr>
      </w:pPr>
    </w:p>
    <w:p w14:paraId="3446D0B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Statistical analysis</w:t>
      </w:r>
    </w:p>
    <w:p w14:paraId="507F2CA4" w14:textId="20CD4E94"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Statistical analysis was performed with SPSS 19.0</w:t>
      </w:r>
      <w:r w:rsidR="00EB04BD">
        <w:rPr>
          <w:rFonts w:ascii="Book Antiqua" w:eastAsia="Book Antiqua" w:hAnsi="Book Antiqua" w:cs="Book Antiqua"/>
          <w:color w:val="000000"/>
        </w:rPr>
        <w:t xml:space="preserve"> (Armonk, NY, United States)</w:t>
      </w:r>
      <w:r w:rsidRPr="00173E46">
        <w:rPr>
          <w:rFonts w:ascii="Book Antiqua" w:eastAsia="Book Antiqua" w:hAnsi="Book Antiqua" w:cs="Book Antiqua"/>
          <w:color w:val="000000"/>
        </w:rPr>
        <w:t>. Continuous variables were presented as mean</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 </w:t>
      </w:r>
      <w:r w:rsidR="00EB04BD">
        <w:rPr>
          <w:rFonts w:ascii="Book Antiqua" w:eastAsia="Book Antiqua" w:hAnsi="Book Antiqua" w:cs="Book Antiqua"/>
          <w:color w:val="000000"/>
        </w:rPr>
        <w:t>standard error</w:t>
      </w:r>
      <w:r w:rsidRPr="00173E46">
        <w:rPr>
          <w:rFonts w:ascii="Book Antiqua" w:eastAsia="Book Antiqua" w:hAnsi="Book Antiqua" w:cs="Book Antiqua"/>
          <w:color w:val="000000"/>
        </w:rPr>
        <w:t xml:space="preserve"> or median and 95% confidence interval and compared by using Student’s </w:t>
      </w:r>
      <w:r w:rsidRPr="00173E46">
        <w:rPr>
          <w:rFonts w:ascii="Book Antiqua" w:eastAsia="Book Antiqua" w:hAnsi="Book Antiqua" w:cs="Book Antiqua"/>
          <w:i/>
          <w:iCs/>
          <w:color w:val="000000"/>
        </w:rPr>
        <w:t>t</w:t>
      </w:r>
      <w:r w:rsidRPr="00173E46">
        <w:rPr>
          <w:rFonts w:ascii="Book Antiqua" w:eastAsia="Book Antiqua" w:hAnsi="Book Antiqua" w:cs="Book Antiqua"/>
          <w:color w:val="000000"/>
        </w:rPr>
        <w:t xml:space="preserve">-test, the Mann-Whitney </w:t>
      </w:r>
      <w:r w:rsidRPr="00173E46">
        <w:rPr>
          <w:rFonts w:ascii="Book Antiqua" w:eastAsia="Book Antiqua" w:hAnsi="Book Antiqua" w:cs="Book Antiqua"/>
          <w:i/>
          <w:iCs/>
          <w:color w:val="000000"/>
        </w:rPr>
        <w:t>U</w:t>
      </w:r>
      <w:r w:rsidRPr="00173E46">
        <w:rPr>
          <w:rFonts w:ascii="Book Antiqua" w:eastAsia="Book Antiqua" w:hAnsi="Book Antiqua" w:cs="Book Antiqua"/>
          <w:color w:val="000000"/>
        </w:rPr>
        <w:t xml:space="preserve"> test</w:t>
      </w:r>
      <w:r w:rsidR="00EB04BD">
        <w:rPr>
          <w:rFonts w:ascii="Book Antiqua" w:eastAsia="Book Antiqua" w:hAnsi="Book Antiqua" w:cs="Book Antiqua"/>
          <w:color w:val="000000"/>
        </w:rPr>
        <w:t>,</w:t>
      </w:r>
      <w:r w:rsidRPr="00173E46">
        <w:rPr>
          <w:rFonts w:ascii="Book Antiqua" w:eastAsia="Book Antiqua" w:hAnsi="Book Antiqua" w:cs="Book Antiqua"/>
          <w:color w:val="000000"/>
        </w:rPr>
        <w:t xml:space="preserve"> or Wilcoxon’s signed-rank test, as appropriate. </w:t>
      </w:r>
      <w:r w:rsidRPr="00173E46">
        <w:rPr>
          <w:rFonts w:ascii="Book Antiqua" w:eastAsia="Book Antiqua" w:hAnsi="Book Antiqua" w:cs="Book Antiqua"/>
          <w:i/>
          <w:iCs/>
          <w:color w:val="000000"/>
        </w:rPr>
        <w:t>P</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 xml:space="preserve">&lt; 0.05 was considered statistically significant. </w:t>
      </w:r>
    </w:p>
    <w:p w14:paraId="39E07B2D" w14:textId="77777777" w:rsidR="00A77B3E" w:rsidRPr="00173E46" w:rsidRDefault="00A77B3E" w:rsidP="00173E46">
      <w:pPr>
        <w:adjustRightInd w:val="0"/>
        <w:snapToGrid w:val="0"/>
        <w:spacing w:line="360" w:lineRule="auto"/>
        <w:jc w:val="both"/>
        <w:rPr>
          <w:rFonts w:ascii="Book Antiqua" w:hAnsi="Book Antiqua"/>
        </w:rPr>
      </w:pPr>
    </w:p>
    <w:p w14:paraId="73E240E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lastRenderedPageBreak/>
        <w:t>RESULTS</w:t>
      </w:r>
    </w:p>
    <w:p w14:paraId="49E058F9"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Postoperative general condition of animals</w:t>
      </w:r>
    </w:p>
    <w:p w14:paraId="3EC222E5" w14:textId="7F4C525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All animals in both groups survived </w:t>
      </w:r>
      <w:r w:rsidR="0021133D">
        <w:rPr>
          <w:rFonts w:ascii="Book Antiqua" w:eastAsia="Book Antiqua" w:hAnsi="Book Antiqua" w:cs="Book Antiqua"/>
          <w:color w:val="000000"/>
        </w:rPr>
        <w:t>the</w:t>
      </w:r>
      <w:r w:rsidRPr="00173E46">
        <w:rPr>
          <w:rFonts w:ascii="Book Antiqua" w:eastAsia="Book Antiqua" w:hAnsi="Book Antiqua" w:cs="Book Antiqua"/>
          <w:color w:val="000000"/>
        </w:rPr>
        <w:t xml:space="preserve"> surgery, and no perioperative death occurred. Among animals that were continuously observed for 6 mo, one from the control group did not gain weight, which was the same as before surgery. The weight of the remaining animals increased from 30 kg before surgery to 86-90 kg.</w:t>
      </w:r>
    </w:p>
    <w:p w14:paraId="38C18E3F" w14:textId="77777777" w:rsidR="00A77B3E" w:rsidRPr="00173E46" w:rsidRDefault="00A77B3E" w:rsidP="00173E46">
      <w:pPr>
        <w:adjustRightInd w:val="0"/>
        <w:snapToGrid w:val="0"/>
        <w:spacing w:line="360" w:lineRule="auto"/>
        <w:jc w:val="both"/>
        <w:rPr>
          <w:rFonts w:ascii="Book Antiqua" w:hAnsi="Book Antiqua"/>
        </w:rPr>
      </w:pPr>
    </w:p>
    <w:p w14:paraId="747AE5A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Comparison of postoperative laboratory test markers</w:t>
      </w:r>
    </w:p>
    <w:p w14:paraId="29C9C8B5" w14:textId="6A486EF9"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From postoperative amylase measurements (Table 1), </w:t>
      </w:r>
      <w:proofErr w:type="gramStart"/>
      <w:r w:rsidRPr="00173E46">
        <w:rPr>
          <w:rFonts w:ascii="Book Antiqua" w:eastAsia="Book Antiqua" w:hAnsi="Book Antiqua" w:cs="Book Antiqua"/>
          <w:color w:val="000000"/>
        </w:rPr>
        <w:t>it can be seen that amylase</w:t>
      </w:r>
      <w:proofErr w:type="gramEnd"/>
      <w:r w:rsidRPr="00173E46">
        <w:rPr>
          <w:rFonts w:ascii="Book Antiqua" w:eastAsia="Book Antiqua" w:hAnsi="Book Antiqua" w:cs="Book Antiqua"/>
          <w:color w:val="000000"/>
        </w:rPr>
        <w:t xml:space="preserve"> decreased to normal levels 5 </w:t>
      </w:r>
      <w:r w:rsidR="00F1368B" w:rsidRPr="00173E46">
        <w:rPr>
          <w:rFonts w:ascii="Book Antiqua" w:eastAsia="Book Antiqua" w:hAnsi="Book Antiqua" w:cs="Book Antiqua"/>
          <w:color w:val="000000"/>
        </w:rPr>
        <w:t>d</w:t>
      </w:r>
      <w:r w:rsidRPr="00173E46">
        <w:rPr>
          <w:rFonts w:ascii="Book Antiqua" w:eastAsia="Book Antiqua" w:hAnsi="Book Antiqua" w:cs="Book Antiqua"/>
          <w:color w:val="000000"/>
        </w:rPr>
        <w:t xml:space="preserve"> after surgery in most animals in the experimental and control groups, and only </w:t>
      </w:r>
      <w:r w:rsidR="0021133D">
        <w:rPr>
          <w:rFonts w:ascii="Book Antiqua" w:eastAsia="Book Antiqua" w:hAnsi="Book Antiqua" w:cs="Book Antiqua"/>
          <w:color w:val="000000"/>
        </w:rPr>
        <w:t>one</w:t>
      </w:r>
      <w:r w:rsidRPr="00173E46">
        <w:rPr>
          <w:rFonts w:ascii="Book Antiqua" w:eastAsia="Book Antiqua" w:hAnsi="Book Antiqua" w:cs="Book Antiqua"/>
          <w:color w:val="000000"/>
        </w:rPr>
        <w:t xml:space="preserve"> animal from the control group showed a rebound in amylase level, which increased on Day 7 after surgery. Amylase levels were significantly higher in the experimental group than</w:t>
      </w:r>
      <w:r w:rsidR="0021133D">
        <w:rPr>
          <w:rFonts w:ascii="Book Antiqua" w:eastAsia="Book Antiqua" w:hAnsi="Book Antiqua" w:cs="Book Antiqua"/>
          <w:color w:val="000000"/>
        </w:rPr>
        <w:t xml:space="preserve"> in</w:t>
      </w:r>
      <w:r w:rsidRPr="00173E46">
        <w:rPr>
          <w:rFonts w:ascii="Book Antiqua" w:eastAsia="Book Antiqua" w:hAnsi="Book Antiqua" w:cs="Book Antiqua"/>
          <w:color w:val="000000"/>
        </w:rPr>
        <w:t xml:space="preserve"> the control group on Day 1 after surgery, but there were no differences between the two groups after Day 3.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postprandial blood glucose was measured 6 mo after surgery (Table 2). The comparison showed that there was no statistically significant difference between the two groups. Fasting and 2-</w:t>
      </w:r>
      <w:r w:rsidR="00F1368B" w:rsidRPr="00173E46">
        <w:rPr>
          <w:rFonts w:ascii="Book Antiqua" w:eastAsia="Book Antiqua" w:hAnsi="Book Antiqua" w:cs="Book Antiqua"/>
          <w:color w:val="000000"/>
        </w:rPr>
        <w:t>h</w:t>
      </w:r>
      <w:r w:rsidRPr="00173E46">
        <w:rPr>
          <w:rFonts w:ascii="Book Antiqua" w:eastAsia="Book Antiqua" w:hAnsi="Book Antiqua" w:cs="Book Antiqua"/>
          <w:color w:val="000000"/>
        </w:rPr>
        <w:t xml:space="preserve"> peripheral blood insulin and portal vein blood insulin levels were measured 6 mo after surgery (Table 3). The comparison showed that there was no statistically significant difference between the two groups.</w:t>
      </w:r>
    </w:p>
    <w:p w14:paraId="3D259DB2" w14:textId="77777777" w:rsidR="00A77B3E" w:rsidRPr="00173E46" w:rsidRDefault="00A77B3E" w:rsidP="00173E46">
      <w:pPr>
        <w:adjustRightInd w:val="0"/>
        <w:snapToGrid w:val="0"/>
        <w:spacing w:line="360" w:lineRule="auto"/>
        <w:jc w:val="both"/>
        <w:rPr>
          <w:rFonts w:ascii="Book Antiqua" w:hAnsi="Book Antiqua"/>
        </w:rPr>
      </w:pPr>
    </w:p>
    <w:p w14:paraId="671F9C9D"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i/>
          <w:iCs/>
          <w:color w:val="000000"/>
        </w:rPr>
        <w:t>Resurgery status</w:t>
      </w:r>
    </w:p>
    <w:p w14:paraId="27860143" w14:textId="77D62936" w:rsidR="00F1368B"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During the resurgery 1 mo after the surgery, the drainage tube spontaneously fell out. After open abdomen surgery was carried out, we found that there were severe intra-abdominal adhesions. The sinus tract in the experimental group was intact, and the intragastric sinus tract opening was clearly seen (Figure 4). The pancreaticogastric anastomosis in the control group showed good healing, and the intragastric anastomosis was clearly seen (Figure 5).</w:t>
      </w:r>
    </w:p>
    <w:p w14:paraId="12EFD907" w14:textId="6DF7E5E4" w:rsidR="00A77B3E"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During resurgery 6 mo after surgery, intra-abdominal adhesions were reduced. Multiple walled-off necroses were present in the abdominal cavity in one from the control group, and no necrotic lesions were present in the abdominal cavity of the other animals. </w:t>
      </w:r>
      <w:r w:rsidRPr="00173E46">
        <w:rPr>
          <w:rFonts w:ascii="Book Antiqua" w:eastAsia="Book Antiqua" w:hAnsi="Book Antiqua" w:cs="Book Antiqua"/>
          <w:color w:val="000000"/>
        </w:rPr>
        <w:lastRenderedPageBreak/>
        <w:t>Careful autopsy of the stomach did not find sinus tract opening or anastomosis in the experimental and control groups. The texture of the pancreas in all animals was hard, and the pancreatic duct was significantly dilated, which denotes the presentation of chronic pancreatitis. The pancreas and sinus tract were used for pathological tests. The results were the same between the experimental and the control groups. H</w:t>
      </w:r>
      <w:r w:rsidR="0021133D">
        <w:rPr>
          <w:rFonts w:ascii="Book Antiqua" w:eastAsia="Book Antiqua" w:hAnsi="Book Antiqua" w:cs="Book Antiqua"/>
          <w:color w:val="000000"/>
        </w:rPr>
        <w:t xml:space="preserve">ematoxylin and eosin </w:t>
      </w:r>
      <w:r w:rsidRPr="00173E46">
        <w:rPr>
          <w:rFonts w:ascii="Book Antiqua" w:eastAsia="Book Antiqua" w:hAnsi="Book Antiqua" w:cs="Book Antiqua"/>
          <w:color w:val="000000"/>
        </w:rPr>
        <w:t>staining showed that the pancreas was filled with large amounts of fibrous tissues and acinar atrophy and there was a drastic decrease in acinar cells and pancreatic islets (Figure</w:t>
      </w:r>
      <w:r w:rsidR="00454283">
        <w:rPr>
          <w:rFonts w:ascii="Book Antiqua" w:eastAsia="Book Antiqua" w:hAnsi="Book Antiqua" w:cs="Book Antiqua"/>
          <w:color w:val="000000"/>
        </w:rPr>
        <w:t>s</w:t>
      </w:r>
      <w:r w:rsidRPr="00173E46">
        <w:rPr>
          <w:rFonts w:ascii="Book Antiqua" w:eastAsia="Book Antiqua" w:hAnsi="Book Antiqua" w:cs="Book Antiqua"/>
          <w:color w:val="000000"/>
        </w:rPr>
        <w:t xml:space="preserve"> 6 and 7). </w:t>
      </w:r>
    </w:p>
    <w:p w14:paraId="1665A49B" w14:textId="77777777" w:rsidR="00A77B3E" w:rsidRPr="00173E46" w:rsidRDefault="00A77B3E" w:rsidP="00173E46">
      <w:pPr>
        <w:adjustRightInd w:val="0"/>
        <w:snapToGrid w:val="0"/>
        <w:spacing w:line="360" w:lineRule="auto"/>
        <w:ind w:firstLine="480"/>
        <w:jc w:val="both"/>
        <w:rPr>
          <w:rFonts w:ascii="Book Antiqua" w:hAnsi="Book Antiqua"/>
        </w:rPr>
      </w:pPr>
    </w:p>
    <w:p w14:paraId="5468979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DISCUSSION</w:t>
      </w:r>
    </w:p>
    <w:p w14:paraId="72E7DA47" w14:textId="2DB76529" w:rsidR="00F1368B"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The drainage of pancreatic fluid while controlling damage during emergent surgical treatment of severe pancreatic trauma (American Association for the Surgery of Trauma</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grade 4 or 5) is extremely important</w:t>
      </w:r>
      <w:r w:rsidRPr="00173E46">
        <w:rPr>
          <w:rFonts w:ascii="Book Antiqua" w:eastAsia="Book Antiqua" w:hAnsi="Book Antiqua" w:cs="Book Antiqua"/>
          <w:color w:val="000000"/>
          <w:vertAlign w:val="superscript"/>
        </w:rPr>
        <w:t>[8-10]</w:t>
      </w:r>
      <w:r w:rsidRPr="00173E46">
        <w:rPr>
          <w:rFonts w:ascii="Book Antiqua" w:eastAsia="Book Antiqua" w:hAnsi="Book Antiqua" w:cs="Book Antiqua"/>
          <w:color w:val="000000"/>
        </w:rPr>
        <w:t>. Even though pancreatic fluid drainage can be achieved in conventional surgeries</w:t>
      </w:r>
      <w:r w:rsidR="0021133D">
        <w:rPr>
          <w:rFonts w:ascii="Book Antiqua" w:eastAsia="Book Antiqua" w:hAnsi="Book Antiqua" w:cs="Book Antiqua"/>
          <w:color w:val="000000"/>
        </w:rPr>
        <w:t>,</w:t>
      </w:r>
      <w:r w:rsidRPr="00173E46">
        <w:rPr>
          <w:rFonts w:ascii="Book Antiqua" w:eastAsia="Book Antiqua" w:hAnsi="Book Antiqua" w:cs="Book Antiqua"/>
          <w:color w:val="000000"/>
        </w:rPr>
        <w:t xml:space="preserve"> such as the Whipple procedure and middle pancreatectomy followed by pancreaticojejunal Roux-en-Y anastomosis, surgical trauma is a factor that cannot be overlooked. How do we solve the problem of pancreatic fluid drainage while complying with the principle of damage control? We innovatively proposed a ”bridge“ between the pancreas and stomach in which only intubation is carried out, which is not an anastomosis in the traditional sense. We termed this technology ”bridging” pancreaticogastrostomy. This procedure can rapidly solve the problem of pancreatic fluid drainage without simultaneously increasing surgical trauma. After we inserted a silicon tube with the same diameter as the pancreatic duct into the pancreatic duct at the damaged site, the silicone tube was passed through the posterior gastric wall and the anterior gastric wall to the outside of the body to establish a ”bridging“ anastomosis. Three to four months after surgery, gastroscopy could be used to cut the drainage tube in the gastric cavity</w:t>
      </w:r>
      <w:r w:rsidR="0021133D">
        <w:rPr>
          <w:rFonts w:ascii="Book Antiqua" w:eastAsia="Book Antiqua" w:hAnsi="Book Antiqua" w:cs="Book Antiqua"/>
          <w:color w:val="000000"/>
        </w:rPr>
        <w:t xml:space="preserve"> and to</w:t>
      </w:r>
      <w:r w:rsidRPr="00173E46">
        <w:rPr>
          <w:rFonts w:ascii="Book Antiqua" w:eastAsia="Book Antiqua" w:hAnsi="Book Antiqua" w:cs="Book Antiqua"/>
          <w:color w:val="000000"/>
        </w:rPr>
        <w:t xml:space="preserve"> pull out the outer part</w:t>
      </w:r>
      <w:r w:rsidR="0021133D">
        <w:rPr>
          <w:rFonts w:ascii="Book Antiqua" w:eastAsia="Book Antiqua" w:hAnsi="Book Antiqua" w:cs="Book Antiqua"/>
          <w:color w:val="000000"/>
        </w:rPr>
        <w:t>;</w:t>
      </w:r>
      <w:r w:rsidRPr="00173E46">
        <w:rPr>
          <w:rFonts w:ascii="Book Antiqua" w:eastAsia="Book Antiqua" w:hAnsi="Book Antiqua" w:cs="Book Antiqua"/>
          <w:color w:val="000000"/>
        </w:rPr>
        <w:t xml:space="preserve"> the connection between the pancreas and the stomach forms a channel.</w:t>
      </w:r>
    </w:p>
    <w:p w14:paraId="578B1C88" w14:textId="44B74B9C" w:rsidR="00F1368B"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Techniques similar </w:t>
      </w:r>
      <w:proofErr w:type="gramStart"/>
      <w:r w:rsidRPr="00173E46">
        <w:rPr>
          <w:rFonts w:ascii="Book Antiqua" w:eastAsia="Book Antiqua" w:hAnsi="Book Antiqua" w:cs="Book Antiqua"/>
          <w:color w:val="000000"/>
        </w:rPr>
        <w:t>to ”bridging</w:t>
      </w:r>
      <w:proofErr w:type="gramEnd"/>
      <w:r w:rsidRPr="00173E46">
        <w:rPr>
          <w:rFonts w:ascii="Book Antiqua" w:eastAsia="Book Antiqua" w:hAnsi="Book Antiqua" w:cs="Book Antiqua"/>
          <w:color w:val="000000"/>
        </w:rPr>
        <w:t xml:space="preserve">” anastomosis </w:t>
      </w:r>
      <w:r w:rsidR="00162F80">
        <w:rPr>
          <w:rFonts w:ascii="Book Antiqua" w:eastAsia="Book Antiqua" w:hAnsi="Book Antiqua" w:cs="Book Antiqua"/>
          <w:color w:val="000000"/>
        </w:rPr>
        <w:t>have been</w:t>
      </w:r>
      <w:r w:rsidRPr="00173E46">
        <w:rPr>
          <w:rFonts w:ascii="Book Antiqua" w:eastAsia="Book Antiqua" w:hAnsi="Book Antiqua" w:cs="Book Antiqua"/>
          <w:color w:val="000000"/>
        </w:rPr>
        <w:t xml:space="preserve"> reported. Xu </w:t>
      </w:r>
      <w:r w:rsidRPr="00173E46">
        <w:rPr>
          <w:rFonts w:ascii="Book Antiqua" w:eastAsia="Book Antiqua" w:hAnsi="Book Antiqua" w:cs="Book Antiqua"/>
          <w:i/>
          <w:iCs/>
          <w:color w:val="000000"/>
        </w:rPr>
        <w:t xml:space="preserve">et </w:t>
      </w:r>
      <w:proofErr w:type="gramStart"/>
      <w:r w:rsidRPr="00173E46">
        <w:rPr>
          <w:rFonts w:ascii="Book Antiqua" w:eastAsia="Book Antiqua" w:hAnsi="Book Antiqua" w:cs="Book Antiqua"/>
          <w:i/>
          <w:iCs/>
          <w:color w:val="000000"/>
        </w:rPr>
        <w:t>al</w:t>
      </w:r>
      <w:r w:rsidR="00F1368B" w:rsidRPr="00173E46">
        <w:rPr>
          <w:rFonts w:ascii="Book Antiqua" w:eastAsia="Book Antiqua" w:hAnsi="Book Antiqua" w:cs="Book Antiqua"/>
          <w:color w:val="000000"/>
          <w:vertAlign w:val="superscript"/>
        </w:rPr>
        <w:t>[</w:t>
      </w:r>
      <w:proofErr w:type="gramEnd"/>
      <w:r w:rsidR="00F1368B" w:rsidRPr="00173E46">
        <w:rPr>
          <w:rFonts w:ascii="Book Antiqua" w:eastAsia="Book Antiqua" w:hAnsi="Book Antiqua" w:cs="Book Antiqua"/>
          <w:color w:val="000000"/>
          <w:vertAlign w:val="superscript"/>
        </w:rPr>
        <w:t>11]</w:t>
      </w:r>
      <w:r w:rsidRPr="00173E46">
        <w:rPr>
          <w:rFonts w:ascii="Book Antiqua" w:eastAsia="Book Antiqua" w:hAnsi="Book Antiqua" w:cs="Book Antiqua"/>
          <w:color w:val="000000"/>
        </w:rPr>
        <w:t xml:space="preserve"> used pancreaticoenteric dissection bridge drainage to treat </w:t>
      </w:r>
      <w:r w:rsidR="00162F80">
        <w:rPr>
          <w:rFonts w:ascii="Book Antiqua" w:eastAsia="Book Antiqua" w:hAnsi="Book Antiqua" w:cs="Book Antiqua"/>
          <w:color w:val="000000"/>
        </w:rPr>
        <w:t>two</w:t>
      </w:r>
      <w:r w:rsidRPr="00173E46">
        <w:rPr>
          <w:rFonts w:ascii="Book Antiqua" w:eastAsia="Book Antiqua" w:hAnsi="Book Antiqua" w:cs="Book Antiqua"/>
          <w:color w:val="000000"/>
        </w:rPr>
        <w:t xml:space="preserve"> patients with severe pancreatic fistula and intra-abdominal bleeding after Whipple surgery. During resurgery, the </w:t>
      </w:r>
      <w:r w:rsidRPr="00173E46">
        <w:rPr>
          <w:rFonts w:ascii="Book Antiqua" w:eastAsia="Book Antiqua" w:hAnsi="Book Antiqua" w:cs="Book Antiqua"/>
          <w:color w:val="000000"/>
        </w:rPr>
        <w:lastRenderedPageBreak/>
        <w:t>pancreatic stump was resutured</w:t>
      </w:r>
      <w:r w:rsidR="00162F80">
        <w:rPr>
          <w:rFonts w:ascii="Book Antiqua" w:eastAsia="Book Antiqua" w:hAnsi="Book Antiqua" w:cs="Book Antiqua"/>
          <w:color w:val="000000"/>
        </w:rPr>
        <w:t>,</w:t>
      </w:r>
      <w:r w:rsidRPr="00173E46">
        <w:rPr>
          <w:rFonts w:ascii="Book Antiqua" w:eastAsia="Book Antiqua" w:hAnsi="Book Antiqua" w:cs="Book Antiqua"/>
          <w:color w:val="000000"/>
        </w:rPr>
        <w:t xml:space="preserve"> and a drainage tube was inserted into the pancreatic duct in the distal end. The jejunal loop was sealed, and the drainage tube in the pancreatic duct was inserted through another hole into the jejunal loop. Around 10 cm of the internal drainage tube was present in the abdominal cavity to create internal drainage. After surgery, patients recovered and were discharged. No related complications occurred during the 18-mo follow-up. In 2010, Kent </w:t>
      </w:r>
      <w:r w:rsidRPr="00173E46">
        <w:rPr>
          <w:rFonts w:ascii="Book Antiqua" w:eastAsia="Book Antiqua" w:hAnsi="Book Antiqua" w:cs="Book Antiqua"/>
          <w:i/>
          <w:iCs/>
          <w:color w:val="000000"/>
        </w:rPr>
        <w:t xml:space="preserve">et </w:t>
      </w:r>
      <w:proofErr w:type="gramStart"/>
      <w:r w:rsidRPr="00173E46">
        <w:rPr>
          <w:rFonts w:ascii="Book Antiqua" w:eastAsia="Book Antiqua" w:hAnsi="Book Antiqua" w:cs="Book Antiqua"/>
          <w:i/>
          <w:iCs/>
          <w:color w:val="000000"/>
        </w:rPr>
        <w:t>al</w:t>
      </w:r>
      <w:r w:rsidR="00F1368B" w:rsidRPr="00173E46">
        <w:rPr>
          <w:rFonts w:ascii="Book Antiqua" w:eastAsia="Book Antiqua" w:hAnsi="Book Antiqua" w:cs="Book Antiqua"/>
          <w:color w:val="000000"/>
          <w:vertAlign w:val="superscript"/>
        </w:rPr>
        <w:t>[</w:t>
      </w:r>
      <w:proofErr w:type="gramEnd"/>
      <w:r w:rsidR="00F1368B" w:rsidRPr="00173E46">
        <w:rPr>
          <w:rFonts w:ascii="Book Antiqua" w:eastAsia="Book Antiqua" w:hAnsi="Book Antiqua" w:cs="Book Antiqua"/>
          <w:color w:val="000000"/>
          <w:vertAlign w:val="superscript"/>
        </w:rPr>
        <w:t>12]</w:t>
      </w:r>
      <w:r w:rsidRPr="00173E46">
        <w:rPr>
          <w:rFonts w:ascii="Book Antiqua" w:eastAsia="Book Antiqua" w:hAnsi="Book Antiqua" w:cs="Book Antiqua"/>
          <w:color w:val="000000"/>
        </w:rPr>
        <w:t xml:space="preserve"> used bridging stents to treat </w:t>
      </w:r>
      <w:r w:rsidR="00162F80">
        <w:rPr>
          <w:rFonts w:ascii="Book Antiqua" w:eastAsia="Book Antiqua" w:hAnsi="Book Antiqua" w:cs="Book Antiqua"/>
          <w:color w:val="000000"/>
        </w:rPr>
        <w:t>seven</w:t>
      </w:r>
      <w:r w:rsidRPr="00173E46">
        <w:rPr>
          <w:rFonts w:ascii="Book Antiqua" w:eastAsia="Book Antiqua" w:hAnsi="Book Antiqua" w:cs="Book Antiqua"/>
          <w:color w:val="000000"/>
        </w:rPr>
        <w:t xml:space="preserve"> patients with severe pancreatic fistula after Whipple surgery, of which success was achieved in </w:t>
      </w:r>
      <w:r w:rsidR="00162F80">
        <w:rPr>
          <w:rFonts w:ascii="Book Antiqua" w:eastAsia="Book Antiqua" w:hAnsi="Book Antiqua" w:cs="Book Antiqua"/>
          <w:color w:val="000000"/>
        </w:rPr>
        <w:t>five</w:t>
      </w:r>
      <w:r w:rsidRPr="00173E46">
        <w:rPr>
          <w:rFonts w:ascii="Book Antiqua" w:eastAsia="Book Antiqua" w:hAnsi="Book Antiqua" w:cs="Book Antiqua"/>
          <w:color w:val="000000"/>
        </w:rPr>
        <w:t xml:space="preserve"> patients. Their method was similar to the method of Xu </w:t>
      </w:r>
      <w:r w:rsidRPr="00173E46">
        <w:rPr>
          <w:rFonts w:ascii="Book Antiqua" w:eastAsia="Book Antiqua" w:hAnsi="Book Antiqua" w:cs="Book Antiqua"/>
          <w:i/>
          <w:iCs/>
          <w:color w:val="000000"/>
        </w:rPr>
        <w:t>et al</w:t>
      </w:r>
      <w:r w:rsidR="00F1368B" w:rsidRPr="00173E46">
        <w:rPr>
          <w:rFonts w:ascii="Book Antiqua" w:eastAsia="Book Antiqua" w:hAnsi="Book Antiqua" w:cs="Book Antiqua"/>
          <w:color w:val="000000"/>
          <w:vertAlign w:val="superscript"/>
        </w:rPr>
        <w:t>[11]</w:t>
      </w:r>
      <w:r w:rsidR="00F1368B" w:rsidRPr="00173E46">
        <w:rPr>
          <w:rFonts w:ascii="Book Antiqua" w:eastAsia="SimSun" w:hAnsi="Book Antiqua" w:cs="SimSun"/>
          <w:color w:val="000000"/>
          <w:lang w:eastAsia="zh-CN"/>
        </w:rPr>
        <w:t xml:space="preserve">, </w:t>
      </w:r>
      <w:r w:rsidR="00F1368B" w:rsidRPr="00173E46">
        <w:rPr>
          <w:rFonts w:ascii="Book Antiqua" w:eastAsia="Book Antiqua" w:hAnsi="Book Antiqua" w:cs="Book Antiqua"/>
          <w:color w:val="000000"/>
        </w:rPr>
        <w:t xml:space="preserve">the </w:t>
      </w:r>
      <w:r w:rsidRPr="00173E46">
        <w:rPr>
          <w:rFonts w:ascii="Book Antiqua" w:eastAsia="Book Antiqua" w:hAnsi="Book Antiqua" w:cs="Book Antiqua"/>
          <w:color w:val="000000"/>
        </w:rPr>
        <w:t>aforementioned methods mainly focused on the management of severe pancreatic fistula after Whipple surgery</w:t>
      </w:r>
      <w:r w:rsidR="00162F80">
        <w:rPr>
          <w:rFonts w:ascii="Book Antiqua" w:eastAsia="Book Antiqua" w:hAnsi="Book Antiqua" w:cs="Book Antiqua"/>
          <w:color w:val="000000"/>
        </w:rPr>
        <w:t>. T</w:t>
      </w:r>
      <w:r w:rsidRPr="00173E46">
        <w:rPr>
          <w:rFonts w:ascii="Book Antiqua" w:eastAsia="Book Antiqua" w:hAnsi="Book Antiqua" w:cs="Book Antiqua"/>
          <w:color w:val="000000"/>
        </w:rPr>
        <w:t>here are no reports on the treatment of severe pancreatic trauma at present.</w:t>
      </w:r>
    </w:p>
    <w:p w14:paraId="6C2BE620" w14:textId="5E439857" w:rsidR="00F1368B"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 xml:space="preserve">“Bridging” pancreaticogastrostomy mentioned in this article has the following strengths: (1) </w:t>
      </w:r>
      <w:r w:rsidR="00EA1EB8">
        <w:rPr>
          <w:rFonts w:ascii="Book Antiqua" w:eastAsia="Book Antiqua" w:hAnsi="Book Antiqua" w:cs="Book Antiqua"/>
          <w:color w:val="000000"/>
        </w:rPr>
        <w:t>d</w:t>
      </w:r>
      <w:r w:rsidR="00F1368B" w:rsidRPr="00173E46">
        <w:rPr>
          <w:rFonts w:ascii="Book Antiqua" w:eastAsia="Book Antiqua" w:hAnsi="Book Antiqua" w:cs="Book Antiqua"/>
          <w:color w:val="000000"/>
        </w:rPr>
        <w:t xml:space="preserve">irect </w:t>
      </w:r>
      <w:r w:rsidRPr="00173E46">
        <w:rPr>
          <w:rFonts w:ascii="Book Antiqua" w:eastAsia="Book Antiqua" w:hAnsi="Book Antiqua" w:cs="Book Antiqua"/>
          <w:color w:val="000000"/>
        </w:rPr>
        <w:t xml:space="preserve">insertion of a tube to create an internal fistula to achieve pancreatic fluid drainage; (2) </w:t>
      </w:r>
      <w:r w:rsidR="00EA1EB8">
        <w:rPr>
          <w:rFonts w:ascii="Book Antiqua" w:eastAsia="Book Antiqua" w:hAnsi="Book Antiqua" w:cs="Book Antiqua"/>
          <w:color w:val="000000"/>
        </w:rPr>
        <w:t>t</w:t>
      </w:r>
      <w:r w:rsidR="00F1368B" w:rsidRPr="00173E46">
        <w:rPr>
          <w:rFonts w:ascii="Book Antiqua" w:eastAsia="Book Antiqua" w:hAnsi="Book Antiqua" w:cs="Book Antiqua"/>
          <w:color w:val="000000"/>
        </w:rPr>
        <w:t xml:space="preserve">he </w:t>
      </w:r>
      <w:r w:rsidRPr="00173E46">
        <w:rPr>
          <w:rFonts w:ascii="Book Antiqua" w:eastAsia="Book Antiqua" w:hAnsi="Book Antiqua" w:cs="Book Antiqua"/>
          <w:color w:val="000000"/>
        </w:rPr>
        <w:t xml:space="preserve">drainage tube passing through the posterior gastric wall and anterior gastric wall to the outside of the body to form external drainage to facilitate observation of pancreatic fluid drainage; in the later stage, gastroscopy can be used for resection and removal of the lateral side, and internal drainage is formed in the medial side; (3) </w:t>
      </w:r>
      <w:r w:rsidR="00EA1EB8">
        <w:rPr>
          <w:rFonts w:ascii="Book Antiqua" w:eastAsia="Book Antiqua" w:hAnsi="Book Antiqua" w:cs="Book Antiqua"/>
          <w:color w:val="000000"/>
        </w:rPr>
        <w:t>s</w:t>
      </w:r>
      <w:r w:rsidR="00F1368B" w:rsidRPr="00173E46">
        <w:rPr>
          <w:rFonts w:ascii="Book Antiqua" w:eastAsia="Book Antiqua" w:hAnsi="Book Antiqua" w:cs="Book Antiqua"/>
          <w:color w:val="000000"/>
        </w:rPr>
        <w:t xml:space="preserve">hort </w:t>
      </w:r>
      <w:r w:rsidRPr="00173E46">
        <w:rPr>
          <w:rFonts w:ascii="Book Antiqua" w:eastAsia="Book Antiqua" w:hAnsi="Book Antiqua" w:cs="Book Antiqua"/>
          <w:color w:val="000000"/>
        </w:rPr>
        <w:t xml:space="preserve">operation duration and rapid repair, which minimize the length of surgery; (4) </w:t>
      </w:r>
      <w:r w:rsidR="00EA1EB8">
        <w:rPr>
          <w:rFonts w:ascii="Book Antiqua" w:eastAsia="Book Antiqua" w:hAnsi="Book Antiqua" w:cs="Book Antiqua"/>
          <w:color w:val="000000"/>
        </w:rPr>
        <w:t>r</w:t>
      </w:r>
      <w:r w:rsidR="00F1368B" w:rsidRPr="00173E46">
        <w:rPr>
          <w:rFonts w:ascii="Book Antiqua" w:eastAsia="Book Antiqua" w:hAnsi="Book Antiqua" w:cs="Book Antiqua"/>
          <w:color w:val="000000"/>
        </w:rPr>
        <w:t xml:space="preserve">etaining </w:t>
      </w:r>
      <w:r w:rsidRPr="00173E46">
        <w:rPr>
          <w:rFonts w:ascii="Book Antiqua" w:eastAsia="Book Antiqua" w:hAnsi="Book Antiqua" w:cs="Book Antiqua"/>
          <w:color w:val="000000"/>
        </w:rPr>
        <w:t xml:space="preserve">pancreatic function; (5) </w:t>
      </w:r>
      <w:r w:rsidR="00EA1EB8">
        <w:rPr>
          <w:rFonts w:ascii="Book Antiqua" w:eastAsia="Book Antiqua" w:hAnsi="Book Antiqua" w:cs="Book Antiqua"/>
          <w:color w:val="000000"/>
        </w:rPr>
        <w:t>n</w:t>
      </w:r>
      <w:r w:rsidR="00F1368B" w:rsidRPr="00173E46">
        <w:rPr>
          <w:rFonts w:ascii="Book Antiqua" w:eastAsia="Book Antiqua" w:hAnsi="Book Antiqua" w:cs="Book Antiqua"/>
          <w:color w:val="000000"/>
        </w:rPr>
        <w:t xml:space="preserve">o </w:t>
      </w:r>
      <w:r w:rsidRPr="00173E46">
        <w:rPr>
          <w:rFonts w:ascii="Book Antiqua" w:eastAsia="Book Antiqua" w:hAnsi="Book Antiqua" w:cs="Book Antiqua"/>
          <w:color w:val="000000"/>
        </w:rPr>
        <w:t xml:space="preserve">traditional anastomosis present; therefore, fistula due to poor anastomosis healing would not occur; </w:t>
      </w:r>
      <w:r w:rsidR="00F1368B" w:rsidRPr="00173E46">
        <w:rPr>
          <w:rFonts w:ascii="Book Antiqua" w:eastAsia="Book Antiqua" w:hAnsi="Book Antiqua" w:cs="Book Antiqua"/>
          <w:color w:val="000000"/>
        </w:rPr>
        <w:t xml:space="preserve">and </w:t>
      </w:r>
      <w:r w:rsidRPr="00173E46">
        <w:rPr>
          <w:rFonts w:ascii="Book Antiqua" w:eastAsia="Book Antiqua" w:hAnsi="Book Antiqua" w:cs="Book Antiqua"/>
          <w:color w:val="000000"/>
        </w:rPr>
        <w:t xml:space="preserve">(6) </w:t>
      </w:r>
      <w:r w:rsidR="00EA1EB8">
        <w:rPr>
          <w:rFonts w:ascii="Book Antiqua" w:eastAsia="Book Antiqua" w:hAnsi="Book Antiqua" w:cs="Book Antiqua"/>
          <w:color w:val="000000"/>
        </w:rPr>
        <w:t>p</w:t>
      </w:r>
      <w:r w:rsidR="00F1368B" w:rsidRPr="00173E46">
        <w:rPr>
          <w:rFonts w:ascii="Book Antiqua" w:eastAsia="Book Antiqua" w:hAnsi="Book Antiqua" w:cs="Book Antiqua"/>
          <w:color w:val="000000"/>
        </w:rPr>
        <w:t xml:space="preserve">reventing </w:t>
      </w:r>
      <w:r w:rsidRPr="00173E46">
        <w:rPr>
          <w:rFonts w:ascii="Book Antiqua" w:eastAsia="Book Antiqua" w:hAnsi="Book Antiqua" w:cs="Book Antiqua"/>
          <w:color w:val="000000"/>
        </w:rPr>
        <w:t>resurgery for pancreatic fluid sinus tract or pancreaticojejunostomy.</w:t>
      </w:r>
    </w:p>
    <w:p w14:paraId="1452F32D" w14:textId="62382D0D" w:rsidR="00A77B3E" w:rsidRPr="00173E46" w:rsidRDefault="00173E46" w:rsidP="00173E46">
      <w:pPr>
        <w:adjustRightInd w:val="0"/>
        <w:snapToGrid w:val="0"/>
        <w:spacing w:line="360" w:lineRule="auto"/>
        <w:ind w:firstLineChars="100" w:firstLine="240"/>
        <w:jc w:val="both"/>
        <w:rPr>
          <w:rFonts w:ascii="Book Antiqua" w:hAnsi="Book Antiqua"/>
        </w:rPr>
      </w:pPr>
      <w:r w:rsidRPr="00173E46">
        <w:rPr>
          <w:rFonts w:ascii="Book Antiqua" w:eastAsia="Book Antiqua" w:hAnsi="Book Antiqua" w:cs="Book Antiqua"/>
          <w:color w:val="000000"/>
        </w:rPr>
        <w:t>This experiment is a supplement to clinical studies and validates the feasibility of the new method of pancreatic fluid drainage through “bridging.” In particular, we carried out short- and long-term observations of “bridging” pancreaticogastrostomy. From the study results, we found that severe pancreatic leakage did not occur at the early stages of “bridging” anastomosis. In the late stages, the main problem is the detachment of the pancreatic duct drainage tube and drainage sinus tract stenosis, resulting in the pancreatic stump becoming harder and pancreatic atrophy. This is similar to traditional pancreaticogastrostomy. Pancreaticogastric anastomosis was first reported in 1946</w:t>
      </w:r>
      <w:r w:rsidRPr="00173E46">
        <w:rPr>
          <w:rFonts w:ascii="Book Antiqua" w:eastAsia="Book Antiqua" w:hAnsi="Book Antiqua" w:cs="Book Antiqua"/>
          <w:color w:val="000000"/>
          <w:vertAlign w:val="superscript"/>
        </w:rPr>
        <w:t>[13]</w:t>
      </w:r>
      <w:r w:rsidRPr="00173E46">
        <w:rPr>
          <w:rFonts w:ascii="Book Antiqua" w:eastAsia="Book Antiqua" w:hAnsi="Book Antiqua" w:cs="Book Antiqua"/>
          <w:color w:val="000000"/>
        </w:rPr>
        <w:t xml:space="preserve">. Many researchers believed that pancreaticogastrostomy is a simple and safe anastomosis </w:t>
      </w:r>
      <w:r w:rsidRPr="00173E46">
        <w:rPr>
          <w:rFonts w:ascii="Book Antiqua" w:eastAsia="Book Antiqua" w:hAnsi="Book Antiqua" w:cs="Book Antiqua"/>
          <w:color w:val="000000"/>
        </w:rPr>
        <w:lastRenderedPageBreak/>
        <w:t>method. The incidence of the early pancreatic fistula</w:t>
      </w:r>
      <w:r w:rsidR="00EA1EB8">
        <w:rPr>
          <w:rFonts w:ascii="Book Antiqua" w:eastAsia="Book Antiqua" w:hAnsi="Book Antiqua" w:cs="Book Antiqua"/>
          <w:color w:val="000000"/>
        </w:rPr>
        <w:t xml:space="preserve"> for </w:t>
      </w:r>
      <w:r w:rsidR="004F595C">
        <w:rPr>
          <w:rFonts w:ascii="Book Antiqua" w:eastAsia="Book Antiqua" w:hAnsi="Book Antiqua" w:cs="Book Antiqua"/>
          <w:color w:val="000000"/>
        </w:rPr>
        <w:t>p</w:t>
      </w:r>
      <w:r w:rsidR="004F595C" w:rsidRPr="00173E46">
        <w:rPr>
          <w:rFonts w:ascii="Book Antiqua" w:eastAsia="Book Antiqua" w:hAnsi="Book Antiqua" w:cs="Book Antiqua"/>
          <w:color w:val="000000"/>
        </w:rPr>
        <w:t>ancreaticogastric anastomosis</w:t>
      </w:r>
      <w:r w:rsidR="004F595C">
        <w:rPr>
          <w:rFonts w:ascii="Book Antiqua" w:eastAsia="Book Antiqua" w:hAnsi="Book Antiqua" w:cs="Book Antiqua"/>
          <w:color w:val="000000"/>
        </w:rPr>
        <w:t xml:space="preserve"> </w:t>
      </w:r>
      <w:r w:rsidRPr="00173E46">
        <w:rPr>
          <w:rFonts w:ascii="Book Antiqua" w:eastAsia="Book Antiqua" w:hAnsi="Book Antiqua" w:cs="Book Antiqua"/>
          <w:color w:val="000000"/>
        </w:rPr>
        <w:t>was lower than</w:t>
      </w:r>
      <w:r w:rsidR="00EA1EB8">
        <w:rPr>
          <w:rFonts w:ascii="Book Antiqua" w:eastAsia="Book Antiqua" w:hAnsi="Book Antiqua" w:cs="Book Antiqua"/>
          <w:color w:val="000000"/>
        </w:rPr>
        <w:t xml:space="preserve"> that for</w:t>
      </w:r>
      <w:r w:rsidRPr="00173E46">
        <w:rPr>
          <w:rFonts w:ascii="Book Antiqua" w:eastAsia="Book Antiqua" w:hAnsi="Book Antiqua" w:cs="Book Antiqua"/>
          <w:color w:val="000000"/>
        </w:rPr>
        <w:t xml:space="preserve"> </w:t>
      </w:r>
      <w:proofErr w:type="gramStart"/>
      <w:r w:rsidRPr="00173E46">
        <w:rPr>
          <w:rFonts w:ascii="Book Antiqua" w:eastAsia="Book Antiqua" w:hAnsi="Book Antiqua" w:cs="Book Antiqua"/>
          <w:color w:val="000000"/>
        </w:rPr>
        <w:t>pancreaticojejunostomy</w:t>
      </w:r>
      <w:r w:rsidRPr="00173E46">
        <w:rPr>
          <w:rFonts w:ascii="Book Antiqua" w:eastAsia="Book Antiqua" w:hAnsi="Book Antiqua" w:cs="Book Antiqua"/>
          <w:color w:val="000000"/>
          <w:vertAlign w:val="superscript"/>
        </w:rPr>
        <w:t>[</w:t>
      </w:r>
      <w:proofErr w:type="gramEnd"/>
      <w:r w:rsidRPr="00173E46">
        <w:rPr>
          <w:rFonts w:ascii="Book Antiqua" w:eastAsia="Book Antiqua" w:hAnsi="Book Antiqua" w:cs="Book Antiqua"/>
          <w:color w:val="000000"/>
          <w:vertAlign w:val="superscript"/>
        </w:rPr>
        <w:t>14</w:t>
      </w:r>
      <w:r w:rsidR="00F1368B" w:rsidRPr="00173E46">
        <w:rPr>
          <w:rFonts w:ascii="Book Antiqua" w:eastAsia="Book Antiqua" w:hAnsi="Book Antiqua" w:cs="Book Antiqua"/>
          <w:color w:val="000000"/>
          <w:vertAlign w:val="superscript"/>
        </w:rPr>
        <w:t>,</w:t>
      </w:r>
      <w:r w:rsidRPr="00173E46">
        <w:rPr>
          <w:rFonts w:ascii="Book Antiqua" w:eastAsia="Book Antiqua" w:hAnsi="Book Antiqua" w:cs="Book Antiqua"/>
          <w:color w:val="000000"/>
          <w:vertAlign w:val="superscript"/>
        </w:rPr>
        <w:t>15]</w:t>
      </w:r>
      <w:r w:rsidRPr="00173E46">
        <w:rPr>
          <w:rFonts w:ascii="Book Antiqua" w:eastAsia="Book Antiqua" w:hAnsi="Book Antiqua" w:cs="Book Antiqua"/>
          <w:color w:val="000000"/>
        </w:rPr>
        <w:t>. However, long-term follow-up showed that anastomosis stenosis tends to occur at the later stages, and this complication will become more and more severe as time progresses</w:t>
      </w:r>
      <w:r w:rsidRPr="00173E46">
        <w:rPr>
          <w:rFonts w:ascii="Book Antiqua" w:eastAsia="Book Antiqua" w:hAnsi="Book Antiqua" w:cs="Book Antiqua"/>
          <w:color w:val="000000"/>
          <w:vertAlign w:val="superscript"/>
        </w:rPr>
        <w:t>[16</w:t>
      </w:r>
      <w:r w:rsidR="00F1368B" w:rsidRPr="00173E46">
        <w:rPr>
          <w:rFonts w:ascii="Book Antiqua" w:eastAsia="Book Antiqua" w:hAnsi="Book Antiqua" w:cs="Book Antiqua"/>
          <w:color w:val="000000"/>
          <w:vertAlign w:val="superscript"/>
        </w:rPr>
        <w:t>,</w:t>
      </w:r>
      <w:r w:rsidRPr="00173E46">
        <w:rPr>
          <w:rFonts w:ascii="Book Antiqua" w:eastAsia="Book Antiqua" w:hAnsi="Book Antiqua" w:cs="Book Antiqua"/>
          <w:color w:val="000000"/>
          <w:vertAlign w:val="superscript"/>
        </w:rPr>
        <w:t>17]</w:t>
      </w:r>
      <w:r w:rsidRPr="00173E46">
        <w:rPr>
          <w:rFonts w:ascii="Book Antiqua" w:eastAsia="Book Antiqua" w:hAnsi="Book Antiqua" w:cs="Book Antiqua"/>
          <w:color w:val="000000"/>
        </w:rPr>
        <w:t>. A study showed that glucose tolerance abnormalities tend to occur within 3 years of pancreaticogastrostomy</w:t>
      </w:r>
      <w:r w:rsidR="00EA1EB8">
        <w:rPr>
          <w:rFonts w:ascii="Book Antiqua" w:eastAsia="Book Antiqua" w:hAnsi="Book Antiqua" w:cs="Book Antiqua"/>
          <w:color w:val="000000"/>
        </w:rPr>
        <w:t>,</w:t>
      </w:r>
      <w:r w:rsidRPr="00173E46">
        <w:rPr>
          <w:rFonts w:ascii="Book Antiqua" w:eastAsia="Book Antiqua" w:hAnsi="Book Antiqua" w:cs="Book Antiqua"/>
          <w:color w:val="000000"/>
        </w:rPr>
        <w:t xml:space="preserve"> and problems caused by anastomosis stenosis 10 years after surgery will become more and more remarkable</w:t>
      </w:r>
      <w:r w:rsidRPr="00173E46">
        <w:rPr>
          <w:rFonts w:ascii="Book Antiqua" w:eastAsia="Book Antiqua" w:hAnsi="Book Antiqua" w:cs="Book Antiqua"/>
          <w:color w:val="000000"/>
          <w:vertAlign w:val="superscript"/>
        </w:rPr>
        <w:t>[18]</w:t>
      </w:r>
      <w:r w:rsidRPr="00173E46">
        <w:rPr>
          <w:rFonts w:ascii="Book Antiqua" w:eastAsia="Book Antiqua" w:hAnsi="Book Antiqua" w:cs="Book Antiqua"/>
          <w:color w:val="000000"/>
        </w:rPr>
        <w:t>. In this study, no experimental animals developed blood glucose and insulin abnormalities 6 mo after surgery, but sinus tract stenosis became more significant.</w:t>
      </w:r>
    </w:p>
    <w:p w14:paraId="4D47C5DC" w14:textId="77777777" w:rsidR="00A77B3E" w:rsidRPr="00173E46" w:rsidRDefault="00A77B3E" w:rsidP="00173E46">
      <w:pPr>
        <w:adjustRightInd w:val="0"/>
        <w:snapToGrid w:val="0"/>
        <w:spacing w:line="360" w:lineRule="auto"/>
        <w:ind w:firstLine="480"/>
        <w:jc w:val="both"/>
        <w:rPr>
          <w:rFonts w:ascii="Book Antiqua" w:hAnsi="Book Antiqua"/>
        </w:rPr>
      </w:pPr>
    </w:p>
    <w:p w14:paraId="6EE16A8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CONCLUSION</w:t>
      </w:r>
    </w:p>
    <w:p w14:paraId="60717A50" w14:textId="202537B2"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In conclusion,</w:t>
      </w:r>
      <w:r w:rsidR="00F1368B" w:rsidRPr="00173E46">
        <w:rPr>
          <w:rFonts w:ascii="Book Antiqua" w:eastAsia="Book Antiqua" w:hAnsi="Book Antiqua" w:cs="Book Antiqua"/>
          <w:color w:val="000000"/>
        </w:rPr>
        <w:t xml:space="preserve"> </w:t>
      </w:r>
      <w:r w:rsidRPr="00173E46">
        <w:rPr>
          <w:rFonts w:ascii="Book Antiqua" w:eastAsia="Book Antiqua" w:hAnsi="Book Antiqua" w:cs="Book Antiqua"/>
          <w:color w:val="000000"/>
        </w:rPr>
        <w:t>”bridging“ pancreaticogastrostomy is completely feasible as a means of damage control surgery during the early stage of pancreatic injury. However, it will lead to pancreaticogastric anastomosis stenosis at the late stage, and pancreatic endocrine and exocrine functions are worthy of further examination. The greatest limitations of this study are that pancreatic duct support tubes were all detached in the two groups, strong muscle contractions in the gastric wall resulted in sinus tract/anastomosis closure, and chronic pancreatitis occurred at the late stage.</w:t>
      </w:r>
    </w:p>
    <w:p w14:paraId="7C6E3DCE" w14:textId="77777777" w:rsidR="00A77B3E" w:rsidRPr="00173E46" w:rsidRDefault="00A77B3E" w:rsidP="00173E46">
      <w:pPr>
        <w:adjustRightInd w:val="0"/>
        <w:snapToGrid w:val="0"/>
        <w:spacing w:line="360" w:lineRule="auto"/>
        <w:jc w:val="both"/>
        <w:rPr>
          <w:rFonts w:ascii="Book Antiqua" w:hAnsi="Book Antiqua"/>
        </w:rPr>
      </w:pPr>
    </w:p>
    <w:p w14:paraId="2C45F382"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aps/>
          <w:color w:val="000000"/>
          <w:u w:val="single"/>
        </w:rPr>
        <w:t>ARTICLE HIGHLIGHTS</w:t>
      </w:r>
    </w:p>
    <w:p w14:paraId="129B9CD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background</w:t>
      </w:r>
    </w:p>
    <w:p w14:paraId="76DBC88D" w14:textId="4B27B720"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In recent years, a new anastomosis method, “bridging” pancreaticogastrostomy</w:t>
      </w:r>
      <w:r w:rsidR="00EA1EB8">
        <w:rPr>
          <w:rFonts w:ascii="Book Antiqua" w:eastAsia="Book Antiqua" w:hAnsi="Book Antiqua" w:cs="Book Antiqua"/>
          <w:color w:val="000000"/>
        </w:rPr>
        <w:t>,</w:t>
      </w:r>
      <w:r w:rsidR="00F1368B" w:rsidRPr="00173E46">
        <w:rPr>
          <w:rFonts w:ascii="Book Antiqua" w:eastAsia="Book Antiqua" w:hAnsi="Book Antiqua" w:cs="Book Antiqua"/>
          <w:color w:val="000000"/>
        </w:rPr>
        <w:t xml:space="preserve"> to treat patients with an extremely severe pancreatic injury was created and employed</w:t>
      </w:r>
      <w:r w:rsidRPr="00173E46">
        <w:rPr>
          <w:rFonts w:ascii="Book Antiqua" w:eastAsia="Book Antiqua" w:hAnsi="Book Antiqua" w:cs="Book Antiqua"/>
          <w:color w:val="000000"/>
        </w:rPr>
        <w:t>. This surgery has advantages such as short length of surgery, low secondary trauma, rapid construction of shunts for pancreatic fluid, preventing second surgeries, and achieving good treatment outcomes in clinical practice. </w:t>
      </w:r>
    </w:p>
    <w:p w14:paraId="68A9C620" w14:textId="77777777" w:rsidR="00A77B3E" w:rsidRPr="00173E46" w:rsidRDefault="00A77B3E" w:rsidP="00173E46">
      <w:pPr>
        <w:adjustRightInd w:val="0"/>
        <w:snapToGrid w:val="0"/>
        <w:spacing w:line="360" w:lineRule="auto"/>
        <w:jc w:val="both"/>
        <w:rPr>
          <w:rFonts w:ascii="Book Antiqua" w:hAnsi="Book Antiqua"/>
        </w:rPr>
      </w:pPr>
    </w:p>
    <w:p w14:paraId="5422B209"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motivation</w:t>
      </w:r>
    </w:p>
    <w:p w14:paraId="5214D923" w14:textId="4ED677B0"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There is a lack of strong evidence to support the feasibility and safety of this surgical procedure. We </w:t>
      </w:r>
      <w:r w:rsidR="00173E46" w:rsidRPr="00173E46">
        <w:rPr>
          <w:rFonts w:ascii="Book Antiqua" w:eastAsia="Book Antiqua" w:hAnsi="Book Antiqua" w:cs="Book Antiqua"/>
          <w:color w:val="000000"/>
        </w:rPr>
        <w:t xml:space="preserve">carried out </w:t>
      </w:r>
      <w:r w:rsidRPr="00173E46">
        <w:rPr>
          <w:rFonts w:ascii="Book Antiqua" w:eastAsia="Book Antiqua" w:hAnsi="Book Antiqua" w:cs="Book Antiqua"/>
          <w:color w:val="000000"/>
        </w:rPr>
        <w:t xml:space="preserve">an </w:t>
      </w:r>
      <w:r w:rsidR="00173E46" w:rsidRPr="00173E46">
        <w:rPr>
          <w:rFonts w:ascii="Book Antiqua" w:eastAsia="Book Antiqua" w:hAnsi="Book Antiqua" w:cs="Book Antiqua"/>
          <w:color w:val="000000"/>
        </w:rPr>
        <w:t>animal experiment to examine this procedure.</w:t>
      </w:r>
    </w:p>
    <w:p w14:paraId="04DAF3B4" w14:textId="77777777" w:rsidR="00A77B3E" w:rsidRPr="00173E46" w:rsidRDefault="00A77B3E" w:rsidP="00173E46">
      <w:pPr>
        <w:adjustRightInd w:val="0"/>
        <w:snapToGrid w:val="0"/>
        <w:spacing w:line="360" w:lineRule="auto"/>
        <w:jc w:val="both"/>
        <w:rPr>
          <w:rFonts w:ascii="Book Antiqua" w:hAnsi="Book Antiqua"/>
        </w:rPr>
      </w:pPr>
    </w:p>
    <w:p w14:paraId="5EC3E7A7"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lastRenderedPageBreak/>
        <w:t>Research objectives</w:t>
      </w:r>
    </w:p>
    <w:p w14:paraId="1C9AD267" w14:textId="14BA747B" w:rsidR="00A77B3E" w:rsidRPr="00173E46" w:rsidRDefault="00F1368B"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This study aimed t</w:t>
      </w:r>
      <w:r w:rsidR="00173E46" w:rsidRPr="00173E46">
        <w:rPr>
          <w:rFonts w:ascii="Book Antiqua" w:eastAsia="Book Antiqua" w:hAnsi="Book Antiqua" w:cs="Book Antiqua"/>
          <w:color w:val="000000"/>
        </w:rPr>
        <w:t>o examine the feasibility and safety of a new rapid method of pancreaticogastrostomy, “bridging” pancreaticogastrostomy.</w:t>
      </w:r>
    </w:p>
    <w:p w14:paraId="7A867FFF" w14:textId="77777777" w:rsidR="00A77B3E" w:rsidRPr="00173E46" w:rsidRDefault="00A77B3E" w:rsidP="00173E46">
      <w:pPr>
        <w:adjustRightInd w:val="0"/>
        <w:snapToGrid w:val="0"/>
        <w:spacing w:line="360" w:lineRule="auto"/>
        <w:jc w:val="both"/>
        <w:rPr>
          <w:rFonts w:ascii="Book Antiqua" w:hAnsi="Book Antiqua"/>
        </w:rPr>
      </w:pPr>
    </w:p>
    <w:p w14:paraId="14E95DE3"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methods</w:t>
      </w:r>
    </w:p>
    <w:p w14:paraId="57C397DE" w14:textId="03FCFEF0" w:rsidR="00A77B3E" w:rsidRPr="00173E46" w:rsidRDefault="00EA1EB8" w:rsidP="00173E46">
      <w:pPr>
        <w:adjustRightInd w:val="0"/>
        <w:snapToGrid w:val="0"/>
        <w:spacing w:line="360" w:lineRule="auto"/>
        <w:jc w:val="both"/>
        <w:rPr>
          <w:rFonts w:ascii="Book Antiqua" w:hAnsi="Book Antiqua"/>
        </w:rPr>
      </w:pPr>
      <w:r>
        <w:rPr>
          <w:rFonts w:ascii="Book Antiqua" w:eastAsia="Book Antiqua" w:hAnsi="Book Antiqua" w:cs="Book Antiqua"/>
          <w:color w:val="000000"/>
        </w:rPr>
        <w:t>In total, 10</w:t>
      </w:r>
      <w:r w:rsidR="00173E46" w:rsidRPr="00173E46">
        <w:rPr>
          <w:rFonts w:ascii="Book Antiqua" w:eastAsia="Book Antiqua" w:hAnsi="Book Antiqua" w:cs="Book Antiqua"/>
          <w:color w:val="000000"/>
        </w:rPr>
        <w:t xml:space="preserve"> Landrace pigs were randomized into the experimental and control groups. “Bridging” pancreaticogastrostomy was performed in the experimental group, while routine mucosa-to-mucosa pancreaticogastrostomy was performed in the control group.</w:t>
      </w:r>
      <w:r w:rsidR="00F1368B" w:rsidRPr="00173E46">
        <w:rPr>
          <w:rFonts w:ascii="Book Antiqua" w:eastAsia="Book Antiqua" w:hAnsi="Book Antiqua" w:cs="Book Antiqua"/>
          <w:color w:val="000000"/>
        </w:rPr>
        <w:t xml:space="preserve"> The resurgery </w:t>
      </w:r>
      <w:r w:rsidR="00173E46" w:rsidRPr="00173E46">
        <w:rPr>
          <w:rFonts w:ascii="Book Antiqua" w:eastAsia="Book Antiqua" w:hAnsi="Book Antiqua" w:cs="Book Antiqua"/>
          <w:color w:val="000000"/>
        </w:rPr>
        <w:t xml:space="preserve">was carried out at 1 and 6 mo after the </w:t>
      </w:r>
      <w:r>
        <w:rPr>
          <w:rFonts w:ascii="Book Antiqua" w:eastAsia="Book Antiqua" w:hAnsi="Book Antiqua" w:cs="Book Antiqua"/>
          <w:color w:val="000000"/>
        </w:rPr>
        <w:t>first surgery</w:t>
      </w:r>
      <w:r w:rsidR="00173E46" w:rsidRPr="00173E46">
        <w:rPr>
          <w:rFonts w:ascii="Book Antiqua" w:eastAsia="Book Antiqua" w:hAnsi="Book Antiqua" w:cs="Book Antiqua"/>
          <w:color w:val="000000"/>
        </w:rPr>
        <w:t xml:space="preserve"> to examine the condition of the abdominal cavity</w:t>
      </w:r>
      <w:r>
        <w:rPr>
          <w:rFonts w:ascii="Book Antiqua" w:eastAsia="Book Antiqua" w:hAnsi="Book Antiqua" w:cs="Book Antiqua"/>
          <w:color w:val="000000"/>
        </w:rPr>
        <w:t xml:space="preserve"> and </w:t>
      </w:r>
      <w:r w:rsidR="00173E46" w:rsidRPr="00173E46">
        <w:rPr>
          <w:rFonts w:ascii="Book Antiqua" w:eastAsia="Book Antiqua" w:hAnsi="Book Antiqua" w:cs="Book Antiqua"/>
          <w:color w:val="000000"/>
        </w:rPr>
        <w:t>firmness and tightness of the pancreaticogastric anastomosis and pancreas.</w:t>
      </w:r>
    </w:p>
    <w:p w14:paraId="05A607A7" w14:textId="77777777" w:rsidR="00A77B3E" w:rsidRPr="00173E46" w:rsidRDefault="00A77B3E" w:rsidP="00173E46">
      <w:pPr>
        <w:adjustRightInd w:val="0"/>
        <w:snapToGrid w:val="0"/>
        <w:spacing w:line="360" w:lineRule="auto"/>
        <w:jc w:val="both"/>
        <w:rPr>
          <w:rFonts w:ascii="Book Antiqua" w:hAnsi="Book Antiqua"/>
        </w:rPr>
      </w:pPr>
    </w:p>
    <w:p w14:paraId="4D8049A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results</w:t>
      </w:r>
    </w:p>
    <w:p w14:paraId="4D95E65A" w14:textId="754CBCAB"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One</w:t>
      </w:r>
      <w:r w:rsidR="00EA1EB8">
        <w:rPr>
          <w:rFonts w:ascii="Book Antiqua" w:eastAsia="Book Antiqua" w:hAnsi="Book Antiqua" w:cs="Book Antiqua"/>
          <w:color w:val="000000"/>
        </w:rPr>
        <w:t xml:space="preserve"> animal</w:t>
      </w:r>
      <w:r w:rsidRPr="00173E46">
        <w:rPr>
          <w:rFonts w:ascii="Book Antiqua" w:eastAsia="Book Antiqua" w:hAnsi="Book Antiqua" w:cs="Book Antiqua"/>
          <w:color w:val="000000"/>
        </w:rPr>
        <w:t xml:space="preserve"> in the control group did not gain weight 6 mo after surgery, whereas significant weight gain was present in the other</w:t>
      </w:r>
      <w:r w:rsidR="005056CF">
        <w:rPr>
          <w:rFonts w:ascii="Book Antiqua" w:eastAsia="Book Antiqua" w:hAnsi="Book Antiqua" w:cs="Book Antiqua"/>
          <w:color w:val="000000"/>
        </w:rPr>
        <w:t>s</w:t>
      </w:r>
      <w:r w:rsidRPr="00173E46">
        <w:rPr>
          <w:rFonts w:ascii="Book Antiqua" w:eastAsia="Book Antiqua" w:hAnsi="Book Antiqua" w:cs="Book Antiqua"/>
          <w:color w:val="000000"/>
        </w:rPr>
        <w:t>. There were significant differences on Days 1 and 3 after surgery between the two groups but no differences on Days 5 and 7. One month after surgery, the sinus tract orifice/anastomosis was patent in the two groups. Six months after surgery, the sinus tract orifice/anastomosis was sealed</w:t>
      </w:r>
      <w:r w:rsidR="005056CF">
        <w:rPr>
          <w:rFonts w:ascii="Book Antiqua" w:eastAsia="Book Antiqua" w:hAnsi="Book Antiqua" w:cs="Book Antiqua"/>
          <w:color w:val="000000"/>
        </w:rPr>
        <w:t>,</w:t>
      </w:r>
      <w:r w:rsidRPr="00173E46">
        <w:rPr>
          <w:rFonts w:ascii="Book Antiqua" w:eastAsia="Book Antiqua" w:hAnsi="Book Antiqua" w:cs="Book Antiqua"/>
          <w:color w:val="000000"/>
        </w:rPr>
        <w:t xml:space="preserve"> and pancreases in both groups presented with chronic pancreatitis.</w:t>
      </w:r>
    </w:p>
    <w:p w14:paraId="0AB2F95E" w14:textId="77777777" w:rsidR="00A77B3E" w:rsidRPr="00173E46" w:rsidRDefault="00A77B3E" w:rsidP="00173E46">
      <w:pPr>
        <w:adjustRightInd w:val="0"/>
        <w:snapToGrid w:val="0"/>
        <w:spacing w:line="360" w:lineRule="auto"/>
        <w:jc w:val="both"/>
        <w:rPr>
          <w:rFonts w:ascii="Book Antiqua" w:hAnsi="Book Antiqua"/>
        </w:rPr>
      </w:pPr>
    </w:p>
    <w:p w14:paraId="0F15497E"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conclusions</w:t>
      </w:r>
    </w:p>
    <w:p w14:paraId="3EB11F0C" w14:textId="6CE2CE2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"Bridging" pancreaticogastrostomy is completely feasible as a means of damage control surgery during the early stage of pancreatic injury. </w:t>
      </w:r>
    </w:p>
    <w:p w14:paraId="2C00D2A6" w14:textId="77777777" w:rsidR="00A77B3E" w:rsidRPr="00173E46" w:rsidRDefault="00A77B3E" w:rsidP="00173E46">
      <w:pPr>
        <w:adjustRightInd w:val="0"/>
        <w:snapToGrid w:val="0"/>
        <w:spacing w:line="360" w:lineRule="auto"/>
        <w:jc w:val="both"/>
        <w:rPr>
          <w:rFonts w:ascii="Book Antiqua" w:hAnsi="Book Antiqua"/>
        </w:rPr>
      </w:pPr>
    </w:p>
    <w:p w14:paraId="369DE22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i/>
          <w:color w:val="000000"/>
        </w:rPr>
        <w:t>Research perspectives</w:t>
      </w:r>
    </w:p>
    <w:p w14:paraId="61F8CBD3" w14:textId="1BCCE0E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“Bridging” pancreaticogastrostomy can be used to </w:t>
      </w:r>
      <w:r w:rsidR="00D62634">
        <w:rPr>
          <w:rFonts w:ascii="Book Antiqua" w:eastAsia="Book Antiqua" w:hAnsi="Book Antiqua" w:cs="Book Antiqua"/>
          <w:color w:val="000000"/>
        </w:rPr>
        <w:t xml:space="preserve">establish </w:t>
      </w:r>
      <w:r w:rsidRPr="00173E46">
        <w:rPr>
          <w:rFonts w:ascii="Book Antiqua" w:eastAsia="Book Antiqua" w:hAnsi="Book Antiqua" w:cs="Book Antiqua"/>
          <w:color w:val="000000"/>
        </w:rPr>
        <w:t>rapidly a channel and has similar short- and long-term results</w:t>
      </w:r>
      <w:r w:rsidR="00D62634">
        <w:rPr>
          <w:rFonts w:ascii="Book Antiqua" w:eastAsia="Book Antiqua" w:hAnsi="Book Antiqua" w:cs="Book Antiqua"/>
          <w:color w:val="000000"/>
        </w:rPr>
        <w:t xml:space="preserve"> as conventional pancreaticogastrostomy</w:t>
      </w:r>
      <w:r w:rsidRPr="00173E46">
        <w:rPr>
          <w:rFonts w:ascii="Book Antiqua" w:eastAsia="Book Antiqua" w:hAnsi="Book Antiqua" w:cs="Book Antiqua"/>
          <w:color w:val="000000"/>
        </w:rPr>
        <w:t>.</w:t>
      </w:r>
    </w:p>
    <w:p w14:paraId="497C4FBC" w14:textId="77777777" w:rsidR="00A77B3E" w:rsidRPr="00173E46" w:rsidRDefault="00A77B3E" w:rsidP="00173E46">
      <w:pPr>
        <w:adjustRightInd w:val="0"/>
        <w:snapToGrid w:val="0"/>
        <w:spacing w:line="360" w:lineRule="auto"/>
        <w:jc w:val="both"/>
        <w:rPr>
          <w:rFonts w:ascii="Book Antiqua" w:hAnsi="Book Antiqua"/>
        </w:rPr>
      </w:pPr>
    </w:p>
    <w:p w14:paraId="410BB9B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REFERENCES</w:t>
      </w:r>
    </w:p>
    <w:p w14:paraId="79E14459" w14:textId="423845E5" w:rsidR="00A77B3E" w:rsidRPr="00173E46" w:rsidRDefault="00173E46" w:rsidP="00173E46">
      <w:pPr>
        <w:adjustRightInd w:val="0"/>
        <w:snapToGrid w:val="0"/>
        <w:spacing w:line="360" w:lineRule="auto"/>
        <w:jc w:val="both"/>
        <w:rPr>
          <w:rFonts w:ascii="Book Antiqua" w:hAnsi="Book Antiqua"/>
        </w:rPr>
      </w:pPr>
      <w:bookmarkStart w:id="0" w:name="OLE_LINK2945"/>
      <w:r w:rsidRPr="00173E46">
        <w:rPr>
          <w:rFonts w:ascii="Book Antiqua" w:eastAsia="Book Antiqua" w:hAnsi="Book Antiqua" w:cs="Book Antiqua"/>
          <w:color w:val="000000"/>
        </w:rPr>
        <w:lastRenderedPageBreak/>
        <w:t xml:space="preserve">1 </w:t>
      </w:r>
      <w:r w:rsidRPr="00173E46">
        <w:rPr>
          <w:rFonts w:ascii="Book Antiqua" w:eastAsia="Book Antiqua" w:hAnsi="Book Antiqua" w:cs="Book Antiqua"/>
          <w:b/>
          <w:bCs/>
          <w:color w:val="000000"/>
        </w:rPr>
        <w:t>Morgan K</w:t>
      </w:r>
      <w:r w:rsidRPr="00173E46">
        <w:rPr>
          <w:rFonts w:ascii="Book Antiqua" w:eastAsia="Book Antiqua" w:hAnsi="Book Antiqua" w:cs="Book Antiqua"/>
          <w:color w:val="000000"/>
        </w:rPr>
        <w:t xml:space="preserve">, Mansker D, Adams DB. Not just for trauma patients: damage control laparotomy in pancreatic surgery. </w:t>
      </w:r>
      <w:r w:rsidRPr="00173E46">
        <w:rPr>
          <w:rFonts w:ascii="Book Antiqua" w:eastAsia="Book Antiqua" w:hAnsi="Book Antiqua" w:cs="Book Antiqua"/>
          <w:i/>
          <w:iCs/>
          <w:color w:val="000000"/>
        </w:rPr>
        <w:t>J Gastrointest Surg</w:t>
      </w:r>
      <w:r w:rsidRPr="00173E46">
        <w:rPr>
          <w:rFonts w:ascii="Book Antiqua" w:eastAsia="Book Antiqua" w:hAnsi="Book Antiqua" w:cs="Book Antiqua"/>
          <w:color w:val="000000"/>
        </w:rPr>
        <w:t xml:space="preserve"> 2010; </w:t>
      </w:r>
      <w:r w:rsidRPr="00173E46">
        <w:rPr>
          <w:rFonts w:ascii="Book Antiqua" w:eastAsia="Book Antiqua" w:hAnsi="Book Antiqua" w:cs="Book Antiqua"/>
          <w:b/>
          <w:bCs/>
          <w:color w:val="000000"/>
        </w:rPr>
        <w:t>14</w:t>
      </w:r>
      <w:r w:rsidRPr="00173E46">
        <w:rPr>
          <w:rFonts w:ascii="Book Antiqua" w:eastAsia="Book Antiqua" w:hAnsi="Book Antiqua" w:cs="Book Antiqua"/>
          <w:color w:val="000000"/>
        </w:rPr>
        <w:t>: 768-772 [PMID: 20224981 DOI: 10.1007/s11605-010-1186-y</w:t>
      </w:r>
      <w:r w:rsidR="00F1368B" w:rsidRPr="00173E46">
        <w:rPr>
          <w:rFonts w:ascii="Book Antiqua" w:eastAsia="Book Antiqua" w:hAnsi="Book Antiqua" w:cs="Book Antiqua"/>
          <w:color w:val="000000"/>
        </w:rPr>
        <w:t>]</w:t>
      </w:r>
    </w:p>
    <w:p w14:paraId="52080F7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2 </w:t>
      </w:r>
      <w:r w:rsidRPr="00173E46">
        <w:rPr>
          <w:rFonts w:ascii="Book Antiqua" w:eastAsia="Book Antiqua" w:hAnsi="Book Antiqua" w:cs="Book Antiqua"/>
          <w:b/>
          <w:bCs/>
          <w:color w:val="000000"/>
        </w:rPr>
        <w:t>Schmiegelow AF</w:t>
      </w:r>
      <w:r w:rsidRPr="00173E46">
        <w:rPr>
          <w:rFonts w:ascii="Book Antiqua" w:eastAsia="Book Antiqua" w:hAnsi="Book Antiqua" w:cs="Book Antiqua"/>
          <w:color w:val="000000"/>
        </w:rPr>
        <w:t xml:space="preserve">, Stockholm JH, Burgdorf SK. [Traumatic pancreatic lesions]. </w:t>
      </w:r>
      <w:r w:rsidRPr="00173E46">
        <w:rPr>
          <w:rFonts w:ascii="Book Antiqua" w:eastAsia="Book Antiqua" w:hAnsi="Book Antiqua" w:cs="Book Antiqua"/>
          <w:i/>
          <w:iCs/>
          <w:color w:val="000000"/>
        </w:rPr>
        <w:t>Ugeskr Laeger</w:t>
      </w:r>
      <w:r w:rsidRPr="00173E46">
        <w:rPr>
          <w:rFonts w:ascii="Book Antiqua" w:eastAsia="Book Antiqua" w:hAnsi="Book Antiqua" w:cs="Book Antiqua"/>
          <w:color w:val="000000"/>
        </w:rPr>
        <w:t xml:space="preserve"> 2019; </w:t>
      </w:r>
      <w:r w:rsidRPr="00173E46">
        <w:rPr>
          <w:rFonts w:ascii="Book Antiqua" w:eastAsia="Book Antiqua" w:hAnsi="Book Antiqua" w:cs="Book Antiqua"/>
          <w:b/>
          <w:bCs/>
          <w:color w:val="000000"/>
        </w:rPr>
        <w:t>181</w:t>
      </w:r>
      <w:r w:rsidRPr="00173E46">
        <w:rPr>
          <w:rFonts w:ascii="Book Antiqua" w:eastAsia="Book Antiqua" w:hAnsi="Book Antiqua" w:cs="Book Antiqua"/>
          <w:color w:val="000000"/>
        </w:rPr>
        <w:t xml:space="preserve"> [PMID: 31036150]</w:t>
      </w:r>
    </w:p>
    <w:p w14:paraId="1A46B2FC" w14:textId="020A958E"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3 </w:t>
      </w:r>
      <w:r w:rsidRPr="00173E46">
        <w:rPr>
          <w:rFonts w:ascii="Book Antiqua" w:eastAsia="Book Antiqua" w:hAnsi="Book Antiqua" w:cs="Book Antiqua"/>
          <w:b/>
          <w:bCs/>
          <w:color w:val="000000"/>
        </w:rPr>
        <w:t>Krige JEJ</w:t>
      </w:r>
      <w:r w:rsidRPr="00173E46">
        <w:rPr>
          <w:rFonts w:ascii="Book Antiqua" w:eastAsia="Book Antiqua" w:hAnsi="Book Antiqua" w:cs="Book Antiqua"/>
          <w:color w:val="000000"/>
        </w:rPr>
        <w:t xml:space="preserve">, Kotze UK, Setshedi M, Nicol AJ, Navsaria PH. Management of pancreatic injuries during damage control surgery: an observational outcomes analysis of 79 patients treated at an academic Level 1 trauma centre. </w:t>
      </w:r>
      <w:r w:rsidRPr="00173E46">
        <w:rPr>
          <w:rFonts w:ascii="Book Antiqua" w:eastAsia="Book Antiqua" w:hAnsi="Book Antiqua" w:cs="Book Antiqua"/>
          <w:i/>
          <w:iCs/>
          <w:color w:val="000000"/>
        </w:rPr>
        <w:t>Eur J Trauma Emerg Surg</w:t>
      </w:r>
      <w:r w:rsidRPr="00173E46">
        <w:rPr>
          <w:rFonts w:ascii="Book Antiqua" w:eastAsia="Book Antiqua" w:hAnsi="Book Antiqua" w:cs="Book Antiqua"/>
          <w:color w:val="000000"/>
        </w:rPr>
        <w:t xml:space="preserve"> 2017; </w:t>
      </w:r>
      <w:r w:rsidRPr="00173E46">
        <w:rPr>
          <w:rFonts w:ascii="Book Antiqua" w:eastAsia="Book Antiqua" w:hAnsi="Book Antiqua" w:cs="Book Antiqua"/>
          <w:b/>
          <w:bCs/>
          <w:color w:val="000000"/>
        </w:rPr>
        <w:t>43</w:t>
      </w:r>
      <w:r w:rsidRPr="00173E46">
        <w:rPr>
          <w:rFonts w:ascii="Book Antiqua" w:eastAsia="Book Antiqua" w:hAnsi="Book Antiqua" w:cs="Book Antiqua"/>
          <w:color w:val="000000"/>
        </w:rPr>
        <w:t>: 411-420 [PMID: 26972574 DOI: 10.1007/s00068-016-0657-6</w:t>
      </w:r>
      <w:r w:rsidR="00F1368B" w:rsidRPr="00173E46">
        <w:rPr>
          <w:rFonts w:ascii="Book Antiqua" w:eastAsia="Book Antiqua" w:hAnsi="Book Antiqua" w:cs="Book Antiqua"/>
          <w:color w:val="000000"/>
        </w:rPr>
        <w:t>]</w:t>
      </w:r>
    </w:p>
    <w:p w14:paraId="254D2419" w14:textId="14502224"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4 </w:t>
      </w:r>
      <w:r w:rsidRPr="00173E46">
        <w:rPr>
          <w:rFonts w:ascii="Book Antiqua" w:eastAsia="Book Antiqua" w:hAnsi="Book Antiqua" w:cs="Book Antiqua"/>
          <w:b/>
          <w:bCs/>
          <w:color w:val="000000"/>
        </w:rPr>
        <w:t>Lee KJ</w:t>
      </w:r>
      <w:r w:rsidRPr="00173E46">
        <w:rPr>
          <w:rFonts w:ascii="Book Antiqua" w:eastAsia="Book Antiqua" w:hAnsi="Book Antiqua" w:cs="Book Antiqua"/>
          <w:color w:val="000000"/>
        </w:rPr>
        <w:t xml:space="preserve">, Kwon J, Kim J, Jung K. Management of blunt pancreatic injury by applying the principles of damage control surgery: experience at a single institution. </w:t>
      </w:r>
      <w:r w:rsidRPr="00173E46">
        <w:rPr>
          <w:rFonts w:ascii="Book Antiqua" w:eastAsia="Book Antiqua" w:hAnsi="Book Antiqua" w:cs="Book Antiqua"/>
          <w:i/>
          <w:iCs/>
          <w:color w:val="000000"/>
        </w:rPr>
        <w:t>Hepatogastroenterology</w:t>
      </w:r>
      <w:r w:rsidRPr="00173E46">
        <w:rPr>
          <w:rFonts w:ascii="Book Antiqua" w:eastAsia="Book Antiqua" w:hAnsi="Book Antiqua" w:cs="Book Antiqua"/>
          <w:color w:val="000000"/>
        </w:rPr>
        <w:t xml:space="preserve"> 2012; </w:t>
      </w:r>
      <w:r w:rsidRPr="00173E46">
        <w:rPr>
          <w:rFonts w:ascii="Book Antiqua" w:eastAsia="Book Antiqua" w:hAnsi="Book Antiqua" w:cs="Book Antiqua"/>
          <w:b/>
          <w:bCs/>
          <w:color w:val="000000"/>
        </w:rPr>
        <w:t>59</w:t>
      </w:r>
      <w:r w:rsidRPr="00173E46">
        <w:rPr>
          <w:rFonts w:ascii="Book Antiqua" w:eastAsia="Book Antiqua" w:hAnsi="Book Antiqua" w:cs="Book Antiqua"/>
          <w:color w:val="000000"/>
        </w:rPr>
        <w:t>: 1970-1975 [PMID: 22172410 DOI: 10.5754/hge11808</w:t>
      </w:r>
      <w:r w:rsidR="00F1368B" w:rsidRPr="00173E46">
        <w:rPr>
          <w:rFonts w:ascii="Book Antiqua" w:eastAsia="Book Antiqua" w:hAnsi="Book Antiqua" w:cs="Book Antiqua"/>
          <w:color w:val="000000"/>
        </w:rPr>
        <w:t>]</w:t>
      </w:r>
    </w:p>
    <w:p w14:paraId="1B6E8F8D" w14:textId="1A8E802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5 </w:t>
      </w:r>
      <w:r w:rsidRPr="00173E46">
        <w:rPr>
          <w:rFonts w:ascii="Book Antiqua" w:eastAsia="Book Antiqua" w:hAnsi="Book Antiqua" w:cs="Book Antiqua"/>
          <w:b/>
          <w:bCs/>
          <w:color w:val="000000"/>
        </w:rPr>
        <w:t>Paulino J</w:t>
      </w:r>
      <w:r w:rsidRPr="00173E46">
        <w:rPr>
          <w:rFonts w:ascii="Book Antiqua" w:eastAsia="Book Antiqua" w:hAnsi="Book Antiqua" w:cs="Book Antiqua"/>
          <w:color w:val="000000"/>
        </w:rPr>
        <w:t xml:space="preserve">, Vigia E, Cunha M, Amorim E. Two-stage pancreatic head resection after previous damage control surgery in trauma: two rare case reports. </w:t>
      </w:r>
      <w:r w:rsidRPr="00173E46">
        <w:rPr>
          <w:rFonts w:ascii="Book Antiqua" w:eastAsia="Book Antiqua" w:hAnsi="Book Antiqua" w:cs="Book Antiqua"/>
          <w:i/>
          <w:iCs/>
          <w:color w:val="000000"/>
        </w:rPr>
        <w:t>BMC Surg</w:t>
      </w:r>
      <w:r w:rsidRPr="00173E46">
        <w:rPr>
          <w:rFonts w:ascii="Book Antiqua" w:eastAsia="Book Antiqua" w:hAnsi="Book Antiqua" w:cs="Book Antiqua"/>
          <w:color w:val="000000"/>
        </w:rPr>
        <w:t xml:space="preserve"> 2020; </w:t>
      </w:r>
      <w:r w:rsidRPr="00173E46">
        <w:rPr>
          <w:rFonts w:ascii="Book Antiqua" w:eastAsia="Book Antiqua" w:hAnsi="Book Antiqua" w:cs="Book Antiqua"/>
          <w:b/>
          <w:bCs/>
          <w:color w:val="000000"/>
        </w:rPr>
        <w:t>20</w:t>
      </w:r>
      <w:r w:rsidRPr="00173E46">
        <w:rPr>
          <w:rFonts w:ascii="Book Antiqua" w:eastAsia="Book Antiqua" w:hAnsi="Book Antiqua" w:cs="Book Antiqua"/>
          <w:color w:val="000000"/>
        </w:rPr>
        <w:t>: 98 [PMID: 32397989 DOI: 10.1186/s12893-020-00763-2</w:t>
      </w:r>
      <w:r w:rsidR="00F1368B" w:rsidRPr="00173E46">
        <w:rPr>
          <w:rFonts w:ascii="Book Antiqua" w:eastAsia="Book Antiqua" w:hAnsi="Book Antiqua" w:cs="Book Antiqua"/>
          <w:color w:val="000000"/>
        </w:rPr>
        <w:t>]</w:t>
      </w:r>
    </w:p>
    <w:p w14:paraId="7B85DE19" w14:textId="4801ED3D"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6 </w:t>
      </w:r>
      <w:r w:rsidRPr="00173E46">
        <w:rPr>
          <w:rFonts w:ascii="Book Antiqua" w:eastAsia="Book Antiqua" w:hAnsi="Book Antiqua" w:cs="Book Antiqua"/>
          <w:b/>
          <w:bCs/>
          <w:color w:val="000000"/>
        </w:rPr>
        <w:t>Krige JE</w:t>
      </w:r>
      <w:r w:rsidRPr="00173E46">
        <w:rPr>
          <w:rFonts w:ascii="Book Antiqua" w:eastAsia="Book Antiqua" w:hAnsi="Book Antiqua" w:cs="Book Antiqua"/>
          <w:color w:val="000000"/>
        </w:rPr>
        <w:t xml:space="preserve">, Navsaria PH, Nicol AJ. Damage control laparotomy and delayed pancreatoduodenectomy for complex combined pancreatoduodenal and venous injuries. </w:t>
      </w:r>
      <w:r w:rsidRPr="00173E46">
        <w:rPr>
          <w:rFonts w:ascii="Book Antiqua" w:eastAsia="Book Antiqua" w:hAnsi="Book Antiqua" w:cs="Book Antiqua"/>
          <w:i/>
          <w:iCs/>
          <w:color w:val="000000"/>
        </w:rPr>
        <w:t>Eur J Trauma Emerg Surg</w:t>
      </w:r>
      <w:r w:rsidRPr="00173E46">
        <w:rPr>
          <w:rFonts w:ascii="Book Antiqua" w:eastAsia="Book Antiqua" w:hAnsi="Book Antiqua" w:cs="Book Antiqua"/>
          <w:color w:val="000000"/>
        </w:rPr>
        <w:t xml:space="preserve"> 2016; </w:t>
      </w:r>
      <w:r w:rsidRPr="00173E46">
        <w:rPr>
          <w:rFonts w:ascii="Book Antiqua" w:eastAsia="Book Antiqua" w:hAnsi="Book Antiqua" w:cs="Book Antiqua"/>
          <w:b/>
          <w:bCs/>
          <w:color w:val="000000"/>
        </w:rPr>
        <w:t>42</w:t>
      </w:r>
      <w:r w:rsidRPr="00173E46">
        <w:rPr>
          <w:rFonts w:ascii="Book Antiqua" w:eastAsia="Book Antiqua" w:hAnsi="Book Antiqua" w:cs="Book Antiqua"/>
          <w:color w:val="000000"/>
        </w:rPr>
        <w:t>: 225-230 [PMID: 26038043 DOI: 10.1007/s00068-015-0525-9</w:t>
      </w:r>
      <w:r w:rsidR="00F1368B" w:rsidRPr="00173E46">
        <w:rPr>
          <w:rFonts w:ascii="Book Antiqua" w:eastAsia="Book Antiqua" w:hAnsi="Book Antiqua" w:cs="Book Antiqua"/>
          <w:color w:val="000000"/>
        </w:rPr>
        <w:t>]</w:t>
      </w:r>
    </w:p>
    <w:p w14:paraId="59A66908" w14:textId="00B29039"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7 </w:t>
      </w:r>
      <w:r w:rsidRPr="00173E46">
        <w:rPr>
          <w:rFonts w:ascii="Book Antiqua" w:eastAsia="Book Antiqua" w:hAnsi="Book Antiqua" w:cs="Book Antiqua"/>
          <w:b/>
          <w:bCs/>
          <w:color w:val="000000"/>
        </w:rPr>
        <w:t>Seamon MJ</w:t>
      </w:r>
      <w:r w:rsidRPr="00173E46">
        <w:rPr>
          <w:rFonts w:ascii="Book Antiqua" w:eastAsia="Book Antiqua" w:hAnsi="Book Antiqua" w:cs="Book Antiqua"/>
          <w:color w:val="000000"/>
        </w:rPr>
        <w:t xml:space="preserve">, Kim PK, Stawicki SP, Dabrowski GP, Goldberg AJ, Reilly PM, Schwab CW. Pancreatic injury in damage control laparotomies: Is pancreatic resection safe during the initial laparotomy? </w:t>
      </w:r>
      <w:r w:rsidRPr="00173E46">
        <w:rPr>
          <w:rFonts w:ascii="Book Antiqua" w:eastAsia="Book Antiqua" w:hAnsi="Book Antiqua" w:cs="Book Antiqua"/>
          <w:i/>
          <w:iCs/>
          <w:color w:val="000000"/>
        </w:rPr>
        <w:t>Injury</w:t>
      </w:r>
      <w:r w:rsidRPr="00173E46">
        <w:rPr>
          <w:rFonts w:ascii="Book Antiqua" w:eastAsia="Book Antiqua" w:hAnsi="Book Antiqua" w:cs="Book Antiqua"/>
          <w:color w:val="000000"/>
        </w:rPr>
        <w:t xml:space="preserve"> 2009; </w:t>
      </w:r>
      <w:r w:rsidRPr="00173E46">
        <w:rPr>
          <w:rFonts w:ascii="Book Antiqua" w:eastAsia="Book Antiqua" w:hAnsi="Book Antiqua" w:cs="Book Antiqua"/>
          <w:b/>
          <w:bCs/>
          <w:color w:val="000000"/>
        </w:rPr>
        <w:t>40</w:t>
      </w:r>
      <w:r w:rsidRPr="00173E46">
        <w:rPr>
          <w:rFonts w:ascii="Book Antiqua" w:eastAsia="Book Antiqua" w:hAnsi="Book Antiqua" w:cs="Book Antiqua"/>
          <w:color w:val="000000"/>
        </w:rPr>
        <w:t>: 61-65 [PMID: 19054513 DOI: 10.1016/j.injury.2008.08.010</w:t>
      </w:r>
      <w:r w:rsidR="00F1368B" w:rsidRPr="00173E46">
        <w:rPr>
          <w:rFonts w:ascii="Book Antiqua" w:eastAsia="Book Antiqua" w:hAnsi="Book Antiqua" w:cs="Book Antiqua"/>
          <w:color w:val="000000"/>
        </w:rPr>
        <w:t>]</w:t>
      </w:r>
    </w:p>
    <w:p w14:paraId="60182CCC" w14:textId="6B8D9B35"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8 </w:t>
      </w:r>
      <w:r w:rsidRPr="00173E46">
        <w:rPr>
          <w:rFonts w:ascii="Book Antiqua" w:eastAsia="Book Antiqua" w:hAnsi="Book Antiqua" w:cs="Book Antiqua"/>
          <w:b/>
          <w:bCs/>
          <w:color w:val="000000"/>
        </w:rPr>
        <w:t>Degiannis E</w:t>
      </w:r>
      <w:r w:rsidRPr="00173E46">
        <w:rPr>
          <w:rFonts w:ascii="Book Antiqua" w:eastAsia="Book Antiqua" w:hAnsi="Book Antiqua" w:cs="Book Antiqua"/>
          <w:color w:val="000000"/>
        </w:rPr>
        <w:t xml:space="preserve">, Glapa M, Loukogeorgakis SP, Smith MD. Management of pancreatic trauma. </w:t>
      </w:r>
      <w:r w:rsidRPr="00173E46">
        <w:rPr>
          <w:rFonts w:ascii="Book Antiqua" w:eastAsia="Book Antiqua" w:hAnsi="Book Antiqua" w:cs="Book Antiqua"/>
          <w:i/>
          <w:iCs/>
          <w:color w:val="000000"/>
        </w:rPr>
        <w:t>Injury</w:t>
      </w:r>
      <w:r w:rsidRPr="00173E46">
        <w:rPr>
          <w:rFonts w:ascii="Book Antiqua" w:eastAsia="Book Antiqua" w:hAnsi="Book Antiqua" w:cs="Book Antiqua"/>
          <w:color w:val="000000"/>
        </w:rPr>
        <w:t xml:space="preserve"> 2008; </w:t>
      </w:r>
      <w:r w:rsidRPr="00173E46">
        <w:rPr>
          <w:rFonts w:ascii="Book Antiqua" w:eastAsia="Book Antiqua" w:hAnsi="Book Antiqua" w:cs="Book Antiqua"/>
          <w:b/>
          <w:bCs/>
          <w:color w:val="000000"/>
        </w:rPr>
        <w:t>39</w:t>
      </w:r>
      <w:r w:rsidRPr="00173E46">
        <w:rPr>
          <w:rFonts w:ascii="Book Antiqua" w:eastAsia="Book Antiqua" w:hAnsi="Book Antiqua" w:cs="Book Antiqua"/>
          <w:color w:val="000000"/>
        </w:rPr>
        <w:t>: 21-29 [PMID: 17996869 DOI: 10.1016/j.injury.2007.07.005</w:t>
      </w:r>
      <w:r w:rsidR="00F1368B" w:rsidRPr="00173E46">
        <w:rPr>
          <w:rFonts w:ascii="Book Antiqua" w:eastAsia="Book Antiqua" w:hAnsi="Book Antiqua" w:cs="Book Antiqua"/>
          <w:color w:val="000000"/>
        </w:rPr>
        <w:t>]</w:t>
      </w:r>
    </w:p>
    <w:p w14:paraId="1A7B8699"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9 </w:t>
      </w:r>
      <w:r w:rsidRPr="00173E46">
        <w:rPr>
          <w:rFonts w:ascii="Book Antiqua" w:eastAsia="Book Antiqua" w:hAnsi="Book Antiqua" w:cs="Book Antiqua"/>
          <w:b/>
          <w:bCs/>
          <w:color w:val="000000"/>
        </w:rPr>
        <w:t>Ohshio G</w:t>
      </w:r>
      <w:r w:rsidRPr="00173E46">
        <w:rPr>
          <w:rFonts w:ascii="Book Antiqua" w:eastAsia="Book Antiqua" w:hAnsi="Book Antiqua" w:cs="Book Antiqua"/>
          <w:color w:val="000000"/>
        </w:rPr>
        <w:t xml:space="preserve">, Hamashima Y, Manabe T, Miyashita T, Suzuki T, Tobe T. [DU-PAN-2 antigen in the serum of patients with tumors of the pancreas or biliary tract]. </w:t>
      </w:r>
      <w:r w:rsidRPr="00173E46">
        <w:rPr>
          <w:rFonts w:ascii="Book Antiqua" w:eastAsia="Book Antiqua" w:hAnsi="Book Antiqua" w:cs="Book Antiqua"/>
          <w:i/>
          <w:iCs/>
          <w:color w:val="000000"/>
        </w:rPr>
        <w:t>Nihon Geka Gakkai Zasshi</w:t>
      </w:r>
      <w:r w:rsidRPr="00173E46">
        <w:rPr>
          <w:rFonts w:ascii="Book Antiqua" w:eastAsia="Book Antiqua" w:hAnsi="Book Antiqua" w:cs="Book Antiqua"/>
          <w:color w:val="000000"/>
        </w:rPr>
        <w:t xml:space="preserve"> 1987; </w:t>
      </w:r>
      <w:r w:rsidRPr="00173E46">
        <w:rPr>
          <w:rFonts w:ascii="Book Antiqua" w:eastAsia="Book Antiqua" w:hAnsi="Book Antiqua" w:cs="Book Antiqua"/>
          <w:b/>
          <w:bCs/>
          <w:color w:val="000000"/>
        </w:rPr>
        <w:t>88</w:t>
      </w:r>
      <w:r w:rsidRPr="00173E46">
        <w:rPr>
          <w:rFonts w:ascii="Book Antiqua" w:eastAsia="Book Antiqua" w:hAnsi="Book Antiqua" w:cs="Book Antiqua"/>
          <w:color w:val="000000"/>
        </w:rPr>
        <w:t>: 359 [PMID: 3600587]</w:t>
      </w:r>
    </w:p>
    <w:p w14:paraId="0FE7520F" w14:textId="2E998BA3"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lastRenderedPageBreak/>
        <w:t xml:space="preserve">10 </w:t>
      </w:r>
      <w:r w:rsidRPr="00173E46">
        <w:rPr>
          <w:rFonts w:ascii="Book Antiqua" w:eastAsia="Book Antiqua" w:hAnsi="Book Antiqua" w:cs="Book Antiqua"/>
          <w:b/>
          <w:bCs/>
          <w:color w:val="000000"/>
        </w:rPr>
        <w:t>Kaman L</w:t>
      </w:r>
      <w:r w:rsidRPr="00173E46">
        <w:rPr>
          <w:rFonts w:ascii="Book Antiqua" w:eastAsia="Book Antiqua" w:hAnsi="Book Antiqua" w:cs="Book Antiqua"/>
          <w:color w:val="000000"/>
        </w:rPr>
        <w:t xml:space="preserve">, Iqbal J, Pall M, Bhukal I, Behera A, Singh G, Singh R. Current management of pancreatic trauma. </w:t>
      </w:r>
      <w:r w:rsidRPr="00173E46">
        <w:rPr>
          <w:rFonts w:ascii="Book Antiqua" w:eastAsia="Book Antiqua" w:hAnsi="Book Antiqua" w:cs="Book Antiqua"/>
          <w:i/>
          <w:iCs/>
          <w:color w:val="000000"/>
        </w:rPr>
        <w:t>Trop Gastroenterol</w:t>
      </w:r>
      <w:r w:rsidRPr="00173E46">
        <w:rPr>
          <w:rFonts w:ascii="Book Antiqua" w:eastAsia="Book Antiqua" w:hAnsi="Book Antiqua" w:cs="Book Antiqua"/>
          <w:color w:val="000000"/>
        </w:rPr>
        <w:t xml:space="preserve"> 2012; </w:t>
      </w:r>
      <w:r w:rsidRPr="00173E46">
        <w:rPr>
          <w:rFonts w:ascii="Book Antiqua" w:eastAsia="Book Antiqua" w:hAnsi="Book Antiqua" w:cs="Book Antiqua"/>
          <w:b/>
          <w:bCs/>
          <w:color w:val="000000"/>
        </w:rPr>
        <w:t>33</w:t>
      </w:r>
      <w:r w:rsidRPr="00173E46">
        <w:rPr>
          <w:rFonts w:ascii="Book Antiqua" w:eastAsia="Book Antiqua" w:hAnsi="Book Antiqua" w:cs="Book Antiqua"/>
          <w:color w:val="000000"/>
        </w:rPr>
        <w:t>: 200-206 [PMID: 23600051 DOI: 10.7869/tg.2012.49</w:t>
      </w:r>
      <w:r w:rsidR="00F1368B" w:rsidRPr="00173E46">
        <w:rPr>
          <w:rFonts w:ascii="Book Antiqua" w:eastAsia="Book Antiqua" w:hAnsi="Book Antiqua" w:cs="Book Antiqua"/>
          <w:color w:val="000000"/>
        </w:rPr>
        <w:t>]</w:t>
      </w:r>
    </w:p>
    <w:p w14:paraId="3843BEF3" w14:textId="24629A84"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11 </w:t>
      </w:r>
      <w:r w:rsidRPr="00173E46">
        <w:rPr>
          <w:rFonts w:ascii="Book Antiqua" w:eastAsia="Book Antiqua" w:hAnsi="Book Antiqua" w:cs="Book Antiqua"/>
          <w:b/>
          <w:bCs/>
          <w:color w:val="000000"/>
        </w:rPr>
        <w:t>Xu J</w:t>
      </w:r>
      <w:r w:rsidRPr="00173E46">
        <w:rPr>
          <w:rFonts w:ascii="Book Antiqua" w:eastAsia="Book Antiqua" w:hAnsi="Book Antiqua" w:cs="Book Antiqua"/>
          <w:color w:val="000000"/>
        </w:rPr>
        <w:t xml:space="preserve">, Dai X, Bu X, Gao F, Zhang X. Pancreaticojejunal bridge-anastomosis: a novel option for surgeon to preserve pancreatic body and tail in urgent reoperation for intra-abdominal massive hemorrhage after pancreaticoduodenectomy. </w:t>
      </w:r>
      <w:r w:rsidRPr="00173E46">
        <w:rPr>
          <w:rFonts w:ascii="Book Antiqua" w:eastAsia="Book Antiqua" w:hAnsi="Book Antiqua" w:cs="Book Antiqua"/>
          <w:i/>
          <w:iCs/>
          <w:color w:val="000000"/>
        </w:rPr>
        <w:t>World J Surg</w:t>
      </w:r>
      <w:r w:rsidRPr="00173E46">
        <w:rPr>
          <w:rFonts w:ascii="Book Antiqua" w:eastAsia="Book Antiqua" w:hAnsi="Book Antiqua" w:cs="Book Antiqua"/>
          <w:color w:val="000000"/>
        </w:rPr>
        <w:t xml:space="preserve"> 2010; </w:t>
      </w:r>
      <w:r w:rsidRPr="00173E46">
        <w:rPr>
          <w:rFonts w:ascii="Book Antiqua" w:eastAsia="Book Antiqua" w:hAnsi="Book Antiqua" w:cs="Book Antiqua"/>
          <w:b/>
          <w:bCs/>
          <w:color w:val="000000"/>
        </w:rPr>
        <w:t>34</w:t>
      </w:r>
      <w:r w:rsidRPr="00173E46">
        <w:rPr>
          <w:rFonts w:ascii="Book Antiqua" w:eastAsia="Book Antiqua" w:hAnsi="Book Antiqua" w:cs="Book Antiqua"/>
          <w:color w:val="000000"/>
        </w:rPr>
        <w:t>: 2457-2462 [PMID: 20635086 DOI: 10.1007/s00268-010-0658-2</w:t>
      </w:r>
      <w:r w:rsidR="00F1368B" w:rsidRPr="00173E46">
        <w:rPr>
          <w:rFonts w:ascii="Book Antiqua" w:eastAsia="Book Antiqua" w:hAnsi="Book Antiqua" w:cs="Book Antiqua"/>
          <w:color w:val="000000"/>
        </w:rPr>
        <w:t>]</w:t>
      </w:r>
    </w:p>
    <w:p w14:paraId="1A013E48" w14:textId="0B6E44F5"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12 </w:t>
      </w:r>
      <w:r w:rsidRPr="00173E46">
        <w:rPr>
          <w:rFonts w:ascii="Book Antiqua" w:eastAsia="Book Antiqua" w:hAnsi="Book Antiqua" w:cs="Book Antiqua"/>
          <w:b/>
          <w:bCs/>
          <w:color w:val="000000"/>
        </w:rPr>
        <w:t>Kent TS</w:t>
      </w:r>
      <w:r w:rsidRPr="00173E46">
        <w:rPr>
          <w:rFonts w:ascii="Book Antiqua" w:eastAsia="Book Antiqua" w:hAnsi="Book Antiqua" w:cs="Book Antiqua"/>
          <w:color w:val="000000"/>
        </w:rPr>
        <w:t xml:space="preserve">, Callery MP, Vollmer CM Jr. The bridge stent technique for salvage of pancreaticojejunal anastomotic dehiscence. </w:t>
      </w:r>
      <w:r w:rsidRPr="00173E46">
        <w:rPr>
          <w:rFonts w:ascii="Book Antiqua" w:eastAsia="Book Antiqua" w:hAnsi="Book Antiqua" w:cs="Book Antiqua"/>
          <w:i/>
          <w:iCs/>
          <w:color w:val="000000"/>
        </w:rPr>
        <w:t>HPB (Oxford)</w:t>
      </w:r>
      <w:r w:rsidRPr="00173E46">
        <w:rPr>
          <w:rFonts w:ascii="Book Antiqua" w:eastAsia="Book Antiqua" w:hAnsi="Book Antiqua" w:cs="Book Antiqua"/>
          <w:color w:val="000000"/>
        </w:rPr>
        <w:t xml:space="preserve"> 2010; </w:t>
      </w:r>
      <w:r w:rsidRPr="00173E46">
        <w:rPr>
          <w:rFonts w:ascii="Book Antiqua" w:eastAsia="Book Antiqua" w:hAnsi="Book Antiqua" w:cs="Book Antiqua"/>
          <w:b/>
          <w:bCs/>
          <w:color w:val="000000"/>
        </w:rPr>
        <w:t>12</w:t>
      </w:r>
      <w:r w:rsidRPr="00173E46">
        <w:rPr>
          <w:rFonts w:ascii="Book Antiqua" w:eastAsia="Book Antiqua" w:hAnsi="Book Antiqua" w:cs="Book Antiqua"/>
          <w:color w:val="000000"/>
        </w:rPr>
        <w:t>: 577-582 [PMID: 20887326 DOI: 10.1111/j.1477-2574.2010.00227.x</w:t>
      </w:r>
      <w:r w:rsidR="00F1368B" w:rsidRPr="00173E46">
        <w:rPr>
          <w:rFonts w:ascii="Book Antiqua" w:eastAsia="Book Antiqua" w:hAnsi="Book Antiqua" w:cs="Book Antiqua"/>
          <w:color w:val="000000"/>
        </w:rPr>
        <w:t>]</w:t>
      </w:r>
    </w:p>
    <w:p w14:paraId="3CBF0701" w14:textId="172EBB4B"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13 </w:t>
      </w:r>
      <w:r w:rsidR="00F1368B" w:rsidRPr="00173E46">
        <w:rPr>
          <w:rFonts w:ascii="Book Antiqua" w:eastAsia="Book Antiqua" w:hAnsi="Book Antiqua" w:cs="Book Antiqua"/>
          <w:b/>
          <w:bCs/>
          <w:color w:val="000000"/>
        </w:rPr>
        <w:t xml:space="preserve">Waugh </w:t>
      </w:r>
      <w:r w:rsidRPr="00173E46">
        <w:rPr>
          <w:rFonts w:ascii="Book Antiqua" w:eastAsia="Book Antiqua" w:hAnsi="Book Antiqua" w:cs="Book Antiqua"/>
          <w:b/>
          <w:bCs/>
          <w:color w:val="000000"/>
        </w:rPr>
        <w:t>JM</w:t>
      </w:r>
      <w:r w:rsidRPr="00173E46">
        <w:rPr>
          <w:rFonts w:ascii="Book Antiqua" w:eastAsia="Book Antiqua" w:hAnsi="Book Antiqua" w:cs="Book Antiqua"/>
          <w:color w:val="000000"/>
        </w:rPr>
        <w:t xml:space="preserve">, </w:t>
      </w:r>
      <w:r w:rsidR="00F1368B" w:rsidRPr="00173E46">
        <w:rPr>
          <w:rFonts w:ascii="Book Antiqua" w:eastAsia="Book Antiqua" w:hAnsi="Book Antiqua" w:cs="Book Antiqua"/>
          <w:color w:val="000000"/>
        </w:rPr>
        <w:t xml:space="preserve">Clagett </w:t>
      </w:r>
      <w:r w:rsidRPr="00173E46">
        <w:rPr>
          <w:rFonts w:ascii="Book Antiqua" w:eastAsia="Book Antiqua" w:hAnsi="Book Antiqua" w:cs="Book Antiqua"/>
          <w:color w:val="000000"/>
        </w:rPr>
        <w:t xml:space="preserve">OT. Resection of the duodenum and head of the pancreas for carcinoma; an analysis of thirty cases. </w:t>
      </w:r>
      <w:r w:rsidRPr="00173E46">
        <w:rPr>
          <w:rFonts w:ascii="Book Antiqua" w:eastAsia="Book Antiqua" w:hAnsi="Book Antiqua" w:cs="Book Antiqua"/>
          <w:i/>
          <w:iCs/>
          <w:color w:val="000000"/>
        </w:rPr>
        <w:t>Surgery</w:t>
      </w:r>
      <w:r w:rsidRPr="00173E46">
        <w:rPr>
          <w:rFonts w:ascii="Book Antiqua" w:eastAsia="Book Antiqua" w:hAnsi="Book Antiqua" w:cs="Book Antiqua"/>
          <w:color w:val="000000"/>
        </w:rPr>
        <w:t xml:space="preserve"> 1946; </w:t>
      </w:r>
      <w:r w:rsidRPr="00173E46">
        <w:rPr>
          <w:rFonts w:ascii="Book Antiqua" w:eastAsia="Book Antiqua" w:hAnsi="Book Antiqua" w:cs="Book Antiqua"/>
          <w:b/>
          <w:bCs/>
          <w:color w:val="000000"/>
        </w:rPr>
        <w:t>20</w:t>
      </w:r>
      <w:r w:rsidRPr="00173E46">
        <w:rPr>
          <w:rFonts w:ascii="Book Antiqua" w:eastAsia="Book Antiqua" w:hAnsi="Book Antiqua" w:cs="Book Antiqua"/>
          <w:color w:val="000000"/>
        </w:rPr>
        <w:t>: 224-232 [PMID: 20994806]</w:t>
      </w:r>
    </w:p>
    <w:p w14:paraId="077C89B5" w14:textId="6D404141"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14 </w:t>
      </w:r>
      <w:r w:rsidRPr="00173E46">
        <w:rPr>
          <w:rFonts w:ascii="Book Antiqua" w:eastAsia="Book Antiqua" w:hAnsi="Book Antiqua" w:cs="Book Antiqua"/>
          <w:b/>
          <w:bCs/>
          <w:color w:val="000000"/>
        </w:rPr>
        <w:t>Qin H</w:t>
      </w:r>
      <w:r w:rsidRPr="00173E46">
        <w:rPr>
          <w:rFonts w:ascii="Book Antiqua" w:eastAsia="Book Antiqua" w:hAnsi="Book Antiqua" w:cs="Book Antiqua"/>
          <w:color w:val="000000"/>
        </w:rPr>
        <w:t xml:space="preserve">, Luo L, Zhu Z, Huang J. Pancreaticogastrostomy has advantages over pancreaticojejunostomy on pancreatic fistula after pancreaticoduodenectomy. A meta-analysis of randomized controlled trials. </w:t>
      </w:r>
      <w:r w:rsidRPr="00173E46">
        <w:rPr>
          <w:rFonts w:ascii="Book Antiqua" w:eastAsia="Book Antiqua" w:hAnsi="Book Antiqua" w:cs="Book Antiqua"/>
          <w:i/>
          <w:iCs/>
          <w:color w:val="000000"/>
        </w:rPr>
        <w:t>Int J Surg</w:t>
      </w:r>
      <w:r w:rsidRPr="00173E46">
        <w:rPr>
          <w:rFonts w:ascii="Book Antiqua" w:eastAsia="Book Antiqua" w:hAnsi="Book Antiqua" w:cs="Book Antiqua"/>
          <w:color w:val="000000"/>
        </w:rPr>
        <w:t xml:space="preserve"> 2016; </w:t>
      </w:r>
      <w:r w:rsidRPr="00173E46">
        <w:rPr>
          <w:rFonts w:ascii="Book Antiqua" w:eastAsia="Book Antiqua" w:hAnsi="Book Antiqua" w:cs="Book Antiqua"/>
          <w:b/>
          <w:bCs/>
          <w:color w:val="000000"/>
        </w:rPr>
        <w:t>36</w:t>
      </w:r>
      <w:r w:rsidRPr="00173E46">
        <w:rPr>
          <w:rFonts w:ascii="Book Antiqua" w:eastAsia="Book Antiqua" w:hAnsi="Book Antiqua" w:cs="Book Antiqua"/>
          <w:color w:val="000000"/>
        </w:rPr>
        <w:t>: 18-24 [PMID: 27768898 DOI: 10.1016/j.ijsu.2016.10.020</w:t>
      </w:r>
      <w:r w:rsidR="00F1368B" w:rsidRPr="00173E46">
        <w:rPr>
          <w:rFonts w:ascii="Book Antiqua" w:eastAsia="Book Antiqua" w:hAnsi="Book Antiqua" w:cs="Book Antiqua"/>
          <w:color w:val="000000"/>
        </w:rPr>
        <w:t>]</w:t>
      </w:r>
    </w:p>
    <w:p w14:paraId="4FBB9E26" w14:textId="0515C1E8"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15 </w:t>
      </w:r>
      <w:r w:rsidRPr="00173E46">
        <w:rPr>
          <w:rFonts w:ascii="Book Antiqua" w:eastAsia="Book Antiqua" w:hAnsi="Book Antiqua" w:cs="Book Antiqua"/>
          <w:b/>
          <w:bCs/>
          <w:color w:val="000000"/>
        </w:rPr>
        <w:t>Daamen LA</w:t>
      </w:r>
      <w:r w:rsidRPr="00173E46">
        <w:rPr>
          <w:rFonts w:ascii="Book Antiqua" w:eastAsia="Book Antiqua" w:hAnsi="Book Antiqua" w:cs="Book Antiqua"/>
          <w:color w:val="000000"/>
        </w:rPr>
        <w:t xml:space="preserve">, Smits FJ, Besselink MG, Busch OR, Borel Rinkes IH, van Santvoort HC, Molenaar IQ; Dutch Pancreatic Cancer Group. A web-based overview, systematic review and meta-analysis of pancreatic anastomosis techniques following pancreatoduodenectomy. </w:t>
      </w:r>
      <w:r w:rsidRPr="00173E46">
        <w:rPr>
          <w:rFonts w:ascii="Book Antiqua" w:eastAsia="Book Antiqua" w:hAnsi="Book Antiqua" w:cs="Book Antiqua"/>
          <w:i/>
          <w:iCs/>
          <w:color w:val="000000"/>
        </w:rPr>
        <w:t>HPB (Oxford)</w:t>
      </w:r>
      <w:r w:rsidRPr="00173E46">
        <w:rPr>
          <w:rFonts w:ascii="Book Antiqua" w:eastAsia="Book Antiqua" w:hAnsi="Book Antiqua" w:cs="Book Antiqua"/>
          <w:color w:val="000000"/>
        </w:rPr>
        <w:t xml:space="preserve"> 2018; </w:t>
      </w:r>
      <w:r w:rsidRPr="00173E46">
        <w:rPr>
          <w:rFonts w:ascii="Book Antiqua" w:eastAsia="Book Antiqua" w:hAnsi="Book Antiqua" w:cs="Book Antiqua"/>
          <w:b/>
          <w:bCs/>
          <w:color w:val="000000"/>
        </w:rPr>
        <w:t>20</w:t>
      </w:r>
      <w:r w:rsidRPr="00173E46">
        <w:rPr>
          <w:rFonts w:ascii="Book Antiqua" w:eastAsia="Book Antiqua" w:hAnsi="Book Antiqua" w:cs="Book Antiqua"/>
          <w:color w:val="000000"/>
        </w:rPr>
        <w:t>: 777-785 [PMID: 29773356 DOI: 10.1016/j.hpb.2018.03.003</w:t>
      </w:r>
      <w:r w:rsidR="00F1368B" w:rsidRPr="00173E46">
        <w:rPr>
          <w:rFonts w:ascii="Book Antiqua" w:eastAsia="Book Antiqua" w:hAnsi="Book Antiqua" w:cs="Book Antiqua"/>
          <w:color w:val="000000"/>
        </w:rPr>
        <w:t>]</w:t>
      </w:r>
    </w:p>
    <w:p w14:paraId="6BAEF6E3" w14:textId="131C8E3B"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16 </w:t>
      </w:r>
      <w:r w:rsidRPr="00173E46">
        <w:rPr>
          <w:rFonts w:ascii="Book Antiqua" w:eastAsia="Book Antiqua" w:hAnsi="Book Antiqua" w:cs="Book Antiqua"/>
          <w:b/>
          <w:bCs/>
          <w:color w:val="000000"/>
        </w:rPr>
        <w:t>Benini L</w:t>
      </w:r>
      <w:r w:rsidRPr="00173E46">
        <w:rPr>
          <w:rFonts w:ascii="Book Antiqua" w:eastAsia="Book Antiqua" w:hAnsi="Book Antiqua" w:cs="Book Antiqua"/>
          <w:color w:val="000000"/>
        </w:rPr>
        <w:t xml:space="preserve">, Gabbrielli A, Cristofori C, Amodio A, Butturini G, Cardobi N, Sozzi C, Frulloni L, Mucelli RP, Crinò S, Bassi C, Marchegiani G, Andrianello S, Malleo G, Salvia R. Residual pancreatic function after pancreaticoduodenectomy is better preserved with pancreaticojejunostomy than pancreaticogastrostomy: A long-term analysis. </w:t>
      </w:r>
      <w:r w:rsidRPr="00173E46">
        <w:rPr>
          <w:rFonts w:ascii="Book Antiqua" w:eastAsia="Book Antiqua" w:hAnsi="Book Antiqua" w:cs="Book Antiqua"/>
          <w:i/>
          <w:iCs/>
          <w:color w:val="000000"/>
        </w:rPr>
        <w:t>Pancreatology</w:t>
      </w:r>
      <w:r w:rsidRPr="00173E46">
        <w:rPr>
          <w:rFonts w:ascii="Book Antiqua" w:eastAsia="Book Antiqua" w:hAnsi="Book Antiqua" w:cs="Book Antiqua"/>
          <w:color w:val="000000"/>
        </w:rPr>
        <w:t xml:space="preserve"> 2019; </w:t>
      </w:r>
      <w:r w:rsidRPr="00173E46">
        <w:rPr>
          <w:rFonts w:ascii="Book Antiqua" w:eastAsia="Book Antiqua" w:hAnsi="Book Antiqua" w:cs="Book Antiqua"/>
          <w:b/>
          <w:bCs/>
          <w:color w:val="000000"/>
        </w:rPr>
        <w:t>19</w:t>
      </w:r>
      <w:r w:rsidRPr="00173E46">
        <w:rPr>
          <w:rFonts w:ascii="Book Antiqua" w:eastAsia="Book Antiqua" w:hAnsi="Book Antiqua" w:cs="Book Antiqua"/>
          <w:color w:val="000000"/>
        </w:rPr>
        <w:t>: 595-601 [PMID: 31005377 DOI: 10.1016/j.pan.2019.04.004</w:t>
      </w:r>
      <w:r w:rsidR="00F1368B" w:rsidRPr="00173E46">
        <w:rPr>
          <w:rFonts w:ascii="Book Antiqua" w:eastAsia="Book Antiqua" w:hAnsi="Book Antiqua" w:cs="Book Antiqua"/>
          <w:color w:val="000000"/>
        </w:rPr>
        <w:t>]</w:t>
      </w:r>
    </w:p>
    <w:p w14:paraId="32424F90" w14:textId="2CF6F9DC"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17 </w:t>
      </w:r>
      <w:r w:rsidRPr="00173E46">
        <w:rPr>
          <w:rFonts w:ascii="Book Antiqua" w:eastAsia="Book Antiqua" w:hAnsi="Book Antiqua" w:cs="Book Antiqua"/>
          <w:b/>
          <w:bCs/>
          <w:color w:val="000000"/>
        </w:rPr>
        <w:t>Ishikawa O</w:t>
      </w:r>
      <w:r w:rsidRPr="00173E46">
        <w:rPr>
          <w:rFonts w:ascii="Book Antiqua" w:eastAsia="Book Antiqua" w:hAnsi="Book Antiqua" w:cs="Book Antiqua"/>
          <w:color w:val="000000"/>
        </w:rPr>
        <w:t xml:space="preserve">, Ohigashi H, Eguchi H, Yokoyama S, Yamada T, Takachi K, Miyashiro I, Murata K, Doki Y, Sasaki Y, Imaoka S. Long-term follow-up of glucose tolerance function after pancreaticoduodenectomy: comparison between pancreaticogastrostomy and </w:t>
      </w:r>
      <w:r w:rsidRPr="00173E46">
        <w:rPr>
          <w:rFonts w:ascii="Book Antiqua" w:eastAsia="Book Antiqua" w:hAnsi="Book Antiqua" w:cs="Book Antiqua"/>
          <w:color w:val="000000"/>
        </w:rPr>
        <w:lastRenderedPageBreak/>
        <w:t xml:space="preserve">pancreaticojejunostomy. </w:t>
      </w:r>
      <w:r w:rsidRPr="00173E46">
        <w:rPr>
          <w:rFonts w:ascii="Book Antiqua" w:eastAsia="Book Antiqua" w:hAnsi="Book Antiqua" w:cs="Book Antiqua"/>
          <w:i/>
          <w:iCs/>
          <w:color w:val="000000"/>
        </w:rPr>
        <w:t>Surgery</w:t>
      </w:r>
      <w:r w:rsidRPr="00173E46">
        <w:rPr>
          <w:rFonts w:ascii="Book Antiqua" w:eastAsia="Book Antiqua" w:hAnsi="Book Antiqua" w:cs="Book Antiqua"/>
          <w:color w:val="000000"/>
        </w:rPr>
        <w:t xml:space="preserve"> 2004; </w:t>
      </w:r>
      <w:r w:rsidRPr="00173E46">
        <w:rPr>
          <w:rFonts w:ascii="Book Antiqua" w:eastAsia="Book Antiqua" w:hAnsi="Book Antiqua" w:cs="Book Antiqua"/>
          <w:b/>
          <w:bCs/>
          <w:color w:val="000000"/>
        </w:rPr>
        <w:t>136</w:t>
      </w:r>
      <w:r w:rsidRPr="00173E46">
        <w:rPr>
          <w:rFonts w:ascii="Book Antiqua" w:eastAsia="Book Antiqua" w:hAnsi="Book Antiqua" w:cs="Book Antiqua"/>
          <w:color w:val="000000"/>
        </w:rPr>
        <w:t>: 617-623 [PMID: 15349110 DOI: 10.1016/j.surg.2004.01.006</w:t>
      </w:r>
      <w:r w:rsidR="00F1368B" w:rsidRPr="00173E46">
        <w:rPr>
          <w:rFonts w:ascii="Book Antiqua" w:eastAsia="Book Antiqua" w:hAnsi="Book Antiqua" w:cs="Book Antiqua"/>
          <w:color w:val="000000"/>
        </w:rPr>
        <w:t>]</w:t>
      </w:r>
    </w:p>
    <w:p w14:paraId="34F30CC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 xml:space="preserve">18 </w:t>
      </w:r>
      <w:r w:rsidRPr="00173E46">
        <w:rPr>
          <w:rFonts w:ascii="Book Antiqua" w:eastAsia="Book Antiqua" w:hAnsi="Book Antiqua" w:cs="Book Antiqua"/>
          <w:b/>
          <w:bCs/>
          <w:color w:val="000000"/>
        </w:rPr>
        <w:t>Amano H</w:t>
      </w:r>
      <w:r w:rsidRPr="00173E46">
        <w:rPr>
          <w:rFonts w:ascii="Book Antiqua" w:eastAsia="Book Antiqua" w:hAnsi="Book Antiqua" w:cs="Book Antiqua"/>
          <w:color w:val="000000"/>
        </w:rPr>
        <w:t xml:space="preserve">, Takada T, Ammori BJ, Yasuda H, Yoshida M, Uchida T, Isaka T, Toyota N, Kodaira S, Hijikata H, Takada K. Pancreatic duct patency after pancreaticogastrostomy: long-term follow-up study. </w:t>
      </w:r>
      <w:r w:rsidRPr="00173E46">
        <w:rPr>
          <w:rFonts w:ascii="Book Antiqua" w:eastAsia="Book Antiqua" w:hAnsi="Book Antiqua" w:cs="Book Antiqua"/>
          <w:i/>
          <w:iCs/>
          <w:color w:val="000000"/>
        </w:rPr>
        <w:t>Hepatogastroenterology</w:t>
      </w:r>
      <w:r w:rsidRPr="00173E46">
        <w:rPr>
          <w:rFonts w:ascii="Book Antiqua" w:eastAsia="Book Antiqua" w:hAnsi="Book Antiqua" w:cs="Book Antiqua"/>
          <w:color w:val="000000"/>
        </w:rPr>
        <w:t xml:space="preserve"> 1998; </w:t>
      </w:r>
      <w:r w:rsidRPr="00173E46">
        <w:rPr>
          <w:rFonts w:ascii="Book Antiqua" w:eastAsia="Book Antiqua" w:hAnsi="Book Antiqua" w:cs="Book Antiqua"/>
          <w:b/>
          <w:bCs/>
          <w:color w:val="000000"/>
        </w:rPr>
        <w:t>45</w:t>
      </w:r>
      <w:r w:rsidRPr="00173E46">
        <w:rPr>
          <w:rFonts w:ascii="Book Antiqua" w:eastAsia="Book Antiqua" w:hAnsi="Book Antiqua" w:cs="Book Antiqua"/>
          <w:color w:val="000000"/>
        </w:rPr>
        <w:t>: 2382-2387 [PMID: 9951928]</w:t>
      </w:r>
    </w:p>
    <w:bookmarkEnd w:id="0"/>
    <w:p w14:paraId="6B3DCA04" w14:textId="77777777" w:rsidR="00A77B3E" w:rsidRPr="00173E46" w:rsidRDefault="00A77B3E" w:rsidP="00173E46">
      <w:pPr>
        <w:adjustRightInd w:val="0"/>
        <w:snapToGrid w:val="0"/>
        <w:spacing w:line="360" w:lineRule="auto"/>
        <w:jc w:val="both"/>
        <w:rPr>
          <w:rFonts w:ascii="Book Antiqua" w:hAnsi="Book Antiqua"/>
        </w:rPr>
        <w:sectPr w:rsidR="00A77B3E" w:rsidRPr="00173E46">
          <w:pgSz w:w="12240" w:h="15840"/>
          <w:pgMar w:top="1440" w:right="1440" w:bottom="1440" w:left="1440" w:header="720" w:footer="720" w:gutter="0"/>
          <w:cols w:space="720"/>
          <w:docGrid w:linePitch="360"/>
        </w:sectPr>
      </w:pPr>
    </w:p>
    <w:p w14:paraId="3C7BDD3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lastRenderedPageBreak/>
        <w:t>Footnotes</w:t>
      </w:r>
    </w:p>
    <w:p w14:paraId="5FEB9D72"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Institutional animal care and use committee statement: </w:t>
      </w:r>
      <w:r w:rsidRPr="00173E46">
        <w:rPr>
          <w:rFonts w:ascii="Book Antiqua" w:eastAsia="Book Antiqua" w:hAnsi="Book Antiqua" w:cs="Book Antiqua"/>
          <w:color w:val="000000"/>
        </w:rPr>
        <w:t>The operational procedures for the animal experiments were approved by the Institutional Animal Care and Use Committee (IACUC) of PLA General Hospital.</w:t>
      </w:r>
    </w:p>
    <w:p w14:paraId="6D041B3F" w14:textId="77777777" w:rsidR="00A77B3E" w:rsidRPr="00173E46" w:rsidRDefault="00A77B3E" w:rsidP="00173E46">
      <w:pPr>
        <w:adjustRightInd w:val="0"/>
        <w:snapToGrid w:val="0"/>
        <w:spacing w:line="360" w:lineRule="auto"/>
        <w:jc w:val="both"/>
        <w:rPr>
          <w:rFonts w:ascii="Book Antiqua" w:hAnsi="Book Antiqua"/>
        </w:rPr>
      </w:pPr>
    </w:p>
    <w:p w14:paraId="519621E4" w14:textId="0A894FC3"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Conflict-of-interest statement: </w:t>
      </w:r>
      <w:r w:rsidRPr="00173E46">
        <w:rPr>
          <w:rFonts w:ascii="Book Antiqua" w:eastAsia="Book Antiqua" w:hAnsi="Book Antiqua" w:cs="Book Antiqua"/>
          <w:color w:val="000000"/>
        </w:rPr>
        <w:t>No</w:t>
      </w:r>
      <w:r w:rsidR="00F1368B" w:rsidRPr="00173E46">
        <w:rPr>
          <w:rFonts w:ascii="Book Antiqua" w:eastAsia="Book Antiqua" w:hAnsi="Book Antiqua" w:cs="Book Antiqua"/>
          <w:color w:val="000000"/>
        </w:rPr>
        <w:t xml:space="preserve"> conflict of interest.</w:t>
      </w:r>
    </w:p>
    <w:p w14:paraId="079F1826" w14:textId="77777777" w:rsidR="00A77B3E" w:rsidRPr="00173E46" w:rsidRDefault="00A77B3E" w:rsidP="00173E46">
      <w:pPr>
        <w:adjustRightInd w:val="0"/>
        <w:snapToGrid w:val="0"/>
        <w:spacing w:line="360" w:lineRule="auto"/>
        <w:jc w:val="both"/>
        <w:rPr>
          <w:rFonts w:ascii="Book Antiqua" w:hAnsi="Book Antiqua"/>
        </w:rPr>
      </w:pPr>
    </w:p>
    <w:p w14:paraId="7D6E27FE"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Data sharing statement: </w:t>
      </w:r>
      <w:r w:rsidRPr="00173E46">
        <w:rPr>
          <w:rFonts w:ascii="Book Antiqua" w:eastAsia="Book Antiqua" w:hAnsi="Book Antiqua" w:cs="Book Antiqua"/>
          <w:color w:val="000000"/>
          <w:shd w:val="clear" w:color="auto" w:fill="FFFFFF"/>
        </w:rPr>
        <w:t>No additional data are available.</w:t>
      </w:r>
    </w:p>
    <w:p w14:paraId="06013257" w14:textId="77777777" w:rsidR="00A77B3E" w:rsidRPr="00173E46" w:rsidRDefault="00A77B3E" w:rsidP="00173E46">
      <w:pPr>
        <w:adjustRightInd w:val="0"/>
        <w:snapToGrid w:val="0"/>
        <w:spacing w:line="360" w:lineRule="auto"/>
        <w:jc w:val="both"/>
        <w:rPr>
          <w:rFonts w:ascii="Book Antiqua" w:hAnsi="Book Antiqua"/>
        </w:rPr>
      </w:pPr>
    </w:p>
    <w:p w14:paraId="76F4D8D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ARRIVE guidelines statement: </w:t>
      </w:r>
      <w:r w:rsidRPr="00173E46">
        <w:rPr>
          <w:rFonts w:ascii="Book Antiqua" w:eastAsia="Book Antiqua" w:hAnsi="Book Antiqua" w:cs="Book Antiqua"/>
          <w:color w:val="000000"/>
          <w:shd w:val="clear" w:color="auto" w:fill="FFFFFF"/>
        </w:rPr>
        <w:t>The authors have read the ARRIVE Guidelines, and the manuscript was prepared and revised according to the ARRIVE Guidelines.</w:t>
      </w:r>
    </w:p>
    <w:p w14:paraId="2A2FBAE0" w14:textId="77777777" w:rsidR="00A77B3E" w:rsidRPr="00173E46" w:rsidRDefault="00A77B3E" w:rsidP="00173E46">
      <w:pPr>
        <w:adjustRightInd w:val="0"/>
        <w:snapToGrid w:val="0"/>
        <w:spacing w:line="360" w:lineRule="auto"/>
        <w:jc w:val="both"/>
        <w:rPr>
          <w:rFonts w:ascii="Book Antiqua" w:hAnsi="Book Antiqua"/>
        </w:rPr>
      </w:pPr>
    </w:p>
    <w:p w14:paraId="0420E624"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bCs/>
          <w:color w:val="000000"/>
        </w:rPr>
        <w:t xml:space="preserve">Open-Access: </w:t>
      </w:r>
      <w:r w:rsidRPr="00173E46">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D29A07B" w14:textId="77777777" w:rsidR="00A77B3E" w:rsidRPr="00173E46" w:rsidRDefault="00A77B3E" w:rsidP="00173E46">
      <w:pPr>
        <w:adjustRightInd w:val="0"/>
        <w:snapToGrid w:val="0"/>
        <w:spacing w:line="360" w:lineRule="auto"/>
        <w:jc w:val="both"/>
        <w:rPr>
          <w:rFonts w:ascii="Book Antiqua" w:hAnsi="Book Antiqua"/>
        </w:rPr>
      </w:pPr>
    </w:p>
    <w:p w14:paraId="40FE91BC" w14:textId="2CC38A12" w:rsidR="00A77B3E" w:rsidRPr="00173E46"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color w:val="000000"/>
        </w:rPr>
        <w:t xml:space="preserve">Manuscript source: </w:t>
      </w:r>
      <w:r w:rsidRPr="00173E46">
        <w:rPr>
          <w:rFonts w:ascii="Book Antiqua" w:eastAsia="Book Antiqua" w:hAnsi="Book Antiqua" w:cs="Book Antiqua"/>
          <w:color w:val="000000"/>
        </w:rPr>
        <w:t xml:space="preserve">Unsolicited </w:t>
      </w:r>
      <w:r w:rsidR="00454283">
        <w:rPr>
          <w:rFonts w:ascii="Book Antiqua" w:eastAsia="Book Antiqua" w:hAnsi="Book Antiqua" w:cs="Book Antiqua"/>
          <w:color w:val="000000"/>
        </w:rPr>
        <w:t>m</w:t>
      </w:r>
      <w:r w:rsidRPr="00173E46">
        <w:rPr>
          <w:rFonts w:ascii="Book Antiqua" w:eastAsia="Book Antiqua" w:hAnsi="Book Antiqua" w:cs="Book Antiqua"/>
          <w:color w:val="000000"/>
        </w:rPr>
        <w:t>anuscript</w:t>
      </w:r>
    </w:p>
    <w:p w14:paraId="3603EBD2" w14:textId="77777777" w:rsidR="00A77B3E" w:rsidRPr="00173E46" w:rsidRDefault="00A77B3E" w:rsidP="00173E46">
      <w:pPr>
        <w:adjustRightInd w:val="0"/>
        <w:snapToGrid w:val="0"/>
        <w:spacing w:line="360" w:lineRule="auto"/>
        <w:jc w:val="both"/>
        <w:rPr>
          <w:rFonts w:ascii="Book Antiqua" w:hAnsi="Book Antiqua"/>
        </w:rPr>
      </w:pPr>
    </w:p>
    <w:p w14:paraId="4F7AAFA1"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Peer-review started: </w:t>
      </w:r>
      <w:r w:rsidRPr="00173E46">
        <w:rPr>
          <w:rFonts w:ascii="Book Antiqua" w:eastAsia="Book Antiqua" w:hAnsi="Book Antiqua" w:cs="Book Antiqua"/>
          <w:color w:val="000000"/>
        </w:rPr>
        <w:t>January 12, 2021</w:t>
      </w:r>
    </w:p>
    <w:p w14:paraId="30B09EB6"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First decision: </w:t>
      </w:r>
      <w:r w:rsidRPr="00173E46">
        <w:rPr>
          <w:rFonts w:ascii="Book Antiqua" w:eastAsia="Book Antiqua" w:hAnsi="Book Antiqua" w:cs="Book Antiqua"/>
          <w:color w:val="000000"/>
        </w:rPr>
        <w:t>February 14, 2021</w:t>
      </w:r>
    </w:p>
    <w:p w14:paraId="02C58330"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Article in press: </w:t>
      </w:r>
    </w:p>
    <w:p w14:paraId="6E467E75" w14:textId="77777777" w:rsidR="00A77B3E" w:rsidRPr="00173E46" w:rsidRDefault="00A77B3E" w:rsidP="00173E46">
      <w:pPr>
        <w:adjustRightInd w:val="0"/>
        <w:snapToGrid w:val="0"/>
        <w:spacing w:line="360" w:lineRule="auto"/>
        <w:jc w:val="both"/>
        <w:rPr>
          <w:rFonts w:ascii="Book Antiqua" w:hAnsi="Book Antiqua"/>
        </w:rPr>
      </w:pPr>
    </w:p>
    <w:p w14:paraId="216E4D4A"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Specialty type: </w:t>
      </w:r>
      <w:r w:rsidRPr="00173E46">
        <w:rPr>
          <w:rFonts w:ascii="Book Antiqua" w:eastAsia="Book Antiqua" w:hAnsi="Book Antiqua" w:cs="Book Antiqua"/>
          <w:color w:val="000000"/>
        </w:rPr>
        <w:t>Surgery</w:t>
      </w:r>
    </w:p>
    <w:p w14:paraId="1F97C0F7"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 xml:space="preserve">Country/Territory of origin: </w:t>
      </w:r>
      <w:r w:rsidRPr="00173E46">
        <w:rPr>
          <w:rFonts w:ascii="Book Antiqua" w:eastAsia="Book Antiqua" w:hAnsi="Book Antiqua" w:cs="Book Antiqua"/>
          <w:color w:val="000000"/>
        </w:rPr>
        <w:t>China</w:t>
      </w:r>
    </w:p>
    <w:p w14:paraId="1BD2763C"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t>Peer-review report’s scientific quality classification</w:t>
      </w:r>
    </w:p>
    <w:p w14:paraId="740E9F9B"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A (Excellent): 0</w:t>
      </w:r>
    </w:p>
    <w:p w14:paraId="700DE5E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B (Very good): B, B</w:t>
      </w:r>
    </w:p>
    <w:p w14:paraId="6039E4F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lastRenderedPageBreak/>
        <w:t>Grade C (Good): 0</w:t>
      </w:r>
    </w:p>
    <w:p w14:paraId="2813043F"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D (Fair): 0</w:t>
      </w:r>
    </w:p>
    <w:p w14:paraId="7C96B728"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color w:val="000000"/>
        </w:rPr>
        <w:t>Grade E (Poor): 0</w:t>
      </w:r>
    </w:p>
    <w:p w14:paraId="3CFD644E" w14:textId="77777777" w:rsidR="00A77B3E" w:rsidRPr="00173E46" w:rsidRDefault="00A77B3E" w:rsidP="00173E46">
      <w:pPr>
        <w:adjustRightInd w:val="0"/>
        <w:snapToGrid w:val="0"/>
        <w:spacing w:line="360" w:lineRule="auto"/>
        <w:jc w:val="both"/>
        <w:rPr>
          <w:rFonts w:ascii="Book Antiqua" w:hAnsi="Book Antiqua"/>
        </w:rPr>
      </w:pPr>
    </w:p>
    <w:p w14:paraId="35A9D59A" w14:textId="239978F8" w:rsidR="00F1368B" w:rsidRPr="00173E46" w:rsidRDefault="00173E46" w:rsidP="00173E46">
      <w:pPr>
        <w:adjustRightInd w:val="0"/>
        <w:snapToGrid w:val="0"/>
        <w:spacing w:line="360" w:lineRule="auto"/>
        <w:jc w:val="both"/>
        <w:rPr>
          <w:rFonts w:ascii="Book Antiqua" w:eastAsia="Book Antiqua" w:hAnsi="Book Antiqua" w:cs="Book Antiqua"/>
          <w:b/>
          <w:color w:val="000000"/>
        </w:rPr>
      </w:pPr>
      <w:r w:rsidRPr="00173E46">
        <w:rPr>
          <w:rFonts w:ascii="Book Antiqua" w:eastAsia="Book Antiqua" w:hAnsi="Book Antiqua" w:cs="Book Antiqua"/>
          <w:b/>
          <w:color w:val="000000"/>
        </w:rPr>
        <w:t xml:space="preserve">P-Reviewer: </w:t>
      </w:r>
      <w:r w:rsidRPr="00173E46">
        <w:rPr>
          <w:rFonts w:ascii="Book Antiqua" w:eastAsia="Book Antiqua" w:hAnsi="Book Antiqua" w:cs="Book Antiqua"/>
          <w:color w:val="000000"/>
        </w:rPr>
        <w:t>Koshy A, Sato H</w:t>
      </w:r>
      <w:r w:rsidRPr="00173E46">
        <w:rPr>
          <w:rFonts w:ascii="Book Antiqua" w:eastAsia="Book Antiqua" w:hAnsi="Book Antiqua" w:cs="Book Antiqua"/>
          <w:b/>
          <w:color w:val="000000"/>
        </w:rPr>
        <w:t xml:space="preserve"> S-Editor: </w:t>
      </w:r>
      <w:r w:rsidRPr="00173E46">
        <w:rPr>
          <w:rFonts w:ascii="Book Antiqua" w:eastAsia="Book Antiqua" w:hAnsi="Book Antiqua" w:cs="Book Antiqua"/>
          <w:color w:val="000000"/>
        </w:rPr>
        <w:t>Wang JL</w:t>
      </w:r>
      <w:r w:rsidRPr="00173E46">
        <w:rPr>
          <w:rFonts w:ascii="Book Antiqua" w:eastAsia="Book Antiqua" w:hAnsi="Book Antiqua" w:cs="Book Antiqua"/>
          <w:b/>
          <w:color w:val="000000"/>
        </w:rPr>
        <w:t xml:space="preserve"> L-Editor: </w:t>
      </w:r>
      <w:r w:rsidR="00B03EE1">
        <w:rPr>
          <w:rFonts w:ascii="Book Antiqua" w:eastAsia="Book Antiqua" w:hAnsi="Book Antiqua" w:cs="Book Antiqua"/>
          <w:bCs/>
          <w:color w:val="000000"/>
        </w:rPr>
        <w:t>Filipodia</w:t>
      </w:r>
      <w:r w:rsidRPr="00173E46">
        <w:rPr>
          <w:rFonts w:ascii="Book Antiqua" w:eastAsia="Book Antiqua" w:hAnsi="Book Antiqua" w:cs="Book Antiqua"/>
          <w:b/>
          <w:color w:val="000000"/>
        </w:rPr>
        <w:t xml:space="preserve"> P-Editor:</w:t>
      </w:r>
    </w:p>
    <w:p w14:paraId="5FFDD807" w14:textId="2449936F" w:rsidR="00A77B3E" w:rsidRPr="00173E46" w:rsidRDefault="00173E46" w:rsidP="00173E46">
      <w:pPr>
        <w:adjustRightInd w:val="0"/>
        <w:snapToGrid w:val="0"/>
        <w:spacing w:line="360" w:lineRule="auto"/>
        <w:jc w:val="both"/>
        <w:rPr>
          <w:rFonts w:ascii="Book Antiqua" w:hAnsi="Book Antiqua"/>
        </w:rPr>
        <w:sectPr w:rsidR="00A77B3E" w:rsidRPr="00173E46">
          <w:pgSz w:w="12240" w:h="15840"/>
          <w:pgMar w:top="1440" w:right="1440" w:bottom="1440" w:left="1440" w:header="720" w:footer="720" w:gutter="0"/>
          <w:cols w:space="720"/>
          <w:docGrid w:linePitch="360"/>
        </w:sectPr>
      </w:pPr>
      <w:r w:rsidRPr="00173E46">
        <w:rPr>
          <w:rFonts w:ascii="Book Antiqua" w:eastAsia="Book Antiqua" w:hAnsi="Book Antiqua" w:cs="Book Antiqua"/>
          <w:b/>
          <w:color w:val="000000"/>
        </w:rPr>
        <w:t xml:space="preserve"> </w:t>
      </w:r>
    </w:p>
    <w:p w14:paraId="285580A0" w14:textId="77777777" w:rsidR="00A77B3E" w:rsidRPr="00173E46" w:rsidRDefault="00173E46" w:rsidP="00173E46">
      <w:pPr>
        <w:adjustRightInd w:val="0"/>
        <w:snapToGrid w:val="0"/>
        <w:spacing w:line="360" w:lineRule="auto"/>
        <w:jc w:val="both"/>
        <w:rPr>
          <w:rFonts w:ascii="Book Antiqua" w:hAnsi="Book Antiqua"/>
        </w:rPr>
      </w:pPr>
      <w:r w:rsidRPr="00173E46">
        <w:rPr>
          <w:rFonts w:ascii="Book Antiqua" w:eastAsia="Book Antiqua" w:hAnsi="Book Antiqua" w:cs="Book Antiqua"/>
          <w:b/>
          <w:color w:val="000000"/>
        </w:rPr>
        <w:lastRenderedPageBreak/>
        <w:t>Figure Legends</w:t>
      </w:r>
    </w:p>
    <w:p w14:paraId="71EADCD4"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2B54C345" wp14:editId="536A2454">
            <wp:extent cx="5943600" cy="3826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26510"/>
                    </a:xfrm>
                    <a:prstGeom prst="rect">
                      <a:avLst/>
                    </a:prstGeom>
                  </pic:spPr>
                </pic:pic>
              </a:graphicData>
            </a:graphic>
          </wp:inline>
        </w:drawing>
      </w:r>
    </w:p>
    <w:p w14:paraId="2C81D207" w14:textId="42B13FCF" w:rsidR="009F04F4" w:rsidRPr="00173E46" w:rsidRDefault="00173E46"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eastAsia="Book Antiqua" w:hAnsi="Book Antiqua" w:cs="Book Antiqua"/>
          <w:b/>
          <w:bCs/>
          <w:color w:val="000000"/>
        </w:rPr>
        <w:t>Figure 1</w:t>
      </w:r>
      <w:r w:rsidR="00A61C59" w:rsidRPr="00173E46">
        <w:rPr>
          <w:rFonts w:ascii="Book Antiqua" w:eastAsia="Book Antiqua" w:hAnsi="Book Antiqua" w:cs="Book Antiqua"/>
          <w:b/>
          <w:bCs/>
          <w:color w:val="000000"/>
        </w:rPr>
        <w:t xml:space="preserve"> </w:t>
      </w:r>
      <w:r w:rsidRPr="00173E46">
        <w:rPr>
          <w:rFonts w:ascii="Book Antiqua" w:eastAsia="Book Antiqua" w:hAnsi="Book Antiqua" w:cs="Book Antiqua"/>
          <w:b/>
          <w:bCs/>
          <w:color w:val="000000"/>
        </w:rPr>
        <w:t>Preparation of pancreatic stumps in all animals in the study.</w:t>
      </w:r>
    </w:p>
    <w:p w14:paraId="725BC9C9" w14:textId="77777777" w:rsidR="009F04F4" w:rsidRPr="00173E46" w:rsidRDefault="009F04F4" w:rsidP="00173E46">
      <w:pPr>
        <w:adjustRightInd w:val="0"/>
        <w:snapToGrid w:val="0"/>
        <w:spacing w:line="360" w:lineRule="auto"/>
        <w:jc w:val="both"/>
        <w:rPr>
          <w:rFonts w:ascii="Book Antiqua" w:eastAsia="Book Antiqua" w:hAnsi="Book Antiqua" w:cs="Book Antiqua"/>
          <w:b/>
          <w:bCs/>
          <w:color w:val="000000"/>
        </w:rPr>
      </w:pPr>
    </w:p>
    <w:p w14:paraId="40EAB2BE"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lastRenderedPageBreak/>
        <w:drawing>
          <wp:inline distT="0" distB="0" distL="0" distR="0" wp14:anchorId="42061895" wp14:editId="7EE9F014">
            <wp:extent cx="5533333" cy="3923809"/>
            <wp:effectExtent l="0" t="0" r="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533333" cy="3923809"/>
                    </a:xfrm>
                    <a:prstGeom prst="rect">
                      <a:avLst/>
                    </a:prstGeom>
                  </pic:spPr>
                </pic:pic>
              </a:graphicData>
            </a:graphic>
          </wp:inline>
        </w:drawing>
      </w:r>
    </w:p>
    <w:p w14:paraId="3EBA1808" w14:textId="730F5001" w:rsidR="009F04F4"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Figure 2</w:t>
      </w:r>
      <w:r w:rsidR="00A61C59" w:rsidRPr="00173E46">
        <w:rPr>
          <w:rFonts w:ascii="Book Antiqua" w:eastAsia="Book Antiqua" w:hAnsi="Book Antiqua" w:cs="Book Antiqua"/>
          <w:b/>
          <w:bCs/>
          <w:color w:val="000000"/>
        </w:rPr>
        <w:t xml:space="preserve"> </w:t>
      </w:r>
      <w:r w:rsidRPr="00173E46">
        <w:rPr>
          <w:rFonts w:ascii="Book Antiqua" w:eastAsia="Book Antiqua" w:hAnsi="Book Antiqua" w:cs="Book Antiqua"/>
          <w:b/>
          <w:bCs/>
          <w:color w:val="000000"/>
        </w:rPr>
        <w:t>”Bridging“ pancreaticogastrostomy was performed in the experimental group.</w:t>
      </w:r>
      <w:r w:rsidR="009F04F4" w:rsidRPr="00173E46">
        <w:rPr>
          <w:rFonts w:ascii="Book Antiqua" w:eastAsia="Book Antiqua" w:hAnsi="Book Antiqua" w:cs="Book Antiqua"/>
          <w:b/>
          <w:bCs/>
          <w:color w:val="000000"/>
        </w:rPr>
        <w:t xml:space="preserve"> </w:t>
      </w:r>
      <w:r w:rsidRPr="00173E46">
        <w:rPr>
          <w:rFonts w:ascii="Book Antiqua" w:eastAsia="Book Antiqua" w:hAnsi="Book Antiqua" w:cs="Book Antiqua"/>
          <w:color w:val="000000"/>
        </w:rPr>
        <w:t>The distance between the pancreatic stump and the stomach was approximately 2 cm.</w:t>
      </w:r>
    </w:p>
    <w:p w14:paraId="2D7D3C90" w14:textId="77777777" w:rsidR="00D62634" w:rsidRPr="00454283" w:rsidRDefault="00D62634" w:rsidP="00173E46">
      <w:pPr>
        <w:adjustRightInd w:val="0"/>
        <w:snapToGrid w:val="0"/>
        <w:spacing w:line="360" w:lineRule="auto"/>
        <w:jc w:val="both"/>
        <w:rPr>
          <w:rFonts w:ascii="Book Antiqua" w:eastAsia="Book Antiqua" w:hAnsi="Book Antiqua" w:cs="Book Antiqua"/>
          <w:b/>
          <w:bCs/>
          <w:color w:val="000000"/>
        </w:rPr>
      </w:pPr>
    </w:p>
    <w:p w14:paraId="523FC7B3"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lastRenderedPageBreak/>
        <w:drawing>
          <wp:inline distT="0" distB="0" distL="0" distR="0" wp14:anchorId="39B3D7B2" wp14:editId="436694BA">
            <wp:extent cx="5933333" cy="347619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33333" cy="3476190"/>
                    </a:xfrm>
                    <a:prstGeom prst="rect">
                      <a:avLst/>
                    </a:prstGeom>
                  </pic:spPr>
                </pic:pic>
              </a:graphicData>
            </a:graphic>
          </wp:inline>
        </w:drawing>
      </w:r>
    </w:p>
    <w:p w14:paraId="3DE35D8A" w14:textId="437DF57E" w:rsidR="009F04F4" w:rsidRPr="00173E46" w:rsidRDefault="00173E46"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eastAsia="Book Antiqua" w:hAnsi="Book Antiqua" w:cs="Book Antiqua"/>
          <w:b/>
          <w:bCs/>
          <w:color w:val="000000"/>
        </w:rPr>
        <w:t>Figure 3 Routine mucosa-to-mucosa pancreaticogastrostomy was performed in the control group.</w:t>
      </w:r>
    </w:p>
    <w:p w14:paraId="388498BF"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764B4CA4" w14:textId="3468EE24"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006845B6"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20625245" wp14:editId="042D5787">
            <wp:extent cx="5943600" cy="346392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463925"/>
                    </a:xfrm>
                    <a:prstGeom prst="rect">
                      <a:avLst/>
                    </a:prstGeom>
                  </pic:spPr>
                </pic:pic>
              </a:graphicData>
            </a:graphic>
          </wp:inline>
        </w:drawing>
      </w:r>
    </w:p>
    <w:p w14:paraId="3787A149" w14:textId="1DDDD697" w:rsidR="009F04F4" w:rsidRPr="00173E46"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Figure 4 </w:t>
      </w:r>
      <w:r w:rsidR="00F527DA">
        <w:rPr>
          <w:rFonts w:ascii="Book Antiqua" w:eastAsia="Book Antiqua" w:hAnsi="Book Antiqua" w:cs="Book Antiqua"/>
          <w:b/>
          <w:bCs/>
          <w:color w:val="000000"/>
        </w:rPr>
        <w:t>S</w:t>
      </w:r>
      <w:r w:rsidR="00A61C59" w:rsidRPr="00173E46">
        <w:rPr>
          <w:rFonts w:ascii="Book Antiqua" w:eastAsia="Book Antiqua" w:hAnsi="Book Antiqua" w:cs="Book Antiqua"/>
          <w:b/>
          <w:bCs/>
          <w:color w:val="000000"/>
        </w:rPr>
        <w:t xml:space="preserve">inus tract between the pancreas and stomach. </w:t>
      </w:r>
      <w:r w:rsidRPr="00173E46">
        <w:rPr>
          <w:rFonts w:ascii="Book Antiqua" w:eastAsia="Book Antiqua" w:hAnsi="Book Antiqua" w:cs="Book Antiqua"/>
          <w:color w:val="000000"/>
        </w:rPr>
        <w:t>Yellow arrows showed the sinus tract between the pancreas and stomach 1 mo after “bridging” pancreaticogastrostomy. Black arrows showed the sinus tract opening in the stomach.</w:t>
      </w:r>
    </w:p>
    <w:p w14:paraId="4A81917F"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396FDC1D" w14:textId="51E49DAB"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30628FE7" w14:textId="16B120F2"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24499CC9" wp14:editId="4A6080F6">
            <wp:extent cx="5943600" cy="231838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318385"/>
                    </a:xfrm>
                    <a:prstGeom prst="rect">
                      <a:avLst/>
                    </a:prstGeom>
                  </pic:spPr>
                </pic:pic>
              </a:graphicData>
            </a:graphic>
          </wp:inline>
        </w:drawing>
      </w:r>
    </w:p>
    <w:p w14:paraId="21594D47" w14:textId="19F7CDB9" w:rsidR="009F04F4" w:rsidRPr="00173E46"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Figure 5 </w:t>
      </w:r>
      <w:r w:rsidR="00A61C59" w:rsidRPr="00173E46">
        <w:rPr>
          <w:rFonts w:ascii="Book Antiqua" w:eastAsia="Book Antiqua" w:hAnsi="Book Antiqua" w:cs="Book Antiqua"/>
          <w:b/>
          <w:bCs/>
          <w:color w:val="000000"/>
        </w:rPr>
        <w:t>Tight connection between the pancreas and stomach</w:t>
      </w:r>
      <w:r w:rsidR="00A61C59" w:rsidRPr="006A2A5B">
        <w:rPr>
          <w:rFonts w:ascii="Book Antiqua" w:eastAsia="Book Antiqua" w:hAnsi="Book Antiqua" w:cs="Book Antiqua"/>
          <w:b/>
          <w:bCs/>
          <w:color w:val="000000"/>
        </w:rPr>
        <w:t>.</w:t>
      </w:r>
      <w:r w:rsidR="00A61C59" w:rsidRPr="00173E46">
        <w:rPr>
          <w:rFonts w:ascii="Book Antiqua" w:eastAsia="Book Antiqua" w:hAnsi="Book Antiqua" w:cs="Book Antiqua"/>
          <w:color w:val="000000"/>
        </w:rPr>
        <w:t xml:space="preserve"> A: </w:t>
      </w:r>
      <w:r w:rsidRPr="00173E46">
        <w:rPr>
          <w:rFonts w:ascii="Book Antiqua" w:eastAsia="Book Antiqua" w:hAnsi="Book Antiqua" w:cs="Book Antiqua"/>
          <w:color w:val="000000"/>
        </w:rPr>
        <w:t>Yellow arrows show the tight connection between the pancreas and stomach after routine mucosa-to-mucosa pancreaticogastrostomy</w:t>
      </w:r>
      <w:r w:rsidR="00A61C59" w:rsidRPr="00173E46">
        <w:rPr>
          <w:rFonts w:ascii="Book Antiqua" w:eastAsia="Book Antiqua" w:hAnsi="Book Antiqua" w:cs="Book Antiqua"/>
          <w:color w:val="000000"/>
        </w:rPr>
        <w:t xml:space="preserve">; B: </w:t>
      </w:r>
      <w:r w:rsidRPr="00173E46">
        <w:rPr>
          <w:rFonts w:ascii="Book Antiqua" w:eastAsia="Book Antiqua" w:hAnsi="Book Antiqua" w:cs="Book Antiqua"/>
          <w:color w:val="000000"/>
        </w:rPr>
        <w:t>Black arrows show the anastomosis.</w:t>
      </w:r>
    </w:p>
    <w:p w14:paraId="081A3CD1"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74CA5666" w14:textId="67B78FF3"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249DC142" w14:textId="77777777" w:rsidR="00A61C59" w:rsidRPr="00173E46" w:rsidRDefault="00A61C59" w:rsidP="00173E46">
      <w:pPr>
        <w:adjustRightInd w:val="0"/>
        <w:snapToGrid w:val="0"/>
        <w:spacing w:line="360" w:lineRule="auto"/>
        <w:jc w:val="both"/>
        <w:rPr>
          <w:rFonts w:ascii="Book Antiqua" w:eastAsia="Book Antiqua" w:hAnsi="Book Antiqua" w:cs="Book Antiqua"/>
          <w:b/>
          <w:bCs/>
          <w:color w:val="000000"/>
        </w:rPr>
      </w:pPr>
    </w:p>
    <w:p w14:paraId="3FB11A3C" w14:textId="71B41530" w:rsidR="009F04F4" w:rsidRPr="00173E46" w:rsidRDefault="00A61C59" w:rsidP="00173E46">
      <w:pPr>
        <w:adjustRightInd w:val="0"/>
        <w:snapToGrid w:val="0"/>
        <w:spacing w:line="360" w:lineRule="auto"/>
        <w:jc w:val="both"/>
        <w:rPr>
          <w:rFonts w:ascii="Book Antiqua" w:eastAsia="Book Antiqua" w:hAnsi="Book Antiqua" w:cs="Book Antiqua"/>
          <w:b/>
          <w:bCs/>
          <w:color w:val="000000"/>
        </w:rPr>
      </w:pPr>
      <w:r w:rsidRPr="00173E46">
        <w:rPr>
          <w:rFonts w:ascii="Book Antiqua" w:hAnsi="Book Antiqua"/>
          <w:noProof/>
        </w:rPr>
        <w:drawing>
          <wp:inline distT="0" distB="0" distL="0" distR="0" wp14:anchorId="62D2AB5E" wp14:editId="47050E2A">
            <wp:extent cx="5943600" cy="34899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489960"/>
                    </a:xfrm>
                    <a:prstGeom prst="rect">
                      <a:avLst/>
                    </a:prstGeom>
                  </pic:spPr>
                </pic:pic>
              </a:graphicData>
            </a:graphic>
          </wp:inline>
        </w:drawing>
      </w:r>
      <w:r w:rsidRPr="00173E46">
        <w:rPr>
          <w:rFonts w:ascii="Book Antiqua" w:eastAsia="Book Antiqua" w:hAnsi="Book Antiqua" w:cs="Book Antiqua"/>
          <w:b/>
          <w:bCs/>
          <w:color w:val="000000"/>
        </w:rPr>
        <w:t xml:space="preserve"> </w:t>
      </w:r>
      <w:r w:rsidR="00173E46" w:rsidRPr="00173E46">
        <w:rPr>
          <w:rFonts w:ascii="Book Antiqua" w:eastAsia="Book Antiqua" w:hAnsi="Book Antiqua" w:cs="Book Antiqua"/>
          <w:b/>
          <w:bCs/>
          <w:color w:val="000000"/>
        </w:rPr>
        <w:t>Figure 6 Significantly dilated pancreatic duct.</w:t>
      </w:r>
    </w:p>
    <w:p w14:paraId="7F64691E" w14:textId="77777777" w:rsidR="00454283" w:rsidRDefault="00454283" w:rsidP="00173E46">
      <w:pPr>
        <w:adjustRightInd w:val="0"/>
        <w:snapToGrid w:val="0"/>
        <w:spacing w:line="360" w:lineRule="auto"/>
        <w:jc w:val="both"/>
        <w:rPr>
          <w:rFonts w:ascii="Book Antiqua" w:eastAsia="Book Antiqua" w:hAnsi="Book Antiqua" w:cs="Book Antiqua"/>
          <w:color w:val="000000"/>
        </w:rPr>
        <w:sectPr w:rsidR="00454283">
          <w:pgSz w:w="12240" w:h="15840"/>
          <w:pgMar w:top="1440" w:right="1440" w:bottom="1440" w:left="1440" w:header="720" w:footer="720" w:gutter="0"/>
          <w:cols w:space="720"/>
          <w:docGrid w:linePitch="360"/>
        </w:sectPr>
      </w:pPr>
    </w:p>
    <w:p w14:paraId="57800C6C" w14:textId="719BC1BD" w:rsidR="009F04F4" w:rsidRPr="00173E46" w:rsidRDefault="009F04F4" w:rsidP="00173E46">
      <w:pPr>
        <w:adjustRightInd w:val="0"/>
        <w:snapToGrid w:val="0"/>
        <w:spacing w:line="360" w:lineRule="auto"/>
        <w:jc w:val="both"/>
        <w:rPr>
          <w:rFonts w:ascii="Book Antiqua" w:eastAsia="Book Antiqua" w:hAnsi="Book Antiqua" w:cs="Book Antiqua"/>
          <w:color w:val="000000"/>
        </w:rPr>
      </w:pPr>
    </w:p>
    <w:p w14:paraId="50EF4D20" w14:textId="0280C9BC" w:rsidR="00A61C59" w:rsidRPr="00173E46" w:rsidRDefault="00CE235B" w:rsidP="00173E46">
      <w:pPr>
        <w:adjustRightInd w:val="0"/>
        <w:snapToGrid w:val="0"/>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lang w:eastAsia="zh-CN"/>
        </w:rPr>
        <w:drawing>
          <wp:inline distT="0" distB="0" distL="0" distR="0" wp14:anchorId="21C7D9C3" wp14:editId="0AF9C49E">
            <wp:extent cx="5931535" cy="268732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1535" cy="2687320"/>
                    </a:xfrm>
                    <a:prstGeom prst="rect">
                      <a:avLst/>
                    </a:prstGeom>
                    <a:noFill/>
                    <a:ln>
                      <a:noFill/>
                    </a:ln>
                  </pic:spPr>
                </pic:pic>
              </a:graphicData>
            </a:graphic>
          </wp:inline>
        </w:drawing>
      </w:r>
      <w:r w:rsidR="00A61C59" w:rsidRPr="00173E46">
        <w:rPr>
          <w:rFonts w:ascii="Book Antiqua" w:eastAsia="Book Antiqua" w:hAnsi="Book Antiqua" w:cs="Book Antiqua"/>
          <w:b/>
          <w:bCs/>
          <w:color w:val="000000"/>
        </w:rPr>
        <w:t xml:space="preserve"> </w:t>
      </w:r>
    </w:p>
    <w:p w14:paraId="796553F0" w14:textId="4A218EAC" w:rsidR="0038607A" w:rsidRDefault="00173E46" w:rsidP="00173E46">
      <w:pPr>
        <w:adjustRightInd w:val="0"/>
        <w:snapToGrid w:val="0"/>
        <w:spacing w:line="360" w:lineRule="auto"/>
        <w:jc w:val="both"/>
        <w:rPr>
          <w:rFonts w:ascii="Book Antiqua" w:eastAsia="Book Antiqua" w:hAnsi="Book Antiqua" w:cs="Book Antiqua"/>
          <w:color w:val="000000"/>
        </w:rPr>
      </w:pPr>
      <w:r w:rsidRPr="00173E46">
        <w:rPr>
          <w:rFonts w:ascii="Book Antiqua" w:eastAsia="Book Antiqua" w:hAnsi="Book Antiqua" w:cs="Book Antiqua"/>
          <w:b/>
          <w:bCs/>
          <w:color w:val="000000"/>
        </w:rPr>
        <w:t xml:space="preserve">Figure 7 The pancreas was filled with large amounts of fibrous tissues and acinar atrophy with a drastic decrease in acinar cells and pancreatic islets. </w:t>
      </w:r>
      <w:r w:rsidR="00C93DB3" w:rsidRPr="00C93DB3">
        <w:rPr>
          <w:rFonts w:ascii="Book Antiqua" w:eastAsia="Book Antiqua" w:hAnsi="Book Antiqua" w:cs="Book Antiqua"/>
          <w:color w:val="000000"/>
        </w:rPr>
        <w:t>A: ×</w:t>
      </w:r>
      <w:r w:rsidR="00454283">
        <w:rPr>
          <w:rFonts w:ascii="Book Antiqua" w:eastAsia="Book Antiqua" w:hAnsi="Book Antiqua" w:cs="Book Antiqua"/>
          <w:color w:val="000000"/>
        </w:rPr>
        <w:t xml:space="preserve"> </w:t>
      </w:r>
      <w:r w:rsidR="00C93DB3" w:rsidRPr="00C93DB3">
        <w:rPr>
          <w:rFonts w:ascii="Book Antiqua" w:eastAsia="Book Antiqua" w:hAnsi="Book Antiqua" w:cs="Book Antiqua"/>
          <w:color w:val="000000"/>
        </w:rPr>
        <w:t>100; B: × 400</w:t>
      </w:r>
      <w:r w:rsidR="00CC4851">
        <w:rPr>
          <w:rFonts w:ascii="Book Antiqua" w:eastAsia="Book Antiqua" w:hAnsi="Book Antiqua" w:cs="Book Antiqua"/>
          <w:color w:val="000000"/>
        </w:rPr>
        <w:t>.</w:t>
      </w:r>
    </w:p>
    <w:p w14:paraId="5848C9C6" w14:textId="153DA811" w:rsidR="00CC4851" w:rsidRPr="00173E46" w:rsidRDefault="00CC4851" w:rsidP="00173E46">
      <w:pPr>
        <w:adjustRightInd w:val="0"/>
        <w:snapToGrid w:val="0"/>
        <w:spacing w:line="360" w:lineRule="auto"/>
        <w:jc w:val="both"/>
        <w:rPr>
          <w:rFonts w:ascii="Book Antiqua" w:eastAsia="Book Antiqua" w:hAnsi="Book Antiqua" w:cs="Book Antiqua"/>
          <w:color w:val="000000"/>
          <w:highlight w:val="yellow"/>
        </w:rPr>
        <w:sectPr w:rsidR="00CC4851" w:rsidRPr="00173E46">
          <w:pgSz w:w="12240" w:h="15840"/>
          <w:pgMar w:top="1440" w:right="1440" w:bottom="1440" w:left="1440" w:header="720" w:footer="720" w:gutter="0"/>
          <w:cols w:space="720"/>
          <w:docGrid w:linePitch="360"/>
        </w:sectPr>
      </w:pPr>
    </w:p>
    <w:p w14:paraId="2CABE8E3" w14:textId="627E274F"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lastRenderedPageBreak/>
        <w:t xml:space="preserve">Table 1 </w:t>
      </w:r>
      <w:r w:rsidR="00F527DA">
        <w:rPr>
          <w:rFonts w:ascii="Book Antiqua" w:eastAsia="SimSun" w:hAnsi="Book Antiqua"/>
          <w:b/>
          <w:bCs/>
        </w:rPr>
        <w:t>L</w:t>
      </w:r>
      <w:r w:rsidRPr="00173E46">
        <w:rPr>
          <w:rFonts w:ascii="Book Antiqua" w:eastAsia="SimSun" w:hAnsi="Book Antiqua"/>
          <w:b/>
          <w:bCs/>
        </w:rPr>
        <w:t>evel of amylase in the abdominal drainage fluid of each animal after operation</w:t>
      </w:r>
    </w:p>
    <w:tbl>
      <w:tblPr>
        <w:tblW w:w="13876" w:type="dxa"/>
        <w:tblInd w:w="93" w:type="dxa"/>
        <w:tblLook w:val="04A0" w:firstRow="1" w:lastRow="0" w:firstColumn="1" w:lastColumn="0" w:noHBand="0" w:noVBand="1"/>
      </w:tblPr>
      <w:tblGrid>
        <w:gridCol w:w="2000"/>
        <w:gridCol w:w="1058"/>
        <w:gridCol w:w="1058"/>
        <w:gridCol w:w="1058"/>
        <w:gridCol w:w="1058"/>
        <w:gridCol w:w="1059"/>
        <w:gridCol w:w="236"/>
        <w:gridCol w:w="1058"/>
        <w:gridCol w:w="1058"/>
        <w:gridCol w:w="1058"/>
        <w:gridCol w:w="1058"/>
        <w:gridCol w:w="1059"/>
        <w:gridCol w:w="1058"/>
      </w:tblGrid>
      <w:tr w:rsidR="0038607A" w:rsidRPr="00173E46" w14:paraId="11B697EE" w14:textId="77777777" w:rsidTr="00B30614">
        <w:trPr>
          <w:trHeight w:val="317"/>
        </w:trPr>
        <w:tc>
          <w:tcPr>
            <w:tcW w:w="2000" w:type="dxa"/>
            <w:vMerge w:val="restart"/>
            <w:tcBorders>
              <w:top w:val="single" w:sz="12" w:space="0" w:color="000000"/>
              <w:left w:val="nil"/>
              <w:right w:val="nil"/>
            </w:tcBorders>
            <w:shd w:val="clear" w:color="auto" w:fill="auto"/>
            <w:vAlign w:val="center"/>
            <w:hideMark/>
          </w:tcPr>
          <w:p w14:paraId="5A121059" w14:textId="30E87773" w:rsidR="0038607A" w:rsidRPr="00173E46" w:rsidRDefault="00F527DA" w:rsidP="00173E46">
            <w:pPr>
              <w:adjustRightInd w:val="0"/>
              <w:snapToGrid w:val="0"/>
              <w:spacing w:line="360" w:lineRule="auto"/>
              <w:jc w:val="both"/>
              <w:rPr>
                <w:rFonts w:ascii="Book Antiqua" w:eastAsia="SimSun" w:hAnsi="Book Antiqua"/>
                <w:b/>
                <w:bCs/>
              </w:rPr>
            </w:pPr>
            <w:r>
              <w:rPr>
                <w:rFonts w:ascii="Book Antiqua" w:eastAsia="SimSun" w:hAnsi="Book Antiqua"/>
                <w:b/>
                <w:bCs/>
              </w:rPr>
              <w:t>Day</w:t>
            </w:r>
          </w:p>
        </w:tc>
        <w:tc>
          <w:tcPr>
            <w:tcW w:w="5291" w:type="dxa"/>
            <w:gridSpan w:val="5"/>
            <w:tcBorders>
              <w:top w:val="single" w:sz="12" w:space="0" w:color="000000"/>
              <w:left w:val="nil"/>
              <w:bottom w:val="single" w:sz="8" w:space="0" w:color="000000"/>
              <w:right w:val="nil"/>
            </w:tcBorders>
            <w:shd w:val="clear" w:color="auto" w:fill="auto"/>
            <w:vAlign w:val="center"/>
            <w:hideMark/>
          </w:tcPr>
          <w:p w14:paraId="020A15E8"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Experimental group</w:t>
            </w:r>
          </w:p>
        </w:tc>
        <w:tc>
          <w:tcPr>
            <w:tcW w:w="236" w:type="dxa"/>
            <w:tcBorders>
              <w:top w:val="single" w:sz="12" w:space="0" w:color="000000"/>
              <w:left w:val="nil"/>
              <w:bottom w:val="nil"/>
              <w:right w:val="nil"/>
            </w:tcBorders>
            <w:shd w:val="clear" w:color="auto" w:fill="auto"/>
            <w:vAlign w:val="center"/>
            <w:hideMark/>
          </w:tcPr>
          <w:p w14:paraId="57F70427"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 xml:space="preserve">　</w:t>
            </w:r>
          </w:p>
        </w:tc>
        <w:tc>
          <w:tcPr>
            <w:tcW w:w="5291" w:type="dxa"/>
            <w:gridSpan w:val="5"/>
            <w:tcBorders>
              <w:top w:val="single" w:sz="12" w:space="0" w:color="000000"/>
              <w:left w:val="nil"/>
              <w:bottom w:val="single" w:sz="8" w:space="0" w:color="000000"/>
              <w:right w:val="nil"/>
            </w:tcBorders>
            <w:shd w:val="clear" w:color="auto" w:fill="auto"/>
            <w:vAlign w:val="center"/>
            <w:hideMark/>
          </w:tcPr>
          <w:p w14:paraId="3A671FB7"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Control group</w:t>
            </w:r>
          </w:p>
        </w:tc>
        <w:tc>
          <w:tcPr>
            <w:tcW w:w="1058" w:type="dxa"/>
            <w:vMerge w:val="restart"/>
            <w:tcBorders>
              <w:top w:val="single" w:sz="12" w:space="0" w:color="000000"/>
              <w:left w:val="nil"/>
              <w:bottom w:val="single" w:sz="8" w:space="0" w:color="000000"/>
              <w:right w:val="nil"/>
            </w:tcBorders>
            <w:shd w:val="clear" w:color="auto" w:fill="auto"/>
            <w:vAlign w:val="center"/>
            <w:hideMark/>
          </w:tcPr>
          <w:p w14:paraId="21388E44" w14:textId="5E4AFFE8"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i/>
              </w:rPr>
              <w:t>P</w:t>
            </w:r>
            <w:r w:rsidRPr="00173E46">
              <w:rPr>
                <w:rFonts w:ascii="Book Antiqua" w:eastAsia="SimSun" w:hAnsi="Book Antiqua"/>
                <w:b/>
                <w:bCs/>
              </w:rPr>
              <w:t xml:space="preserve"> value</w:t>
            </w:r>
          </w:p>
        </w:tc>
      </w:tr>
      <w:tr w:rsidR="0038607A" w:rsidRPr="00173E46" w14:paraId="126C2341" w14:textId="77777777" w:rsidTr="00B30614">
        <w:trPr>
          <w:trHeight w:val="302"/>
        </w:trPr>
        <w:tc>
          <w:tcPr>
            <w:tcW w:w="2000" w:type="dxa"/>
            <w:vMerge/>
            <w:tcBorders>
              <w:left w:val="nil"/>
              <w:bottom w:val="single" w:sz="8" w:space="0" w:color="000000"/>
              <w:right w:val="nil"/>
            </w:tcBorders>
            <w:shd w:val="clear" w:color="auto" w:fill="auto"/>
            <w:vAlign w:val="center"/>
            <w:hideMark/>
          </w:tcPr>
          <w:p w14:paraId="24EF350B" w14:textId="77777777" w:rsidR="0038607A" w:rsidRPr="00173E46" w:rsidRDefault="0038607A" w:rsidP="00173E46">
            <w:pPr>
              <w:adjustRightInd w:val="0"/>
              <w:snapToGrid w:val="0"/>
              <w:spacing w:line="360" w:lineRule="auto"/>
              <w:jc w:val="both"/>
              <w:rPr>
                <w:rFonts w:ascii="Book Antiqua" w:eastAsia="SimSun" w:hAnsi="Book Antiqua"/>
                <w:b/>
                <w:bCs/>
              </w:rPr>
            </w:pPr>
          </w:p>
        </w:tc>
        <w:tc>
          <w:tcPr>
            <w:tcW w:w="1058" w:type="dxa"/>
            <w:tcBorders>
              <w:top w:val="single" w:sz="8" w:space="0" w:color="000000"/>
              <w:left w:val="nil"/>
              <w:bottom w:val="single" w:sz="8" w:space="0" w:color="000000"/>
              <w:right w:val="nil"/>
            </w:tcBorders>
            <w:shd w:val="clear" w:color="auto" w:fill="auto"/>
            <w:vAlign w:val="center"/>
            <w:hideMark/>
          </w:tcPr>
          <w:p w14:paraId="07D2A797" w14:textId="1CB6F458"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w:t>
            </w:r>
            <w:r w:rsidR="00F527DA">
              <w:rPr>
                <w:rFonts w:ascii="Book Antiqua" w:eastAsia="SimSun" w:hAnsi="Book Antiqua"/>
                <w:b/>
                <w:bCs/>
              </w:rPr>
              <w:t>o</w:t>
            </w:r>
            <w:r w:rsidRPr="00173E46">
              <w:rPr>
                <w:rFonts w:ascii="Book Antiqua" w:eastAsia="SimSun" w:hAnsi="Book Antiqua"/>
                <w:b/>
                <w:bCs/>
              </w:rPr>
              <w:t>. 1</w:t>
            </w:r>
          </w:p>
        </w:tc>
        <w:tc>
          <w:tcPr>
            <w:tcW w:w="1058" w:type="dxa"/>
            <w:tcBorders>
              <w:top w:val="single" w:sz="8" w:space="0" w:color="000000"/>
              <w:left w:val="nil"/>
              <w:bottom w:val="single" w:sz="8" w:space="0" w:color="000000"/>
              <w:right w:val="nil"/>
            </w:tcBorders>
            <w:shd w:val="clear" w:color="auto" w:fill="auto"/>
            <w:vAlign w:val="center"/>
            <w:hideMark/>
          </w:tcPr>
          <w:p w14:paraId="3773EEFF" w14:textId="5C3CFEAB"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2</w:t>
            </w:r>
          </w:p>
        </w:tc>
        <w:tc>
          <w:tcPr>
            <w:tcW w:w="1058" w:type="dxa"/>
            <w:tcBorders>
              <w:top w:val="single" w:sz="8" w:space="0" w:color="000000"/>
              <w:left w:val="nil"/>
              <w:bottom w:val="single" w:sz="8" w:space="0" w:color="000000"/>
              <w:right w:val="nil"/>
            </w:tcBorders>
            <w:shd w:val="clear" w:color="auto" w:fill="auto"/>
            <w:vAlign w:val="center"/>
            <w:hideMark/>
          </w:tcPr>
          <w:p w14:paraId="75A48DBE" w14:textId="2B02BE63"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3</w:t>
            </w:r>
          </w:p>
        </w:tc>
        <w:tc>
          <w:tcPr>
            <w:tcW w:w="1058" w:type="dxa"/>
            <w:tcBorders>
              <w:top w:val="single" w:sz="8" w:space="0" w:color="000000"/>
              <w:left w:val="nil"/>
              <w:bottom w:val="single" w:sz="8" w:space="0" w:color="000000"/>
              <w:right w:val="nil"/>
            </w:tcBorders>
            <w:shd w:val="clear" w:color="auto" w:fill="auto"/>
            <w:vAlign w:val="center"/>
            <w:hideMark/>
          </w:tcPr>
          <w:p w14:paraId="44DE9B73" w14:textId="234EB4C2"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4</w:t>
            </w:r>
          </w:p>
        </w:tc>
        <w:tc>
          <w:tcPr>
            <w:tcW w:w="1059" w:type="dxa"/>
            <w:tcBorders>
              <w:top w:val="single" w:sz="8" w:space="0" w:color="000000"/>
              <w:left w:val="nil"/>
              <w:bottom w:val="single" w:sz="8" w:space="0" w:color="000000"/>
              <w:right w:val="nil"/>
            </w:tcBorders>
            <w:shd w:val="clear" w:color="auto" w:fill="auto"/>
            <w:vAlign w:val="center"/>
            <w:hideMark/>
          </w:tcPr>
          <w:p w14:paraId="2AFE5422" w14:textId="1D793352"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5</w:t>
            </w:r>
          </w:p>
        </w:tc>
        <w:tc>
          <w:tcPr>
            <w:tcW w:w="236" w:type="dxa"/>
            <w:tcBorders>
              <w:top w:val="nil"/>
              <w:left w:val="nil"/>
              <w:bottom w:val="single" w:sz="8" w:space="0" w:color="000000"/>
              <w:right w:val="nil"/>
            </w:tcBorders>
            <w:shd w:val="clear" w:color="auto" w:fill="auto"/>
            <w:vAlign w:val="center"/>
            <w:hideMark/>
          </w:tcPr>
          <w:p w14:paraId="79EE6F85"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 xml:space="preserve">　</w:t>
            </w:r>
          </w:p>
        </w:tc>
        <w:tc>
          <w:tcPr>
            <w:tcW w:w="1058" w:type="dxa"/>
            <w:tcBorders>
              <w:top w:val="single" w:sz="8" w:space="0" w:color="000000"/>
              <w:left w:val="nil"/>
              <w:bottom w:val="single" w:sz="8" w:space="0" w:color="000000"/>
              <w:right w:val="nil"/>
            </w:tcBorders>
            <w:shd w:val="clear" w:color="auto" w:fill="auto"/>
            <w:vAlign w:val="center"/>
            <w:hideMark/>
          </w:tcPr>
          <w:p w14:paraId="4B3932FB" w14:textId="4DB29725"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6</w:t>
            </w:r>
          </w:p>
        </w:tc>
        <w:tc>
          <w:tcPr>
            <w:tcW w:w="1058" w:type="dxa"/>
            <w:tcBorders>
              <w:top w:val="single" w:sz="8" w:space="0" w:color="000000"/>
              <w:left w:val="nil"/>
              <w:bottom w:val="single" w:sz="8" w:space="0" w:color="000000"/>
              <w:right w:val="nil"/>
            </w:tcBorders>
            <w:shd w:val="clear" w:color="auto" w:fill="auto"/>
            <w:vAlign w:val="center"/>
            <w:hideMark/>
          </w:tcPr>
          <w:p w14:paraId="6C65B626" w14:textId="575D55C9"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7</w:t>
            </w:r>
          </w:p>
        </w:tc>
        <w:tc>
          <w:tcPr>
            <w:tcW w:w="1058" w:type="dxa"/>
            <w:tcBorders>
              <w:top w:val="single" w:sz="8" w:space="0" w:color="000000"/>
              <w:left w:val="nil"/>
              <w:bottom w:val="single" w:sz="8" w:space="0" w:color="000000"/>
              <w:right w:val="nil"/>
            </w:tcBorders>
            <w:shd w:val="clear" w:color="auto" w:fill="auto"/>
            <w:vAlign w:val="center"/>
            <w:hideMark/>
          </w:tcPr>
          <w:p w14:paraId="1509D062" w14:textId="32B0D6B6"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8</w:t>
            </w:r>
          </w:p>
        </w:tc>
        <w:tc>
          <w:tcPr>
            <w:tcW w:w="1058" w:type="dxa"/>
            <w:tcBorders>
              <w:top w:val="single" w:sz="8" w:space="0" w:color="000000"/>
              <w:left w:val="nil"/>
              <w:bottom w:val="single" w:sz="8" w:space="0" w:color="000000"/>
              <w:right w:val="nil"/>
            </w:tcBorders>
            <w:shd w:val="clear" w:color="auto" w:fill="auto"/>
            <w:vAlign w:val="center"/>
            <w:hideMark/>
          </w:tcPr>
          <w:p w14:paraId="348C0DC1" w14:textId="4529E40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9</w:t>
            </w:r>
          </w:p>
        </w:tc>
        <w:tc>
          <w:tcPr>
            <w:tcW w:w="1059" w:type="dxa"/>
            <w:tcBorders>
              <w:top w:val="single" w:sz="8" w:space="0" w:color="000000"/>
              <w:left w:val="nil"/>
              <w:bottom w:val="single" w:sz="8" w:space="0" w:color="000000"/>
              <w:right w:val="nil"/>
            </w:tcBorders>
            <w:shd w:val="clear" w:color="auto" w:fill="auto"/>
            <w:vAlign w:val="center"/>
            <w:hideMark/>
          </w:tcPr>
          <w:p w14:paraId="7BF869E5" w14:textId="731DA733"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10</w:t>
            </w:r>
          </w:p>
        </w:tc>
        <w:tc>
          <w:tcPr>
            <w:tcW w:w="1058" w:type="dxa"/>
            <w:vMerge/>
            <w:tcBorders>
              <w:top w:val="single" w:sz="12" w:space="0" w:color="000000"/>
              <w:left w:val="nil"/>
              <w:bottom w:val="single" w:sz="8" w:space="0" w:color="000000"/>
              <w:right w:val="nil"/>
            </w:tcBorders>
            <w:vAlign w:val="center"/>
            <w:hideMark/>
          </w:tcPr>
          <w:p w14:paraId="04036CA8" w14:textId="77777777" w:rsidR="0038607A" w:rsidRPr="00173E46" w:rsidRDefault="0038607A" w:rsidP="00173E46">
            <w:pPr>
              <w:adjustRightInd w:val="0"/>
              <w:snapToGrid w:val="0"/>
              <w:spacing w:line="360" w:lineRule="auto"/>
              <w:jc w:val="both"/>
              <w:rPr>
                <w:rFonts w:ascii="Book Antiqua" w:eastAsia="SimSun" w:hAnsi="Book Antiqua"/>
                <w:b/>
                <w:bCs/>
              </w:rPr>
            </w:pPr>
          </w:p>
        </w:tc>
      </w:tr>
      <w:tr w:rsidR="0038607A" w:rsidRPr="00173E46" w14:paraId="133B6A8C" w14:textId="77777777" w:rsidTr="00B30614">
        <w:trPr>
          <w:trHeight w:val="287"/>
        </w:trPr>
        <w:tc>
          <w:tcPr>
            <w:tcW w:w="2000" w:type="dxa"/>
            <w:tcBorders>
              <w:top w:val="nil"/>
              <w:left w:val="nil"/>
              <w:bottom w:val="nil"/>
              <w:right w:val="nil"/>
            </w:tcBorders>
            <w:shd w:val="clear" w:color="auto" w:fill="auto"/>
            <w:vAlign w:val="center"/>
            <w:hideMark/>
          </w:tcPr>
          <w:p w14:paraId="59912D42" w14:textId="31C88400"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1</w:t>
            </w:r>
          </w:p>
        </w:tc>
        <w:tc>
          <w:tcPr>
            <w:tcW w:w="1058" w:type="dxa"/>
            <w:tcBorders>
              <w:top w:val="nil"/>
              <w:left w:val="nil"/>
              <w:bottom w:val="nil"/>
              <w:right w:val="nil"/>
            </w:tcBorders>
            <w:shd w:val="clear" w:color="auto" w:fill="auto"/>
            <w:vAlign w:val="center"/>
            <w:hideMark/>
          </w:tcPr>
          <w:p w14:paraId="3182231B"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32916 </w:t>
            </w:r>
          </w:p>
        </w:tc>
        <w:tc>
          <w:tcPr>
            <w:tcW w:w="1058" w:type="dxa"/>
            <w:tcBorders>
              <w:top w:val="nil"/>
              <w:left w:val="nil"/>
              <w:bottom w:val="nil"/>
              <w:right w:val="nil"/>
            </w:tcBorders>
            <w:shd w:val="clear" w:color="auto" w:fill="auto"/>
            <w:vAlign w:val="center"/>
            <w:hideMark/>
          </w:tcPr>
          <w:p w14:paraId="68898C63"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11278 </w:t>
            </w:r>
          </w:p>
        </w:tc>
        <w:tc>
          <w:tcPr>
            <w:tcW w:w="1058" w:type="dxa"/>
            <w:tcBorders>
              <w:top w:val="nil"/>
              <w:left w:val="nil"/>
              <w:bottom w:val="nil"/>
              <w:right w:val="nil"/>
            </w:tcBorders>
            <w:shd w:val="clear" w:color="auto" w:fill="auto"/>
            <w:vAlign w:val="center"/>
            <w:hideMark/>
          </w:tcPr>
          <w:p w14:paraId="7FDB9A09"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10557 </w:t>
            </w:r>
          </w:p>
        </w:tc>
        <w:tc>
          <w:tcPr>
            <w:tcW w:w="1058" w:type="dxa"/>
            <w:tcBorders>
              <w:top w:val="nil"/>
              <w:left w:val="nil"/>
              <w:bottom w:val="nil"/>
              <w:right w:val="nil"/>
            </w:tcBorders>
            <w:shd w:val="clear" w:color="auto" w:fill="auto"/>
            <w:vAlign w:val="center"/>
            <w:hideMark/>
          </w:tcPr>
          <w:p w14:paraId="26B156F0"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24107 </w:t>
            </w:r>
          </w:p>
        </w:tc>
        <w:tc>
          <w:tcPr>
            <w:tcW w:w="1059" w:type="dxa"/>
            <w:tcBorders>
              <w:top w:val="nil"/>
              <w:left w:val="nil"/>
              <w:bottom w:val="nil"/>
              <w:right w:val="nil"/>
            </w:tcBorders>
            <w:shd w:val="clear" w:color="auto" w:fill="auto"/>
            <w:vAlign w:val="center"/>
            <w:hideMark/>
          </w:tcPr>
          <w:p w14:paraId="7C60FED7"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13576 </w:t>
            </w:r>
          </w:p>
        </w:tc>
        <w:tc>
          <w:tcPr>
            <w:tcW w:w="236" w:type="dxa"/>
            <w:tcBorders>
              <w:top w:val="nil"/>
              <w:left w:val="nil"/>
              <w:bottom w:val="nil"/>
              <w:right w:val="nil"/>
            </w:tcBorders>
            <w:shd w:val="clear" w:color="auto" w:fill="auto"/>
            <w:vAlign w:val="center"/>
            <w:hideMark/>
          </w:tcPr>
          <w:p w14:paraId="301D6D27" w14:textId="77777777" w:rsidR="0038607A" w:rsidRPr="00173E46" w:rsidRDefault="0038607A" w:rsidP="00173E46">
            <w:pPr>
              <w:adjustRightInd w:val="0"/>
              <w:snapToGrid w:val="0"/>
              <w:spacing w:line="360" w:lineRule="auto"/>
              <w:jc w:val="both"/>
              <w:rPr>
                <w:rFonts w:ascii="Book Antiqua" w:eastAsia="SimSun" w:hAnsi="Book Antiqua"/>
              </w:rPr>
            </w:pPr>
          </w:p>
        </w:tc>
        <w:tc>
          <w:tcPr>
            <w:tcW w:w="1058" w:type="dxa"/>
            <w:tcBorders>
              <w:top w:val="nil"/>
              <w:left w:val="nil"/>
              <w:bottom w:val="nil"/>
              <w:right w:val="nil"/>
            </w:tcBorders>
            <w:shd w:val="clear" w:color="auto" w:fill="auto"/>
            <w:vAlign w:val="center"/>
            <w:hideMark/>
          </w:tcPr>
          <w:p w14:paraId="73F12C22"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7653 </w:t>
            </w:r>
          </w:p>
        </w:tc>
        <w:tc>
          <w:tcPr>
            <w:tcW w:w="1058" w:type="dxa"/>
            <w:tcBorders>
              <w:top w:val="nil"/>
              <w:left w:val="nil"/>
              <w:bottom w:val="nil"/>
              <w:right w:val="nil"/>
            </w:tcBorders>
            <w:shd w:val="clear" w:color="auto" w:fill="auto"/>
            <w:vAlign w:val="center"/>
            <w:hideMark/>
          </w:tcPr>
          <w:p w14:paraId="063712A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8804 </w:t>
            </w:r>
          </w:p>
        </w:tc>
        <w:tc>
          <w:tcPr>
            <w:tcW w:w="1058" w:type="dxa"/>
            <w:tcBorders>
              <w:top w:val="nil"/>
              <w:left w:val="nil"/>
              <w:bottom w:val="nil"/>
              <w:right w:val="nil"/>
            </w:tcBorders>
            <w:shd w:val="clear" w:color="auto" w:fill="auto"/>
            <w:vAlign w:val="center"/>
            <w:hideMark/>
          </w:tcPr>
          <w:p w14:paraId="09D480A5"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2516 </w:t>
            </w:r>
          </w:p>
        </w:tc>
        <w:tc>
          <w:tcPr>
            <w:tcW w:w="1058" w:type="dxa"/>
            <w:tcBorders>
              <w:top w:val="nil"/>
              <w:left w:val="nil"/>
              <w:bottom w:val="nil"/>
              <w:right w:val="nil"/>
            </w:tcBorders>
            <w:shd w:val="clear" w:color="auto" w:fill="auto"/>
            <w:vAlign w:val="center"/>
            <w:hideMark/>
          </w:tcPr>
          <w:p w14:paraId="3857EED7"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13865 </w:t>
            </w:r>
          </w:p>
        </w:tc>
        <w:tc>
          <w:tcPr>
            <w:tcW w:w="1059" w:type="dxa"/>
            <w:tcBorders>
              <w:top w:val="nil"/>
              <w:left w:val="nil"/>
              <w:bottom w:val="nil"/>
              <w:right w:val="nil"/>
            </w:tcBorders>
            <w:shd w:val="clear" w:color="auto" w:fill="auto"/>
            <w:vAlign w:val="center"/>
            <w:hideMark/>
          </w:tcPr>
          <w:p w14:paraId="20729117"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658 </w:t>
            </w:r>
          </w:p>
        </w:tc>
        <w:tc>
          <w:tcPr>
            <w:tcW w:w="1058" w:type="dxa"/>
            <w:tcBorders>
              <w:top w:val="nil"/>
              <w:left w:val="nil"/>
              <w:bottom w:val="nil"/>
              <w:right w:val="nil"/>
            </w:tcBorders>
            <w:shd w:val="clear" w:color="auto" w:fill="auto"/>
            <w:vAlign w:val="center"/>
            <w:hideMark/>
          </w:tcPr>
          <w:p w14:paraId="6634D0CE" w14:textId="77777777" w:rsidR="0038607A" w:rsidRPr="00173E46" w:rsidRDefault="0038607A" w:rsidP="00173E46">
            <w:pPr>
              <w:adjustRightInd w:val="0"/>
              <w:snapToGrid w:val="0"/>
              <w:spacing w:line="360" w:lineRule="auto"/>
              <w:jc w:val="both"/>
              <w:rPr>
                <w:rFonts w:ascii="Book Antiqua" w:eastAsia="SimSun" w:hAnsi="Book Antiqua"/>
                <w:color w:val="000000" w:themeColor="text1"/>
              </w:rPr>
            </w:pPr>
            <w:r w:rsidRPr="00173E46">
              <w:rPr>
                <w:rFonts w:ascii="Book Antiqua" w:eastAsia="SimSun" w:hAnsi="Book Antiqua"/>
                <w:color w:val="000000" w:themeColor="text1"/>
              </w:rPr>
              <w:t>0.04</w:t>
            </w:r>
          </w:p>
        </w:tc>
      </w:tr>
      <w:tr w:rsidR="0038607A" w:rsidRPr="00173E46" w14:paraId="31F55212" w14:textId="77777777" w:rsidTr="00B30614">
        <w:trPr>
          <w:trHeight w:val="287"/>
        </w:trPr>
        <w:tc>
          <w:tcPr>
            <w:tcW w:w="2000" w:type="dxa"/>
            <w:tcBorders>
              <w:top w:val="nil"/>
              <w:left w:val="nil"/>
              <w:bottom w:val="nil"/>
              <w:right w:val="nil"/>
            </w:tcBorders>
            <w:shd w:val="clear" w:color="auto" w:fill="auto"/>
            <w:vAlign w:val="center"/>
            <w:hideMark/>
          </w:tcPr>
          <w:p w14:paraId="69732C10" w14:textId="747CB808"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3</w:t>
            </w:r>
          </w:p>
        </w:tc>
        <w:tc>
          <w:tcPr>
            <w:tcW w:w="1058" w:type="dxa"/>
            <w:tcBorders>
              <w:top w:val="nil"/>
              <w:left w:val="nil"/>
              <w:bottom w:val="nil"/>
              <w:right w:val="nil"/>
            </w:tcBorders>
            <w:shd w:val="clear" w:color="auto" w:fill="auto"/>
            <w:vAlign w:val="center"/>
            <w:hideMark/>
          </w:tcPr>
          <w:p w14:paraId="026E4C4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2329 </w:t>
            </w:r>
          </w:p>
        </w:tc>
        <w:tc>
          <w:tcPr>
            <w:tcW w:w="1058" w:type="dxa"/>
            <w:tcBorders>
              <w:top w:val="nil"/>
              <w:left w:val="nil"/>
              <w:bottom w:val="nil"/>
              <w:right w:val="nil"/>
            </w:tcBorders>
            <w:shd w:val="clear" w:color="auto" w:fill="auto"/>
            <w:vAlign w:val="center"/>
            <w:hideMark/>
          </w:tcPr>
          <w:p w14:paraId="5C716AA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8088 </w:t>
            </w:r>
          </w:p>
        </w:tc>
        <w:tc>
          <w:tcPr>
            <w:tcW w:w="1058" w:type="dxa"/>
            <w:tcBorders>
              <w:top w:val="nil"/>
              <w:left w:val="nil"/>
              <w:bottom w:val="nil"/>
              <w:right w:val="nil"/>
            </w:tcBorders>
            <w:shd w:val="clear" w:color="auto" w:fill="auto"/>
            <w:vAlign w:val="center"/>
            <w:hideMark/>
          </w:tcPr>
          <w:p w14:paraId="061481B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3760 </w:t>
            </w:r>
          </w:p>
        </w:tc>
        <w:tc>
          <w:tcPr>
            <w:tcW w:w="1058" w:type="dxa"/>
            <w:tcBorders>
              <w:top w:val="nil"/>
              <w:left w:val="nil"/>
              <w:bottom w:val="nil"/>
              <w:right w:val="nil"/>
            </w:tcBorders>
            <w:shd w:val="clear" w:color="auto" w:fill="auto"/>
            <w:vAlign w:val="center"/>
            <w:hideMark/>
          </w:tcPr>
          <w:p w14:paraId="5BC181E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7089 </w:t>
            </w:r>
          </w:p>
        </w:tc>
        <w:tc>
          <w:tcPr>
            <w:tcW w:w="1059" w:type="dxa"/>
            <w:tcBorders>
              <w:top w:val="nil"/>
              <w:left w:val="nil"/>
              <w:bottom w:val="nil"/>
              <w:right w:val="nil"/>
            </w:tcBorders>
            <w:shd w:val="clear" w:color="auto" w:fill="auto"/>
            <w:vAlign w:val="center"/>
            <w:hideMark/>
          </w:tcPr>
          <w:p w14:paraId="29A06F4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4632 </w:t>
            </w:r>
          </w:p>
        </w:tc>
        <w:tc>
          <w:tcPr>
            <w:tcW w:w="236" w:type="dxa"/>
            <w:tcBorders>
              <w:top w:val="nil"/>
              <w:left w:val="nil"/>
              <w:bottom w:val="nil"/>
              <w:right w:val="nil"/>
            </w:tcBorders>
            <w:shd w:val="clear" w:color="auto" w:fill="auto"/>
            <w:vAlign w:val="center"/>
            <w:hideMark/>
          </w:tcPr>
          <w:p w14:paraId="0AD8D447" w14:textId="77777777" w:rsidR="0038607A" w:rsidRPr="00173E46" w:rsidRDefault="0038607A" w:rsidP="00173E46">
            <w:pPr>
              <w:adjustRightInd w:val="0"/>
              <w:snapToGrid w:val="0"/>
              <w:spacing w:line="360" w:lineRule="auto"/>
              <w:jc w:val="both"/>
              <w:rPr>
                <w:rFonts w:ascii="Book Antiqua" w:eastAsia="SimSun" w:hAnsi="Book Antiqua"/>
              </w:rPr>
            </w:pPr>
          </w:p>
        </w:tc>
        <w:tc>
          <w:tcPr>
            <w:tcW w:w="1058" w:type="dxa"/>
            <w:tcBorders>
              <w:top w:val="nil"/>
              <w:left w:val="nil"/>
              <w:bottom w:val="nil"/>
              <w:right w:val="nil"/>
            </w:tcBorders>
            <w:shd w:val="clear" w:color="auto" w:fill="auto"/>
            <w:vAlign w:val="center"/>
            <w:hideMark/>
          </w:tcPr>
          <w:p w14:paraId="3B545C18"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591 </w:t>
            </w:r>
          </w:p>
        </w:tc>
        <w:tc>
          <w:tcPr>
            <w:tcW w:w="1058" w:type="dxa"/>
            <w:tcBorders>
              <w:top w:val="nil"/>
              <w:left w:val="nil"/>
              <w:bottom w:val="nil"/>
              <w:right w:val="nil"/>
            </w:tcBorders>
            <w:shd w:val="clear" w:color="auto" w:fill="auto"/>
            <w:vAlign w:val="center"/>
            <w:hideMark/>
          </w:tcPr>
          <w:p w14:paraId="2E5DD65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1685 </w:t>
            </w:r>
          </w:p>
        </w:tc>
        <w:tc>
          <w:tcPr>
            <w:tcW w:w="1058" w:type="dxa"/>
            <w:tcBorders>
              <w:top w:val="nil"/>
              <w:left w:val="nil"/>
              <w:bottom w:val="nil"/>
              <w:right w:val="nil"/>
            </w:tcBorders>
            <w:shd w:val="clear" w:color="auto" w:fill="auto"/>
            <w:vAlign w:val="center"/>
            <w:hideMark/>
          </w:tcPr>
          <w:p w14:paraId="60F3B3D8"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2610 </w:t>
            </w:r>
          </w:p>
        </w:tc>
        <w:tc>
          <w:tcPr>
            <w:tcW w:w="1058" w:type="dxa"/>
            <w:tcBorders>
              <w:top w:val="nil"/>
              <w:left w:val="nil"/>
              <w:bottom w:val="nil"/>
              <w:right w:val="nil"/>
            </w:tcBorders>
            <w:shd w:val="clear" w:color="auto" w:fill="auto"/>
            <w:vAlign w:val="center"/>
            <w:hideMark/>
          </w:tcPr>
          <w:p w14:paraId="00475E2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7538 </w:t>
            </w:r>
          </w:p>
        </w:tc>
        <w:tc>
          <w:tcPr>
            <w:tcW w:w="1059" w:type="dxa"/>
            <w:tcBorders>
              <w:top w:val="nil"/>
              <w:left w:val="nil"/>
              <w:bottom w:val="nil"/>
              <w:right w:val="nil"/>
            </w:tcBorders>
            <w:shd w:val="clear" w:color="auto" w:fill="auto"/>
            <w:vAlign w:val="center"/>
            <w:hideMark/>
          </w:tcPr>
          <w:p w14:paraId="4CF4D617"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216 </w:t>
            </w:r>
          </w:p>
        </w:tc>
        <w:tc>
          <w:tcPr>
            <w:tcW w:w="1058" w:type="dxa"/>
            <w:tcBorders>
              <w:top w:val="nil"/>
              <w:left w:val="nil"/>
              <w:bottom w:val="nil"/>
              <w:right w:val="nil"/>
            </w:tcBorders>
            <w:shd w:val="clear" w:color="auto" w:fill="auto"/>
            <w:vAlign w:val="center"/>
            <w:hideMark/>
          </w:tcPr>
          <w:p w14:paraId="67C5FFDB" w14:textId="77777777" w:rsidR="0038607A" w:rsidRPr="00173E46" w:rsidRDefault="0038607A" w:rsidP="00173E46">
            <w:pPr>
              <w:adjustRightInd w:val="0"/>
              <w:snapToGrid w:val="0"/>
              <w:spacing w:line="360" w:lineRule="auto"/>
              <w:jc w:val="both"/>
              <w:rPr>
                <w:rFonts w:ascii="Book Antiqua" w:eastAsia="SimSun" w:hAnsi="Book Antiqua"/>
                <w:color w:val="000000" w:themeColor="text1"/>
              </w:rPr>
            </w:pPr>
            <w:r w:rsidRPr="00173E46">
              <w:rPr>
                <w:rFonts w:ascii="Book Antiqua" w:eastAsia="SimSun" w:hAnsi="Book Antiqua"/>
                <w:color w:val="000000" w:themeColor="text1"/>
              </w:rPr>
              <w:t>0.15</w:t>
            </w:r>
          </w:p>
        </w:tc>
      </w:tr>
      <w:tr w:rsidR="0038607A" w:rsidRPr="00173E46" w14:paraId="4059B644" w14:textId="77777777" w:rsidTr="00B30614">
        <w:trPr>
          <w:trHeight w:val="287"/>
        </w:trPr>
        <w:tc>
          <w:tcPr>
            <w:tcW w:w="2000" w:type="dxa"/>
            <w:tcBorders>
              <w:top w:val="nil"/>
              <w:left w:val="nil"/>
              <w:bottom w:val="nil"/>
              <w:right w:val="nil"/>
            </w:tcBorders>
            <w:shd w:val="clear" w:color="auto" w:fill="auto"/>
            <w:vAlign w:val="center"/>
            <w:hideMark/>
          </w:tcPr>
          <w:p w14:paraId="2B5A4A64" w14:textId="6FAD0869"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w:t>
            </w:r>
          </w:p>
        </w:tc>
        <w:tc>
          <w:tcPr>
            <w:tcW w:w="1058" w:type="dxa"/>
            <w:tcBorders>
              <w:top w:val="nil"/>
              <w:left w:val="nil"/>
              <w:bottom w:val="nil"/>
              <w:right w:val="nil"/>
            </w:tcBorders>
            <w:shd w:val="clear" w:color="auto" w:fill="auto"/>
            <w:vAlign w:val="center"/>
            <w:hideMark/>
          </w:tcPr>
          <w:p w14:paraId="41E4AD9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278 </w:t>
            </w:r>
          </w:p>
        </w:tc>
        <w:tc>
          <w:tcPr>
            <w:tcW w:w="1058" w:type="dxa"/>
            <w:tcBorders>
              <w:top w:val="nil"/>
              <w:left w:val="nil"/>
              <w:bottom w:val="nil"/>
              <w:right w:val="nil"/>
            </w:tcBorders>
            <w:shd w:val="clear" w:color="auto" w:fill="auto"/>
            <w:vAlign w:val="center"/>
            <w:hideMark/>
          </w:tcPr>
          <w:p w14:paraId="7CE4CD86"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200 </w:t>
            </w:r>
          </w:p>
        </w:tc>
        <w:tc>
          <w:tcPr>
            <w:tcW w:w="1058" w:type="dxa"/>
            <w:tcBorders>
              <w:top w:val="nil"/>
              <w:left w:val="nil"/>
              <w:bottom w:val="nil"/>
              <w:right w:val="nil"/>
            </w:tcBorders>
            <w:shd w:val="clear" w:color="auto" w:fill="auto"/>
            <w:vAlign w:val="center"/>
            <w:hideMark/>
          </w:tcPr>
          <w:p w14:paraId="70AD930D"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178 </w:t>
            </w:r>
          </w:p>
        </w:tc>
        <w:tc>
          <w:tcPr>
            <w:tcW w:w="1058" w:type="dxa"/>
            <w:tcBorders>
              <w:top w:val="nil"/>
              <w:left w:val="nil"/>
              <w:bottom w:val="nil"/>
              <w:right w:val="nil"/>
            </w:tcBorders>
            <w:shd w:val="clear" w:color="auto" w:fill="auto"/>
            <w:vAlign w:val="center"/>
            <w:hideMark/>
          </w:tcPr>
          <w:p w14:paraId="4DEF3FD9"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232 </w:t>
            </w:r>
          </w:p>
        </w:tc>
        <w:tc>
          <w:tcPr>
            <w:tcW w:w="1059" w:type="dxa"/>
            <w:tcBorders>
              <w:top w:val="nil"/>
              <w:left w:val="nil"/>
              <w:bottom w:val="nil"/>
              <w:right w:val="nil"/>
            </w:tcBorders>
            <w:shd w:val="clear" w:color="auto" w:fill="auto"/>
            <w:vAlign w:val="center"/>
            <w:hideMark/>
          </w:tcPr>
          <w:p w14:paraId="6E7157D9"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485 </w:t>
            </w:r>
          </w:p>
        </w:tc>
        <w:tc>
          <w:tcPr>
            <w:tcW w:w="236" w:type="dxa"/>
            <w:tcBorders>
              <w:top w:val="nil"/>
              <w:left w:val="nil"/>
              <w:bottom w:val="nil"/>
              <w:right w:val="nil"/>
            </w:tcBorders>
            <w:shd w:val="clear" w:color="auto" w:fill="auto"/>
            <w:vAlign w:val="center"/>
            <w:hideMark/>
          </w:tcPr>
          <w:p w14:paraId="0D440EE1" w14:textId="77777777" w:rsidR="0038607A" w:rsidRPr="00173E46" w:rsidRDefault="0038607A" w:rsidP="00173E46">
            <w:pPr>
              <w:adjustRightInd w:val="0"/>
              <w:snapToGrid w:val="0"/>
              <w:spacing w:line="360" w:lineRule="auto"/>
              <w:jc w:val="both"/>
              <w:rPr>
                <w:rFonts w:ascii="Book Antiqua" w:eastAsia="SimSun" w:hAnsi="Book Antiqua"/>
              </w:rPr>
            </w:pPr>
          </w:p>
        </w:tc>
        <w:tc>
          <w:tcPr>
            <w:tcW w:w="1058" w:type="dxa"/>
            <w:tcBorders>
              <w:top w:val="nil"/>
              <w:left w:val="nil"/>
              <w:bottom w:val="nil"/>
              <w:right w:val="nil"/>
            </w:tcBorders>
            <w:shd w:val="clear" w:color="auto" w:fill="auto"/>
            <w:vAlign w:val="center"/>
            <w:hideMark/>
          </w:tcPr>
          <w:p w14:paraId="06FB88B6"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517 </w:t>
            </w:r>
          </w:p>
        </w:tc>
        <w:tc>
          <w:tcPr>
            <w:tcW w:w="1058" w:type="dxa"/>
            <w:tcBorders>
              <w:top w:val="nil"/>
              <w:left w:val="nil"/>
              <w:bottom w:val="nil"/>
              <w:right w:val="nil"/>
            </w:tcBorders>
            <w:shd w:val="clear" w:color="auto" w:fill="auto"/>
            <w:vAlign w:val="center"/>
            <w:hideMark/>
          </w:tcPr>
          <w:p w14:paraId="7AB85FB7"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108 </w:t>
            </w:r>
          </w:p>
        </w:tc>
        <w:tc>
          <w:tcPr>
            <w:tcW w:w="1058" w:type="dxa"/>
            <w:tcBorders>
              <w:top w:val="nil"/>
              <w:left w:val="nil"/>
              <w:bottom w:val="nil"/>
              <w:right w:val="nil"/>
            </w:tcBorders>
            <w:shd w:val="clear" w:color="auto" w:fill="auto"/>
            <w:vAlign w:val="center"/>
            <w:hideMark/>
          </w:tcPr>
          <w:p w14:paraId="0E3CF92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955 </w:t>
            </w:r>
          </w:p>
        </w:tc>
        <w:tc>
          <w:tcPr>
            <w:tcW w:w="1058" w:type="dxa"/>
            <w:tcBorders>
              <w:top w:val="nil"/>
              <w:left w:val="nil"/>
              <w:bottom w:val="nil"/>
              <w:right w:val="nil"/>
            </w:tcBorders>
            <w:shd w:val="clear" w:color="auto" w:fill="auto"/>
            <w:vAlign w:val="center"/>
            <w:hideMark/>
          </w:tcPr>
          <w:p w14:paraId="542E0E06"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4629 </w:t>
            </w:r>
          </w:p>
        </w:tc>
        <w:tc>
          <w:tcPr>
            <w:tcW w:w="1059" w:type="dxa"/>
            <w:tcBorders>
              <w:top w:val="nil"/>
              <w:left w:val="nil"/>
              <w:bottom w:val="nil"/>
              <w:right w:val="nil"/>
            </w:tcBorders>
            <w:shd w:val="clear" w:color="auto" w:fill="auto"/>
            <w:vAlign w:val="center"/>
            <w:hideMark/>
          </w:tcPr>
          <w:p w14:paraId="05DCEE60"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58 </w:t>
            </w:r>
          </w:p>
        </w:tc>
        <w:tc>
          <w:tcPr>
            <w:tcW w:w="1058" w:type="dxa"/>
            <w:tcBorders>
              <w:top w:val="nil"/>
              <w:left w:val="nil"/>
              <w:bottom w:val="nil"/>
              <w:right w:val="nil"/>
            </w:tcBorders>
            <w:shd w:val="clear" w:color="auto" w:fill="auto"/>
            <w:vAlign w:val="center"/>
            <w:hideMark/>
          </w:tcPr>
          <w:p w14:paraId="07B18576" w14:textId="77777777" w:rsidR="0038607A" w:rsidRPr="00173E46" w:rsidRDefault="0038607A" w:rsidP="00173E46">
            <w:pPr>
              <w:adjustRightInd w:val="0"/>
              <w:snapToGrid w:val="0"/>
              <w:spacing w:line="360" w:lineRule="auto"/>
              <w:jc w:val="both"/>
              <w:rPr>
                <w:rFonts w:ascii="Book Antiqua" w:eastAsia="SimSun" w:hAnsi="Book Antiqua"/>
                <w:color w:val="000000" w:themeColor="text1"/>
              </w:rPr>
            </w:pPr>
            <w:r w:rsidRPr="00173E46">
              <w:rPr>
                <w:rFonts w:ascii="Book Antiqua" w:eastAsia="SimSun" w:hAnsi="Book Antiqua"/>
                <w:color w:val="000000" w:themeColor="text1"/>
              </w:rPr>
              <w:t>0.31</w:t>
            </w:r>
          </w:p>
        </w:tc>
      </w:tr>
      <w:tr w:rsidR="0038607A" w:rsidRPr="00173E46" w14:paraId="27691CDA" w14:textId="77777777" w:rsidTr="00B30614">
        <w:trPr>
          <w:trHeight w:val="302"/>
        </w:trPr>
        <w:tc>
          <w:tcPr>
            <w:tcW w:w="2000" w:type="dxa"/>
            <w:tcBorders>
              <w:top w:val="nil"/>
              <w:left w:val="nil"/>
              <w:bottom w:val="single" w:sz="12" w:space="0" w:color="000000"/>
              <w:right w:val="nil"/>
            </w:tcBorders>
            <w:shd w:val="clear" w:color="auto" w:fill="auto"/>
            <w:vAlign w:val="center"/>
            <w:hideMark/>
          </w:tcPr>
          <w:p w14:paraId="4CB22399" w14:textId="5C288793"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7</w:t>
            </w:r>
          </w:p>
        </w:tc>
        <w:tc>
          <w:tcPr>
            <w:tcW w:w="1058" w:type="dxa"/>
            <w:tcBorders>
              <w:top w:val="nil"/>
              <w:left w:val="nil"/>
              <w:bottom w:val="single" w:sz="12" w:space="0" w:color="000000"/>
              <w:right w:val="nil"/>
            </w:tcBorders>
            <w:shd w:val="clear" w:color="auto" w:fill="auto"/>
            <w:vAlign w:val="center"/>
            <w:hideMark/>
          </w:tcPr>
          <w:p w14:paraId="690C76B4"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1006 </w:t>
            </w:r>
          </w:p>
        </w:tc>
        <w:tc>
          <w:tcPr>
            <w:tcW w:w="1058" w:type="dxa"/>
            <w:tcBorders>
              <w:top w:val="nil"/>
              <w:left w:val="nil"/>
              <w:bottom w:val="single" w:sz="12" w:space="0" w:color="000000"/>
              <w:right w:val="nil"/>
            </w:tcBorders>
            <w:shd w:val="clear" w:color="auto" w:fill="auto"/>
            <w:vAlign w:val="center"/>
            <w:hideMark/>
          </w:tcPr>
          <w:p w14:paraId="1E32B43B"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14 </w:t>
            </w:r>
          </w:p>
        </w:tc>
        <w:tc>
          <w:tcPr>
            <w:tcW w:w="1058" w:type="dxa"/>
            <w:tcBorders>
              <w:top w:val="nil"/>
              <w:left w:val="nil"/>
              <w:bottom w:val="single" w:sz="12" w:space="0" w:color="000000"/>
              <w:right w:val="nil"/>
            </w:tcBorders>
            <w:shd w:val="clear" w:color="auto" w:fill="auto"/>
            <w:vAlign w:val="center"/>
            <w:hideMark/>
          </w:tcPr>
          <w:p w14:paraId="1A38F0E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79 </w:t>
            </w:r>
          </w:p>
        </w:tc>
        <w:tc>
          <w:tcPr>
            <w:tcW w:w="1058" w:type="dxa"/>
            <w:tcBorders>
              <w:top w:val="nil"/>
              <w:left w:val="nil"/>
              <w:bottom w:val="single" w:sz="12" w:space="0" w:color="000000"/>
              <w:right w:val="nil"/>
            </w:tcBorders>
            <w:shd w:val="clear" w:color="auto" w:fill="auto"/>
            <w:vAlign w:val="center"/>
            <w:hideMark/>
          </w:tcPr>
          <w:p w14:paraId="157FCED4"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p>
        </w:tc>
        <w:tc>
          <w:tcPr>
            <w:tcW w:w="1059" w:type="dxa"/>
            <w:tcBorders>
              <w:top w:val="nil"/>
              <w:left w:val="nil"/>
              <w:bottom w:val="single" w:sz="12" w:space="0" w:color="000000"/>
              <w:right w:val="nil"/>
            </w:tcBorders>
            <w:shd w:val="clear" w:color="auto" w:fill="auto"/>
            <w:vAlign w:val="center"/>
            <w:hideMark/>
          </w:tcPr>
          <w:p w14:paraId="632E51DC"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p>
        </w:tc>
        <w:tc>
          <w:tcPr>
            <w:tcW w:w="236" w:type="dxa"/>
            <w:tcBorders>
              <w:top w:val="nil"/>
              <w:left w:val="nil"/>
              <w:bottom w:val="single" w:sz="12" w:space="0" w:color="000000"/>
              <w:right w:val="nil"/>
            </w:tcBorders>
            <w:shd w:val="clear" w:color="auto" w:fill="auto"/>
            <w:vAlign w:val="center"/>
            <w:hideMark/>
          </w:tcPr>
          <w:p w14:paraId="030763A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p>
        </w:tc>
        <w:tc>
          <w:tcPr>
            <w:tcW w:w="1058" w:type="dxa"/>
            <w:tcBorders>
              <w:top w:val="nil"/>
              <w:left w:val="nil"/>
              <w:bottom w:val="single" w:sz="12" w:space="0" w:color="000000"/>
              <w:right w:val="nil"/>
            </w:tcBorders>
            <w:shd w:val="clear" w:color="auto" w:fill="auto"/>
            <w:vAlign w:val="center"/>
            <w:hideMark/>
          </w:tcPr>
          <w:p w14:paraId="4D85D0E2"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23 </w:t>
            </w:r>
          </w:p>
        </w:tc>
        <w:tc>
          <w:tcPr>
            <w:tcW w:w="1058" w:type="dxa"/>
            <w:tcBorders>
              <w:top w:val="nil"/>
              <w:left w:val="nil"/>
              <w:bottom w:val="single" w:sz="12" w:space="0" w:color="000000"/>
              <w:right w:val="nil"/>
            </w:tcBorders>
            <w:shd w:val="clear" w:color="auto" w:fill="auto"/>
            <w:vAlign w:val="center"/>
            <w:hideMark/>
          </w:tcPr>
          <w:p w14:paraId="21AB4D3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77 </w:t>
            </w:r>
          </w:p>
        </w:tc>
        <w:tc>
          <w:tcPr>
            <w:tcW w:w="1058" w:type="dxa"/>
            <w:tcBorders>
              <w:top w:val="nil"/>
              <w:left w:val="nil"/>
              <w:bottom w:val="single" w:sz="12" w:space="0" w:color="000000"/>
              <w:right w:val="nil"/>
            </w:tcBorders>
            <w:shd w:val="clear" w:color="auto" w:fill="auto"/>
            <w:vAlign w:val="center"/>
            <w:hideMark/>
          </w:tcPr>
          <w:p w14:paraId="43BD082C"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39256 </w:t>
            </w:r>
          </w:p>
        </w:tc>
        <w:tc>
          <w:tcPr>
            <w:tcW w:w="1058" w:type="dxa"/>
            <w:tcBorders>
              <w:top w:val="nil"/>
              <w:left w:val="nil"/>
              <w:bottom w:val="single" w:sz="12" w:space="0" w:color="000000"/>
              <w:right w:val="nil"/>
            </w:tcBorders>
            <w:shd w:val="clear" w:color="auto" w:fill="auto"/>
            <w:vAlign w:val="center"/>
            <w:hideMark/>
          </w:tcPr>
          <w:p w14:paraId="45EF62BD"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3237 </w:t>
            </w:r>
          </w:p>
        </w:tc>
        <w:tc>
          <w:tcPr>
            <w:tcW w:w="1059" w:type="dxa"/>
            <w:tcBorders>
              <w:top w:val="nil"/>
              <w:left w:val="nil"/>
              <w:bottom w:val="single" w:sz="12" w:space="0" w:color="000000"/>
              <w:right w:val="nil"/>
            </w:tcBorders>
            <w:shd w:val="clear" w:color="auto" w:fill="auto"/>
            <w:vAlign w:val="center"/>
            <w:hideMark/>
          </w:tcPr>
          <w:p w14:paraId="0BABD5F0"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16 </w:t>
            </w:r>
          </w:p>
        </w:tc>
        <w:tc>
          <w:tcPr>
            <w:tcW w:w="1058" w:type="dxa"/>
            <w:tcBorders>
              <w:top w:val="nil"/>
              <w:left w:val="nil"/>
              <w:bottom w:val="single" w:sz="12" w:space="0" w:color="000000"/>
              <w:right w:val="nil"/>
            </w:tcBorders>
            <w:shd w:val="clear" w:color="auto" w:fill="auto"/>
            <w:vAlign w:val="center"/>
            <w:hideMark/>
          </w:tcPr>
          <w:p w14:paraId="5A3B1388"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0.35</w:t>
            </w:r>
          </w:p>
        </w:tc>
      </w:tr>
    </w:tbl>
    <w:p w14:paraId="0C140A91" w14:textId="19E5EDBE"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The missing data is </w:t>
      </w:r>
      <w:r w:rsidR="00D62634">
        <w:rPr>
          <w:rFonts w:ascii="Book Antiqua" w:eastAsia="SimSun" w:hAnsi="Book Antiqua"/>
        </w:rPr>
        <w:t>due to</w:t>
      </w:r>
      <w:r w:rsidRPr="00173E46">
        <w:rPr>
          <w:rFonts w:ascii="Book Antiqua" w:eastAsia="SimSun" w:hAnsi="Book Antiqua"/>
        </w:rPr>
        <w:t xml:space="preserve"> difficulty in collection or no drainage.</w:t>
      </w:r>
    </w:p>
    <w:p w14:paraId="1F242A6E" w14:textId="77777777" w:rsidR="00454283" w:rsidRDefault="00454283" w:rsidP="00173E46">
      <w:pPr>
        <w:adjustRightInd w:val="0"/>
        <w:snapToGrid w:val="0"/>
        <w:spacing w:line="360" w:lineRule="auto"/>
        <w:jc w:val="both"/>
        <w:rPr>
          <w:rFonts w:ascii="Book Antiqua" w:eastAsia="SimSun" w:hAnsi="Book Antiqua"/>
        </w:rPr>
        <w:sectPr w:rsidR="00454283" w:rsidSect="0038607A">
          <w:pgSz w:w="18144" w:h="15842"/>
          <w:pgMar w:top="1440" w:right="1440" w:bottom="1440" w:left="1440" w:header="720" w:footer="720" w:gutter="0"/>
          <w:cols w:space="720"/>
          <w:docGrid w:linePitch="360"/>
        </w:sectPr>
      </w:pPr>
    </w:p>
    <w:p w14:paraId="77E61C23" w14:textId="53B2030C"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lastRenderedPageBreak/>
        <w:t>Table 2 Fasting and 2-h postprandial blood glucose 6 mo after surgery</w:t>
      </w:r>
    </w:p>
    <w:tbl>
      <w:tblPr>
        <w:tblW w:w="13056" w:type="dxa"/>
        <w:tblInd w:w="93" w:type="dxa"/>
        <w:tblLook w:val="04A0" w:firstRow="1" w:lastRow="0" w:firstColumn="1" w:lastColumn="0" w:noHBand="0" w:noVBand="1"/>
      </w:tblPr>
      <w:tblGrid>
        <w:gridCol w:w="4126"/>
        <w:gridCol w:w="1233"/>
        <w:gridCol w:w="1233"/>
        <w:gridCol w:w="1234"/>
        <w:gridCol w:w="411"/>
        <w:gridCol w:w="1233"/>
        <w:gridCol w:w="1233"/>
        <w:gridCol w:w="1234"/>
        <w:gridCol w:w="1119"/>
      </w:tblGrid>
      <w:tr w:rsidR="0038607A" w:rsidRPr="00173E46" w14:paraId="40E71381" w14:textId="77777777" w:rsidTr="00B30614">
        <w:trPr>
          <w:trHeight w:val="285"/>
        </w:trPr>
        <w:tc>
          <w:tcPr>
            <w:tcW w:w="4126" w:type="dxa"/>
            <w:vMerge w:val="restart"/>
            <w:tcBorders>
              <w:top w:val="single" w:sz="12" w:space="0" w:color="000000"/>
              <w:left w:val="nil"/>
              <w:right w:val="nil"/>
            </w:tcBorders>
            <w:shd w:val="clear" w:color="auto" w:fill="auto"/>
            <w:vAlign w:val="center"/>
            <w:hideMark/>
          </w:tcPr>
          <w:p w14:paraId="51D26526" w14:textId="72E34725" w:rsidR="0038607A" w:rsidRPr="00173E46" w:rsidRDefault="0038607A" w:rsidP="00173E46">
            <w:pPr>
              <w:adjustRightInd w:val="0"/>
              <w:snapToGrid w:val="0"/>
              <w:spacing w:line="360" w:lineRule="auto"/>
              <w:jc w:val="both"/>
              <w:rPr>
                <w:rFonts w:ascii="Book Antiqua" w:eastAsia="SimSun" w:hAnsi="Book Antiqua"/>
                <w:b/>
                <w:bCs/>
              </w:rPr>
            </w:pPr>
          </w:p>
        </w:tc>
        <w:tc>
          <w:tcPr>
            <w:tcW w:w="3700" w:type="dxa"/>
            <w:gridSpan w:val="3"/>
            <w:tcBorders>
              <w:top w:val="single" w:sz="12" w:space="0" w:color="000000"/>
              <w:left w:val="nil"/>
              <w:bottom w:val="single" w:sz="8" w:space="0" w:color="000000"/>
              <w:right w:val="nil"/>
            </w:tcBorders>
            <w:shd w:val="clear" w:color="auto" w:fill="auto"/>
            <w:vAlign w:val="center"/>
            <w:hideMark/>
          </w:tcPr>
          <w:p w14:paraId="0F7F3527"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Experimental group</w:t>
            </w:r>
          </w:p>
        </w:tc>
        <w:tc>
          <w:tcPr>
            <w:tcW w:w="411" w:type="dxa"/>
            <w:tcBorders>
              <w:top w:val="single" w:sz="12" w:space="0" w:color="000000"/>
              <w:left w:val="nil"/>
              <w:bottom w:val="nil"/>
              <w:right w:val="nil"/>
            </w:tcBorders>
            <w:shd w:val="clear" w:color="auto" w:fill="auto"/>
            <w:vAlign w:val="center"/>
            <w:hideMark/>
          </w:tcPr>
          <w:p w14:paraId="1E26E48C"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 xml:space="preserve">　</w:t>
            </w:r>
          </w:p>
        </w:tc>
        <w:tc>
          <w:tcPr>
            <w:tcW w:w="3700" w:type="dxa"/>
            <w:gridSpan w:val="3"/>
            <w:tcBorders>
              <w:top w:val="single" w:sz="12" w:space="0" w:color="000000"/>
              <w:left w:val="nil"/>
              <w:bottom w:val="single" w:sz="8" w:space="0" w:color="000000"/>
              <w:right w:val="nil"/>
            </w:tcBorders>
            <w:shd w:val="clear" w:color="auto" w:fill="auto"/>
            <w:vAlign w:val="center"/>
            <w:hideMark/>
          </w:tcPr>
          <w:p w14:paraId="551A9E5B"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Control group</w:t>
            </w:r>
          </w:p>
        </w:tc>
        <w:tc>
          <w:tcPr>
            <w:tcW w:w="1119" w:type="dxa"/>
            <w:vMerge w:val="restart"/>
            <w:tcBorders>
              <w:top w:val="single" w:sz="12" w:space="0" w:color="000000"/>
              <w:left w:val="nil"/>
              <w:bottom w:val="single" w:sz="8" w:space="0" w:color="000000"/>
              <w:right w:val="nil"/>
            </w:tcBorders>
            <w:shd w:val="clear" w:color="auto" w:fill="auto"/>
            <w:vAlign w:val="center"/>
            <w:hideMark/>
          </w:tcPr>
          <w:p w14:paraId="7939FE8B" w14:textId="027A6442"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i/>
              </w:rPr>
              <w:t>P</w:t>
            </w:r>
            <w:r w:rsidRPr="00173E46">
              <w:rPr>
                <w:rFonts w:ascii="Book Antiqua" w:eastAsia="SimSun" w:hAnsi="Book Antiqua"/>
                <w:b/>
                <w:bCs/>
              </w:rPr>
              <w:t xml:space="preserve"> value</w:t>
            </w:r>
          </w:p>
        </w:tc>
      </w:tr>
      <w:tr w:rsidR="0038607A" w:rsidRPr="00173E46" w14:paraId="12F0F67E" w14:textId="77777777" w:rsidTr="00B30614">
        <w:trPr>
          <w:trHeight w:val="281"/>
        </w:trPr>
        <w:tc>
          <w:tcPr>
            <w:tcW w:w="4126" w:type="dxa"/>
            <w:vMerge/>
            <w:tcBorders>
              <w:left w:val="nil"/>
              <w:bottom w:val="single" w:sz="8" w:space="0" w:color="000000"/>
              <w:right w:val="nil"/>
            </w:tcBorders>
            <w:shd w:val="clear" w:color="auto" w:fill="auto"/>
            <w:vAlign w:val="center"/>
            <w:hideMark/>
          </w:tcPr>
          <w:p w14:paraId="7BE42330" w14:textId="77777777" w:rsidR="0038607A" w:rsidRPr="00173E46" w:rsidRDefault="0038607A" w:rsidP="00173E46">
            <w:pPr>
              <w:adjustRightInd w:val="0"/>
              <w:snapToGrid w:val="0"/>
              <w:spacing w:line="360" w:lineRule="auto"/>
              <w:jc w:val="both"/>
              <w:rPr>
                <w:rFonts w:ascii="Book Antiqua" w:eastAsia="SimSun" w:hAnsi="Book Antiqua"/>
                <w:b/>
                <w:bCs/>
              </w:rPr>
            </w:pPr>
          </w:p>
        </w:tc>
        <w:tc>
          <w:tcPr>
            <w:tcW w:w="1233" w:type="dxa"/>
            <w:tcBorders>
              <w:top w:val="nil"/>
              <w:left w:val="nil"/>
              <w:bottom w:val="single" w:sz="8" w:space="0" w:color="000000"/>
              <w:right w:val="nil"/>
            </w:tcBorders>
            <w:shd w:val="clear" w:color="auto" w:fill="auto"/>
            <w:vAlign w:val="center"/>
            <w:hideMark/>
          </w:tcPr>
          <w:p w14:paraId="7A26D4C8" w14:textId="5A0B2F0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5</w:t>
            </w:r>
          </w:p>
        </w:tc>
        <w:tc>
          <w:tcPr>
            <w:tcW w:w="1233" w:type="dxa"/>
            <w:tcBorders>
              <w:top w:val="nil"/>
              <w:left w:val="nil"/>
              <w:bottom w:val="single" w:sz="8" w:space="0" w:color="000000"/>
              <w:right w:val="nil"/>
            </w:tcBorders>
            <w:shd w:val="clear" w:color="auto" w:fill="auto"/>
            <w:vAlign w:val="center"/>
            <w:hideMark/>
          </w:tcPr>
          <w:p w14:paraId="3EBDEFAC" w14:textId="7A180FB5"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6</w:t>
            </w:r>
          </w:p>
        </w:tc>
        <w:tc>
          <w:tcPr>
            <w:tcW w:w="1234" w:type="dxa"/>
            <w:tcBorders>
              <w:top w:val="nil"/>
              <w:left w:val="nil"/>
              <w:bottom w:val="single" w:sz="8" w:space="0" w:color="000000"/>
              <w:right w:val="nil"/>
            </w:tcBorders>
            <w:shd w:val="clear" w:color="auto" w:fill="auto"/>
            <w:vAlign w:val="center"/>
            <w:hideMark/>
          </w:tcPr>
          <w:p w14:paraId="17A06C6F" w14:textId="081F8FBD"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7</w:t>
            </w:r>
          </w:p>
        </w:tc>
        <w:tc>
          <w:tcPr>
            <w:tcW w:w="411" w:type="dxa"/>
            <w:tcBorders>
              <w:top w:val="nil"/>
              <w:left w:val="nil"/>
              <w:bottom w:val="single" w:sz="8" w:space="0" w:color="000000"/>
              <w:right w:val="nil"/>
            </w:tcBorders>
            <w:shd w:val="clear" w:color="auto" w:fill="auto"/>
            <w:vAlign w:val="center"/>
            <w:hideMark/>
          </w:tcPr>
          <w:p w14:paraId="006C94BA"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 xml:space="preserve">　</w:t>
            </w:r>
          </w:p>
        </w:tc>
        <w:tc>
          <w:tcPr>
            <w:tcW w:w="1233" w:type="dxa"/>
            <w:tcBorders>
              <w:top w:val="nil"/>
              <w:left w:val="nil"/>
              <w:bottom w:val="single" w:sz="8" w:space="0" w:color="000000"/>
              <w:right w:val="nil"/>
            </w:tcBorders>
            <w:shd w:val="clear" w:color="auto" w:fill="auto"/>
            <w:vAlign w:val="center"/>
            <w:hideMark/>
          </w:tcPr>
          <w:p w14:paraId="60925219" w14:textId="3DD9F83D"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8</w:t>
            </w:r>
          </w:p>
        </w:tc>
        <w:tc>
          <w:tcPr>
            <w:tcW w:w="1233" w:type="dxa"/>
            <w:tcBorders>
              <w:top w:val="nil"/>
              <w:left w:val="nil"/>
              <w:bottom w:val="single" w:sz="8" w:space="0" w:color="000000"/>
              <w:right w:val="nil"/>
            </w:tcBorders>
            <w:shd w:val="clear" w:color="auto" w:fill="auto"/>
            <w:vAlign w:val="center"/>
            <w:hideMark/>
          </w:tcPr>
          <w:p w14:paraId="68648191" w14:textId="6E1506F0"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9</w:t>
            </w:r>
          </w:p>
        </w:tc>
        <w:tc>
          <w:tcPr>
            <w:tcW w:w="1234" w:type="dxa"/>
            <w:tcBorders>
              <w:top w:val="nil"/>
              <w:left w:val="nil"/>
              <w:bottom w:val="single" w:sz="8" w:space="0" w:color="000000"/>
              <w:right w:val="nil"/>
            </w:tcBorders>
            <w:shd w:val="clear" w:color="auto" w:fill="auto"/>
            <w:vAlign w:val="center"/>
            <w:hideMark/>
          </w:tcPr>
          <w:p w14:paraId="72CB7FF9" w14:textId="37B809AB"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10</w:t>
            </w:r>
          </w:p>
        </w:tc>
        <w:tc>
          <w:tcPr>
            <w:tcW w:w="1119" w:type="dxa"/>
            <w:vMerge/>
            <w:tcBorders>
              <w:top w:val="single" w:sz="12" w:space="0" w:color="000000"/>
              <w:left w:val="nil"/>
              <w:bottom w:val="single" w:sz="8" w:space="0" w:color="000000"/>
              <w:right w:val="nil"/>
            </w:tcBorders>
            <w:vAlign w:val="center"/>
            <w:hideMark/>
          </w:tcPr>
          <w:p w14:paraId="03F96DAB" w14:textId="77777777" w:rsidR="0038607A" w:rsidRPr="00173E46" w:rsidRDefault="0038607A" w:rsidP="00173E46">
            <w:pPr>
              <w:adjustRightInd w:val="0"/>
              <w:snapToGrid w:val="0"/>
              <w:spacing w:line="360" w:lineRule="auto"/>
              <w:jc w:val="both"/>
              <w:rPr>
                <w:rFonts w:ascii="Book Antiqua" w:eastAsia="SimSun" w:hAnsi="Book Antiqua"/>
                <w:b/>
                <w:bCs/>
              </w:rPr>
            </w:pPr>
          </w:p>
        </w:tc>
      </w:tr>
      <w:tr w:rsidR="0038607A" w:rsidRPr="00173E46" w14:paraId="625B758D" w14:textId="77777777" w:rsidTr="00B30614">
        <w:trPr>
          <w:trHeight w:val="138"/>
        </w:trPr>
        <w:tc>
          <w:tcPr>
            <w:tcW w:w="4126" w:type="dxa"/>
            <w:tcBorders>
              <w:top w:val="nil"/>
              <w:left w:val="nil"/>
              <w:bottom w:val="nil"/>
              <w:right w:val="nil"/>
            </w:tcBorders>
            <w:shd w:val="clear" w:color="auto" w:fill="auto"/>
            <w:vAlign w:val="center"/>
            <w:hideMark/>
          </w:tcPr>
          <w:p w14:paraId="412CEA2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Fasting blood glucose</w:t>
            </w:r>
          </w:p>
        </w:tc>
        <w:tc>
          <w:tcPr>
            <w:tcW w:w="1233" w:type="dxa"/>
            <w:tcBorders>
              <w:top w:val="nil"/>
              <w:left w:val="nil"/>
              <w:bottom w:val="nil"/>
              <w:right w:val="nil"/>
            </w:tcBorders>
            <w:shd w:val="clear" w:color="auto" w:fill="auto"/>
            <w:vAlign w:val="center"/>
            <w:hideMark/>
          </w:tcPr>
          <w:p w14:paraId="7320DF9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5.57</w:t>
            </w:r>
          </w:p>
        </w:tc>
        <w:tc>
          <w:tcPr>
            <w:tcW w:w="1233" w:type="dxa"/>
            <w:tcBorders>
              <w:top w:val="nil"/>
              <w:left w:val="nil"/>
              <w:bottom w:val="nil"/>
              <w:right w:val="nil"/>
            </w:tcBorders>
            <w:shd w:val="clear" w:color="auto" w:fill="auto"/>
            <w:vAlign w:val="center"/>
            <w:hideMark/>
          </w:tcPr>
          <w:p w14:paraId="4F2DBD5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5.2</w:t>
            </w:r>
          </w:p>
        </w:tc>
        <w:tc>
          <w:tcPr>
            <w:tcW w:w="1234" w:type="dxa"/>
            <w:tcBorders>
              <w:top w:val="nil"/>
              <w:left w:val="nil"/>
              <w:bottom w:val="nil"/>
              <w:right w:val="nil"/>
            </w:tcBorders>
            <w:shd w:val="clear" w:color="auto" w:fill="auto"/>
            <w:vAlign w:val="center"/>
            <w:hideMark/>
          </w:tcPr>
          <w:p w14:paraId="28C6135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5.88</w:t>
            </w:r>
          </w:p>
        </w:tc>
        <w:tc>
          <w:tcPr>
            <w:tcW w:w="411" w:type="dxa"/>
            <w:tcBorders>
              <w:top w:val="nil"/>
              <w:left w:val="nil"/>
              <w:bottom w:val="nil"/>
              <w:right w:val="nil"/>
            </w:tcBorders>
            <w:shd w:val="clear" w:color="auto" w:fill="auto"/>
            <w:vAlign w:val="center"/>
            <w:hideMark/>
          </w:tcPr>
          <w:p w14:paraId="51DFDA4C"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p>
        </w:tc>
        <w:tc>
          <w:tcPr>
            <w:tcW w:w="1233" w:type="dxa"/>
            <w:tcBorders>
              <w:top w:val="nil"/>
              <w:left w:val="nil"/>
              <w:bottom w:val="nil"/>
              <w:right w:val="nil"/>
            </w:tcBorders>
            <w:shd w:val="clear" w:color="auto" w:fill="auto"/>
            <w:vAlign w:val="center"/>
            <w:hideMark/>
          </w:tcPr>
          <w:p w14:paraId="13C68794"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4.49</w:t>
            </w:r>
          </w:p>
        </w:tc>
        <w:tc>
          <w:tcPr>
            <w:tcW w:w="1233" w:type="dxa"/>
            <w:tcBorders>
              <w:top w:val="nil"/>
              <w:left w:val="nil"/>
              <w:bottom w:val="nil"/>
              <w:right w:val="nil"/>
            </w:tcBorders>
            <w:shd w:val="clear" w:color="auto" w:fill="auto"/>
            <w:vAlign w:val="center"/>
            <w:hideMark/>
          </w:tcPr>
          <w:p w14:paraId="424BF6CE"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5.23</w:t>
            </w:r>
          </w:p>
        </w:tc>
        <w:tc>
          <w:tcPr>
            <w:tcW w:w="1234" w:type="dxa"/>
            <w:tcBorders>
              <w:top w:val="nil"/>
              <w:left w:val="nil"/>
              <w:bottom w:val="nil"/>
              <w:right w:val="nil"/>
            </w:tcBorders>
            <w:shd w:val="clear" w:color="auto" w:fill="auto"/>
            <w:vAlign w:val="center"/>
            <w:hideMark/>
          </w:tcPr>
          <w:p w14:paraId="774825F5"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5.41</w:t>
            </w:r>
          </w:p>
        </w:tc>
        <w:tc>
          <w:tcPr>
            <w:tcW w:w="1119" w:type="dxa"/>
            <w:tcBorders>
              <w:top w:val="nil"/>
              <w:left w:val="nil"/>
              <w:bottom w:val="nil"/>
              <w:right w:val="nil"/>
            </w:tcBorders>
            <w:shd w:val="clear" w:color="auto" w:fill="auto"/>
            <w:vAlign w:val="center"/>
            <w:hideMark/>
          </w:tcPr>
          <w:p w14:paraId="25E52224"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0.21</w:t>
            </w:r>
          </w:p>
        </w:tc>
      </w:tr>
      <w:tr w:rsidR="0038607A" w:rsidRPr="00173E46" w14:paraId="2837F953" w14:textId="77777777" w:rsidTr="00B30614">
        <w:trPr>
          <w:trHeight w:val="281"/>
        </w:trPr>
        <w:tc>
          <w:tcPr>
            <w:tcW w:w="4126" w:type="dxa"/>
            <w:tcBorders>
              <w:top w:val="nil"/>
              <w:left w:val="nil"/>
              <w:bottom w:val="single" w:sz="12" w:space="0" w:color="000000"/>
              <w:right w:val="nil"/>
            </w:tcBorders>
            <w:shd w:val="clear" w:color="auto" w:fill="auto"/>
            <w:vAlign w:val="center"/>
            <w:hideMark/>
          </w:tcPr>
          <w:p w14:paraId="69B97E15" w14:textId="5C044F04"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2-h postprandial blood glucose</w:t>
            </w:r>
          </w:p>
        </w:tc>
        <w:tc>
          <w:tcPr>
            <w:tcW w:w="1233" w:type="dxa"/>
            <w:tcBorders>
              <w:top w:val="nil"/>
              <w:left w:val="nil"/>
              <w:bottom w:val="single" w:sz="12" w:space="0" w:color="000000"/>
              <w:right w:val="nil"/>
            </w:tcBorders>
            <w:shd w:val="clear" w:color="auto" w:fill="auto"/>
            <w:vAlign w:val="center"/>
            <w:hideMark/>
          </w:tcPr>
          <w:p w14:paraId="0C26DFF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5.52</w:t>
            </w:r>
          </w:p>
        </w:tc>
        <w:tc>
          <w:tcPr>
            <w:tcW w:w="1233" w:type="dxa"/>
            <w:tcBorders>
              <w:top w:val="nil"/>
              <w:left w:val="nil"/>
              <w:bottom w:val="single" w:sz="12" w:space="0" w:color="000000"/>
              <w:right w:val="nil"/>
            </w:tcBorders>
            <w:shd w:val="clear" w:color="auto" w:fill="auto"/>
            <w:vAlign w:val="center"/>
            <w:hideMark/>
          </w:tcPr>
          <w:p w14:paraId="4A6BF07C"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7.57</w:t>
            </w:r>
          </w:p>
        </w:tc>
        <w:tc>
          <w:tcPr>
            <w:tcW w:w="1234" w:type="dxa"/>
            <w:tcBorders>
              <w:top w:val="nil"/>
              <w:left w:val="nil"/>
              <w:bottom w:val="single" w:sz="12" w:space="0" w:color="000000"/>
              <w:right w:val="nil"/>
            </w:tcBorders>
            <w:shd w:val="clear" w:color="auto" w:fill="auto"/>
            <w:vAlign w:val="center"/>
            <w:hideMark/>
          </w:tcPr>
          <w:p w14:paraId="29F59D64"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7.12</w:t>
            </w:r>
          </w:p>
        </w:tc>
        <w:tc>
          <w:tcPr>
            <w:tcW w:w="411" w:type="dxa"/>
            <w:tcBorders>
              <w:top w:val="nil"/>
              <w:left w:val="nil"/>
              <w:bottom w:val="single" w:sz="12" w:space="0" w:color="000000"/>
              <w:right w:val="nil"/>
            </w:tcBorders>
            <w:shd w:val="clear" w:color="auto" w:fill="auto"/>
            <w:vAlign w:val="center"/>
            <w:hideMark/>
          </w:tcPr>
          <w:p w14:paraId="4EA3BEB9"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p>
        </w:tc>
        <w:tc>
          <w:tcPr>
            <w:tcW w:w="1233" w:type="dxa"/>
            <w:tcBorders>
              <w:top w:val="nil"/>
              <w:left w:val="nil"/>
              <w:bottom w:val="single" w:sz="12" w:space="0" w:color="000000"/>
              <w:right w:val="nil"/>
            </w:tcBorders>
            <w:shd w:val="clear" w:color="auto" w:fill="auto"/>
            <w:vAlign w:val="center"/>
            <w:hideMark/>
          </w:tcPr>
          <w:p w14:paraId="7AD89E4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7.03</w:t>
            </w:r>
          </w:p>
        </w:tc>
        <w:tc>
          <w:tcPr>
            <w:tcW w:w="1233" w:type="dxa"/>
            <w:tcBorders>
              <w:top w:val="nil"/>
              <w:left w:val="nil"/>
              <w:bottom w:val="single" w:sz="12" w:space="0" w:color="000000"/>
              <w:right w:val="nil"/>
            </w:tcBorders>
            <w:shd w:val="clear" w:color="auto" w:fill="auto"/>
            <w:vAlign w:val="center"/>
            <w:hideMark/>
          </w:tcPr>
          <w:p w14:paraId="633D69F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6.94</w:t>
            </w:r>
          </w:p>
        </w:tc>
        <w:tc>
          <w:tcPr>
            <w:tcW w:w="1234" w:type="dxa"/>
            <w:tcBorders>
              <w:top w:val="nil"/>
              <w:left w:val="nil"/>
              <w:bottom w:val="single" w:sz="12" w:space="0" w:color="000000"/>
              <w:right w:val="nil"/>
            </w:tcBorders>
            <w:shd w:val="clear" w:color="auto" w:fill="auto"/>
            <w:vAlign w:val="center"/>
            <w:hideMark/>
          </w:tcPr>
          <w:p w14:paraId="461787A4"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5.77</w:t>
            </w:r>
          </w:p>
        </w:tc>
        <w:tc>
          <w:tcPr>
            <w:tcW w:w="1119" w:type="dxa"/>
            <w:tcBorders>
              <w:top w:val="nil"/>
              <w:left w:val="nil"/>
              <w:bottom w:val="single" w:sz="12" w:space="0" w:color="000000"/>
              <w:right w:val="nil"/>
            </w:tcBorders>
            <w:shd w:val="clear" w:color="auto" w:fill="auto"/>
            <w:vAlign w:val="center"/>
            <w:hideMark/>
          </w:tcPr>
          <w:p w14:paraId="0FBB8708"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0.84</w:t>
            </w:r>
          </w:p>
        </w:tc>
      </w:tr>
    </w:tbl>
    <w:p w14:paraId="0664C092" w14:textId="77777777" w:rsidR="0038607A" w:rsidRPr="00173E46" w:rsidRDefault="0038607A" w:rsidP="00173E46">
      <w:pPr>
        <w:adjustRightInd w:val="0"/>
        <w:snapToGrid w:val="0"/>
        <w:spacing w:line="360" w:lineRule="auto"/>
        <w:jc w:val="both"/>
        <w:rPr>
          <w:rFonts w:ascii="Book Antiqua" w:eastAsia="SimSun" w:hAnsi="Book Antiqua"/>
        </w:rPr>
      </w:pPr>
    </w:p>
    <w:p w14:paraId="4AAD7298" w14:textId="77777777" w:rsidR="00454283" w:rsidRDefault="00454283" w:rsidP="00173E46">
      <w:pPr>
        <w:adjustRightInd w:val="0"/>
        <w:snapToGrid w:val="0"/>
        <w:spacing w:line="360" w:lineRule="auto"/>
        <w:jc w:val="both"/>
        <w:rPr>
          <w:rFonts w:ascii="Book Antiqua" w:eastAsia="SimSun" w:hAnsi="Book Antiqua"/>
        </w:rPr>
        <w:sectPr w:rsidR="00454283" w:rsidSect="0038607A">
          <w:pgSz w:w="18144" w:h="15842"/>
          <w:pgMar w:top="1440" w:right="1440" w:bottom="1440" w:left="1440" w:header="720" w:footer="720" w:gutter="0"/>
          <w:cols w:space="720"/>
          <w:docGrid w:linePitch="360"/>
        </w:sectPr>
      </w:pPr>
    </w:p>
    <w:p w14:paraId="43F7FAD2" w14:textId="54E8A4D6"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lastRenderedPageBreak/>
        <w:t xml:space="preserve">Table 3 </w:t>
      </w:r>
      <w:r w:rsidRPr="00173E46">
        <w:rPr>
          <w:rFonts w:ascii="Book Antiqua" w:hAnsi="Book Antiqua"/>
          <w:b/>
          <w:bCs/>
        </w:rPr>
        <w:t>Fasting, 2-h postprandial peripheral blood insulin and portal vein blood insulin 6 mo after surgery</w:t>
      </w:r>
    </w:p>
    <w:tbl>
      <w:tblPr>
        <w:tblW w:w="13906" w:type="dxa"/>
        <w:tblInd w:w="93" w:type="dxa"/>
        <w:tblLook w:val="04A0" w:firstRow="1" w:lastRow="0" w:firstColumn="1" w:lastColumn="0" w:noHBand="0" w:noVBand="1"/>
      </w:tblPr>
      <w:tblGrid>
        <w:gridCol w:w="5118"/>
        <w:gridCol w:w="1225"/>
        <w:gridCol w:w="1225"/>
        <w:gridCol w:w="1225"/>
        <w:gridCol w:w="385"/>
        <w:gridCol w:w="1225"/>
        <w:gridCol w:w="1225"/>
        <w:gridCol w:w="1225"/>
        <w:gridCol w:w="1053"/>
      </w:tblGrid>
      <w:tr w:rsidR="0038607A" w:rsidRPr="00173E46" w14:paraId="11282CB0" w14:textId="77777777" w:rsidTr="00B30614">
        <w:trPr>
          <w:trHeight w:val="192"/>
        </w:trPr>
        <w:tc>
          <w:tcPr>
            <w:tcW w:w="5118" w:type="dxa"/>
            <w:vMerge w:val="restart"/>
            <w:tcBorders>
              <w:top w:val="single" w:sz="12" w:space="0" w:color="000000"/>
              <w:left w:val="nil"/>
              <w:right w:val="nil"/>
            </w:tcBorders>
            <w:shd w:val="clear" w:color="auto" w:fill="auto"/>
            <w:vAlign w:val="center"/>
            <w:hideMark/>
          </w:tcPr>
          <w:p w14:paraId="1B5E18D1" w14:textId="7C0897B4" w:rsidR="0038607A" w:rsidRPr="00173E46" w:rsidRDefault="0038607A" w:rsidP="00173E46">
            <w:pPr>
              <w:adjustRightInd w:val="0"/>
              <w:snapToGrid w:val="0"/>
              <w:spacing w:line="360" w:lineRule="auto"/>
              <w:jc w:val="both"/>
              <w:rPr>
                <w:rFonts w:ascii="Book Antiqua" w:eastAsia="SimSun" w:hAnsi="Book Antiqua"/>
                <w:b/>
                <w:bCs/>
              </w:rPr>
            </w:pPr>
          </w:p>
        </w:tc>
        <w:tc>
          <w:tcPr>
            <w:tcW w:w="3675" w:type="dxa"/>
            <w:gridSpan w:val="3"/>
            <w:tcBorders>
              <w:top w:val="single" w:sz="12" w:space="0" w:color="000000"/>
              <w:left w:val="nil"/>
              <w:bottom w:val="single" w:sz="8" w:space="0" w:color="000000"/>
              <w:right w:val="nil"/>
            </w:tcBorders>
            <w:shd w:val="clear" w:color="auto" w:fill="auto"/>
            <w:vAlign w:val="center"/>
            <w:hideMark/>
          </w:tcPr>
          <w:p w14:paraId="03EACB31"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Experimental group</w:t>
            </w:r>
          </w:p>
        </w:tc>
        <w:tc>
          <w:tcPr>
            <w:tcW w:w="385" w:type="dxa"/>
            <w:tcBorders>
              <w:top w:val="single" w:sz="12" w:space="0" w:color="000000"/>
              <w:left w:val="nil"/>
              <w:bottom w:val="nil"/>
              <w:right w:val="nil"/>
            </w:tcBorders>
            <w:shd w:val="clear" w:color="auto" w:fill="auto"/>
            <w:vAlign w:val="center"/>
            <w:hideMark/>
          </w:tcPr>
          <w:p w14:paraId="6181D24B"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 xml:space="preserve">　</w:t>
            </w:r>
          </w:p>
        </w:tc>
        <w:tc>
          <w:tcPr>
            <w:tcW w:w="3675" w:type="dxa"/>
            <w:gridSpan w:val="3"/>
            <w:tcBorders>
              <w:top w:val="single" w:sz="12" w:space="0" w:color="000000"/>
              <w:left w:val="nil"/>
              <w:bottom w:val="single" w:sz="8" w:space="0" w:color="000000"/>
              <w:right w:val="nil"/>
            </w:tcBorders>
            <w:shd w:val="clear" w:color="auto" w:fill="auto"/>
            <w:vAlign w:val="center"/>
            <w:hideMark/>
          </w:tcPr>
          <w:p w14:paraId="4C6D69A0"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Control group</w:t>
            </w:r>
          </w:p>
        </w:tc>
        <w:tc>
          <w:tcPr>
            <w:tcW w:w="1053" w:type="dxa"/>
            <w:vMerge w:val="restart"/>
            <w:tcBorders>
              <w:top w:val="single" w:sz="12" w:space="0" w:color="000000"/>
              <w:left w:val="nil"/>
              <w:bottom w:val="single" w:sz="8" w:space="0" w:color="000000"/>
              <w:right w:val="nil"/>
            </w:tcBorders>
            <w:shd w:val="clear" w:color="auto" w:fill="auto"/>
            <w:vAlign w:val="center"/>
            <w:hideMark/>
          </w:tcPr>
          <w:p w14:paraId="1C7A0BEC" w14:textId="00DE90B8"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i/>
              </w:rPr>
              <w:t>P</w:t>
            </w:r>
            <w:r w:rsidRPr="00173E46">
              <w:rPr>
                <w:rFonts w:ascii="Book Antiqua" w:eastAsia="SimSun" w:hAnsi="Book Antiqua"/>
                <w:b/>
                <w:bCs/>
              </w:rPr>
              <w:t xml:space="preserve"> value</w:t>
            </w:r>
          </w:p>
        </w:tc>
      </w:tr>
      <w:tr w:rsidR="0038607A" w:rsidRPr="00173E46" w14:paraId="57BD5151" w14:textId="77777777" w:rsidTr="00B30614">
        <w:trPr>
          <w:trHeight w:val="189"/>
        </w:trPr>
        <w:tc>
          <w:tcPr>
            <w:tcW w:w="5118" w:type="dxa"/>
            <w:vMerge/>
            <w:tcBorders>
              <w:left w:val="nil"/>
              <w:bottom w:val="single" w:sz="8" w:space="0" w:color="000000"/>
              <w:right w:val="nil"/>
            </w:tcBorders>
            <w:shd w:val="clear" w:color="auto" w:fill="auto"/>
            <w:vAlign w:val="center"/>
            <w:hideMark/>
          </w:tcPr>
          <w:p w14:paraId="4D470825" w14:textId="77777777" w:rsidR="0038607A" w:rsidRPr="00173E46" w:rsidRDefault="0038607A" w:rsidP="00173E46">
            <w:pPr>
              <w:adjustRightInd w:val="0"/>
              <w:snapToGrid w:val="0"/>
              <w:spacing w:line="360" w:lineRule="auto"/>
              <w:jc w:val="both"/>
              <w:rPr>
                <w:rFonts w:ascii="Book Antiqua" w:eastAsia="SimSun" w:hAnsi="Book Antiqua"/>
                <w:b/>
                <w:bCs/>
              </w:rPr>
            </w:pPr>
          </w:p>
        </w:tc>
        <w:tc>
          <w:tcPr>
            <w:tcW w:w="1225" w:type="dxa"/>
            <w:tcBorders>
              <w:top w:val="nil"/>
              <w:left w:val="nil"/>
              <w:bottom w:val="single" w:sz="8" w:space="0" w:color="000000"/>
              <w:right w:val="nil"/>
            </w:tcBorders>
            <w:shd w:val="clear" w:color="auto" w:fill="auto"/>
            <w:vAlign w:val="center"/>
            <w:hideMark/>
          </w:tcPr>
          <w:p w14:paraId="391053BA" w14:textId="2FD002E1"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 5</w:t>
            </w:r>
          </w:p>
        </w:tc>
        <w:tc>
          <w:tcPr>
            <w:tcW w:w="1225" w:type="dxa"/>
            <w:tcBorders>
              <w:top w:val="nil"/>
              <w:left w:val="nil"/>
              <w:bottom w:val="single" w:sz="8" w:space="0" w:color="000000"/>
              <w:right w:val="nil"/>
            </w:tcBorders>
            <w:shd w:val="clear" w:color="auto" w:fill="auto"/>
            <w:vAlign w:val="center"/>
            <w:hideMark/>
          </w:tcPr>
          <w:p w14:paraId="4268C9B5" w14:textId="2D58DDDC"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w:t>
            </w:r>
            <w:r w:rsidR="00F527DA">
              <w:rPr>
                <w:rFonts w:ascii="Book Antiqua" w:eastAsia="SimSun" w:hAnsi="Book Antiqua"/>
                <w:b/>
                <w:bCs/>
              </w:rPr>
              <w:t xml:space="preserve"> </w:t>
            </w:r>
            <w:r w:rsidRPr="00173E46">
              <w:rPr>
                <w:rFonts w:ascii="Book Antiqua" w:eastAsia="SimSun" w:hAnsi="Book Antiqua"/>
                <w:b/>
                <w:bCs/>
              </w:rPr>
              <w:t>6</w:t>
            </w:r>
          </w:p>
        </w:tc>
        <w:tc>
          <w:tcPr>
            <w:tcW w:w="1225" w:type="dxa"/>
            <w:tcBorders>
              <w:top w:val="nil"/>
              <w:left w:val="nil"/>
              <w:bottom w:val="single" w:sz="8" w:space="0" w:color="000000"/>
              <w:right w:val="nil"/>
            </w:tcBorders>
            <w:shd w:val="clear" w:color="auto" w:fill="auto"/>
            <w:vAlign w:val="center"/>
            <w:hideMark/>
          </w:tcPr>
          <w:p w14:paraId="490EF500" w14:textId="45440D46"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w:t>
            </w:r>
            <w:r w:rsidR="00F527DA">
              <w:rPr>
                <w:rFonts w:ascii="Book Antiqua" w:eastAsia="SimSun" w:hAnsi="Book Antiqua"/>
                <w:b/>
                <w:bCs/>
              </w:rPr>
              <w:t xml:space="preserve"> </w:t>
            </w:r>
            <w:r w:rsidRPr="00173E46">
              <w:rPr>
                <w:rFonts w:ascii="Book Antiqua" w:eastAsia="SimSun" w:hAnsi="Book Antiqua"/>
                <w:b/>
                <w:bCs/>
              </w:rPr>
              <w:t>7</w:t>
            </w:r>
          </w:p>
        </w:tc>
        <w:tc>
          <w:tcPr>
            <w:tcW w:w="385" w:type="dxa"/>
            <w:tcBorders>
              <w:top w:val="nil"/>
              <w:left w:val="nil"/>
              <w:bottom w:val="single" w:sz="8" w:space="0" w:color="000000"/>
              <w:right w:val="nil"/>
            </w:tcBorders>
            <w:shd w:val="clear" w:color="auto" w:fill="auto"/>
            <w:vAlign w:val="center"/>
            <w:hideMark/>
          </w:tcPr>
          <w:p w14:paraId="5DD9EF71" w14:textId="77777777"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 xml:space="preserve">　</w:t>
            </w:r>
          </w:p>
        </w:tc>
        <w:tc>
          <w:tcPr>
            <w:tcW w:w="1225" w:type="dxa"/>
            <w:tcBorders>
              <w:top w:val="nil"/>
              <w:left w:val="nil"/>
              <w:bottom w:val="single" w:sz="8" w:space="0" w:color="000000"/>
              <w:right w:val="nil"/>
            </w:tcBorders>
            <w:shd w:val="clear" w:color="auto" w:fill="auto"/>
            <w:vAlign w:val="center"/>
            <w:hideMark/>
          </w:tcPr>
          <w:p w14:paraId="0CC3B837" w14:textId="5EBE13CA"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w:t>
            </w:r>
            <w:r w:rsidR="00F527DA">
              <w:rPr>
                <w:rFonts w:ascii="Book Antiqua" w:eastAsia="SimSun" w:hAnsi="Book Antiqua"/>
                <w:b/>
                <w:bCs/>
              </w:rPr>
              <w:t xml:space="preserve"> </w:t>
            </w:r>
            <w:r w:rsidRPr="00173E46">
              <w:rPr>
                <w:rFonts w:ascii="Book Antiqua" w:eastAsia="SimSun" w:hAnsi="Book Antiqua"/>
                <w:b/>
                <w:bCs/>
              </w:rPr>
              <w:t>8</w:t>
            </w:r>
          </w:p>
        </w:tc>
        <w:tc>
          <w:tcPr>
            <w:tcW w:w="1225" w:type="dxa"/>
            <w:tcBorders>
              <w:top w:val="nil"/>
              <w:left w:val="nil"/>
              <w:bottom w:val="single" w:sz="8" w:space="0" w:color="000000"/>
              <w:right w:val="nil"/>
            </w:tcBorders>
            <w:shd w:val="clear" w:color="auto" w:fill="auto"/>
            <w:vAlign w:val="center"/>
            <w:hideMark/>
          </w:tcPr>
          <w:p w14:paraId="4B7EDA9D" w14:textId="3D0A12A9"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w:t>
            </w:r>
            <w:r w:rsidR="00F527DA">
              <w:rPr>
                <w:rFonts w:ascii="Book Antiqua" w:eastAsia="SimSun" w:hAnsi="Book Antiqua"/>
                <w:b/>
                <w:bCs/>
              </w:rPr>
              <w:t xml:space="preserve"> </w:t>
            </w:r>
            <w:r w:rsidRPr="00173E46">
              <w:rPr>
                <w:rFonts w:ascii="Book Antiqua" w:eastAsia="SimSun" w:hAnsi="Book Antiqua"/>
                <w:b/>
                <w:bCs/>
              </w:rPr>
              <w:t>9</w:t>
            </w:r>
          </w:p>
        </w:tc>
        <w:tc>
          <w:tcPr>
            <w:tcW w:w="1225" w:type="dxa"/>
            <w:tcBorders>
              <w:top w:val="nil"/>
              <w:left w:val="nil"/>
              <w:bottom w:val="single" w:sz="8" w:space="0" w:color="000000"/>
              <w:right w:val="nil"/>
            </w:tcBorders>
            <w:shd w:val="clear" w:color="auto" w:fill="auto"/>
            <w:vAlign w:val="center"/>
            <w:hideMark/>
          </w:tcPr>
          <w:p w14:paraId="5C95A18F" w14:textId="467AB4E9" w:rsidR="0038607A" w:rsidRPr="00173E46" w:rsidRDefault="0038607A" w:rsidP="00173E46">
            <w:pPr>
              <w:adjustRightInd w:val="0"/>
              <w:snapToGrid w:val="0"/>
              <w:spacing w:line="360" w:lineRule="auto"/>
              <w:jc w:val="both"/>
              <w:rPr>
                <w:rFonts w:ascii="Book Antiqua" w:eastAsia="SimSun" w:hAnsi="Book Antiqua"/>
                <w:b/>
                <w:bCs/>
              </w:rPr>
            </w:pPr>
            <w:r w:rsidRPr="00173E46">
              <w:rPr>
                <w:rFonts w:ascii="Book Antiqua" w:eastAsia="SimSun" w:hAnsi="Book Antiqua"/>
                <w:b/>
                <w:bCs/>
              </w:rPr>
              <w:t>No.</w:t>
            </w:r>
            <w:r w:rsidR="00F527DA">
              <w:rPr>
                <w:rFonts w:ascii="Book Antiqua" w:eastAsia="SimSun" w:hAnsi="Book Antiqua"/>
                <w:b/>
                <w:bCs/>
              </w:rPr>
              <w:t xml:space="preserve"> </w:t>
            </w:r>
            <w:r w:rsidRPr="00173E46">
              <w:rPr>
                <w:rFonts w:ascii="Book Antiqua" w:eastAsia="SimSun" w:hAnsi="Book Antiqua"/>
                <w:b/>
                <w:bCs/>
              </w:rPr>
              <w:t>10</w:t>
            </w:r>
          </w:p>
        </w:tc>
        <w:tc>
          <w:tcPr>
            <w:tcW w:w="1053" w:type="dxa"/>
            <w:vMerge/>
            <w:tcBorders>
              <w:top w:val="single" w:sz="12" w:space="0" w:color="000000"/>
              <w:left w:val="nil"/>
              <w:bottom w:val="single" w:sz="8" w:space="0" w:color="000000"/>
              <w:right w:val="nil"/>
            </w:tcBorders>
            <w:vAlign w:val="center"/>
            <w:hideMark/>
          </w:tcPr>
          <w:p w14:paraId="7363D3B2" w14:textId="77777777" w:rsidR="0038607A" w:rsidRPr="00173E46" w:rsidRDefault="0038607A" w:rsidP="00173E46">
            <w:pPr>
              <w:adjustRightInd w:val="0"/>
              <w:snapToGrid w:val="0"/>
              <w:spacing w:line="360" w:lineRule="auto"/>
              <w:jc w:val="both"/>
              <w:rPr>
                <w:rFonts w:ascii="Book Antiqua" w:eastAsia="SimSun" w:hAnsi="Book Antiqua"/>
                <w:b/>
                <w:bCs/>
              </w:rPr>
            </w:pPr>
          </w:p>
        </w:tc>
      </w:tr>
      <w:tr w:rsidR="0038607A" w:rsidRPr="00173E46" w14:paraId="7BD354DC" w14:textId="77777777" w:rsidTr="00B30614">
        <w:trPr>
          <w:trHeight w:val="279"/>
        </w:trPr>
        <w:tc>
          <w:tcPr>
            <w:tcW w:w="5118" w:type="dxa"/>
            <w:tcBorders>
              <w:top w:val="nil"/>
              <w:left w:val="nil"/>
              <w:bottom w:val="nil"/>
              <w:right w:val="nil"/>
            </w:tcBorders>
            <w:shd w:val="clear" w:color="auto" w:fill="auto"/>
            <w:vAlign w:val="center"/>
            <w:hideMark/>
          </w:tcPr>
          <w:p w14:paraId="14E581CC"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hAnsi="Book Antiqua"/>
              </w:rPr>
              <w:t>Fasting peripheral blood insulin</w:t>
            </w:r>
          </w:p>
        </w:tc>
        <w:tc>
          <w:tcPr>
            <w:tcW w:w="1225" w:type="dxa"/>
            <w:tcBorders>
              <w:top w:val="nil"/>
              <w:left w:val="nil"/>
              <w:bottom w:val="nil"/>
              <w:right w:val="nil"/>
            </w:tcBorders>
            <w:shd w:val="clear" w:color="auto" w:fill="auto"/>
            <w:vAlign w:val="center"/>
            <w:hideMark/>
          </w:tcPr>
          <w:p w14:paraId="43B11BC4"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23.6</w:t>
            </w:r>
          </w:p>
        </w:tc>
        <w:tc>
          <w:tcPr>
            <w:tcW w:w="1225" w:type="dxa"/>
            <w:tcBorders>
              <w:top w:val="nil"/>
              <w:left w:val="nil"/>
              <w:bottom w:val="nil"/>
              <w:right w:val="nil"/>
            </w:tcBorders>
            <w:shd w:val="clear" w:color="auto" w:fill="auto"/>
            <w:vAlign w:val="center"/>
            <w:hideMark/>
          </w:tcPr>
          <w:p w14:paraId="7C8311EE"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18.6</w:t>
            </w:r>
          </w:p>
        </w:tc>
        <w:tc>
          <w:tcPr>
            <w:tcW w:w="1225" w:type="dxa"/>
            <w:tcBorders>
              <w:top w:val="nil"/>
              <w:left w:val="nil"/>
              <w:bottom w:val="nil"/>
              <w:right w:val="nil"/>
            </w:tcBorders>
            <w:shd w:val="clear" w:color="auto" w:fill="auto"/>
            <w:vAlign w:val="center"/>
            <w:hideMark/>
          </w:tcPr>
          <w:p w14:paraId="4B53CE99"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27.4</w:t>
            </w:r>
          </w:p>
        </w:tc>
        <w:tc>
          <w:tcPr>
            <w:tcW w:w="385" w:type="dxa"/>
            <w:tcBorders>
              <w:top w:val="nil"/>
              <w:left w:val="nil"/>
              <w:bottom w:val="nil"/>
              <w:right w:val="nil"/>
            </w:tcBorders>
            <w:shd w:val="clear" w:color="auto" w:fill="auto"/>
            <w:hideMark/>
          </w:tcPr>
          <w:p w14:paraId="6929963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p>
        </w:tc>
        <w:tc>
          <w:tcPr>
            <w:tcW w:w="1225" w:type="dxa"/>
            <w:tcBorders>
              <w:top w:val="nil"/>
              <w:left w:val="nil"/>
              <w:bottom w:val="nil"/>
              <w:right w:val="nil"/>
            </w:tcBorders>
            <w:shd w:val="clear" w:color="auto" w:fill="auto"/>
            <w:vAlign w:val="center"/>
            <w:hideMark/>
          </w:tcPr>
          <w:p w14:paraId="7B75165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14.3</w:t>
            </w:r>
          </w:p>
        </w:tc>
        <w:tc>
          <w:tcPr>
            <w:tcW w:w="1225" w:type="dxa"/>
            <w:tcBorders>
              <w:top w:val="nil"/>
              <w:left w:val="nil"/>
              <w:bottom w:val="nil"/>
              <w:right w:val="nil"/>
            </w:tcBorders>
            <w:shd w:val="clear" w:color="auto" w:fill="auto"/>
            <w:vAlign w:val="center"/>
            <w:hideMark/>
          </w:tcPr>
          <w:p w14:paraId="55E62D2B"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17.3</w:t>
            </w:r>
          </w:p>
        </w:tc>
        <w:tc>
          <w:tcPr>
            <w:tcW w:w="1225" w:type="dxa"/>
            <w:tcBorders>
              <w:top w:val="nil"/>
              <w:left w:val="nil"/>
              <w:bottom w:val="nil"/>
              <w:right w:val="nil"/>
            </w:tcBorders>
            <w:shd w:val="clear" w:color="auto" w:fill="auto"/>
            <w:vAlign w:val="center"/>
            <w:hideMark/>
          </w:tcPr>
          <w:p w14:paraId="7A5F9B5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21.3</w:t>
            </w:r>
          </w:p>
        </w:tc>
        <w:tc>
          <w:tcPr>
            <w:tcW w:w="1053" w:type="dxa"/>
            <w:tcBorders>
              <w:top w:val="nil"/>
              <w:left w:val="nil"/>
              <w:bottom w:val="nil"/>
              <w:right w:val="nil"/>
            </w:tcBorders>
            <w:shd w:val="clear" w:color="auto" w:fill="auto"/>
            <w:hideMark/>
          </w:tcPr>
          <w:p w14:paraId="40D66451"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r w:rsidRPr="00173E46">
              <w:rPr>
                <w:rFonts w:ascii="Book Antiqua" w:eastAsia="SimSun" w:hAnsi="Book Antiqua"/>
              </w:rPr>
              <w:t>0.16</w:t>
            </w:r>
          </w:p>
        </w:tc>
      </w:tr>
      <w:tr w:rsidR="0038607A" w:rsidRPr="00173E46" w14:paraId="6633FB16" w14:textId="77777777" w:rsidTr="00B30614">
        <w:trPr>
          <w:trHeight w:val="372"/>
        </w:trPr>
        <w:tc>
          <w:tcPr>
            <w:tcW w:w="5118" w:type="dxa"/>
            <w:tcBorders>
              <w:top w:val="nil"/>
              <w:left w:val="nil"/>
              <w:bottom w:val="nil"/>
              <w:right w:val="nil"/>
            </w:tcBorders>
            <w:shd w:val="clear" w:color="auto" w:fill="auto"/>
            <w:vAlign w:val="center"/>
            <w:hideMark/>
          </w:tcPr>
          <w:p w14:paraId="756B692A" w14:textId="4C6DEAA8"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hAnsi="Book Antiqua"/>
              </w:rPr>
              <w:t>2-h postprandial peripheral blood insulin</w:t>
            </w:r>
          </w:p>
        </w:tc>
        <w:tc>
          <w:tcPr>
            <w:tcW w:w="1225" w:type="dxa"/>
            <w:tcBorders>
              <w:top w:val="nil"/>
              <w:left w:val="nil"/>
              <w:bottom w:val="nil"/>
              <w:right w:val="nil"/>
            </w:tcBorders>
            <w:shd w:val="clear" w:color="auto" w:fill="auto"/>
            <w:vAlign w:val="center"/>
            <w:hideMark/>
          </w:tcPr>
          <w:p w14:paraId="34AE6A2B"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31.2</w:t>
            </w:r>
          </w:p>
        </w:tc>
        <w:tc>
          <w:tcPr>
            <w:tcW w:w="1225" w:type="dxa"/>
            <w:tcBorders>
              <w:top w:val="nil"/>
              <w:left w:val="nil"/>
              <w:bottom w:val="nil"/>
              <w:right w:val="nil"/>
            </w:tcBorders>
            <w:shd w:val="clear" w:color="auto" w:fill="auto"/>
            <w:vAlign w:val="center"/>
            <w:hideMark/>
          </w:tcPr>
          <w:p w14:paraId="222BBB7B"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25.3</w:t>
            </w:r>
          </w:p>
        </w:tc>
        <w:tc>
          <w:tcPr>
            <w:tcW w:w="1225" w:type="dxa"/>
            <w:tcBorders>
              <w:top w:val="nil"/>
              <w:left w:val="nil"/>
              <w:bottom w:val="nil"/>
              <w:right w:val="nil"/>
            </w:tcBorders>
            <w:shd w:val="clear" w:color="auto" w:fill="auto"/>
            <w:vAlign w:val="center"/>
            <w:hideMark/>
          </w:tcPr>
          <w:p w14:paraId="02C41895"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31.7</w:t>
            </w:r>
          </w:p>
        </w:tc>
        <w:tc>
          <w:tcPr>
            <w:tcW w:w="385" w:type="dxa"/>
            <w:tcBorders>
              <w:top w:val="nil"/>
              <w:left w:val="nil"/>
              <w:bottom w:val="nil"/>
              <w:right w:val="nil"/>
            </w:tcBorders>
            <w:shd w:val="clear" w:color="auto" w:fill="auto"/>
            <w:hideMark/>
          </w:tcPr>
          <w:p w14:paraId="37EFB6C4" w14:textId="77777777" w:rsidR="0038607A" w:rsidRPr="00173E46" w:rsidRDefault="0038607A" w:rsidP="00173E46">
            <w:pPr>
              <w:adjustRightInd w:val="0"/>
              <w:snapToGrid w:val="0"/>
              <w:spacing w:line="360" w:lineRule="auto"/>
              <w:jc w:val="both"/>
              <w:rPr>
                <w:rFonts w:ascii="Book Antiqua" w:eastAsia="SimSun" w:hAnsi="Book Antiqua"/>
              </w:rPr>
            </w:pPr>
          </w:p>
        </w:tc>
        <w:tc>
          <w:tcPr>
            <w:tcW w:w="1225" w:type="dxa"/>
            <w:tcBorders>
              <w:top w:val="nil"/>
              <w:left w:val="nil"/>
              <w:bottom w:val="nil"/>
              <w:right w:val="nil"/>
            </w:tcBorders>
            <w:shd w:val="clear" w:color="auto" w:fill="auto"/>
            <w:vAlign w:val="center"/>
            <w:hideMark/>
          </w:tcPr>
          <w:p w14:paraId="02433E3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26.7</w:t>
            </w:r>
          </w:p>
        </w:tc>
        <w:tc>
          <w:tcPr>
            <w:tcW w:w="1225" w:type="dxa"/>
            <w:tcBorders>
              <w:top w:val="nil"/>
              <w:left w:val="nil"/>
              <w:bottom w:val="nil"/>
              <w:right w:val="nil"/>
            </w:tcBorders>
            <w:shd w:val="clear" w:color="auto" w:fill="auto"/>
            <w:vAlign w:val="center"/>
            <w:hideMark/>
          </w:tcPr>
          <w:p w14:paraId="68B7B47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37.9</w:t>
            </w:r>
          </w:p>
        </w:tc>
        <w:tc>
          <w:tcPr>
            <w:tcW w:w="1225" w:type="dxa"/>
            <w:tcBorders>
              <w:top w:val="nil"/>
              <w:left w:val="nil"/>
              <w:bottom w:val="nil"/>
              <w:right w:val="nil"/>
            </w:tcBorders>
            <w:shd w:val="clear" w:color="auto" w:fill="auto"/>
            <w:vAlign w:val="center"/>
            <w:hideMark/>
          </w:tcPr>
          <w:p w14:paraId="6A939200"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35.4</w:t>
            </w:r>
          </w:p>
        </w:tc>
        <w:tc>
          <w:tcPr>
            <w:tcW w:w="1053" w:type="dxa"/>
            <w:tcBorders>
              <w:top w:val="nil"/>
              <w:left w:val="nil"/>
              <w:bottom w:val="nil"/>
              <w:right w:val="nil"/>
            </w:tcBorders>
            <w:shd w:val="clear" w:color="auto" w:fill="auto"/>
            <w:hideMark/>
          </w:tcPr>
          <w:p w14:paraId="3A54E723" w14:textId="77777777" w:rsidR="0038607A" w:rsidRPr="00173E46" w:rsidRDefault="0038607A" w:rsidP="00173E46">
            <w:pPr>
              <w:adjustRightInd w:val="0"/>
              <w:snapToGrid w:val="0"/>
              <w:spacing w:line="360" w:lineRule="auto"/>
              <w:ind w:firstLineChars="100" w:firstLine="240"/>
              <w:jc w:val="both"/>
              <w:rPr>
                <w:rFonts w:ascii="Book Antiqua" w:eastAsia="SimSun" w:hAnsi="Book Antiqua"/>
              </w:rPr>
            </w:pPr>
            <w:r w:rsidRPr="00173E46">
              <w:rPr>
                <w:rFonts w:ascii="Book Antiqua" w:eastAsia="SimSun" w:hAnsi="Book Antiqua"/>
              </w:rPr>
              <w:t>0.38</w:t>
            </w:r>
          </w:p>
        </w:tc>
      </w:tr>
      <w:tr w:rsidR="0038607A" w:rsidRPr="00173E46" w14:paraId="77FE4062" w14:textId="77777777" w:rsidTr="00B30614">
        <w:trPr>
          <w:trHeight w:val="375"/>
        </w:trPr>
        <w:tc>
          <w:tcPr>
            <w:tcW w:w="5118" w:type="dxa"/>
            <w:tcBorders>
              <w:top w:val="nil"/>
              <w:left w:val="nil"/>
              <w:bottom w:val="single" w:sz="12" w:space="0" w:color="000000"/>
              <w:right w:val="nil"/>
            </w:tcBorders>
            <w:shd w:val="clear" w:color="auto" w:fill="auto"/>
            <w:vAlign w:val="center"/>
            <w:hideMark/>
          </w:tcPr>
          <w:p w14:paraId="73345EDE"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hAnsi="Book Antiqua"/>
              </w:rPr>
              <w:t>Portal vein blood insulin</w:t>
            </w:r>
          </w:p>
        </w:tc>
        <w:tc>
          <w:tcPr>
            <w:tcW w:w="1225" w:type="dxa"/>
            <w:tcBorders>
              <w:top w:val="nil"/>
              <w:left w:val="nil"/>
              <w:bottom w:val="single" w:sz="12" w:space="0" w:color="000000"/>
              <w:right w:val="nil"/>
            </w:tcBorders>
            <w:shd w:val="clear" w:color="auto" w:fill="auto"/>
            <w:vAlign w:val="center"/>
            <w:hideMark/>
          </w:tcPr>
          <w:p w14:paraId="3B286FB9"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74.9</w:t>
            </w:r>
          </w:p>
        </w:tc>
        <w:tc>
          <w:tcPr>
            <w:tcW w:w="1225" w:type="dxa"/>
            <w:tcBorders>
              <w:top w:val="nil"/>
              <w:left w:val="nil"/>
              <w:bottom w:val="single" w:sz="12" w:space="0" w:color="000000"/>
              <w:right w:val="nil"/>
            </w:tcBorders>
            <w:shd w:val="clear" w:color="auto" w:fill="auto"/>
            <w:vAlign w:val="center"/>
            <w:hideMark/>
          </w:tcPr>
          <w:p w14:paraId="1952D677"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54.3</w:t>
            </w:r>
          </w:p>
        </w:tc>
        <w:tc>
          <w:tcPr>
            <w:tcW w:w="1225" w:type="dxa"/>
            <w:tcBorders>
              <w:top w:val="nil"/>
              <w:left w:val="nil"/>
              <w:bottom w:val="single" w:sz="12" w:space="0" w:color="000000"/>
              <w:right w:val="nil"/>
            </w:tcBorders>
            <w:shd w:val="clear" w:color="auto" w:fill="auto"/>
            <w:vAlign w:val="center"/>
            <w:hideMark/>
          </w:tcPr>
          <w:p w14:paraId="19FA46E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62.1</w:t>
            </w:r>
          </w:p>
        </w:tc>
        <w:tc>
          <w:tcPr>
            <w:tcW w:w="385" w:type="dxa"/>
            <w:tcBorders>
              <w:top w:val="nil"/>
              <w:left w:val="nil"/>
              <w:bottom w:val="single" w:sz="12" w:space="0" w:color="000000"/>
              <w:right w:val="nil"/>
            </w:tcBorders>
            <w:shd w:val="clear" w:color="auto" w:fill="auto"/>
            <w:hideMark/>
          </w:tcPr>
          <w:p w14:paraId="317FFF0A"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p>
        </w:tc>
        <w:tc>
          <w:tcPr>
            <w:tcW w:w="1225" w:type="dxa"/>
            <w:tcBorders>
              <w:top w:val="nil"/>
              <w:left w:val="nil"/>
              <w:bottom w:val="single" w:sz="12" w:space="0" w:color="000000"/>
              <w:right w:val="nil"/>
            </w:tcBorders>
            <w:shd w:val="clear" w:color="auto" w:fill="auto"/>
            <w:vAlign w:val="center"/>
            <w:hideMark/>
          </w:tcPr>
          <w:p w14:paraId="1667EFA9"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57.1</w:t>
            </w:r>
          </w:p>
        </w:tc>
        <w:tc>
          <w:tcPr>
            <w:tcW w:w="1225" w:type="dxa"/>
            <w:tcBorders>
              <w:top w:val="nil"/>
              <w:left w:val="nil"/>
              <w:bottom w:val="single" w:sz="12" w:space="0" w:color="000000"/>
              <w:right w:val="nil"/>
            </w:tcBorders>
            <w:shd w:val="clear" w:color="auto" w:fill="auto"/>
            <w:vAlign w:val="center"/>
            <w:hideMark/>
          </w:tcPr>
          <w:p w14:paraId="2C61F5BF"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52.4</w:t>
            </w:r>
          </w:p>
        </w:tc>
        <w:tc>
          <w:tcPr>
            <w:tcW w:w="1225" w:type="dxa"/>
            <w:tcBorders>
              <w:top w:val="nil"/>
              <w:left w:val="nil"/>
              <w:bottom w:val="single" w:sz="12" w:space="0" w:color="000000"/>
              <w:right w:val="nil"/>
            </w:tcBorders>
            <w:shd w:val="clear" w:color="auto" w:fill="auto"/>
            <w:vAlign w:val="center"/>
            <w:hideMark/>
          </w:tcPr>
          <w:p w14:paraId="451D6193"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51.5</w:t>
            </w:r>
          </w:p>
        </w:tc>
        <w:tc>
          <w:tcPr>
            <w:tcW w:w="1053" w:type="dxa"/>
            <w:tcBorders>
              <w:top w:val="nil"/>
              <w:left w:val="nil"/>
              <w:bottom w:val="single" w:sz="12" w:space="0" w:color="000000"/>
              <w:right w:val="nil"/>
            </w:tcBorders>
            <w:shd w:val="clear" w:color="auto" w:fill="auto"/>
            <w:hideMark/>
          </w:tcPr>
          <w:p w14:paraId="13351F4B" w14:textId="77777777" w:rsidR="0038607A" w:rsidRPr="00173E46" w:rsidRDefault="0038607A" w:rsidP="00173E46">
            <w:pPr>
              <w:adjustRightInd w:val="0"/>
              <w:snapToGrid w:val="0"/>
              <w:spacing w:line="360" w:lineRule="auto"/>
              <w:jc w:val="both"/>
              <w:rPr>
                <w:rFonts w:ascii="Book Antiqua" w:eastAsia="SimSun" w:hAnsi="Book Antiqua"/>
              </w:rPr>
            </w:pPr>
            <w:r w:rsidRPr="00173E46">
              <w:rPr>
                <w:rFonts w:ascii="Book Antiqua" w:eastAsia="SimSun" w:hAnsi="Book Antiqua"/>
              </w:rPr>
              <w:t xml:space="preserve">　</w:t>
            </w:r>
            <w:r w:rsidRPr="00173E46">
              <w:rPr>
                <w:rFonts w:ascii="Book Antiqua" w:eastAsia="SimSun" w:hAnsi="Book Antiqua"/>
              </w:rPr>
              <w:t>0.18</w:t>
            </w:r>
          </w:p>
        </w:tc>
      </w:tr>
    </w:tbl>
    <w:p w14:paraId="2129FD49" w14:textId="391DA5BA" w:rsidR="00A61C59" w:rsidRPr="00173E46" w:rsidRDefault="00A61C59" w:rsidP="00173E46">
      <w:pPr>
        <w:adjustRightInd w:val="0"/>
        <w:snapToGrid w:val="0"/>
        <w:spacing w:line="360" w:lineRule="auto"/>
        <w:jc w:val="both"/>
        <w:rPr>
          <w:rFonts w:ascii="Book Antiqua" w:hAnsi="Book Antiqua"/>
          <w:lang w:eastAsia="zh-CN"/>
        </w:rPr>
      </w:pPr>
    </w:p>
    <w:sectPr w:rsidR="00A61C59" w:rsidRPr="00173E46" w:rsidSect="0038607A">
      <w:pgSz w:w="18144" w:h="15842"/>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8C869C" w14:textId="77777777" w:rsidR="00C57D07" w:rsidRDefault="00C57D07" w:rsidP="00F1368B">
      <w:r>
        <w:separator/>
      </w:r>
    </w:p>
  </w:endnote>
  <w:endnote w:type="continuationSeparator" w:id="0">
    <w:p w14:paraId="63C5FA99" w14:textId="77777777" w:rsidR="00C57D07" w:rsidRDefault="00C57D07" w:rsidP="00F13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Book Antiqua" w:hAnsi="Book Antiqua"/>
        <w:sz w:val="24"/>
        <w:szCs w:val="24"/>
      </w:rPr>
      <w:id w:val="331962445"/>
      <w:docPartObj>
        <w:docPartGallery w:val="Page Numbers (Bottom of Page)"/>
        <w:docPartUnique/>
      </w:docPartObj>
    </w:sdtPr>
    <w:sdtEndPr>
      <w:rPr>
        <w:noProof/>
      </w:rPr>
    </w:sdtEndPr>
    <w:sdtContent>
      <w:p w14:paraId="2F936BF2" w14:textId="594B8CDD" w:rsidR="005165FD" w:rsidRPr="005165FD" w:rsidRDefault="005165FD">
        <w:pPr>
          <w:pStyle w:val="Footer"/>
          <w:jc w:val="right"/>
          <w:rPr>
            <w:rFonts w:ascii="Book Antiqua" w:hAnsi="Book Antiqua"/>
            <w:sz w:val="24"/>
            <w:szCs w:val="24"/>
          </w:rPr>
        </w:pPr>
        <w:r w:rsidRPr="005165FD">
          <w:rPr>
            <w:rFonts w:ascii="Book Antiqua" w:hAnsi="Book Antiqua"/>
            <w:sz w:val="24"/>
            <w:szCs w:val="24"/>
          </w:rPr>
          <w:fldChar w:fldCharType="begin"/>
        </w:r>
        <w:r w:rsidRPr="005165FD">
          <w:rPr>
            <w:rFonts w:ascii="Book Antiqua" w:hAnsi="Book Antiqua"/>
            <w:sz w:val="24"/>
            <w:szCs w:val="24"/>
          </w:rPr>
          <w:instrText xml:space="preserve"> PAGE   \* MERGEFORMAT </w:instrText>
        </w:r>
        <w:r w:rsidRPr="005165FD">
          <w:rPr>
            <w:rFonts w:ascii="Book Antiqua" w:hAnsi="Book Antiqua"/>
            <w:sz w:val="24"/>
            <w:szCs w:val="24"/>
          </w:rPr>
          <w:fldChar w:fldCharType="separate"/>
        </w:r>
        <w:r w:rsidRPr="005165FD">
          <w:rPr>
            <w:rFonts w:ascii="Book Antiqua" w:hAnsi="Book Antiqua"/>
            <w:noProof/>
            <w:sz w:val="24"/>
            <w:szCs w:val="24"/>
          </w:rPr>
          <w:t>2</w:t>
        </w:r>
        <w:r w:rsidRPr="005165FD">
          <w:rPr>
            <w:rFonts w:ascii="Book Antiqua" w:hAnsi="Book Antiqua"/>
            <w:noProof/>
            <w:sz w:val="24"/>
            <w:szCs w:val="24"/>
          </w:rPr>
          <w:fldChar w:fldCharType="end"/>
        </w:r>
        <w:r w:rsidRPr="005165FD">
          <w:rPr>
            <w:rFonts w:ascii="Book Antiqua" w:hAnsi="Book Antiqua"/>
            <w:noProof/>
            <w:sz w:val="24"/>
            <w:szCs w:val="24"/>
          </w:rPr>
          <w:t xml:space="preserve"> / 2</w:t>
        </w:r>
        <w:r w:rsidR="00D62634">
          <w:rPr>
            <w:rFonts w:ascii="Book Antiqua" w:hAnsi="Book Antiqua"/>
            <w:noProof/>
            <w:sz w:val="24"/>
            <w:szCs w:val="24"/>
          </w:rPr>
          <w:t>7</w:t>
        </w:r>
      </w:p>
    </w:sdtContent>
  </w:sdt>
  <w:p w14:paraId="653A1FE6" w14:textId="77777777" w:rsidR="00F1368B" w:rsidRDefault="00F136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095CB9" w14:textId="77777777" w:rsidR="00C57D07" w:rsidRDefault="00C57D07" w:rsidP="00F1368B">
      <w:r>
        <w:separator/>
      </w:r>
    </w:p>
  </w:footnote>
  <w:footnote w:type="continuationSeparator" w:id="0">
    <w:p w14:paraId="61FD4B60" w14:textId="77777777" w:rsidR="00C57D07" w:rsidRDefault="00C57D07" w:rsidP="00F1368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2"/>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162F80"/>
    <w:rsid w:val="00173E46"/>
    <w:rsid w:val="0021133D"/>
    <w:rsid w:val="002D0FA4"/>
    <w:rsid w:val="0038607A"/>
    <w:rsid w:val="00454283"/>
    <w:rsid w:val="004F595C"/>
    <w:rsid w:val="005056CF"/>
    <w:rsid w:val="005165FD"/>
    <w:rsid w:val="00571CD2"/>
    <w:rsid w:val="00697F68"/>
    <w:rsid w:val="006A2A5B"/>
    <w:rsid w:val="00710080"/>
    <w:rsid w:val="007553FB"/>
    <w:rsid w:val="00802AEE"/>
    <w:rsid w:val="00803047"/>
    <w:rsid w:val="00955D46"/>
    <w:rsid w:val="009830CC"/>
    <w:rsid w:val="009F04F4"/>
    <w:rsid w:val="00A61C59"/>
    <w:rsid w:val="00A77B3E"/>
    <w:rsid w:val="00AC2E9E"/>
    <w:rsid w:val="00B03EE1"/>
    <w:rsid w:val="00C57D07"/>
    <w:rsid w:val="00C93DB3"/>
    <w:rsid w:val="00CA2A55"/>
    <w:rsid w:val="00CC4851"/>
    <w:rsid w:val="00CE235B"/>
    <w:rsid w:val="00D62634"/>
    <w:rsid w:val="00DD3E7D"/>
    <w:rsid w:val="00E80D83"/>
    <w:rsid w:val="00EA1EB8"/>
    <w:rsid w:val="00EB04BD"/>
    <w:rsid w:val="00F1368B"/>
    <w:rsid w:val="00F24245"/>
    <w:rsid w:val="00F527DA"/>
    <w:rsid w:val="00FC0C4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795D055"/>
  <w15:docId w15:val="{347AEC2B-797C-4A9B-9C0B-3044BDE9C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1368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F1368B"/>
    <w:rPr>
      <w:sz w:val="18"/>
      <w:szCs w:val="18"/>
    </w:rPr>
  </w:style>
  <w:style w:type="paragraph" w:styleId="Footer">
    <w:name w:val="footer"/>
    <w:basedOn w:val="Normal"/>
    <w:link w:val="FooterChar"/>
    <w:uiPriority w:val="99"/>
    <w:unhideWhenUsed/>
    <w:rsid w:val="00F1368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F1368B"/>
    <w:rPr>
      <w:sz w:val="18"/>
      <w:szCs w:val="18"/>
    </w:rPr>
  </w:style>
  <w:style w:type="character" w:styleId="CommentReference">
    <w:name w:val="annotation reference"/>
    <w:basedOn w:val="DefaultParagraphFont"/>
    <w:semiHidden/>
    <w:unhideWhenUsed/>
    <w:rsid w:val="002D0FA4"/>
    <w:rPr>
      <w:sz w:val="21"/>
      <w:szCs w:val="21"/>
    </w:rPr>
  </w:style>
  <w:style w:type="paragraph" w:styleId="CommentText">
    <w:name w:val="annotation text"/>
    <w:basedOn w:val="Normal"/>
    <w:link w:val="CommentTextChar"/>
    <w:semiHidden/>
    <w:unhideWhenUsed/>
    <w:rsid w:val="002D0FA4"/>
  </w:style>
  <w:style w:type="character" w:customStyle="1" w:styleId="CommentTextChar">
    <w:name w:val="Comment Text Char"/>
    <w:basedOn w:val="DefaultParagraphFont"/>
    <w:link w:val="CommentText"/>
    <w:semiHidden/>
    <w:rsid w:val="002D0FA4"/>
    <w:rPr>
      <w:sz w:val="24"/>
      <w:szCs w:val="24"/>
    </w:rPr>
  </w:style>
  <w:style w:type="paragraph" w:styleId="CommentSubject">
    <w:name w:val="annotation subject"/>
    <w:basedOn w:val="CommentText"/>
    <w:next w:val="CommentText"/>
    <w:link w:val="CommentSubjectChar"/>
    <w:semiHidden/>
    <w:unhideWhenUsed/>
    <w:rsid w:val="002D0FA4"/>
    <w:rPr>
      <w:b/>
      <w:bCs/>
    </w:rPr>
  </w:style>
  <w:style w:type="character" w:customStyle="1" w:styleId="CommentSubjectChar">
    <w:name w:val="Comment Subject Char"/>
    <w:basedOn w:val="CommentTextChar"/>
    <w:link w:val="CommentSubject"/>
    <w:semiHidden/>
    <w:rsid w:val="002D0FA4"/>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919856-CBF1-4919-8A0B-5E562F85D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4458</Words>
  <Characters>25411</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Donna Fox</cp:lastModifiedBy>
  <cp:revision>2</cp:revision>
  <dcterms:created xsi:type="dcterms:W3CDTF">2021-05-10T04:57:00Z</dcterms:created>
  <dcterms:modified xsi:type="dcterms:W3CDTF">2021-05-10T04:57:00Z</dcterms:modified>
</cp:coreProperties>
</file>