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F257A" w14:textId="76E71E98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</w:rPr>
        <w:t>Name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of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Journal: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i/>
        </w:rPr>
        <w:t>World</w:t>
      </w:r>
      <w:r w:rsidR="000D3AB5" w:rsidRPr="00B2588F">
        <w:rPr>
          <w:rFonts w:ascii="Book Antiqua" w:eastAsia="Book Antiqua" w:hAnsi="Book Antiqua" w:cs="Book Antiqua"/>
          <w:i/>
        </w:rPr>
        <w:t xml:space="preserve"> </w:t>
      </w:r>
      <w:r w:rsidRPr="00B2588F">
        <w:rPr>
          <w:rFonts w:ascii="Book Antiqua" w:eastAsia="Book Antiqua" w:hAnsi="Book Antiqua" w:cs="Book Antiqua"/>
          <w:i/>
        </w:rPr>
        <w:t>Journal</w:t>
      </w:r>
      <w:r w:rsidR="000D3AB5" w:rsidRPr="00B2588F">
        <w:rPr>
          <w:rFonts w:ascii="Book Antiqua" w:eastAsia="Book Antiqua" w:hAnsi="Book Antiqua" w:cs="Book Antiqua"/>
          <w:i/>
        </w:rPr>
        <w:t xml:space="preserve"> </w:t>
      </w:r>
      <w:r w:rsidRPr="00B2588F">
        <w:rPr>
          <w:rFonts w:ascii="Book Antiqua" w:eastAsia="Book Antiqua" w:hAnsi="Book Antiqua" w:cs="Book Antiqua"/>
          <w:i/>
        </w:rPr>
        <w:t>of</w:t>
      </w:r>
      <w:r w:rsidR="000D3AB5" w:rsidRPr="00B2588F">
        <w:rPr>
          <w:rFonts w:ascii="Book Antiqua" w:eastAsia="Book Antiqua" w:hAnsi="Book Antiqua" w:cs="Book Antiqua"/>
          <w:i/>
        </w:rPr>
        <w:t xml:space="preserve"> </w:t>
      </w:r>
      <w:r w:rsidRPr="00B2588F">
        <w:rPr>
          <w:rFonts w:ascii="Book Antiqua" w:eastAsia="Book Antiqua" w:hAnsi="Book Antiqua" w:cs="Book Antiqua"/>
          <w:i/>
        </w:rPr>
        <w:t>Diabetes</w:t>
      </w:r>
    </w:p>
    <w:p w14:paraId="124DA3DF" w14:textId="047C41AC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</w:rPr>
        <w:t>Manuscript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NO: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</w:rPr>
        <w:t>62033</w:t>
      </w:r>
    </w:p>
    <w:p w14:paraId="479460E0" w14:textId="0666CA56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</w:rPr>
        <w:t>Manuscript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Type: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</w:rPr>
        <w:t>MINIREVIEWS</w:t>
      </w:r>
    </w:p>
    <w:p w14:paraId="22555A6D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7AD466" w14:textId="6881D33B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</w:rPr>
        <w:t>Place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of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intravitreal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dexamethasone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implant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in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the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treatment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armamentarium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of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diabetic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macular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edema</w:t>
      </w:r>
    </w:p>
    <w:p w14:paraId="66332DDC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7344D6" w14:textId="57FA7E74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Karti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et</w:t>
      </w:r>
      <w:r w:rsidR="000D3AB5" w:rsidRPr="00B2588F">
        <w:rPr>
          <w:rFonts w:ascii="Book Antiqua" w:eastAsia="Book Antiqua" w:hAnsi="Book Antiqua" w:cs="Book Antiqua"/>
          <w:i/>
          <w:iCs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al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Dexamethasone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management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</w:p>
    <w:p w14:paraId="65249F81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0808EE" w14:textId="39DD735E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Omer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Karti,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Ali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Osman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Saatci</w:t>
      </w:r>
    </w:p>
    <w:p w14:paraId="544B6FF8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13714E" w14:textId="3CF700AD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  <w:bCs/>
        </w:rPr>
        <w:t>Omer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Karti,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</w:rPr>
        <w:t>Department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Ophthalmology,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İzmir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Democracy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University,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İzmir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35330,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Turkey</w:t>
      </w:r>
    </w:p>
    <w:p w14:paraId="1DEEB2FA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54DB30" w14:textId="4B639B40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  <w:bCs/>
        </w:rPr>
        <w:t>Ali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Osman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Saatci,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</w:rPr>
        <w:t>Department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Ophthalmology,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Dokuz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Eylul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University,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İzmir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35330,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Turkey</w:t>
      </w:r>
    </w:p>
    <w:p w14:paraId="7769AD61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2D667D" w14:textId="16F15081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  <w:bCs/>
        </w:rPr>
        <w:t>Author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contributions: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</w:rPr>
        <w:t>Karti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Saatci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AO</w:t>
      </w:r>
      <w:r w:rsidR="006428BB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contributed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conception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paper,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literature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review,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critical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revision,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approval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final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version.</w:t>
      </w:r>
    </w:p>
    <w:p w14:paraId="64C193D0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507A8F" w14:textId="3B743338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  <w:bCs/>
        </w:rPr>
        <w:t>Correspond</w:t>
      </w:r>
      <w:r w:rsidR="00954364" w:rsidRPr="00B2588F">
        <w:rPr>
          <w:rFonts w:ascii="Book Antiqua" w:eastAsia="Book Antiqua" w:hAnsi="Book Antiqua" w:cs="Book Antiqua"/>
          <w:b/>
          <w:bCs/>
        </w:rPr>
        <w:t>ence to</w:t>
      </w:r>
      <w:r w:rsidRPr="00B2588F">
        <w:rPr>
          <w:rFonts w:ascii="Book Antiqua" w:eastAsia="Book Antiqua" w:hAnsi="Book Antiqua" w:cs="Book Antiqua"/>
          <w:b/>
          <w:bCs/>
        </w:rPr>
        <w:t>: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Ali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Osman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Saatci,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MD,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Professor,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</w:rPr>
        <w:t>Department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Ophthalmology,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Dokuz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Eylul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University,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İnciraltı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Mahallesi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Mithatpaşa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cad.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1606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Balçova,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İzmir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35330,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Turkey.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osman.saatci@yahoo.com</w:t>
      </w:r>
      <w:r w:rsidR="000D3AB5" w:rsidRPr="00B2588F">
        <w:rPr>
          <w:rFonts w:ascii="Book Antiqua" w:eastAsia="Book Antiqua" w:hAnsi="Book Antiqua" w:cs="Book Antiqua"/>
        </w:rPr>
        <w:t xml:space="preserve"> </w:t>
      </w:r>
    </w:p>
    <w:p w14:paraId="377AC4A6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D6E227" w14:textId="7A6EB0B0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  <w:bCs/>
        </w:rPr>
        <w:t>Received: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</w:rPr>
        <w:t>December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27,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2020</w:t>
      </w:r>
    </w:p>
    <w:p w14:paraId="7DAEE7CD" w14:textId="05464DE3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  <w:bCs/>
        </w:rPr>
        <w:t>Revised: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="00960830" w:rsidRPr="00B2588F">
        <w:rPr>
          <w:rFonts w:ascii="Book Antiqua" w:eastAsia="Book Antiqua" w:hAnsi="Book Antiqua" w:cs="Book Antiqua"/>
        </w:rPr>
        <w:t>April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60830" w:rsidRPr="00B2588F">
        <w:rPr>
          <w:rFonts w:ascii="Book Antiqua" w:eastAsia="Book Antiqua" w:hAnsi="Book Antiqua" w:cs="Book Antiqua"/>
        </w:rPr>
        <w:t>25,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60830" w:rsidRPr="00B2588F">
        <w:rPr>
          <w:rFonts w:ascii="Book Antiqua" w:eastAsia="Book Antiqua" w:hAnsi="Book Antiqua" w:cs="Book Antiqua"/>
        </w:rPr>
        <w:t>2021</w:t>
      </w:r>
    </w:p>
    <w:p w14:paraId="39FFAA92" w14:textId="46BB10FB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  <w:bCs/>
        </w:rPr>
        <w:t>Accepted: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="00070AB0" w:rsidRPr="00B2588F">
        <w:rPr>
          <w:rFonts w:ascii="Book Antiqua" w:eastAsia="Book Antiqua" w:hAnsi="Book Antiqua" w:cs="Book Antiqua"/>
          <w:bCs/>
        </w:rPr>
        <w:t>July 7, 2021</w:t>
      </w:r>
    </w:p>
    <w:p w14:paraId="203F69B3" w14:textId="233C2297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  <w:bCs/>
        </w:rPr>
        <w:t>Published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online: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</w:p>
    <w:p w14:paraId="3BC6B685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0969" w:rsidRPr="00B2588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54D286" w14:textId="77777777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</w:rPr>
        <w:lastRenderedPageBreak/>
        <w:t>Abstract</w:t>
      </w:r>
    </w:p>
    <w:p w14:paraId="3E1D4016" w14:textId="22A846FF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Diabetic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edema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(DME)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important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well-known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visual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loss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diabetics.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Blood–retina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barrier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disruption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consequent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intraretinal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fluid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accumulation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lead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retinal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thickening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posterior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pole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namely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though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clearly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understood,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current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evidence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suggests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chronic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low-grade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inflammation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characterized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various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cytokines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major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role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occurrence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Clinical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trials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continuously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shaping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our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approaches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Today,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vascular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endothelial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growth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factor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(VEGF)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inhibitor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steroid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administrations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alternatives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Dexamethasone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(DEX)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(Ozurdex®;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Allergan,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Inc.,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Irvine,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United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States)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approved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United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States</w:t>
      </w:r>
      <w:r w:rsidR="000D3AB5" w:rsidRPr="00B2588F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B2588F">
        <w:rPr>
          <w:rFonts w:ascii="Book Antiqua" w:eastAsia="Book Antiqua" w:hAnsi="Book Antiqua" w:cs="Book Antiqua"/>
          <w:shd w:val="clear" w:color="auto" w:fill="FFFFFF"/>
        </w:rPr>
        <w:t>Food</w:t>
      </w:r>
      <w:r w:rsidR="000D3AB5" w:rsidRPr="00B2588F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B2588F">
        <w:rPr>
          <w:rFonts w:ascii="Book Antiqua" w:eastAsia="Book Antiqua" w:hAnsi="Book Antiqua" w:cs="Book Antiqua"/>
          <w:shd w:val="clear" w:color="auto" w:fill="FFFFFF"/>
        </w:rPr>
        <w:t>&amp;</w:t>
      </w:r>
      <w:r w:rsidR="000D3AB5" w:rsidRPr="00B2588F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B2588F">
        <w:rPr>
          <w:rFonts w:ascii="Book Antiqua" w:eastAsia="Book Antiqua" w:hAnsi="Book Antiqua" w:cs="Book Antiqua"/>
          <w:shd w:val="clear" w:color="auto" w:fill="FFFFFF"/>
        </w:rPr>
        <w:t>Drug</w:t>
      </w:r>
      <w:r w:rsidR="000D3AB5" w:rsidRPr="00B2588F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B2588F">
        <w:rPr>
          <w:rFonts w:ascii="Book Antiqua" w:eastAsia="Book Antiqua" w:hAnsi="Book Antiqua" w:cs="Book Antiqua"/>
          <w:shd w:val="clear" w:color="auto" w:fill="FFFFFF"/>
        </w:rPr>
        <w:t>Administration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2014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made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biodegradable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solid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copolymer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broken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down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releasing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active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ingredient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cavity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over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time.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Biphasic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release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feature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sustained-release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drug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delivery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system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ensures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54364" w:rsidRPr="00B2588F">
        <w:rPr>
          <w:rFonts w:ascii="Book Antiqua" w:eastAsia="Book Antiqua" w:hAnsi="Book Antiqua" w:cs="Book Antiqua"/>
        </w:rPr>
        <w:t>6 mo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acceptable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manageable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safety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profile.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provides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favorable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anatomical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functional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outcome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shown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several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randomized-controlled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relatively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higher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side-effect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profile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such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increased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risk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cataract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formation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raised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pressure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compared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gold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standard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agents.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Thus,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becomes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second-line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option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demonstrating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inadequate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clinical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response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therapy.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However,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preferred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first-line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vitrectomized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pseudophakic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some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selected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conditions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favored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over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agents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VEGF-inhibitors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either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inappropriate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contraindicated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such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history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major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cardiovascular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cerebrovascular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event,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pregnancy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noncompliant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frequent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visits.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mini-review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briefly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overviews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safety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profile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complications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summarizes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outcome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administration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major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clinical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treatment.</w:t>
      </w:r>
      <w:r w:rsidR="000D3AB5" w:rsidRPr="00B2588F">
        <w:rPr>
          <w:rFonts w:ascii="Book Antiqua" w:hAnsi="Book Antiqua"/>
        </w:rPr>
        <w:t xml:space="preserve"> </w:t>
      </w:r>
    </w:p>
    <w:p w14:paraId="03306AEE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82E541" w14:textId="033C2D90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  <w:bCs/>
        </w:rPr>
        <w:t>Key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Words: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</w:rPr>
        <w:t>Dexamethasone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implant;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Diabetic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edema;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Diabetic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retinopathy;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Drug-delivery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system;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Glaucoma;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Pharmacotherapy</w:t>
      </w:r>
    </w:p>
    <w:p w14:paraId="7FA1E2AD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82058E" w14:textId="7D898B59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Karti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Saatci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AO.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Place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intravitreal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dexamethasone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armamentarium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diabetic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edema.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World</w:t>
      </w:r>
      <w:r w:rsidR="000D3AB5" w:rsidRPr="00B2588F">
        <w:rPr>
          <w:rFonts w:ascii="Book Antiqua" w:eastAsia="Book Antiqua" w:hAnsi="Book Antiqua" w:cs="Book Antiqua"/>
          <w:i/>
          <w:iCs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J</w:t>
      </w:r>
      <w:r w:rsidR="000D3AB5" w:rsidRPr="00B2588F">
        <w:rPr>
          <w:rFonts w:ascii="Book Antiqua" w:eastAsia="Book Antiqua" w:hAnsi="Book Antiqua" w:cs="Book Antiqua"/>
          <w:i/>
          <w:iCs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Diabetes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2021;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press</w:t>
      </w:r>
    </w:p>
    <w:p w14:paraId="171BD20F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564924" w14:textId="1489B5ED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  <w:bCs/>
        </w:rPr>
        <w:t>Core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Tip: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Administration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dexamethasone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(DEX)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among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therapeutic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alternatives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diabetic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edema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(DME).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Though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provides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long-standing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anatomic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visual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improvement,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induced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cataract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progression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pressure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elevation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limit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clinical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first-line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sometimes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preferred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option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previously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vitrectomized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pseudophakic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some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specific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conditions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vascular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endothelial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growth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factor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inhibitors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either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contraindicated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suboptimal.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mini-review,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overviewed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randomized-controlled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trials,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real-life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clinical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experiences,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meta-analyses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DME.</w:t>
      </w:r>
    </w:p>
    <w:p w14:paraId="0640B832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E70447" w14:textId="77777777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689C237F" w14:textId="69263548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Diabetic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edema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(DME)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common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loss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working-age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population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suffering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from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diabetes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mellitus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(DM)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characterized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retinal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thickening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posterior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pole,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intraretinal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and/or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subretinal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fluid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accumulation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due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hyperpermeable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retinal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vasculature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microenvironmental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alterations</w:t>
      </w:r>
      <w:r w:rsidRPr="00B2588F">
        <w:rPr>
          <w:rFonts w:ascii="Book Antiqua" w:eastAsia="Book Antiqua" w:hAnsi="Book Antiqua" w:cs="Book Antiqua"/>
          <w:vertAlign w:val="superscript"/>
        </w:rPr>
        <w:t>[1-3]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  <w:vertAlign w:val="superscript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occur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stage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diabetic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retinopathy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(DR)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varying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from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mild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non-proliferative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proliferative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often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closely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associated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systemic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risk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factors.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disease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duration,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elevated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systolic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blood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pressure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high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HbA1c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level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among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systemic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risk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factors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whereas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risk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factor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severity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DR</w:t>
      </w:r>
      <w:r w:rsidRPr="00B2588F">
        <w:rPr>
          <w:rFonts w:ascii="Book Antiqua" w:eastAsia="Book Antiqua" w:hAnsi="Book Antiqua" w:cs="Book Antiqua"/>
          <w:vertAlign w:val="superscript"/>
        </w:rPr>
        <w:t>[3]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Prevalence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varies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between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2.7%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11.1%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among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prevalence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affected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type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race,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ethnicity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disease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duration</w:t>
      </w:r>
      <w:r w:rsidRPr="00B2588F">
        <w:rPr>
          <w:rFonts w:ascii="Book Antiqua" w:eastAsia="Book Antiqua" w:hAnsi="Book Antiqua" w:cs="Book Antiqua"/>
          <w:vertAlign w:val="superscript"/>
        </w:rPr>
        <w:t>[4-9]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longer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duration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diabetes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higher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prevalence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estimated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20%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diabetes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10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years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30%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diabetes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25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years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will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likely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develop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Pr="00B2588F">
        <w:rPr>
          <w:rFonts w:ascii="Book Antiqua" w:eastAsia="Book Antiqua" w:hAnsi="Book Antiqua" w:cs="Book Antiqua"/>
          <w:vertAlign w:val="superscript"/>
        </w:rPr>
        <w:t>[10]</w:t>
      </w:r>
      <w:r w:rsidRPr="00B2588F">
        <w:rPr>
          <w:rFonts w:ascii="Book Antiqua" w:eastAsia="Book Antiqua" w:hAnsi="Book Antiqua" w:cs="Book Antiqua"/>
        </w:rPr>
        <w:t>.</w:t>
      </w:r>
    </w:p>
    <w:p w14:paraId="490A9F92" w14:textId="14EC9D45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Although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exact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molecular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mechanisms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remain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unclear,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building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evidence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indicated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role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inflammation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angiogenesis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pathogenesis.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However,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lastRenderedPageBreak/>
        <w:t>sequence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pathophysiological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quite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complex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still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fully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understood.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Chronic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hyperglycemia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culprit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initiating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pathologic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process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triggering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endothelial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dysfunction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subsequent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blood-retina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barrier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disruption</w:t>
      </w:r>
      <w:r w:rsidRPr="00B2588F">
        <w:rPr>
          <w:rFonts w:ascii="Book Antiqua" w:eastAsia="Book Antiqua" w:hAnsi="Book Antiqua" w:cs="Book Antiqua"/>
          <w:vertAlign w:val="superscript"/>
        </w:rPr>
        <w:t>[11,12]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Capillary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basement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membrane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thickening,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pericyte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loss,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capillary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dilation,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increased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vascular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permeability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early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retinal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microvascular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abnormalities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stimulate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pro-inflammatory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pro-angiogenic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processes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Pr="00B2588F">
        <w:rPr>
          <w:rFonts w:ascii="Book Antiqua" w:eastAsia="Book Antiqua" w:hAnsi="Book Antiqua" w:cs="Book Antiqua"/>
          <w:vertAlign w:val="superscript"/>
        </w:rPr>
        <w:t>[12]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Although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vascular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endothelial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growth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factor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(VEGF),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potent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cytokine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vasopermeability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factor,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seems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key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player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definitely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sole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responsible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inflammatory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cytokine.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Moreover,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still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obscure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whether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increased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production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consequence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inflammation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Pr="00B2588F">
        <w:rPr>
          <w:rFonts w:ascii="Book Antiqua" w:eastAsia="Book Antiqua" w:hAnsi="Book Antiqua" w:cs="Book Antiqua"/>
          <w:vertAlign w:val="superscript"/>
        </w:rPr>
        <w:t>[11]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Chronic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low-grade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inflammatory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response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involves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leukostasis,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macrophage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accumulation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elevation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pro-inflammatory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factors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(cytokines,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chemokines,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adhesion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molecules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angiogenic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factors)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such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interleukin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(IL)-1β,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IL-6,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IL-8,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interferon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gamma-induced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protein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10,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stromal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cell-derived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factor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monocyte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chemotactic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protein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intercellular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adhesion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molecule-1,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vascular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cell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adhesion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molecule-1,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VEGF,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platelet-derived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growth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factor,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transforming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growth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factor-beta,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placental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growth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factor,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tumor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necrosis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factor-α,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matrix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metalloproteinase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9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results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blood-retina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barrier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disruption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characterized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damaged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endothelial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cell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junctions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increased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vasopermeability.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Pathophysiological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process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biochemical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pathways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illustrated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Figure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</w:t>
      </w:r>
      <w:r w:rsidRPr="00B2588F">
        <w:rPr>
          <w:rFonts w:ascii="Book Antiqua" w:eastAsia="Book Antiqua" w:hAnsi="Book Antiqua" w:cs="Book Antiqua"/>
          <w:vertAlign w:val="superscript"/>
        </w:rPr>
        <w:t>[3,9-16]</w:t>
      </w:r>
      <w:r w:rsidRPr="00B2588F">
        <w:rPr>
          <w:rFonts w:ascii="Book Antiqua" w:eastAsia="Book Antiqua" w:hAnsi="Book Antiqua" w:cs="Book Antiqua"/>
        </w:rPr>
        <w:t>.</w:t>
      </w:r>
    </w:p>
    <w:p w14:paraId="3798751D" w14:textId="7A7C9A41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Currently,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laser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photocoagulation,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intravitreal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VEGF-inhibitors,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intravitreal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steroids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plana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vitrectomy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among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options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Pr="00B2588F">
        <w:rPr>
          <w:rFonts w:ascii="Book Antiqua" w:eastAsia="Book Antiqua" w:hAnsi="Book Antiqua" w:cs="Book Antiqua"/>
          <w:vertAlign w:val="superscript"/>
        </w:rPr>
        <w:t>[12]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However,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their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sequencing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still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matter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debate.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Earlier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laser,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laser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beam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directed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mainly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leaking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microaneurysms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selectively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laser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photocoagulation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laser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beam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administered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over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diffuse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leakage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areas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generally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reduces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risk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moderate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loss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fovea-involved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does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usually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provide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visual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gain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laser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does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target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molecular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pathways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underlying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formation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Pr="00B2588F">
        <w:rPr>
          <w:rFonts w:ascii="Book Antiqua" w:eastAsia="Book Antiqua" w:hAnsi="Book Antiqua" w:cs="Book Antiqua"/>
          <w:vertAlign w:val="superscript"/>
        </w:rPr>
        <w:t>[10,17-19]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Nowadays,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laser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photocoagulation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rarely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laser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photocoagulation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minority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due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success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story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intravitreal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therapies.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Currently,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pharmacotherapy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(VEGF-inhibitors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steroids)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considered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lastRenderedPageBreak/>
        <w:t>better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therapeutic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option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laser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therapy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widely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employed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especially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center-involved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targets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underlying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molecular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pathways</w:t>
      </w:r>
      <w:r w:rsidRPr="00B2588F">
        <w:rPr>
          <w:rFonts w:ascii="Book Antiqua" w:eastAsia="Book Antiqua" w:hAnsi="Book Antiqua" w:cs="Book Antiqua"/>
          <w:vertAlign w:val="superscript"/>
        </w:rPr>
        <w:t>[10,20,21]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  <w:vertAlign w:val="superscript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VEGF-inhibitors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already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proven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many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major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randomized-controlled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clinical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trials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provided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better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anatomic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visual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outcome.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time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being,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European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society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retina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specialists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(EURETINA)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guideline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recommending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intravitreal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agents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first-line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therapy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center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involved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Pr="00B2588F">
        <w:rPr>
          <w:rFonts w:ascii="Book Antiqua" w:eastAsia="Book Antiqua" w:hAnsi="Book Antiqua" w:cs="Book Antiqua"/>
          <w:vertAlign w:val="superscript"/>
        </w:rPr>
        <w:t>[22]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However,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necessity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frequent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monthly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intravitreal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creates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great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inconvenience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majority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especially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persistent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recurrent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due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their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relatively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short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half-life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thereby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causes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tremendous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burden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also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caregivers</w:t>
      </w:r>
      <w:r w:rsidRPr="00B2588F">
        <w:rPr>
          <w:rFonts w:ascii="Book Antiqua" w:eastAsia="Book Antiqua" w:hAnsi="Book Antiqua" w:cs="Book Antiqua"/>
          <w:vertAlign w:val="superscript"/>
        </w:rPr>
        <w:t>[20]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Physicians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generally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prefer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switch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from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agent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respond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well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show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inadequate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response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ongoing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therapy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laser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Pr="00B2588F">
        <w:rPr>
          <w:rFonts w:ascii="Book Antiqua" w:eastAsia="Book Antiqua" w:hAnsi="Book Antiqua" w:cs="Book Antiqua"/>
          <w:vertAlign w:val="superscript"/>
        </w:rPr>
        <w:t>[21,22]</w:t>
      </w:r>
      <w:r w:rsidRPr="00B2588F">
        <w:rPr>
          <w:rFonts w:ascii="Book Antiqua" w:eastAsia="Book Antiqua" w:hAnsi="Book Antiqua" w:cs="Book Antiqua"/>
        </w:rPr>
        <w:t>.</w:t>
      </w:r>
    </w:p>
    <w:p w14:paraId="6ED1A18A" w14:textId="5518E387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Intravitreal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corticosteroid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administration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utilized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paramount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role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inflammation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evident.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Steroids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inhibit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phospholipase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A2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arachidonic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pathways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display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their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effects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reducing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expression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also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suppressing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inflammatory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cytokines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thereby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blocking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leukostasis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improving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vascular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permeability</w:t>
      </w:r>
      <w:r w:rsidRPr="00B2588F">
        <w:rPr>
          <w:rFonts w:ascii="Book Antiqua" w:eastAsia="Book Antiqua" w:hAnsi="Book Antiqua" w:cs="Book Antiqua"/>
          <w:vertAlign w:val="superscript"/>
        </w:rPr>
        <w:t>[9,10]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Intravitreal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drug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administration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efficacious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higher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drug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concentrations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achieved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infrequent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systemic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side-effects</w:t>
      </w:r>
      <w:r w:rsidRPr="00B2588F">
        <w:rPr>
          <w:rFonts w:ascii="Book Antiqua" w:eastAsia="Book Antiqua" w:hAnsi="Book Antiqua" w:cs="Book Antiqua"/>
          <w:vertAlign w:val="superscript"/>
        </w:rPr>
        <w:t>[10]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Dexamethasone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(DEX)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phosphate,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triamcinolone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acetonide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(TA),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fluocinolone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acetonide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(FA)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three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currently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available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synthetic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steroids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administered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intravitreally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different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glucocorticoid-receptor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binding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activity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lipophilicity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contrasting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relative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potencies</w:t>
      </w:r>
      <w:r w:rsidRPr="00B2588F">
        <w:rPr>
          <w:rFonts w:ascii="Book Antiqua" w:eastAsia="Book Antiqua" w:hAnsi="Book Antiqua" w:cs="Book Antiqua"/>
          <w:vertAlign w:val="superscript"/>
        </w:rPr>
        <w:t>[9]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steroid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potent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anti-inflammatory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effect,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five-times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effective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TA,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shorter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half-life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cavity.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lower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anti-inflammatory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effect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longer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half-life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Due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short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half-life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management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intravitreally</w:t>
      </w:r>
      <w:r w:rsidRPr="00B2588F">
        <w:rPr>
          <w:rFonts w:ascii="Book Antiqua" w:eastAsia="Book Antiqua" w:hAnsi="Book Antiqua" w:cs="Book Antiqua"/>
          <w:vertAlign w:val="superscript"/>
        </w:rPr>
        <w:t>[9,17]</w:t>
      </w:r>
      <w:r w:rsidRPr="00B2588F">
        <w:rPr>
          <w:rFonts w:ascii="Book Antiqua" w:eastAsia="Book Antiqua" w:hAnsi="Book Antiqua" w:cs="Book Antiqua"/>
        </w:rPr>
        <w:t>.</w:t>
      </w:r>
    </w:p>
    <w:p w14:paraId="7B2F1A53" w14:textId="249EC24D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sustained-release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steroid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developed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conjunction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technological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advances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innovations.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Besides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their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long-acting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anti-inflammatory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effect,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look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advantageous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satisfactory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anatomical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functional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lastRenderedPageBreak/>
        <w:t>outcomes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achieved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significantly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fewer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number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intravitreal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</w:t>
      </w:r>
      <w:r w:rsidRPr="00B2588F">
        <w:rPr>
          <w:rFonts w:ascii="Book Antiqua" w:eastAsia="Book Antiqua" w:hAnsi="Book Antiqua" w:cs="Book Antiqua"/>
          <w:vertAlign w:val="superscript"/>
        </w:rPr>
        <w:t>[9,20,22,23]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(Ozurdex®;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Allergan,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Inc.,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Irvine,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United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States)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biodegradable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solid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polymer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drug-delivery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system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contains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0.7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administered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intravitreally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single-use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device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23-gauge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needle</w:t>
      </w:r>
      <w:r w:rsidRPr="00B2588F">
        <w:rPr>
          <w:rFonts w:ascii="Book Antiqua" w:eastAsia="Book Antiqua" w:hAnsi="Book Antiqua" w:cs="Book Antiqua"/>
          <w:vertAlign w:val="superscript"/>
        </w:rPr>
        <w:t>[23]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example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Ozurdex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intravitreal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device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displayed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Figure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drug-delivery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system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based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diffusion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principle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releasing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cavity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two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phases: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initial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high-concentration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phase,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followed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second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low-concentration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phase.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Biphasic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release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fashion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extend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effect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B2588F" w:rsidRPr="00B2588F">
        <w:rPr>
          <w:rFonts w:ascii="Book Antiqua" w:eastAsia="Book Antiqua" w:hAnsi="Book Antiqua" w:cs="Book Antiqua"/>
        </w:rPr>
        <w:t>6 mo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according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label.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However,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maximum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effect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occurs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approximately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B2588F" w:rsidRPr="00B2588F">
        <w:rPr>
          <w:rFonts w:ascii="Book Antiqua" w:eastAsia="Book Antiqua" w:hAnsi="Book Antiqua" w:cs="Book Antiqua"/>
        </w:rPr>
        <w:t>2 mo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after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effect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slowly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wanes</w:t>
      </w:r>
      <w:r w:rsidRPr="00B2588F">
        <w:rPr>
          <w:rFonts w:ascii="Book Antiqua" w:eastAsia="Book Antiqua" w:hAnsi="Book Antiqua" w:cs="Book Antiqua"/>
          <w:vertAlign w:val="superscript"/>
        </w:rPr>
        <w:t>[9,20,22,24]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  <w:vertAlign w:val="superscript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initially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metabolized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lactic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glycolic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due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biodegradable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property,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subsequently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cleared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from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metabolized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carbon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dioxide</w:t>
      </w:r>
      <w:r w:rsidRPr="00B2588F">
        <w:rPr>
          <w:rFonts w:ascii="Book Antiqua" w:eastAsia="Book Antiqua" w:hAnsi="Book Antiqua" w:cs="Book Antiqua"/>
          <w:vertAlign w:val="superscript"/>
        </w:rPr>
        <w:t>[17]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effect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also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predictable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vitrectomized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surgery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does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affect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pharmacokinetics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appearance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illustrated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Figure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3.</w:t>
      </w:r>
    </w:p>
    <w:p w14:paraId="5911D145" w14:textId="3E2DBE2C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According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EURETINA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guidelines,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steroids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recommended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second-line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fraught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relatively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higher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side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effect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profile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VEGF-inhibitors,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generally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preferred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persistent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respond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despite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3-6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consecutive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</w:t>
      </w:r>
      <w:r w:rsidRPr="00B2588F">
        <w:rPr>
          <w:rFonts w:ascii="Book Antiqua" w:eastAsia="Book Antiqua" w:hAnsi="Book Antiqua" w:cs="Book Antiqua"/>
          <w:vertAlign w:val="superscript"/>
        </w:rPr>
        <w:t>[22]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However,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steroids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sometimes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preferred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first-line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some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special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occasions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inhibitors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either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contraindicated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(such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history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major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cardiovascular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pregnancy)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expected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achieve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suboptimal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outcome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such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vitrectomized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non-compliant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Pr="00B2588F">
        <w:rPr>
          <w:rFonts w:ascii="Book Antiqua" w:eastAsia="Book Antiqua" w:hAnsi="Book Antiqua" w:cs="Book Antiqua"/>
          <w:vertAlign w:val="superscript"/>
        </w:rPr>
        <w:t>[9,20,22]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</w:p>
    <w:p w14:paraId="1B962C4B" w14:textId="58410636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2588F">
        <w:rPr>
          <w:rFonts w:ascii="Book Antiqua" w:eastAsia="Book Antiqua" w:hAnsi="Book Antiqua" w:cs="Book Antiqua"/>
        </w:rPr>
        <w:t>While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currently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most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popular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commonly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corticosteroid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also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employed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chronic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similar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anti-inflammatory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potency.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Iluvien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(Alimera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Sciences,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Aldershot,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United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Kingdom)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commercially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available,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non-biodegradable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steroid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loaded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0.19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cavity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25-gauge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needle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effect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extend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36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Iluvien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approved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United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States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Food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&amp;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Drug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lastRenderedPageBreak/>
        <w:t>Administration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(FDA)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chronic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experience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steroid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induced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pressure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(IOP)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rise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previously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based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fluocinolone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acetate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edema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September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2014.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EURETINA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guidelines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suggested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should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preferred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over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However,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guidelines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also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suggested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considered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nonsteroid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responder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develop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steroid-induced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IOP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elevation)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chronic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unresponsive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treatments</w:t>
      </w:r>
      <w:r w:rsidRPr="00B2588F">
        <w:rPr>
          <w:rFonts w:ascii="Book Antiqua" w:eastAsia="Book Antiqua" w:hAnsi="Book Antiqua" w:cs="Book Antiqua"/>
          <w:vertAlign w:val="superscript"/>
        </w:rPr>
        <w:t>[20-22]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off-label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associated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cataract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formation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IOP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elevation,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EURETINA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guidelines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recommended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should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administered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cannot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reach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FDA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approved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steroid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agents</w:t>
      </w:r>
      <w:r w:rsidRPr="00B2588F">
        <w:rPr>
          <w:rFonts w:ascii="Book Antiqua" w:eastAsia="Book Antiqua" w:hAnsi="Book Antiqua" w:cs="Book Antiqua"/>
          <w:vertAlign w:val="superscript"/>
        </w:rPr>
        <w:t>[22]</w:t>
      </w:r>
      <w:r w:rsidRPr="00B2588F">
        <w:rPr>
          <w:rFonts w:ascii="Book Antiqua" w:eastAsia="Book Antiqua" w:hAnsi="Book Antiqua" w:cs="Book Antiqua"/>
        </w:rPr>
        <w:t>.</w:t>
      </w:r>
    </w:p>
    <w:p w14:paraId="6B2E061F" w14:textId="77777777" w:rsidR="00A70969" w:rsidRPr="00B2588F" w:rsidRDefault="00A70969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5FADBB09" w14:textId="7765531A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B2588F">
        <w:rPr>
          <w:rFonts w:ascii="Book Antiqua" w:eastAsia="Book Antiqua" w:hAnsi="Book Antiqua" w:cs="Book Antiqua"/>
          <w:b/>
          <w:bCs/>
          <w:u w:val="single"/>
        </w:rPr>
        <w:t>MAJOR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DEX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IMPLANT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TRIALS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FOR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THE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TREATMENT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OF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DME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</w:p>
    <w:p w14:paraId="26ED3824" w14:textId="06812848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first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approved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retinal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occlusion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FDA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2009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approved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management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2014</w:t>
      </w:r>
      <w:r w:rsidRPr="00B2588F">
        <w:rPr>
          <w:rFonts w:ascii="Book Antiqua" w:eastAsia="Book Antiqua" w:hAnsi="Book Antiqua" w:cs="Book Antiqua"/>
          <w:vertAlign w:val="superscript"/>
        </w:rPr>
        <w:t>[20]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</w:rPr>
        <w:t>Table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summarizes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major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clinical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about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administration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Pr="00B2588F">
        <w:rPr>
          <w:rFonts w:ascii="Book Antiqua" w:eastAsia="Book Antiqua" w:hAnsi="Book Antiqua" w:cs="Book Antiqua"/>
          <w:vertAlign w:val="superscript"/>
        </w:rPr>
        <w:t>[24-33]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Most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investigated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safety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profile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phakic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and/or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pseudophakic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including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previously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vitrectomized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either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monotherapy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combination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laser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photocoagulation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VEGF-inhibitors.</w:t>
      </w:r>
    </w:p>
    <w:p w14:paraId="758F77D2" w14:textId="2C88A358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MEAD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(two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randomized,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multicenter,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masked,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sham-controlled,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phase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III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trials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identical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protocols)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registering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trial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evaluating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safety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Pr="00B2588F">
        <w:rPr>
          <w:rFonts w:ascii="Book Antiqua" w:eastAsia="Book Antiqua" w:hAnsi="Book Antiqua" w:cs="Book Antiqua"/>
          <w:vertAlign w:val="superscript"/>
        </w:rPr>
        <w:t>[24]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54364" w:rsidRPr="00B2588F">
        <w:rPr>
          <w:rFonts w:ascii="Book Antiqua" w:eastAsia="Book Antiqua" w:hAnsi="Book Antiqua" w:cs="Book Antiqua"/>
        </w:rPr>
        <w:t>1048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center-involved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randomized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administration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0.7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0.35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sham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procedure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followed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54364" w:rsidRPr="00B2588F">
        <w:rPr>
          <w:rFonts w:ascii="Book Antiqua" w:eastAsia="Book Antiqua" w:hAnsi="Book Antiqua" w:cs="Book Antiqua"/>
        </w:rPr>
        <w:t xml:space="preserve">3 </w:t>
      </w:r>
      <w:r w:rsidRPr="00B2588F">
        <w:rPr>
          <w:rFonts w:ascii="Book Antiqua" w:eastAsia="Book Antiqua" w:hAnsi="Book Antiqua" w:cs="Book Antiqua"/>
        </w:rPr>
        <w:t>years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average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54364" w:rsidRPr="00B2588F">
        <w:rPr>
          <w:rFonts w:ascii="Book Antiqua" w:eastAsia="Book Antiqua" w:hAnsi="Book Antiqua" w:cs="Book Antiqua"/>
        </w:rPr>
        <w:t>4-5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MEAD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trials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elucidated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percentage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≥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15-letter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improvement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best-corrected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visual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acuity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(BCVA)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average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reduction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central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thickness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(CMT)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3-year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follow-up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from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baseline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higher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0.7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0.35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sham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procedure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favorable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safety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profile.</w:t>
      </w:r>
      <w:r w:rsidR="000D3AB5" w:rsidRPr="00B2588F">
        <w:rPr>
          <w:rFonts w:ascii="Book Antiqua" w:eastAsia="Book Antiqua" w:hAnsi="Book Antiqua" w:cs="Book Antiqua"/>
          <w:vertAlign w:val="superscript"/>
        </w:rPr>
        <w:t xml:space="preserve"> </w:t>
      </w:r>
      <w:r w:rsidRPr="00B2588F">
        <w:rPr>
          <w:rFonts w:ascii="Book Antiqua" w:eastAsia="Book Antiqua" w:hAnsi="Book Antiqua" w:cs="Book Antiqua"/>
        </w:rPr>
        <w:t>0.7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  <w:shd w:val="clear" w:color="auto" w:fill="FFFFFF"/>
        </w:rPr>
        <w:t>DEX</w:t>
      </w:r>
      <w:r w:rsidR="000D3AB5" w:rsidRPr="00B2588F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B2588F">
        <w:rPr>
          <w:rFonts w:ascii="Book Antiqua" w:eastAsia="Book Antiqua" w:hAnsi="Book Antiqua" w:cs="Book Antiqua"/>
          <w:shd w:val="clear" w:color="auto" w:fill="FFFFFF"/>
        </w:rPr>
        <w:t>i</w:t>
      </w:r>
      <w:r w:rsidRPr="00B2588F">
        <w:rPr>
          <w:rFonts w:ascii="Book Antiqua" w:eastAsia="Book Antiqua" w:hAnsi="Book Antiqua" w:cs="Book Antiqua"/>
        </w:rPr>
        <w:t>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approved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FDA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based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MEAD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trials</w:t>
      </w:r>
      <w:r w:rsidRPr="00B2588F">
        <w:rPr>
          <w:rFonts w:ascii="Book Antiqua" w:eastAsia="Book Antiqua" w:hAnsi="Book Antiqua" w:cs="Book Antiqua"/>
          <w:vertAlign w:val="superscript"/>
        </w:rPr>
        <w:t>[24]</w:t>
      </w:r>
      <w:r w:rsidRPr="00B2588F">
        <w:rPr>
          <w:rFonts w:ascii="Book Antiqua" w:eastAsia="Book Antiqua" w:hAnsi="Book Antiqua" w:cs="Book Antiqua"/>
        </w:rPr>
        <w:t>.</w:t>
      </w:r>
    </w:p>
    <w:p w14:paraId="1BF49CB7" w14:textId="4A34B800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prospective,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multicenter,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phase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54364" w:rsidRPr="00B2588F">
        <w:rPr>
          <w:rFonts w:ascii="Book Antiqua" w:eastAsia="Book Antiqua" w:hAnsi="Book Antiqua" w:cs="Book Antiqua"/>
        </w:rPr>
        <w:t>II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clinical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conducted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Ozurdex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CHAMPLAIN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</w:t>
      </w:r>
      <w:r w:rsidRPr="00B2588F">
        <w:rPr>
          <w:rFonts w:ascii="Book Antiqua" w:eastAsia="Book Antiqua" w:hAnsi="Book Antiqua" w:cs="Book Antiqua"/>
          <w:vertAlign w:val="superscript"/>
        </w:rPr>
        <w:t>[26]</w:t>
      </w:r>
      <w:r w:rsidRPr="00B2588F">
        <w:rPr>
          <w:rFonts w:ascii="Book Antiqua" w:eastAsia="Book Antiqua" w:hAnsi="Book Antiqua" w:cs="Book Antiqua"/>
        </w:rPr>
        <w:t>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safety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0.7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lastRenderedPageBreak/>
        <w:t>evaluated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difficult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previously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vitrectomized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Statistically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significant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improvement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BCVA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reduction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CMT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following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first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54364" w:rsidRPr="00B2588F">
        <w:rPr>
          <w:rFonts w:ascii="Book Antiqua" w:eastAsia="Book Antiqua" w:hAnsi="Book Antiqua" w:cs="Book Antiqua"/>
        </w:rPr>
        <w:t>2 and 6 mo</w:t>
      </w:r>
      <w:r w:rsidRPr="00B2588F">
        <w:rPr>
          <w:rFonts w:ascii="Book Antiqua" w:eastAsia="Book Antiqua" w:hAnsi="Book Antiqua" w:cs="Book Antiqua"/>
          <w:vertAlign w:val="superscript"/>
        </w:rPr>
        <w:t>[26]</w:t>
      </w:r>
      <w:r w:rsidRPr="00B2588F">
        <w:rPr>
          <w:rFonts w:ascii="Book Antiqua" w:eastAsia="Book Antiqua" w:hAnsi="Book Antiqua" w:cs="Book Antiqua"/>
        </w:rPr>
        <w:t>.</w:t>
      </w:r>
    </w:p>
    <w:p w14:paraId="122CE1D7" w14:textId="209E0C46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Multicenter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Ozurdex®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assessment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(MOZART)</w:t>
      </w:r>
      <w:r w:rsidRPr="00B2588F">
        <w:rPr>
          <w:rFonts w:ascii="Book Antiqua" w:eastAsia="Book Antiqua" w:hAnsi="Book Antiqua" w:cs="Book Antiqua"/>
          <w:vertAlign w:val="superscript"/>
        </w:rPr>
        <w:t>[29]</w:t>
      </w:r>
      <w:r w:rsidR="000D3AB5" w:rsidRPr="00B2588F">
        <w:rPr>
          <w:rFonts w:ascii="Book Antiqua" w:eastAsia="Book Antiqua" w:hAnsi="Book Antiqua" w:cs="Book Antiqua"/>
          <w:vertAlign w:val="superscript"/>
        </w:rPr>
        <w:t xml:space="preserve"> </w:t>
      </w:r>
      <w:r w:rsidRPr="00B2588F">
        <w:rPr>
          <w:rFonts w:ascii="Book Antiqua" w:eastAsia="Book Antiqua" w:hAnsi="Book Antiqua" w:cs="Book Antiqua"/>
        </w:rPr>
        <w:t>study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retrospectively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investigated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safety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0.7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visual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impairment.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authors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concluded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favorable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anatomical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functional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outcomes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obtained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acceptable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manageable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side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effect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profile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previously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published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Pr="00B2588F">
        <w:rPr>
          <w:rFonts w:ascii="Book Antiqua" w:eastAsia="Book Antiqua" w:hAnsi="Book Antiqua" w:cs="Book Antiqua"/>
          <w:vertAlign w:val="superscript"/>
        </w:rPr>
        <w:t>[29]</w:t>
      </w:r>
      <w:r w:rsidRPr="00B2588F">
        <w:rPr>
          <w:rFonts w:ascii="Book Antiqua" w:eastAsia="Book Antiqua" w:hAnsi="Book Antiqua" w:cs="Book Antiqua"/>
        </w:rPr>
        <w:t>.</w:t>
      </w:r>
    </w:p>
    <w:p w14:paraId="5EE0A1E9" w14:textId="01B3369C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another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conducted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Ozurdex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PLACID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</w:t>
      </w:r>
      <w:r w:rsidRPr="00B2588F">
        <w:rPr>
          <w:rFonts w:ascii="Book Antiqua" w:eastAsia="Book Antiqua" w:hAnsi="Book Antiqua" w:cs="Book Antiqua"/>
          <w:vertAlign w:val="superscript"/>
        </w:rPr>
        <w:t>[27]</w:t>
      </w:r>
      <w:r w:rsidRPr="00B2588F">
        <w:rPr>
          <w:rFonts w:ascii="Book Antiqua" w:eastAsia="Book Antiqua" w:hAnsi="Book Antiqua" w:cs="Book Antiqua"/>
        </w:rPr>
        <w:t>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authors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evaluated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combination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laser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photocoagulation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compared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laser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photocoagulation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alone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diffuse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found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percentage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gained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≥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10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letters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BVCA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significantly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greater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combination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54364" w:rsidRPr="00B2588F">
        <w:rPr>
          <w:rFonts w:ascii="Book Antiqua" w:eastAsia="Book Antiqua" w:hAnsi="Book Antiqua" w:cs="Book Antiqua"/>
        </w:rPr>
        <w:t>1 and 9 mo</w:t>
      </w:r>
      <w:r w:rsidRPr="00B2588F">
        <w:rPr>
          <w:rFonts w:ascii="Book Antiqua" w:eastAsia="Book Antiqua" w:hAnsi="Book Antiqua" w:cs="Book Antiqua"/>
        </w:rPr>
        <w:t>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significant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difference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between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two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arms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12</w:t>
      </w:r>
      <w:r w:rsidR="00954364" w:rsidRPr="00B2588F">
        <w:rPr>
          <w:rFonts w:ascii="Book Antiqua" w:eastAsia="Book Antiqua" w:hAnsi="Book Antiqua" w:cs="Book Antiqua"/>
        </w:rPr>
        <w:t xml:space="preserve"> mo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Similarly,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reduction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CMT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leakage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area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found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significantly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greater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combination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laser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photocoagulation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alone.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suggested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combination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laser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reduced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vascular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leakage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retinal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edema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improved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BCVA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laser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diffuse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Pr="00B2588F">
        <w:rPr>
          <w:rFonts w:ascii="Book Antiqua" w:eastAsia="Book Antiqua" w:hAnsi="Book Antiqua" w:cs="Book Antiqua"/>
          <w:vertAlign w:val="superscript"/>
        </w:rPr>
        <w:t>[27]</w:t>
      </w:r>
      <w:r w:rsidRPr="00B2588F">
        <w:rPr>
          <w:rFonts w:ascii="Book Antiqua" w:eastAsia="Book Antiqua" w:hAnsi="Book Antiqua" w:cs="Book Antiqua"/>
        </w:rPr>
        <w:t>.</w:t>
      </w:r>
    </w:p>
    <w:p w14:paraId="6AB0594F" w14:textId="5342A2C9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BEVORDEX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</w:t>
      </w:r>
      <w:r w:rsidRPr="00B2588F">
        <w:rPr>
          <w:rFonts w:ascii="Book Antiqua" w:eastAsia="Book Antiqua" w:hAnsi="Book Antiqua" w:cs="Book Antiqua"/>
          <w:vertAlign w:val="superscript"/>
        </w:rPr>
        <w:t>[28]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compared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bevacizumab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administration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center-involving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clinical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outcome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12</w:t>
      </w:r>
      <w:r w:rsidR="00954364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Although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similar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rates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improvement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BCVA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achieved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both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anatomical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improvement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better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Also,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improvement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anatomic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visual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outcomes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attained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fewer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bevacizumab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</w:t>
      </w:r>
      <w:r w:rsidRPr="00B2588F">
        <w:rPr>
          <w:rFonts w:ascii="Book Antiqua" w:eastAsia="Book Antiqua" w:hAnsi="Book Antiqua" w:cs="Book Antiqua"/>
          <w:vertAlign w:val="superscript"/>
        </w:rPr>
        <w:t>[28]</w:t>
      </w:r>
      <w:r w:rsidRPr="00B2588F">
        <w:rPr>
          <w:rFonts w:ascii="Book Antiqua" w:eastAsia="Book Antiqua" w:hAnsi="Book Antiqua" w:cs="Book Antiqua"/>
        </w:rPr>
        <w:t>.</w:t>
      </w:r>
    </w:p>
    <w:p w14:paraId="0A5F1A99" w14:textId="3E6BE7FE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REINFORCE</w:t>
      </w:r>
      <w:r w:rsidRPr="00B2588F">
        <w:rPr>
          <w:rFonts w:ascii="Book Antiqua" w:eastAsia="Book Antiqua" w:hAnsi="Book Antiqua" w:cs="Book Antiqua"/>
          <w:vertAlign w:val="superscript"/>
        </w:rPr>
        <w:t>[30]</w:t>
      </w:r>
      <w:r w:rsidRPr="00B2588F">
        <w:rPr>
          <w:rFonts w:ascii="Book Antiqua" w:eastAsia="Book Antiqua" w:hAnsi="Book Antiqua" w:cs="Book Antiqua"/>
        </w:rPr>
        <w:t>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multicenter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prospective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phase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54364" w:rsidRPr="00B2588F">
        <w:rPr>
          <w:rFonts w:ascii="Book Antiqua" w:eastAsia="Book Antiqua" w:hAnsi="Book Antiqua" w:cs="Book Antiqua"/>
        </w:rPr>
        <w:t>IV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clinical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evaluated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real-world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safety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0.7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treatment-naïve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previously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effective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improving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BCVA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CMT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real-world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clinical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practice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similar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administration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frequency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safety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profile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previous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reports</w:t>
      </w:r>
      <w:r w:rsidRPr="00B2588F">
        <w:rPr>
          <w:rFonts w:ascii="Book Antiqua" w:eastAsia="Book Antiqua" w:hAnsi="Book Antiqua" w:cs="Book Antiqua"/>
          <w:vertAlign w:val="superscript"/>
        </w:rPr>
        <w:t>[30]</w:t>
      </w:r>
      <w:r w:rsidRPr="00B2588F">
        <w:rPr>
          <w:rFonts w:ascii="Book Antiqua" w:eastAsia="Book Antiqua" w:hAnsi="Book Antiqua" w:cs="Book Antiqua"/>
        </w:rPr>
        <w:t>.</w:t>
      </w:r>
    </w:p>
    <w:p w14:paraId="7D8C0C76" w14:textId="130C641A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lastRenderedPageBreak/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RELDEX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</w:t>
      </w:r>
      <w:r w:rsidR="000D3AB5" w:rsidRPr="00B2588F">
        <w:rPr>
          <w:rFonts w:ascii="Book Antiqua" w:eastAsia="Book Antiqua" w:hAnsi="Book Antiqua" w:cs="Book Antiqua"/>
          <w:vertAlign w:val="superscript"/>
        </w:rPr>
        <w:t xml:space="preserve"> </w:t>
      </w:r>
      <w:r w:rsidRPr="00B2588F">
        <w:rPr>
          <w:rFonts w:ascii="Book Antiqua" w:eastAsia="Book Antiqua" w:hAnsi="Book Antiqua" w:cs="Book Antiqua"/>
        </w:rPr>
        <w:t>conducted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Malclès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et</w:t>
      </w:r>
      <w:r w:rsidR="000D3AB5" w:rsidRPr="00B2588F">
        <w:rPr>
          <w:rFonts w:ascii="Book Antiqua" w:eastAsia="Book Antiqua" w:hAnsi="Book Antiqua" w:cs="Book Antiqua"/>
          <w:i/>
          <w:iCs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al</w:t>
      </w:r>
      <w:r w:rsidRPr="00B2588F">
        <w:rPr>
          <w:rFonts w:ascii="Book Antiqua" w:eastAsia="Book Antiqua" w:hAnsi="Book Antiqua" w:cs="Book Antiqua"/>
          <w:vertAlign w:val="superscript"/>
        </w:rPr>
        <w:t>[32]</w:t>
      </w:r>
      <w:r w:rsidRPr="00B2588F">
        <w:rPr>
          <w:rFonts w:ascii="Book Antiqua" w:eastAsia="Book Antiqua" w:hAnsi="Book Antiqua" w:cs="Book Antiqua"/>
        </w:rPr>
        <w:t>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safety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profile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evaluated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retrospectively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authors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administered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real-life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situations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provided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favorable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anatomical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visual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acuity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outcomes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good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safety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profile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over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3-year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follow-up</w:t>
      </w:r>
      <w:r w:rsidRPr="00B2588F">
        <w:rPr>
          <w:rFonts w:ascii="Book Antiqua" w:eastAsia="Book Antiqua" w:hAnsi="Book Antiqua" w:cs="Book Antiqua"/>
          <w:vertAlign w:val="superscript"/>
        </w:rPr>
        <w:t>[32]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  <w:vertAlign w:val="superscript"/>
        </w:rPr>
        <w:t xml:space="preserve"> </w:t>
      </w:r>
    </w:p>
    <w:p w14:paraId="00C70382" w14:textId="23774791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multicenter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conducted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ARTES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</w:t>
      </w:r>
      <w:r w:rsidRPr="00B2588F">
        <w:rPr>
          <w:rFonts w:ascii="Book Antiqua" w:eastAsia="Book Antiqua" w:hAnsi="Book Antiqua" w:cs="Book Antiqua"/>
          <w:vertAlign w:val="superscript"/>
        </w:rPr>
        <w:t>[33]</w:t>
      </w:r>
      <w:r w:rsidRPr="00B2588F">
        <w:rPr>
          <w:rFonts w:ascii="Book Antiqua" w:eastAsia="Book Antiqua" w:hAnsi="Book Antiqua" w:cs="Book Antiqua"/>
        </w:rPr>
        <w:t>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real-life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safety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evaluated.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divided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early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(&lt;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6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late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(≥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6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stage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naïve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previously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controlled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uncontrolled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result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retrospective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cohort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comprising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340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287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statistically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significant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improvement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BCVA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reduction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CMT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after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However,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effect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started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diminish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after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54364" w:rsidRPr="00B2588F">
        <w:rPr>
          <w:rFonts w:ascii="Book Antiqua" w:eastAsia="Book Antiqua" w:hAnsi="Book Antiqua" w:cs="Book Antiqua"/>
        </w:rPr>
        <w:t>3 mo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still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maintained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till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54364" w:rsidRPr="00B2588F">
        <w:rPr>
          <w:rFonts w:ascii="Book Antiqua" w:eastAsia="Book Antiqua" w:hAnsi="Book Antiqua" w:cs="Book Antiqua"/>
        </w:rPr>
        <w:t>6 mo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addition,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authors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improvement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greater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naïve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previously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CMT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reduction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controlled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uncontrolled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early-stage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gained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≥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10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letters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lost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≥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10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letters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late-stage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Pr="00B2588F">
        <w:rPr>
          <w:rFonts w:ascii="Book Antiqua" w:eastAsia="Book Antiqua" w:hAnsi="Book Antiqua" w:cs="Book Antiqua"/>
          <w:vertAlign w:val="superscript"/>
        </w:rPr>
        <w:t>[33]</w:t>
      </w:r>
      <w:r w:rsidRPr="00B2588F">
        <w:rPr>
          <w:rFonts w:ascii="Book Antiqua" w:eastAsia="Book Antiqua" w:hAnsi="Book Antiqua" w:cs="Book Antiqua"/>
        </w:rPr>
        <w:t>.</w:t>
      </w:r>
    </w:p>
    <w:p w14:paraId="6DDE306C" w14:textId="4C07B046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Castro-Navarro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et</w:t>
      </w:r>
      <w:r w:rsidR="000D3AB5" w:rsidRPr="00B2588F">
        <w:rPr>
          <w:rFonts w:ascii="Book Antiqua" w:eastAsia="Book Antiqua" w:hAnsi="Book Antiqua" w:cs="Book Antiqua"/>
          <w:i/>
          <w:iCs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al</w:t>
      </w:r>
      <w:r w:rsidRPr="00B2588F">
        <w:rPr>
          <w:rFonts w:ascii="Book Antiqua" w:eastAsia="Book Antiqua" w:hAnsi="Book Antiqua" w:cs="Book Antiqua"/>
          <w:vertAlign w:val="superscript"/>
        </w:rPr>
        <w:t>[34]</w:t>
      </w:r>
      <w:r w:rsidRPr="007C68BC">
        <w:rPr>
          <w:rFonts w:ascii="Book Antiqua" w:eastAsia="Book Antiqua" w:hAnsi="Book Antiqua" w:cs="Book Antiqua"/>
        </w:rPr>
        <w:t>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another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comparing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naïve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previous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demonstrated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significant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improvement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BCVA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both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naïve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previous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However,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proportion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gained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≥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10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letters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significantly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greater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naïve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CMT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decreased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significantly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both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greater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CMT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reduction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naïve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authors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also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favorable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outcomes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refractory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failed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respond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previous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treatments</w:t>
      </w:r>
      <w:r w:rsidRPr="00B2588F">
        <w:rPr>
          <w:rFonts w:ascii="Book Antiqua" w:eastAsia="Book Antiqua" w:hAnsi="Book Antiqua" w:cs="Book Antiqua"/>
          <w:vertAlign w:val="superscript"/>
        </w:rPr>
        <w:t>[34]</w:t>
      </w:r>
      <w:r w:rsidRPr="00B2588F">
        <w:rPr>
          <w:rFonts w:ascii="Book Antiqua" w:eastAsia="Book Antiqua" w:hAnsi="Book Antiqua" w:cs="Book Antiqua"/>
        </w:rPr>
        <w:t>.</w:t>
      </w:r>
    </w:p>
    <w:p w14:paraId="7FF480CA" w14:textId="49751F4D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mentioned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above,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VEGF-inhibitors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generally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first-choice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center-involved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management.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However,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persist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despite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continuous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therapy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some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Diabetic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Retinopathy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Clinical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Research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Network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Protocol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phase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II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multicenter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randomized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clinical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trial,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investigated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addition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regimen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persistent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previously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received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ranibizumab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without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clinical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improvement.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included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129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116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received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least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three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ranibizumab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before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run-in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phase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persistent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BCVA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≤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20/32.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After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lastRenderedPageBreak/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run-in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phase,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persistent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poor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randomized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two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group;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combination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(ranibizumab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plus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64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ranibizumab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(64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eyes).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followed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monthly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received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continued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ranibizumab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re-treatment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both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every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B2588F" w:rsidRPr="00B2588F">
        <w:rPr>
          <w:rFonts w:ascii="Book Antiqua" w:eastAsia="Book Antiqua" w:hAnsi="Book Antiqua" w:cs="Book Antiqua"/>
        </w:rPr>
        <w:t>4 wk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based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structured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re-treatment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protocol.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demonstrated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significant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difference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BCVA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between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combination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(+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2.7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letters)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ranibizumab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(+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3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letters)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6</w:t>
      </w:r>
      <w:r w:rsidR="00954364" w:rsidRPr="00B2588F">
        <w:rPr>
          <w:rFonts w:ascii="Book Antiqua" w:eastAsia="Book Antiqua" w:hAnsi="Book Antiqua" w:cs="Book Antiqua"/>
        </w:rPr>
        <w:t xml:space="preserve"> mo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However,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significant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difference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between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two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terms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anatomical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outcome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favor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combination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(-110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μm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vs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-62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μm).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addition,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percentage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resolution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52%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combination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vs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31%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ranibizumab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authors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adding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ongoing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ranibizumab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improve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BCVA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54364" w:rsidRPr="00B2588F">
        <w:rPr>
          <w:rFonts w:ascii="Book Antiqua" w:eastAsia="Book Antiqua" w:hAnsi="Book Antiqua" w:cs="Book Antiqua"/>
        </w:rPr>
        <w:t>6 mo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persistent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CMT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reduced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significantly</w:t>
      </w:r>
      <w:r w:rsidRPr="00B2588F">
        <w:rPr>
          <w:rFonts w:ascii="Book Antiqua" w:eastAsia="Book Antiqua" w:hAnsi="Book Antiqua" w:cs="Book Antiqua"/>
          <w:vertAlign w:val="superscript"/>
        </w:rPr>
        <w:t>[35]</w:t>
      </w:r>
      <w:r w:rsidRPr="00B2588F">
        <w:rPr>
          <w:rFonts w:ascii="Book Antiqua" w:eastAsia="Book Antiqua" w:hAnsi="Book Antiqua" w:cs="Book Antiqua"/>
        </w:rPr>
        <w:t>.</w:t>
      </w:r>
    </w:p>
    <w:p w14:paraId="61FDBDCA" w14:textId="55A6C159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retrospective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Busch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et</w:t>
      </w:r>
      <w:r w:rsidR="000D3AB5" w:rsidRPr="00B2588F">
        <w:rPr>
          <w:rFonts w:ascii="Book Antiqua" w:eastAsia="Book Antiqua" w:hAnsi="Book Antiqua" w:cs="Book Antiqua"/>
          <w:i/>
          <w:iCs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al</w:t>
      </w:r>
      <w:r w:rsidRPr="00B2588F">
        <w:rPr>
          <w:rFonts w:ascii="Book Antiqua" w:eastAsia="Book Antiqua" w:hAnsi="Book Antiqua" w:cs="Book Antiqua"/>
          <w:vertAlign w:val="superscript"/>
        </w:rPr>
        <w:t>[36]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assessed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administered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after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three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consecutive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persistent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compared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continuous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mono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authors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found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anatomical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outcome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better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switched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early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following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three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12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54364" w:rsidRPr="00B2588F">
        <w:rPr>
          <w:rFonts w:ascii="Book Antiqua" w:eastAsia="Book Antiqua" w:hAnsi="Book Antiqua" w:cs="Book Antiqua"/>
        </w:rPr>
        <w:t xml:space="preserve">mo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those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kept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</w:t>
      </w:r>
      <w:r w:rsidRPr="00B2588F">
        <w:rPr>
          <w:rFonts w:ascii="Book Antiqua" w:eastAsia="Book Antiqua" w:hAnsi="Book Antiqua" w:cs="Book Antiqua"/>
          <w:vertAlign w:val="superscript"/>
        </w:rPr>
        <w:t>[36]</w:t>
      </w:r>
      <w:r w:rsidRPr="00B2588F">
        <w:rPr>
          <w:rFonts w:ascii="Book Antiqua" w:eastAsia="Book Antiqua" w:hAnsi="Book Antiqua" w:cs="Book Antiqua"/>
        </w:rPr>
        <w:t>.</w:t>
      </w:r>
    </w:p>
    <w:p w14:paraId="5E66EAB0" w14:textId="2EBAD8DC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2588F">
        <w:rPr>
          <w:rFonts w:ascii="Book Antiqua" w:eastAsia="Book Antiqua" w:hAnsi="Book Antiqua" w:cs="Book Antiqua"/>
        </w:rPr>
        <w:t>Besides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either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alone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sequential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VEGF-inhibitors,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few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evaluating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simultaneous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agent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suggested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simultaneous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intravitreal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might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superior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option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alone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favorable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anatomic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visual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outcome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acceptable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safety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profile</w:t>
      </w:r>
      <w:r w:rsidRPr="00B2588F">
        <w:rPr>
          <w:rFonts w:ascii="Book Antiqua" w:eastAsia="Book Antiqua" w:hAnsi="Book Antiqua" w:cs="Book Antiqua"/>
          <w:vertAlign w:val="superscript"/>
        </w:rPr>
        <w:t>[37-39]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However,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size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small.</w:t>
      </w:r>
    </w:p>
    <w:p w14:paraId="2D4648E4" w14:textId="77777777" w:rsidR="00A70969" w:rsidRPr="00B2588F" w:rsidRDefault="00A70969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7C671C54" w14:textId="3633B434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B2588F">
        <w:rPr>
          <w:rFonts w:ascii="Book Antiqua" w:eastAsia="Book Antiqua" w:hAnsi="Book Antiqua" w:cs="Book Antiqua"/>
          <w:b/>
          <w:bCs/>
          <w:u w:val="single"/>
        </w:rPr>
        <w:t>META-ANALYSES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ON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THE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DME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TREATMENT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WITH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DEX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IMPLANT</w:t>
      </w:r>
    </w:p>
    <w:p w14:paraId="1AB6C9FD" w14:textId="5D4F3F5E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meta-analysis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conducted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et</w:t>
      </w:r>
      <w:r w:rsidR="000D3AB5" w:rsidRPr="00B2588F">
        <w:rPr>
          <w:rFonts w:ascii="Book Antiqua" w:eastAsia="Book Antiqua" w:hAnsi="Book Antiqua" w:cs="Book Antiqua"/>
          <w:i/>
          <w:iCs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al</w:t>
      </w:r>
      <w:r w:rsidRPr="00B2588F">
        <w:rPr>
          <w:rFonts w:ascii="Book Antiqua" w:eastAsia="Book Antiqua" w:hAnsi="Book Antiqua" w:cs="Book Antiqua"/>
          <w:vertAlign w:val="superscript"/>
        </w:rPr>
        <w:t>[20]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comparing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effectiveness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safety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VEGF-inhibitors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visual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improvement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comparable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both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VEGF-inhibitor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However,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better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anatomic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lastRenderedPageBreak/>
        <w:t>outcomes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obtained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6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fewer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researchers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significant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difference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between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two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terms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reduction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CMT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12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added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visual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benefit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fully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reflected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received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due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cataract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progression.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Because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side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effects,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authors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suggested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recommended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first-line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selected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cases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including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unresponsive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agents,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pseudophakic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reluctant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frequent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visits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intravitreal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</w:t>
      </w:r>
      <w:r w:rsidRPr="00B2588F">
        <w:rPr>
          <w:rFonts w:ascii="Book Antiqua" w:eastAsia="Book Antiqua" w:hAnsi="Book Antiqua" w:cs="Book Antiqua"/>
          <w:vertAlign w:val="superscript"/>
        </w:rPr>
        <w:t>[20]</w:t>
      </w:r>
      <w:r w:rsidRPr="00B2588F">
        <w:rPr>
          <w:rFonts w:ascii="Book Antiqua" w:eastAsia="Book Antiqua" w:hAnsi="Book Antiqua" w:cs="Book Antiqua"/>
        </w:rPr>
        <w:t>.</w:t>
      </w:r>
    </w:p>
    <w:p w14:paraId="716FB1F8" w14:textId="2E14852E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current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meta-analysis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conducted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Khan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et</w:t>
      </w:r>
      <w:r w:rsidR="000D3AB5" w:rsidRPr="00B2588F">
        <w:rPr>
          <w:rFonts w:ascii="Book Antiqua" w:eastAsia="Book Antiqua" w:hAnsi="Book Antiqua" w:cs="Book Antiqua"/>
          <w:i/>
          <w:iCs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al</w:t>
      </w:r>
      <w:r w:rsidRPr="00B2588F">
        <w:rPr>
          <w:rFonts w:ascii="Book Antiqua" w:eastAsia="Book Antiqua" w:hAnsi="Book Antiqua" w:cs="Book Antiqua"/>
          <w:vertAlign w:val="superscript"/>
        </w:rPr>
        <w:t>[40]</w:t>
      </w:r>
      <w:r w:rsidRPr="00B2588F">
        <w:rPr>
          <w:rFonts w:ascii="Book Antiqua" w:eastAsia="Book Antiqua" w:hAnsi="Book Antiqua" w:cs="Book Antiqua"/>
        </w:rPr>
        <w:t>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3859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from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15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analyzed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evaluate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recalcitrant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respond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despite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least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previous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follow-up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period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54364" w:rsidRPr="00B2588F">
        <w:rPr>
          <w:rFonts w:ascii="Book Antiqua" w:eastAsia="Book Antiqua" w:hAnsi="Book Antiqua" w:cs="Book Antiqua"/>
        </w:rPr>
        <w:t>6 mo</w:t>
      </w:r>
      <w:r w:rsidRPr="00B2588F">
        <w:rPr>
          <w:rFonts w:ascii="Book Antiqua" w:eastAsia="Book Antiqua" w:hAnsi="Book Antiqua" w:cs="Book Antiqua"/>
        </w:rPr>
        <w:t>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ranging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from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54364" w:rsidRPr="00B2588F">
        <w:rPr>
          <w:rFonts w:ascii="Book Antiqua" w:eastAsia="Book Antiqua" w:hAnsi="Book Antiqua" w:cs="Book Antiqua"/>
        </w:rPr>
        <w:t>3-</w:t>
      </w:r>
      <w:r w:rsidRPr="00B2588F">
        <w:rPr>
          <w:rFonts w:ascii="Book Antiqua" w:eastAsia="Book Antiqua" w:hAnsi="Book Antiqua" w:cs="Book Antiqua"/>
        </w:rPr>
        <w:t>36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Significant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improvement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BCVA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(four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lines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20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ETDRS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letters)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authors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suggested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clinicians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fortunately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chance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employ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many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alternatives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management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nowadays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concluded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resistant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therapy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should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recognized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steroid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therapy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should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considered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reach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better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anatomic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visual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outcomes.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Authors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will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decrease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over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time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repeated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required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maintain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visual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gain</w:t>
      </w:r>
      <w:r w:rsidRPr="00B2588F">
        <w:rPr>
          <w:rFonts w:ascii="Book Antiqua" w:eastAsia="Book Antiqua" w:hAnsi="Book Antiqua" w:cs="Book Antiqua"/>
          <w:vertAlign w:val="superscript"/>
        </w:rPr>
        <w:t>[40]</w:t>
      </w:r>
      <w:r w:rsidRPr="00B2588F">
        <w:rPr>
          <w:rFonts w:ascii="Book Antiqua" w:eastAsia="Book Antiqua" w:hAnsi="Book Antiqua" w:cs="Book Antiqua"/>
        </w:rPr>
        <w:t>.</w:t>
      </w:r>
    </w:p>
    <w:p w14:paraId="650B66BC" w14:textId="6445F5EC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2588F">
        <w:rPr>
          <w:rFonts w:ascii="Book Antiqua" w:eastAsia="Book Antiqua" w:hAnsi="Book Antiqua" w:cs="Book Antiqua"/>
        </w:rPr>
        <w:t>Kodjikian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et</w:t>
      </w:r>
      <w:r w:rsidR="000D3AB5" w:rsidRPr="00B2588F">
        <w:rPr>
          <w:rFonts w:ascii="Book Antiqua" w:eastAsia="Book Antiqua" w:hAnsi="Book Antiqua" w:cs="Book Antiqua"/>
          <w:i/>
          <w:iCs/>
        </w:rPr>
        <w:t xml:space="preserve"> </w:t>
      </w:r>
      <w:r w:rsidRPr="00B2588F">
        <w:rPr>
          <w:rFonts w:ascii="Book Antiqua" w:eastAsia="Book Antiqua" w:hAnsi="Book Antiqua" w:cs="Book Antiqua"/>
          <w:i/>
          <w:iCs/>
        </w:rPr>
        <w:t>al</w:t>
      </w:r>
      <w:r w:rsidRPr="00B2588F">
        <w:rPr>
          <w:rFonts w:ascii="Book Antiqua" w:eastAsia="Book Antiqua" w:hAnsi="Book Antiqua" w:cs="Book Antiqua"/>
          <w:vertAlign w:val="superscript"/>
        </w:rPr>
        <w:t>[41]</w:t>
      </w:r>
      <w:r w:rsidRPr="00B2588F">
        <w:rPr>
          <w:rFonts w:ascii="Book Antiqua" w:eastAsia="Book Antiqua" w:hAnsi="Book Antiqua" w:cs="Book Antiqua"/>
        </w:rPr>
        <w:t>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pharmacotherapy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assessing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real-life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observational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compared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agents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Overall,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analyzed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54364" w:rsidRPr="00B2588F">
        <w:rPr>
          <w:rFonts w:ascii="Book Antiqua" w:eastAsia="Book Antiqua" w:hAnsi="Book Antiqua" w:cs="Book Antiqua"/>
        </w:rPr>
        <w:t>63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evaluating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VEGF-inhibitors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</w:t>
      </w:r>
      <w:r w:rsidRPr="00B2588F">
        <w:rPr>
          <w:rFonts w:ascii="Book Antiqua" w:eastAsia="Book Antiqua" w:hAnsi="Book Antiqua" w:cs="Book Antiqua"/>
          <w:i/>
          <w:iCs/>
        </w:rPr>
        <w:t>n</w:t>
      </w:r>
      <w:r w:rsidRPr="00B2588F">
        <w:rPr>
          <w:rFonts w:ascii="Book Antiqua" w:eastAsia="Book Antiqua" w:hAnsi="Book Antiqua" w:cs="Book Antiqua"/>
        </w:rPr>
        <w:t>: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32)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</w:t>
      </w:r>
      <w:r w:rsidRPr="00B2588F">
        <w:rPr>
          <w:rFonts w:ascii="Book Antiqua" w:eastAsia="Book Antiqua" w:hAnsi="Book Antiqua" w:cs="Book Antiqua"/>
          <w:i/>
          <w:iCs/>
        </w:rPr>
        <w:t>n</w:t>
      </w:r>
      <w:r w:rsidRPr="00B2588F">
        <w:rPr>
          <w:rFonts w:ascii="Book Antiqua" w:eastAsia="Book Antiqua" w:hAnsi="Book Antiqua" w:cs="Book Antiqua"/>
        </w:rPr>
        <w:t>: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31).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final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BCVA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value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61.2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letters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62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letters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Additionally,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BCVA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gains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from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baseline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+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9.6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letters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+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4.7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letters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Although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final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BVCA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similar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both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BCVA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gains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from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baseline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higher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meta-analyses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suggested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gain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letters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might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partially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explained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lower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baseline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BCVA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receiving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less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frequent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administered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observational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interventional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Pr="00B2588F">
        <w:rPr>
          <w:rFonts w:ascii="Book Antiqua" w:eastAsia="Book Antiqua" w:hAnsi="Book Antiqua" w:cs="Book Antiqua"/>
          <w:vertAlign w:val="superscript"/>
        </w:rPr>
        <w:t>[41]</w:t>
      </w:r>
      <w:r w:rsidRPr="00B2588F">
        <w:rPr>
          <w:rFonts w:ascii="Book Antiqua" w:eastAsia="Book Antiqua" w:hAnsi="Book Antiqua" w:cs="Book Antiqua"/>
        </w:rPr>
        <w:t>.</w:t>
      </w:r>
    </w:p>
    <w:p w14:paraId="01712D04" w14:textId="77777777" w:rsidR="00A70969" w:rsidRPr="00B2588F" w:rsidRDefault="00A70969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6DD8A973" w14:textId="68144BE2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B2588F">
        <w:rPr>
          <w:rFonts w:ascii="Book Antiqua" w:eastAsia="Book Antiqua" w:hAnsi="Book Antiqua" w:cs="Book Antiqua"/>
          <w:b/>
          <w:bCs/>
          <w:u w:val="single"/>
        </w:rPr>
        <w:t>EXPERT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RECOMMENDATIONS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FOR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THE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MANAGEMENT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OF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DME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WITH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DEX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IMPLANT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IN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REAL-LIFE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PRACTICE</w:t>
      </w:r>
    </w:p>
    <w:p w14:paraId="2BE9870F" w14:textId="102C7F6E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Recommendations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EURETINA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guidelines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based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randomized-controlled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trials,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which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fully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reflect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real-life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scenarios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due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their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designs.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Experts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several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countries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prepared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their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own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consensus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documents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using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Delphi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approach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regarding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management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daily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practice.</w:t>
      </w:r>
    </w:p>
    <w:p w14:paraId="38EF0738" w14:textId="41FF57E9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Spanish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MOMENTUM-D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concluded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particularly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beneficial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history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major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cardiovascular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event,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vitrectomized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pseudophakic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non-compliant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requiring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cataract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surgery,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substantial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inflammatory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component.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consensus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paper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also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recommended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switching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should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considered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after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three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</w:t>
      </w:r>
      <w:r w:rsidRPr="00B2588F">
        <w:rPr>
          <w:rFonts w:ascii="Book Antiqua" w:eastAsia="Book Antiqua" w:hAnsi="Book Antiqua" w:cs="Book Antiqua"/>
          <w:vertAlign w:val="superscript"/>
        </w:rPr>
        <w:t>[42]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</w:p>
    <w:p w14:paraId="44F4AEBC" w14:textId="0CF58C16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Italian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experts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best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tolerance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among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intravitreally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administered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steroids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should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considered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first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over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especially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pseudophakic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vitrectomized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According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them,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switching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should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employed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after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loading-phase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therapy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resistant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Experts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concluded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pro-re-nata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appropriate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regimen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further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administrations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clinicians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should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B2588F" w:rsidRPr="00B2588F">
        <w:rPr>
          <w:rFonts w:ascii="Book Antiqua" w:eastAsia="Book Antiqua" w:hAnsi="Book Antiqua" w:cs="Book Antiqua"/>
        </w:rPr>
        <w:t>6 mo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re-treatment</w:t>
      </w:r>
      <w:r w:rsidRPr="00B2588F">
        <w:rPr>
          <w:rFonts w:ascii="Book Antiqua" w:eastAsia="Book Antiqua" w:hAnsi="Book Antiqua" w:cs="Book Antiqua"/>
          <w:vertAlign w:val="superscript"/>
        </w:rPr>
        <w:t>[43]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</w:p>
    <w:p w14:paraId="79E02F65" w14:textId="5289C826" w:rsidR="00A70969" w:rsidRPr="00B2588F" w:rsidRDefault="00E76B96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2588F">
        <w:rPr>
          <w:rFonts w:ascii="Book Antiqua" w:eastAsia="Book Antiqua" w:hAnsi="Book Antiqua" w:cs="Book Antiqua"/>
        </w:rPr>
        <w:t>German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consensus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paper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suggested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switching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should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performed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inadequate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response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following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="00954364" w:rsidRPr="00B2588F">
        <w:rPr>
          <w:rFonts w:ascii="Book Antiqua" w:eastAsia="Book Antiqua" w:hAnsi="Book Antiqua" w:cs="Book Antiqua"/>
        </w:rPr>
        <w:t>3-6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monthly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also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suggested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might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useful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long-term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characterized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massive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lipid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exudates.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BCVA,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CMT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IOP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major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parameters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re-treatment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decision.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Similar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consensus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documents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EURETINA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guidelines,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recommended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first-line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therapy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pseudophakic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reluctant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attend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frequent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visits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receive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frequent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known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vascular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diseases.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also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should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implemented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both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day</w:t>
      </w:r>
      <w:r w:rsidRPr="00B2588F">
        <w:rPr>
          <w:rFonts w:ascii="Book Antiqua" w:eastAsia="Book Antiqua" w:hAnsi="Book Antiqua" w:cs="Book Antiqua"/>
          <w:vertAlign w:val="superscript"/>
        </w:rPr>
        <w:t>[44]</w:t>
      </w:r>
      <w:r w:rsidRPr="00B2588F">
        <w:rPr>
          <w:rFonts w:ascii="Book Antiqua" w:eastAsia="Book Antiqua" w:hAnsi="Book Antiqua" w:cs="Book Antiqua"/>
        </w:rPr>
        <w:t>.</w:t>
      </w:r>
    </w:p>
    <w:p w14:paraId="28873260" w14:textId="77777777" w:rsidR="00A70969" w:rsidRPr="00B2588F" w:rsidRDefault="00A70969" w:rsidP="0096083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65A449F1" w14:textId="313FF404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B2588F">
        <w:rPr>
          <w:rFonts w:ascii="Book Antiqua" w:eastAsia="Book Antiqua" w:hAnsi="Book Antiqua" w:cs="Book Antiqua"/>
          <w:b/>
          <w:bCs/>
          <w:u w:val="single"/>
        </w:rPr>
        <w:t>SAFETY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OF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DEX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IMPLANT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  <w:u w:val="single"/>
        </w:rPr>
        <w:t>ADMINISTRATIONS</w:t>
      </w:r>
      <w:r w:rsidR="000D3AB5" w:rsidRPr="00B2588F">
        <w:rPr>
          <w:rFonts w:ascii="Book Antiqua" w:eastAsia="Book Antiqua" w:hAnsi="Book Antiqua" w:cs="Book Antiqua"/>
          <w:b/>
          <w:bCs/>
          <w:u w:val="single"/>
        </w:rPr>
        <w:t xml:space="preserve"> </w:t>
      </w:r>
    </w:p>
    <w:p w14:paraId="6AB57DD0" w14:textId="7151477D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some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undesirable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complications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during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after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administration</w:t>
      </w:r>
      <w:r w:rsidRPr="00B2588F">
        <w:rPr>
          <w:rFonts w:ascii="Book Antiqua" w:eastAsia="Book Antiqua" w:hAnsi="Book Antiqua" w:cs="Book Antiqua"/>
          <w:vertAlign w:val="superscript"/>
        </w:rPr>
        <w:t>[22-50]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Foreign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body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sensation,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pruritus,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conjunctival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hyperemia,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conjunctival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edema,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conjunctival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hemorrhage,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anterior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chamber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cell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flare,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increased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IOP,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cataract,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hemorrhage,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myodesopsia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among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adverse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events</w:t>
      </w:r>
      <w:r w:rsidRPr="00B2588F">
        <w:rPr>
          <w:rFonts w:ascii="Book Antiqua" w:eastAsia="Book Antiqua" w:hAnsi="Book Antiqua" w:cs="Book Antiqua"/>
          <w:vertAlign w:val="superscript"/>
        </w:rPr>
        <w:t>[12,24-26]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Retinal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tear,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retinal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detachment,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loss,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intralenticular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endophthalmitis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adverse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associated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type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intravitreal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</w:t>
      </w:r>
      <w:r w:rsidRPr="00B2588F">
        <w:rPr>
          <w:rFonts w:ascii="Book Antiqua" w:eastAsia="Book Antiqua" w:hAnsi="Book Antiqua" w:cs="Book Antiqua"/>
          <w:vertAlign w:val="superscript"/>
        </w:rPr>
        <w:t>[12,50]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addition,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migrate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anterior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chamber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aphakic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vitrectomized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sutured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implantation,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weak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zonules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posterior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capsule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defect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related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previous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complicated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cataract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surgery</w:t>
      </w:r>
      <w:r w:rsidRPr="00B2588F">
        <w:rPr>
          <w:rFonts w:ascii="Book Antiqua" w:eastAsia="Book Antiqua" w:hAnsi="Book Antiqua" w:cs="Book Antiqua"/>
          <w:vertAlign w:val="superscript"/>
        </w:rPr>
        <w:t>[48,49]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further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complications.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Cataract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progression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steroid-induced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hypertension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glaucoma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most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frequent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important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side-effects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associated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Pr="00B2588F">
        <w:rPr>
          <w:rFonts w:ascii="Book Antiqua" w:eastAsia="Book Antiqua" w:hAnsi="Book Antiqua" w:cs="Book Antiqua"/>
          <w:vertAlign w:val="superscript"/>
        </w:rPr>
        <w:t>[47]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binds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less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trabecular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meshwork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less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lipophilic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Understandably,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associated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lower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risk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glaucoma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cataract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formation.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Although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precise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mechanism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IOP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rise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fully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understood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increased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aqueous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outflow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resistance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due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structural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biochemical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changes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trabecular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meshwork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thought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IOP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elevation</w:t>
      </w:r>
      <w:r w:rsidRPr="00B2588F">
        <w:rPr>
          <w:rFonts w:ascii="Book Antiqua" w:eastAsia="Book Antiqua" w:hAnsi="Book Antiqua" w:cs="Book Antiqua"/>
          <w:vertAlign w:val="superscript"/>
        </w:rPr>
        <w:t>[9,12]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Many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different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rates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IOP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elevation</w:t>
      </w:r>
      <w:r w:rsidRPr="00B2588F">
        <w:rPr>
          <w:rFonts w:ascii="Book Antiqua" w:eastAsia="Book Antiqua" w:hAnsi="Book Antiqua" w:cs="Book Antiqua"/>
          <w:vertAlign w:val="superscript"/>
        </w:rPr>
        <w:t>[24-33,46]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IOP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increase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≥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10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mmHg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between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6.8%-27.7%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Pr="00B2588F">
        <w:rPr>
          <w:rFonts w:ascii="Book Antiqua" w:eastAsia="Book Antiqua" w:hAnsi="Book Antiqua" w:cs="Book Antiqua"/>
          <w:vertAlign w:val="superscript"/>
        </w:rPr>
        <w:t>[24,25,27,28,30-33,46]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IOP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≥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25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mmHg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6.6%-32%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Pr="00B2588F">
        <w:rPr>
          <w:rFonts w:ascii="Book Antiqua" w:eastAsia="Book Antiqua" w:hAnsi="Book Antiqua" w:cs="Book Antiqua"/>
          <w:vertAlign w:val="superscript"/>
        </w:rPr>
        <w:t>[24-33,46]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Also,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IOP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≥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35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mmHg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0.9%-6.6%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Pr="00B2588F">
        <w:rPr>
          <w:rFonts w:ascii="Book Antiqua" w:eastAsia="Book Antiqua" w:hAnsi="Book Antiqua" w:cs="Book Antiqua"/>
          <w:vertAlign w:val="superscript"/>
        </w:rPr>
        <w:t>[24,26,27,30-33,46]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IOP-lowering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medication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required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6.3%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41.5%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Pr="00B2588F">
        <w:rPr>
          <w:rFonts w:ascii="Book Antiqua" w:eastAsia="Book Antiqua" w:hAnsi="Book Antiqua" w:cs="Book Antiqua"/>
          <w:vertAlign w:val="superscript"/>
        </w:rPr>
        <w:t>[24,26,27,30,32,33,46]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While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0.9%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MEAD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required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glaucoma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surgery</w:t>
      </w:r>
      <w:r w:rsidRPr="00B2588F">
        <w:rPr>
          <w:rFonts w:ascii="Book Antiqua" w:eastAsia="Book Antiqua" w:hAnsi="Book Antiqua" w:cs="Book Antiqua"/>
          <w:vertAlign w:val="superscript"/>
        </w:rPr>
        <w:t>[24,46]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some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studies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need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glaucoma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surgery</w:t>
      </w:r>
      <w:r w:rsidRPr="00B2588F">
        <w:rPr>
          <w:rFonts w:ascii="Book Antiqua" w:eastAsia="Book Antiqua" w:hAnsi="Book Antiqua" w:cs="Book Antiqua"/>
          <w:vertAlign w:val="superscript"/>
        </w:rPr>
        <w:t>[25-33]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  <w:vertAlign w:val="superscript"/>
        </w:rPr>
        <w:t xml:space="preserve"> </w:t>
      </w:r>
      <w:r w:rsidRPr="00B2588F">
        <w:rPr>
          <w:rFonts w:ascii="Book Antiqua" w:eastAsia="Book Antiqua" w:hAnsi="Book Antiqua" w:cs="Book Antiqua"/>
        </w:rPr>
        <w:t>Cataract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formation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progression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most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common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complication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leading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decrease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visual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acuity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need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cataract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surgery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usually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increases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after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second</w:t>
      </w:r>
      <w:r w:rsidR="00B2588F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year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Pr="00B2588F">
        <w:rPr>
          <w:rFonts w:ascii="Book Antiqua" w:eastAsia="Book Antiqua" w:hAnsi="Book Antiqua" w:cs="Book Antiqua"/>
          <w:vertAlign w:val="superscript"/>
        </w:rPr>
        <w:t>[12]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almost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inevitable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complication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between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4%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67.9%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several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manuscripts</w:t>
      </w:r>
      <w:r w:rsidRPr="00B2588F">
        <w:rPr>
          <w:rFonts w:ascii="Book Antiqua" w:eastAsia="Book Antiqua" w:hAnsi="Book Antiqua" w:cs="Book Antiqua"/>
          <w:vertAlign w:val="superscript"/>
        </w:rPr>
        <w:t>[24,26,27,28,31,33,46]</w:t>
      </w:r>
      <w:r w:rsidRPr="00B2588F">
        <w:rPr>
          <w:rFonts w:ascii="Book Antiqua" w:eastAsia="Book Antiqua" w:hAnsi="Book Antiqua" w:cs="Book Antiqua"/>
        </w:rPr>
        <w:t>.</w:t>
      </w:r>
      <w:r w:rsidR="000D3AB5" w:rsidRPr="00B2588F">
        <w:rPr>
          <w:rFonts w:ascii="Book Antiqua" w:eastAsia="Book Antiqua" w:hAnsi="Book Antiqua" w:cs="Book Antiqua"/>
          <w:vertAlign w:val="superscript"/>
        </w:rPr>
        <w:t xml:space="preserve"> </w:t>
      </w:r>
      <w:r w:rsidRPr="00B2588F">
        <w:rPr>
          <w:rFonts w:ascii="Book Antiqua" w:eastAsia="Book Antiqua" w:hAnsi="Book Antiqua" w:cs="Book Antiqua"/>
        </w:rPr>
        <w:t>Besides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adverse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events,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systemic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adverse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such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lastRenderedPageBreak/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worsening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hypertension,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chest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pain,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angina,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failure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rarely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reported</w:t>
      </w:r>
      <w:r w:rsidRPr="00B2588F">
        <w:rPr>
          <w:rFonts w:ascii="Book Antiqua" w:eastAsia="Book Antiqua" w:hAnsi="Book Antiqua" w:cs="Book Antiqua"/>
          <w:vertAlign w:val="superscript"/>
        </w:rPr>
        <w:t>[28]</w:t>
      </w:r>
      <w:r w:rsidRPr="00B2588F">
        <w:rPr>
          <w:rFonts w:ascii="Book Antiqua" w:eastAsia="Book Antiqua" w:hAnsi="Book Antiqua" w:cs="Book Antiqua"/>
        </w:rPr>
        <w:t>.</w:t>
      </w:r>
    </w:p>
    <w:p w14:paraId="4FA8778B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FEE751" w14:textId="77777777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29FCBD68" w14:textId="6E3E07DC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provide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visual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anatomical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improvement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fewer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number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intravitreal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injections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eyes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briefly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summarized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above.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well-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accepted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efficacy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profile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DME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generally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preferred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second-line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option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due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less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favorable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safety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profile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agents.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hand,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primary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option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selected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group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such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vitrectomized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pseudophakic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recent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cerebrovascular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cardiovascular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history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patients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experienced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suboptimal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benefit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therapy.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Cataract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increased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IOP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most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common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implant-related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ocular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adverse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events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most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instances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clinically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acceptable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well-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manageable.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Although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combined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utilization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anti-VEGF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agents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DEX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implant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either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consecutively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simultaneously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possible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still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proven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whether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there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additional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treatment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benefit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administering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them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combination.</w:t>
      </w:r>
      <w:r w:rsidR="000D3AB5" w:rsidRPr="00B2588F">
        <w:rPr>
          <w:rFonts w:ascii="Book Antiqua" w:eastAsia="Book Antiqua" w:hAnsi="Book Antiqua" w:cs="Book Antiqua"/>
        </w:rPr>
        <w:t xml:space="preserve"> </w:t>
      </w:r>
    </w:p>
    <w:p w14:paraId="5FFB1459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4884CE" w14:textId="77777777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</w:rPr>
        <w:t>REFERENCES</w:t>
      </w:r>
    </w:p>
    <w:p w14:paraId="7F1BB0F1" w14:textId="6CA7FDC4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1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Bandello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F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Battaglia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Parodi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Lanzetta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Loewenstein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Massin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Menchini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Veritti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Dev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2017;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58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102-138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28351052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10.1159/000455277]</w:t>
      </w:r>
    </w:p>
    <w:p w14:paraId="64601325" w14:textId="4C0A09FA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Chakravarthy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U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Yang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Y,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Lotery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Ghanchi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Bailey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Holz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FG,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Downey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Weber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Eter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Dugel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PU.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CLINICAL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EVIDENCE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MULTIFACTORIAL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NATURE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Retina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2018;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38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343-351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28257378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10.1097/IAE.0000000000001555]</w:t>
      </w:r>
    </w:p>
    <w:p w14:paraId="54CB6D8C" w14:textId="6E50ECB8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3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Browning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DJ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Stewart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MW,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Lee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Evidence-based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management.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Indian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J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2018;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66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1736-1750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30451174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10.4103/ijo.IJO_1240_18]</w:t>
      </w:r>
    </w:p>
    <w:p w14:paraId="1B367E69" w14:textId="1A84271E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lastRenderedPageBreak/>
        <w:t>4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Xie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XW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Xu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Wang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YX,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Jonas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JB.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Prevalence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associated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factors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retinopathy.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Beijing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Eye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2006.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Graefes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Arch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Clin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Exp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2008;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246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1519-1526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18604548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10.1007/s00417-008-0884-6]</w:t>
      </w:r>
    </w:p>
    <w:p w14:paraId="149C40DD" w14:textId="05605EF7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5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Rubino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A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Rousculp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MD,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Davis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Wang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Girach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Diagnosed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retinopathy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France,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Italy,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Spain,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United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Kingdom.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Prim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Care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Diabetes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2007;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75-80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18632023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10.1016/j.pcd.2007.02.002]</w:t>
      </w:r>
    </w:p>
    <w:p w14:paraId="49711309" w14:textId="7ACABD27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Wong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TY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Klein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Islam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Cotch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MF,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Folsom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AR,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Klein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BE,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Sharrett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AR,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Shea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retinopathy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multi-ethnic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cohort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United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States.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Am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J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2006;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141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446-455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16490489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10.1016/j.ajo.2005.08.063]</w:t>
      </w:r>
    </w:p>
    <w:p w14:paraId="11F41551" w14:textId="665CA54F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7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Varma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R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Torres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Peña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Klein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Azen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SP;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Los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Angeles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Latino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Eye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Group.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Prevalence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retinopathy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adult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Latinos: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Los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Angeles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Latino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eye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Ophthalmology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2004;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111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1298-1306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15234129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10.1016/j.ophtha.2004.03.002]</w:t>
      </w:r>
    </w:p>
    <w:p w14:paraId="5BE27E1F" w14:textId="12602D40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8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Eldem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B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Ozdek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Saatci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AO,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Ozmert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Ulay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Nomak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Clinical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Characteristics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Patients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Newly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Diagnosed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Turkey: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Real-Life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Registry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Study-TURK-DEM.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J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2017;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2017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3596817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28316835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10.1155/2017/3596817]</w:t>
      </w:r>
    </w:p>
    <w:p w14:paraId="1B0D3FDC" w14:textId="03A3084F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9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Urbančič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M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Gardašević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Topčić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management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from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clinician's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perspective.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Clin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2019;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13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829-840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31190726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10.2147/OPTH.S206769]</w:t>
      </w:r>
    </w:p>
    <w:p w14:paraId="6657912B" w14:textId="42C0FA49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10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Bucolo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C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Gozzo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Longo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Mansueto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Vitale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DC,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Drago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Long-term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efficacy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safety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profile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multiple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injections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manage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systematic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review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real-world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studies.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J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Pharmacol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Sci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2018;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138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219-232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30503676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10.1016/j.jphs.2018.11.001]</w:t>
      </w:r>
    </w:p>
    <w:p w14:paraId="48690BF1" w14:textId="36C50F36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11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Romero-Aroca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P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Baget-Bernaldiz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Pareja-Rios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Lopez-Galvez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Navarro-Gil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Verges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Pathophysiology: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Vasogenic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versus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Inflammatory.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J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Diabetes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Res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2016;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2016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2156273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27761468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10.1155/2016/2156273]</w:t>
      </w:r>
    </w:p>
    <w:p w14:paraId="00FBF6EB" w14:textId="45880734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12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Dugel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PU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Bandello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Loewenstein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treatment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Clin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2015;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9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1321-1335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26213460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10.2147/OPTH.S79948]</w:t>
      </w:r>
    </w:p>
    <w:p w14:paraId="5D3C4B18" w14:textId="45FFF8BE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lastRenderedPageBreak/>
        <w:t>13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Dong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N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Xu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Wang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Chu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27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aqueous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humor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cytokines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patients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type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without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retinopathy.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Mol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Vis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2013;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19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1734-1746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23922491]</w:t>
      </w:r>
    </w:p>
    <w:p w14:paraId="6D19BA9F" w14:textId="6E3B4799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14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Jonas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JB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Jonas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Neumaier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Findeisen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Cytokine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concentration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aqueous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humor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eyes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Retina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2012;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32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2150-2157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22617833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10.1097/IAE.0b013e3182576d07]</w:t>
      </w:r>
    </w:p>
    <w:p w14:paraId="0F196871" w14:textId="2B2087F2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15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Boyer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DS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Hopkins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Sorof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Ehrlich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JS.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Anti-vascular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endothelial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growth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factor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therapy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Ther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Adv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Endocrinol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Metab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2013;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4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151-169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24324855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10.1177/2042018813512360]</w:t>
      </w:r>
    </w:p>
    <w:p w14:paraId="5CC86222" w14:textId="6CE15150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16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Tripathy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K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Sharma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YR,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Chawla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Gogia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Singh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SK,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Venkatesh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Vohra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Recent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advances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management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Curr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Diabetes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Rev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2015;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11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79-97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25801496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10.2174/1573399811999150324120640]</w:t>
      </w:r>
    </w:p>
    <w:p w14:paraId="0E699D34" w14:textId="74B61782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17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Augustin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AJ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Kuppermann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BD,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Lanzetta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Loewenstein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XY,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Cui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Hashad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Y,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Whitcup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SM;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Ozurdex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MEAD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Group.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previously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treated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patients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subgroup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analysis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MEAD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BMC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2015;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15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150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26519345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10.1186/s12886-015-0148-2]</w:t>
      </w:r>
    </w:p>
    <w:p w14:paraId="04C0881F" w14:textId="651DA51E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18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Photocoagulation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Early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Treatment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Retinopathy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report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number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Early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Treatment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Retinopathy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research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group.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Arch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1985;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103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1796-1806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2866759]</w:t>
      </w:r>
    </w:p>
    <w:p w14:paraId="6932B186" w14:textId="09BF4E16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19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Diabetic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Retinopathy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Clinical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Research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Network.</w:t>
      </w:r>
      <w:r w:rsidRPr="00B2588F">
        <w:rPr>
          <w:rFonts w:ascii="Book Antiqua" w:hAnsi="Book Antiqua"/>
        </w:rPr>
        <w:t>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randomized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trial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comparing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triamcinolone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acetonide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focal/grid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photocoagulation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Ophthalmology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2008;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115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1447-1449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18662829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10.1016/j.ophtha.2008.06.015]</w:t>
      </w:r>
    </w:p>
    <w:p w14:paraId="58D15E95" w14:textId="58336ECB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20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He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Y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XJ,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Hu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Lam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WC,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XR.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meta-analysis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effect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versus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anti-vascular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endothelial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growth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factor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treatment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BMC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2018;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18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121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29784048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10.1186/s12886-018-0779-1]</w:t>
      </w:r>
    </w:p>
    <w:p w14:paraId="73267276" w14:textId="2185690C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21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Banaee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T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Ashraf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Conti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FF,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Singh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RP.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Switching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Anti-VEGF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Drugs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Treatment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Ophthalmic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Surg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Lasers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Imaging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Retina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2017;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48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748-754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28902336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10.3928/23258160-20170829-10]</w:t>
      </w:r>
    </w:p>
    <w:p w14:paraId="25020E22" w14:textId="3CA001A4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lastRenderedPageBreak/>
        <w:t>22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Schmidt-Erfurth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U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Garcia-Arumi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Bandello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Berg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Chakravarthy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U,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Gerendas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BS,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Jonas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Larsen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Tadayoni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Loewenstein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Guidelines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Management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European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Society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Retina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Specialists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(EURETINA).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Ophthalmologica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2017;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237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185-222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28423385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10.1159/000458539]</w:t>
      </w:r>
    </w:p>
    <w:p w14:paraId="5AE4EC2B" w14:textId="78DC2AE7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23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Demirel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S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Argo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Agarwal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Parriott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Sepah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YJ,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DV,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Nguyen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QD.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Updates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Clinical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Trials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Middle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East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Afr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J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2016;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23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3-12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26957834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10.4103/0974-9233.172293]</w:t>
      </w:r>
    </w:p>
    <w:p w14:paraId="1B4501D8" w14:textId="2F471156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24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Boyer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DS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Yoon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YH,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Belfort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Jr,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Bandello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Maturi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RK,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Augustin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XY,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Cui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Hashad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Y,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Whitcup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SM;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Ozurdex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MEAD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Group.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Three-year,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randomized,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sham-controlled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trial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patients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Ophthalmology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2014;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121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1904-1914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24907062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10.1016/j.ophtha.2014.04.024]</w:t>
      </w:r>
    </w:p>
    <w:p w14:paraId="4164753D" w14:textId="03AE77D8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25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Haller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JA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Kuppermann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BD,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Blumenkranz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MS,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Williams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Weinberg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DV,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Chou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Whitcup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SM;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DDS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Phase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Group.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Randomized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controlled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trial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intravitreous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drug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delivery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system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patients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Arch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2010;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128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289-296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20212197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10.1001/archophthalmol.2010.21]</w:t>
      </w:r>
    </w:p>
    <w:p w14:paraId="45F280B9" w14:textId="4A264B39" w:rsidR="00E76B96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B2588F">
        <w:rPr>
          <w:rFonts w:ascii="Book Antiqua" w:hAnsi="Book Antiqua"/>
        </w:rPr>
        <w:t>26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Boyer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DS,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Cs/>
        </w:rPr>
        <w:t>Faber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D,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Gupta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S,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Patel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SS,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Tabandeh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H,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Li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XY,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Liu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CC,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Lou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J,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Whitcup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SM;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Ozurdex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CHAMPLAIN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Study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Group.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Dexamethasone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intravitreal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implant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for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treatment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of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diabetic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macular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edema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in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vitrectomized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patients.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  <w:i/>
        </w:rPr>
        <w:t>Retina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2011;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/>
          <w:bCs/>
        </w:rPr>
        <w:t>31</w:t>
      </w:r>
      <w:r w:rsidRPr="00B2588F">
        <w:rPr>
          <w:rFonts w:ascii="Book Antiqua" w:hAnsi="Book Antiqua"/>
          <w:bCs/>
        </w:rPr>
        <w:t>: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915-923.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</w:rPr>
        <w:t>[</w:t>
      </w:r>
      <w:r w:rsidRPr="00B2588F">
        <w:rPr>
          <w:rFonts w:ascii="Book Antiqua" w:hAnsi="Book Antiqua"/>
          <w:bCs/>
        </w:rPr>
        <w:t>PMID: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21487341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DOI:</w:t>
      </w:r>
      <w:r w:rsidR="000D3AB5" w:rsidRPr="00B2588F">
        <w:rPr>
          <w:rFonts w:ascii="Book Antiqua" w:hAnsi="Book Antiqua"/>
          <w:bCs/>
        </w:rPr>
        <w:t xml:space="preserve"> </w:t>
      </w:r>
      <w:r w:rsidRPr="00B2588F">
        <w:rPr>
          <w:rFonts w:ascii="Book Antiqua" w:hAnsi="Book Antiqua"/>
          <w:bCs/>
        </w:rPr>
        <w:t>10.1097/IAE.0b013e318206d18c</w:t>
      </w:r>
      <w:r w:rsidRPr="00B2588F">
        <w:rPr>
          <w:rFonts w:ascii="Book Antiqua" w:hAnsi="Book Antiqua"/>
        </w:rPr>
        <w:t>]</w:t>
      </w:r>
    </w:p>
    <w:p w14:paraId="7250C75B" w14:textId="1F9FCEBE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27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Callanan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DG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Gupta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Boyer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DS,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Ciulla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Singer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Kuppermann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BD,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Liu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CC,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XY,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Hollander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Schiffman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Whitcup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SM;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Ozurdex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PLACID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Group.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combination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laser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photocoagulation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treatment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diffuse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Ophthalmology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2013;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120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1843-1851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23706947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10.1016/j.ophtha.2013.02.018]</w:t>
      </w:r>
    </w:p>
    <w:p w14:paraId="1FFCEB45" w14:textId="0F4C20C0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28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Gillies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MC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Lim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LL,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Campain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Quin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Salem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Goodwin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Aroney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McAllister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IL,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Fraser-Bell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randomized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clinical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trial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bevacizumab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versus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BEVORDEX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Ophthalmology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2014;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121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2473-2481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25155371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10.1016/j.ophtha.2014.07.002]</w:t>
      </w:r>
    </w:p>
    <w:p w14:paraId="44DA6E30" w14:textId="4940CDC0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lastRenderedPageBreak/>
        <w:t>29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Guigou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S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Hajjar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Parrat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Merite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PY,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Pommier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Matonti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Prost-Magnin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Meyer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[Multicenter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Ozurdex®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assessment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MOZART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study].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J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Fr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2014;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37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480-485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24813119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10.1016/j.jfo.2014.03.001]</w:t>
      </w:r>
    </w:p>
    <w:p w14:paraId="0AC20327" w14:textId="53933863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30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Singer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MA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Dugel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PU,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Fine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HF,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Capone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Jr,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Maltman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Real-World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Assessment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DME: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Findings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Prospective,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Multicenter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REINFORCE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Ophthalmic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Surg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Lasers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Imaging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Retina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2018;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49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425-435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29927470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10.3928/23258160-20180601-07]</w:t>
      </w:r>
    </w:p>
    <w:p w14:paraId="4FFFAF3B" w14:textId="28FC0090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31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Mello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Filho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P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Andrade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Maia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Maia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Biccas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Neto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Muralha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Neto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Moura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Brasil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Minelli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Dalloul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Iglicki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Effectiveness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Safety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(Ozurdex)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Patients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Real-World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Experience.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Ophthalmologica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2019;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241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9-16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30408801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10.1159/000492132]</w:t>
      </w:r>
    </w:p>
    <w:p w14:paraId="1EF24FE4" w14:textId="544A197E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32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Malclès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A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Voirin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Agard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É,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Vié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AL,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Bellocq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Denis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Kodjikian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Real-life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treated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Reldex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Retina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2017;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37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753-760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27471826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10.1097/IAE.0000000000001234]</w:t>
      </w:r>
    </w:p>
    <w:p w14:paraId="50EF8F0E" w14:textId="0E2A1D4C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33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Rosenblatt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A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Udaondo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Cunha-Vaz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Sivaprasad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Bandello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Lanzetta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Kodjikian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Goldstein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Habot-Wilner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Z,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Loewenstein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ARTES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Group.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Collaborative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Retrospective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Efficacy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Safety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(Ozurdex)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Patients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European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DME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Registry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Ophthalmology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2020;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127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377-393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31932090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10.1016/j.ophtha.2019.10.005]</w:t>
      </w:r>
    </w:p>
    <w:p w14:paraId="114FF2E4" w14:textId="5C7CBF5C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34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Castro-Navarro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V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Cervera-Taulet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Navarro-Palop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Monferrer-Adsuara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Hernández-Bel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Montero-Hernández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Ozurdex®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naïve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refractory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patients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different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subtypes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BMC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2019;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19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15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30634940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10.1186/s12886-018-1022-9]</w:t>
      </w:r>
    </w:p>
    <w:p w14:paraId="4325D065" w14:textId="175F93CC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35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Maturi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RK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Glassman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AR,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Liu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Beck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RW,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Bhavsar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AR,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Bressler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Jampol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Melia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Punjabi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OS,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Salehi-Had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Sun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JK;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Retinopathy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Clinical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Research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Network.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Effect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Adding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Continued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Ranibizumab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Treatment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Patients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Persistent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DRCR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Network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Phase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lastRenderedPageBreak/>
        <w:t>Randomized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Clinical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Trial.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JAMA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2018;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136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29-38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29127949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10.1001/jamaophthalmol.2017.4914]</w:t>
      </w:r>
    </w:p>
    <w:p w14:paraId="1CB89C0B" w14:textId="743C25EE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36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Busch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C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Zur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Fraser-Bell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Laíns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Santos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AR,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Lupidi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Cagini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Gabrielle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PH,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Couturier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Mané-Tauty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Giancipoli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Ricci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GD,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Cebeci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Z,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Rodríguez-Valdés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Chaikitmongkol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Amphornphruet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Hindi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Agrawal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Chhablani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Loewenstein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Iglicki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Rehak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International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Retina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Group.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Shall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stay,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shall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switch?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Continued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anti-VEGF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therapy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versus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early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switch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refractory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Acta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Diabetol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2018;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55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789-796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29730822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10.1007/s00592-018-1151-x]</w:t>
      </w:r>
    </w:p>
    <w:p w14:paraId="7147144E" w14:textId="35A2DAB8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37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Kaya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M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Kocak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Ozturk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Bolluk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Ayhan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Z,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Kaynak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ranibizumab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injections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primary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treatment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simultaneously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double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protocol.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Eye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(Lond)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2021;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35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777-785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32398852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10.1038/s41433-020-0949-2]</w:t>
      </w:r>
    </w:p>
    <w:p w14:paraId="4EE2EB06" w14:textId="365BF57F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38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de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Andrade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FL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Lopes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FS,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Andrade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GC,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Prata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TS,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Maia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Simultaneous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Therapy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Bevacizumab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Treatment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Med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Hypothesis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Discov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Innov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2016;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5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4-9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28289686]</w:t>
      </w:r>
    </w:p>
    <w:p w14:paraId="725F143A" w14:textId="11B94CFB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39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Saatci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AO,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Ayhan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Z,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Engin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CD.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Simultaneous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Ranibizumab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Administration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Same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Setting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Eyes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Severe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Open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j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2016;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6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112-118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10.4236/ojoph.2016.62016]</w:t>
      </w:r>
    </w:p>
    <w:p w14:paraId="4497E71C" w14:textId="14E6729E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40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Khan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Z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Kuriakose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RK,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Khan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Chin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EK,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Almeida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DR.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Efficacy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Sustained-Release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Refractory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Anti-Vascular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Endothelial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Growth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Factor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Therapy: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Meta-Analysis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Clinical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Implications.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Ophthalmic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Surg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Lasers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Imaging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Retina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2017;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48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160-166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28195619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10.3928/23258160-20170130-10]</w:t>
      </w:r>
    </w:p>
    <w:p w14:paraId="128A08B2" w14:textId="32E95C8E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41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Kodjikian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L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Bellocq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Mathis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Pharmacological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Management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Real-Life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Observational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Studies.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Biomed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Res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Int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2018;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2018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8289253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30246026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10.1155/2018/8289253]</w:t>
      </w:r>
    </w:p>
    <w:p w14:paraId="547C613D" w14:textId="3463196A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42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García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Layana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A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Adán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Ascaso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Cabrera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Donate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Escobar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Barranco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Peralta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Reyes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García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Rodríguez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Maqueda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Ruiz-Moreno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Vinagre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MOMENTUM-D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Group.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Use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treatment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lastRenderedPageBreak/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Expert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recommendations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using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Delphi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approach.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Eur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J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2020;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30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1042-1052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31291782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10.1177/1120672119861623]</w:t>
      </w:r>
    </w:p>
    <w:p w14:paraId="42AB536D" w14:textId="75339655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43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Giovannini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A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Parravano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Ricci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Bandello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Management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implants: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Expert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recommendations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using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Delphi-based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approach.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Eur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J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2019;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29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82-91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29882421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10.1177/1120672118781236]</w:t>
      </w:r>
    </w:p>
    <w:p w14:paraId="41AC5683" w14:textId="37C75AEE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44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Augustin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AJ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Feltgen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Haritoglou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Hoerauf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Maier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Mardin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CY,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Schargus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[Clinical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Decision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Making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Treatment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Oedema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Consensus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Paper].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Klin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Monbl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Augenheilkd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2021;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238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73-84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31770786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10.1055/a-1024-4089]</w:t>
      </w:r>
    </w:p>
    <w:p w14:paraId="0B7FB83C" w14:textId="25C82F06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45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Karti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O,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Saatci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AO.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Intraocular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Pressure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Changes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Following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Administration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Mini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-Review.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Int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J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Ophthalmic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Res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2019;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5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302-307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10.17554/j.issn.2409-5680.2019.05.86]</w:t>
      </w:r>
    </w:p>
    <w:p w14:paraId="3DCB84B4" w14:textId="008F27A6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46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Maturi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RK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Pollack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Uy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HS,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Varano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Gomes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AM,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XY,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Cui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Lou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Hashad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Y,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Whitcup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SM;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Ozurdex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MEAD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Group.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Intraocular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pressure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patients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treated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with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3-year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mead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Retina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2016;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36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1143-1152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26871523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10.1097/IAE.0000000000001004]</w:t>
      </w:r>
    </w:p>
    <w:p w14:paraId="43AEBBFE" w14:textId="6EA18FFE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47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Rajesh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B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Zarranz-Ventura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Fung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AT,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Busch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Sahoo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NK,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Rodriguez-Valdes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PJ,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Sarao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Mishra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SK,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Saatci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AO,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Udaondo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Mirete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Querques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Farah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ME,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Lanzetta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Arevalo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JF,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Kodjikian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L,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Chhablani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J;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International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Ozurdex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Group.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Safety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6000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implants.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Br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J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2020;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104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39-46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31040132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10.1136/bjophthalmol-2019-313991]</w:t>
      </w:r>
    </w:p>
    <w:p w14:paraId="216EC782" w14:textId="74DF1FFA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48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Kayıkcıoğlu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Ö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Doğruya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Sarıgül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Mayalı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Kurt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Anterior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Chamber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Migration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Ozurdex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Implants.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Turk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J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2020;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50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115-122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32367704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10.4274/tjo.galenos.2019.43778]</w:t>
      </w:r>
    </w:p>
    <w:p w14:paraId="31E87D9A" w14:textId="04CAE212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49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Röck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D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Bartz-Schmidt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KU,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Röck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Risk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factors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management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of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anterior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chamber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intravitreal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migration.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BMC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2019;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19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120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31138164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10.1186/s12886-019-1122-1]</w:t>
      </w:r>
    </w:p>
    <w:p w14:paraId="3F273957" w14:textId="4AD7F674" w:rsidR="00A70969" w:rsidRPr="00B2588F" w:rsidRDefault="00E76B96" w:rsidP="0096083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lastRenderedPageBreak/>
        <w:t>50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Sekeroglu</w:t>
      </w:r>
      <w:r w:rsidR="000D3AB5" w:rsidRPr="00B2588F">
        <w:rPr>
          <w:rFonts w:ascii="Book Antiqua" w:hAnsi="Book Antiqua"/>
          <w:b/>
          <w:bCs/>
        </w:rPr>
        <w:t xml:space="preserve"> </w:t>
      </w:r>
      <w:r w:rsidRPr="00B2588F">
        <w:rPr>
          <w:rFonts w:ascii="Book Antiqua" w:hAnsi="Book Antiqua"/>
          <w:b/>
          <w:bCs/>
        </w:rPr>
        <w:t>MA</w:t>
      </w:r>
      <w:r w:rsidRPr="00B2588F">
        <w:rPr>
          <w:rFonts w:ascii="Book Antiqua" w:hAnsi="Book Antiqua"/>
        </w:rPr>
        <w:t>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Anayol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Koc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F,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Tirhis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H,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Ozkan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SS,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Yilmazbas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P.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Intralenticular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Sustained-Release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Implant: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Is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It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Still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Effective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on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Edema?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i/>
          <w:iCs/>
        </w:rPr>
        <w:t>Case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Rep</w:t>
      </w:r>
      <w:r w:rsidR="000D3AB5" w:rsidRPr="00B2588F">
        <w:rPr>
          <w:rFonts w:ascii="Book Antiqua" w:hAnsi="Book Antiqua"/>
          <w:i/>
          <w:iCs/>
        </w:rPr>
        <w:t xml:space="preserve"> </w:t>
      </w:r>
      <w:r w:rsidRPr="00B2588F">
        <w:rPr>
          <w:rFonts w:ascii="Book Antiqua" w:hAnsi="Book Antiqua"/>
          <w:i/>
          <w:iCs/>
        </w:rPr>
        <w:t>Ophthalmol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2016;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  <w:b/>
          <w:bCs/>
        </w:rPr>
        <w:t>7</w:t>
      </w:r>
      <w:r w:rsidRPr="00B2588F">
        <w:rPr>
          <w:rFonts w:ascii="Book Antiqua" w:hAnsi="Book Antiqua"/>
        </w:rPr>
        <w:t>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85-89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[PMID: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27293406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DOI: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10.1159/000444163]</w:t>
      </w:r>
    </w:p>
    <w:p w14:paraId="5ECF8184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0969" w:rsidRPr="00B258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A886A9" w14:textId="77777777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</w:rPr>
        <w:lastRenderedPageBreak/>
        <w:t>Footnotes</w:t>
      </w:r>
    </w:p>
    <w:p w14:paraId="3142D5D7" w14:textId="05CFD49B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  <w:bCs/>
        </w:rPr>
        <w:t>Conflict-of-interest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statement: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="00954364" w:rsidRPr="00B2588F">
        <w:rPr>
          <w:rFonts w:ascii="Book Antiqua" w:eastAsia="Book Antiqua" w:hAnsi="Book Antiqua" w:cs="Book Antiqua"/>
        </w:rPr>
        <w:t xml:space="preserve">The authors declare </w:t>
      </w:r>
      <w:r w:rsidRPr="00B2588F">
        <w:rPr>
          <w:rFonts w:ascii="Book Antiqua" w:eastAsia="Book Antiqua" w:hAnsi="Book Antiqua" w:cs="Book Antiqua"/>
        </w:rPr>
        <w:t>no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conflict</w:t>
      </w:r>
      <w:r w:rsidR="00954364" w:rsidRPr="00B2588F">
        <w:rPr>
          <w:rFonts w:ascii="Book Antiqua" w:eastAsia="Book Antiqua" w:hAnsi="Book Antiqua" w:cs="Book Antiqua"/>
        </w:rPr>
        <w:t>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interest.</w:t>
      </w:r>
    </w:p>
    <w:p w14:paraId="6C1267C7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2432DC" w14:textId="63C88CCB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  <w:bCs/>
        </w:rPr>
        <w:t>Open-Access: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</w:rPr>
        <w:t>This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article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open-access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article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that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was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selected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in-house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editor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fully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peer-reviewed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external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reviewers.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distributed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accordance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with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Creative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Commons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Attribution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NonCommercial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(CC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BY-NC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4.0)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license,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which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permits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others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to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distribute,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remix,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adapt,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build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upon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work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non-commercially,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license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their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derivative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works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on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different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terms,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provided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original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work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properly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cited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and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the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use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is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non-commercial.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See: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http://creativecommons.org/Licenses/by-nc/4.0/</w:t>
      </w:r>
    </w:p>
    <w:p w14:paraId="1CBFD540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64BBFD" w14:textId="6899A647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B2588F">
        <w:rPr>
          <w:rFonts w:ascii="Book Antiqua" w:eastAsia="Book Antiqua" w:hAnsi="Book Antiqua" w:cs="Book Antiqua"/>
          <w:b/>
        </w:rPr>
        <w:t>Manuscript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source: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</w:rPr>
        <w:t>Invited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manuscript</w:t>
      </w:r>
    </w:p>
    <w:p w14:paraId="7262E990" w14:textId="77777777" w:rsidR="008B06ED" w:rsidRPr="00B2588F" w:rsidRDefault="008B06ED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8C942D" w14:textId="57A739D0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</w:rPr>
        <w:t>Corresponding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Author's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Membership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in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Professional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Societies: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</w:rPr>
        <w:t>Turkish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Society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of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Ophthalmology</w:t>
      </w:r>
      <w:r w:rsidR="008B06ED" w:rsidRPr="00B2588F">
        <w:rPr>
          <w:rFonts w:ascii="Book Antiqua" w:eastAsia="Book Antiqua" w:hAnsi="Book Antiqua" w:cs="Book Antiqua"/>
        </w:rPr>
        <w:t>.</w:t>
      </w:r>
    </w:p>
    <w:p w14:paraId="691D762F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4BE23C" w14:textId="005C16FA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</w:rPr>
        <w:t>Peer-review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started: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</w:rPr>
        <w:t>December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27,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2020</w:t>
      </w:r>
    </w:p>
    <w:p w14:paraId="3C32E69F" w14:textId="69C2422F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</w:rPr>
        <w:t>First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decision: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</w:rPr>
        <w:t>April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20,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2021</w:t>
      </w:r>
    </w:p>
    <w:p w14:paraId="07C63EE7" w14:textId="0D0B6B3C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</w:rPr>
        <w:t>Article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in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press: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</w:p>
    <w:p w14:paraId="5B67CEED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7A3DFA" w14:textId="5DDA1E25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</w:rPr>
        <w:t>Specialty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type: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</w:rPr>
        <w:t>Ophthalmology</w:t>
      </w:r>
    </w:p>
    <w:p w14:paraId="44A87E88" w14:textId="5F37EE97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</w:rPr>
        <w:t>Country/Territory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of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origin: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</w:rPr>
        <w:t>Turkey</w:t>
      </w:r>
    </w:p>
    <w:p w14:paraId="0F0AF1AA" w14:textId="1AC89B41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</w:rPr>
        <w:t>Peer-review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report’s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scientific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quality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classification</w:t>
      </w:r>
    </w:p>
    <w:p w14:paraId="31E5BA76" w14:textId="00E279A3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Grade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(Excellent):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0</w:t>
      </w:r>
    </w:p>
    <w:p w14:paraId="552F0114" w14:textId="5F149114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Grade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(Very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good):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B</w:t>
      </w:r>
    </w:p>
    <w:p w14:paraId="07494FA9" w14:textId="35D59D5B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Grade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C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(Good):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0</w:t>
      </w:r>
    </w:p>
    <w:p w14:paraId="2281AF62" w14:textId="3D533D4B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Grade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(Fair):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0</w:t>
      </w:r>
    </w:p>
    <w:p w14:paraId="643203CA" w14:textId="405EDD8D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</w:rPr>
        <w:t>Grade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(Poor):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0</w:t>
      </w:r>
    </w:p>
    <w:p w14:paraId="6DC83745" w14:textId="77777777" w:rsidR="00A70969" w:rsidRPr="00B2588F" w:rsidRDefault="00A70969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FD3892" w14:textId="111C00D9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0969" w:rsidRPr="00B258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2588F">
        <w:rPr>
          <w:rFonts w:ascii="Book Antiqua" w:eastAsia="Book Antiqua" w:hAnsi="Book Antiqua" w:cs="Book Antiqua"/>
          <w:b/>
        </w:rPr>
        <w:t>P-Reviewer: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</w:rPr>
        <w:t>El-Sayyad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HI,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Lee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SJ,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Nicoara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SD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S-Editor: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</w:rPr>
        <w:t>Liu</w:t>
      </w:r>
      <w:r w:rsidR="000D3AB5" w:rsidRPr="00B2588F">
        <w:rPr>
          <w:rFonts w:ascii="Book Antiqua" w:eastAsia="Book Antiqua" w:hAnsi="Book Antiqua" w:cs="Book Antiqua"/>
        </w:rPr>
        <w:t xml:space="preserve"> </w:t>
      </w:r>
      <w:r w:rsidRPr="00B2588F">
        <w:rPr>
          <w:rFonts w:ascii="Book Antiqua" w:eastAsia="Book Antiqua" w:hAnsi="Book Antiqua" w:cs="Book Antiqua"/>
        </w:rPr>
        <w:t>M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L-Editor:</w:t>
      </w:r>
      <w:r w:rsidR="00D24E4E" w:rsidRPr="00B2588F">
        <w:rPr>
          <w:rFonts w:ascii="Book Antiqua" w:eastAsia="Book Antiqua" w:hAnsi="Book Antiqua" w:cs="Book Antiqua"/>
          <w:b/>
        </w:rPr>
        <w:t xml:space="preserve"> </w:t>
      </w:r>
      <w:r w:rsidR="00D24E4E" w:rsidRPr="00B2588F">
        <w:rPr>
          <w:rFonts w:ascii="Book Antiqua" w:eastAsia="Book Antiqua" w:hAnsi="Book Antiqua" w:cs="Book Antiqua"/>
          <w:bCs/>
        </w:rPr>
        <w:t>Filipodia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P-Editor: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</w:p>
    <w:p w14:paraId="716FFF18" w14:textId="3AA2E5F8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bookmarkStart w:id="0" w:name="OLE_LINK1"/>
      <w:r w:rsidRPr="00B2588F">
        <w:rPr>
          <w:rFonts w:ascii="Book Antiqua" w:eastAsia="Book Antiqua" w:hAnsi="Book Antiqua" w:cs="Book Antiqua"/>
          <w:b/>
        </w:rPr>
        <w:lastRenderedPageBreak/>
        <w:t>Figure</w:t>
      </w:r>
      <w:r w:rsidR="000D3AB5" w:rsidRPr="00B2588F">
        <w:rPr>
          <w:rFonts w:ascii="Book Antiqua" w:eastAsia="Book Antiqua" w:hAnsi="Book Antiqua" w:cs="Book Antiqua"/>
          <w:b/>
        </w:rPr>
        <w:t xml:space="preserve"> </w:t>
      </w:r>
      <w:r w:rsidRPr="00B2588F">
        <w:rPr>
          <w:rFonts w:ascii="Book Antiqua" w:eastAsia="Book Antiqua" w:hAnsi="Book Antiqua" w:cs="Book Antiqua"/>
          <w:b/>
        </w:rPr>
        <w:t>Legends</w:t>
      </w:r>
    </w:p>
    <w:p w14:paraId="709A358D" w14:textId="77777777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7C68BC">
        <w:rPr>
          <w:rFonts w:ascii="Book Antiqua" w:eastAsia="Book Antiqua" w:hAnsi="Book Antiqua" w:cs="Book Antiqua"/>
          <w:b/>
          <w:bCs/>
          <w:noProof/>
          <w:lang w:eastAsia="zh-CN"/>
        </w:rPr>
        <w:drawing>
          <wp:inline distT="0" distB="0" distL="0" distR="0" wp14:anchorId="1F214FAD" wp14:editId="3E1D2491">
            <wp:extent cx="4825284" cy="670803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0992" cy="6715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5498C" w14:textId="59ACA92E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B2588F">
        <w:rPr>
          <w:rFonts w:ascii="Book Antiqua" w:eastAsia="Book Antiqua" w:hAnsi="Book Antiqua" w:cs="Book Antiqua"/>
          <w:b/>
          <w:bCs/>
        </w:rPr>
        <w:t>Figure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1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Pathophysiology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and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biochemical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pathways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of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diabetic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macular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edema.</w:t>
      </w:r>
    </w:p>
    <w:bookmarkEnd w:id="0"/>
    <w:p w14:paraId="50E36C48" w14:textId="77777777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B2588F">
        <w:rPr>
          <w:rFonts w:ascii="Book Antiqua" w:eastAsia="Book Antiqua" w:hAnsi="Book Antiqua" w:cs="Book Antiqua"/>
        </w:rPr>
        <w:br w:type="page"/>
      </w:r>
      <w:r w:rsidRPr="007C68BC">
        <w:rPr>
          <w:rFonts w:ascii="Book Antiqua" w:eastAsia="Book Antiqua" w:hAnsi="Book Antiqua" w:cs="Book Antiqua"/>
          <w:b/>
          <w:bCs/>
          <w:noProof/>
          <w:lang w:eastAsia="zh-CN"/>
        </w:rPr>
        <w:lastRenderedPageBreak/>
        <w:drawing>
          <wp:inline distT="0" distB="0" distL="0" distR="0" wp14:anchorId="2F71B4CC" wp14:editId="3831BE7E">
            <wp:extent cx="3912235" cy="22377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9892" cy="2242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DD9A0" w14:textId="62CD33CA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B2588F">
        <w:rPr>
          <w:rFonts w:ascii="Book Antiqua" w:eastAsia="Book Antiqua" w:hAnsi="Book Antiqua" w:cs="Book Antiqua"/>
          <w:b/>
          <w:bCs/>
        </w:rPr>
        <w:t>Figure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2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Ozurdex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single-use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intravitreal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injection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device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with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a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23</w:t>
      </w:r>
      <w:r w:rsidRPr="00B2588F">
        <w:rPr>
          <w:rFonts w:ascii="Book Antiqua" w:eastAsia="Book Antiqua" w:hAnsi="Book Antiqua" w:cs="Book Antiqua"/>
          <w:b/>
          <w:bCs/>
        </w:rPr>
        <w:noBreakHyphen/>
        <w:t>gauge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needle.</w:t>
      </w:r>
    </w:p>
    <w:p w14:paraId="7152B64C" w14:textId="77777777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eastAsia="Book Antiqua" w:hAnsi="Book Antiqua" w:cs="Book Antiqua"/>
          <w:b/>
          <w:bCs/>
        </w:rPr>
        <w:br w:type="page"/>
      </w:r>
      <w:r w:rsidRPr="007C68BC">
        <w:rPr>
          <w:rFonts w:ascii="Book Antiqua" w:eastAsia="Book Antiqua" w:hAnsi="Book Antiqua" w:cs="Book Antiqua"/>
          <w:b/>
          <w:bCs/>
          <w:noProof/>
          <w:lang w:eastAsia="zh-CN"/>
        </w:rPr>
        <w:lastRenderedPageBreak/>
        <w:drawing>
          <wp:inline distT="0" distB="0" distL="0" distR="0" wp14:anchorId="6765AD14" wp14:editId="7BF359AC">
            <wp:extent cx="2774012" cy="2545690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8604" cy="2549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88663" w14:textId="1262EACC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B2588F">
        <w:rPr>
          <w:rFonts w:ascii="Book Antiqua" w:eastAsia="Book Antiqua" w:hAnsi="Book Antiqua" w:cs="Book Antiqua"/>
          <w:b/>
          <w:bCs/>
        </w:rPr>
        <w:t>Figure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3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Color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fundus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picture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of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a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right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eye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showing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the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diabetic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macular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edema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related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circinate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hard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exudates,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intraretinal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hemorrhages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and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old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laser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burns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together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with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a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Dexamethasone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implant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located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in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the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vitreous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cavity</w:t>
      </w:r>
      <w:r w:rsidR="000D3AB5" w:rsidRPr="00B2588F">
        <w:rPr>
          <w:rFonts w:ascii="Book Antiqua" w:eastAsia="Book Antiqua" w:hAnsi="Book Antiqua" w:cs="Book Antiqua"/>
          <w:b/>
          <w:bCs/>
        </w:rPr>
        <w:t xml:space="preserve"> </w:t>
      </w:r>
      <w:r w:rsidRPr="00B2588F">
        <w:rPr>
          <w:rFonts w:ascii="Book Antiqua" w:eastAsia="Book Antiqua" w:hAnsi="Book Antiqua" w:cs="Book Antiqua"/>
          <w:b/>
          <w:bCs/>
        </w:rPr>
        <w:t>(black-arrow).</w:t>
      </w:r>
    </w:p>
    <w:p w14:paraId="66B83258" w14:textId="77777777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  <w:sectPr w:rsidR="00A70969" w:rsidRPr="00B258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2588F">
        <w:rPr>
          <w:rFonts w:ascii="Book Antiqua" w:eastAsia="Book Antiqua" w:hAnsi="Book Antiqua" w:cs="Book Antiqua"/>
          <w:b/>
          <w:bCs/>
        </w:rPr>
        <w:br w:type="page"/>
      </w:r>
    </w:p>
    <w:p w14:paraId="43704484" w14:textId="26701D7D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B2588F">
        <w:rPr>
          <w:rFonts w:ascii="Book Antiqua" w:hAnsi="Book Antiqua"/>
          <w:b/>
        </w:rPr>
        <w:lastRenderedPageBreak/>
        <w:t>Table</w:t>
      </w:r>
      <w:r w:rsidR="000D3AB5" w:rsidRPr="00B2588F">
        <w:rPr>
          <w:rFonts w:ascii="Book Antiqua" w:hAnsi="Book Antiqua"/>
          <w:b/>
        </w:rPr>
        <w:t xml:space="preserve"> </w:t>
      </w:r>
      <w:r w:rsidRPr="00B2588F">
        <w:rPr>
          <w:rFonts w:ascii="Book Antiqua" w:hAnsi="Book Antiqua"/>
          <w:b/>
        </w:rPr>
        <w:t>1</w:t>
      </w:r>
      <w:r w:rsidR="000D3AB5" w:rsidRPr="00B2588F">
        <w:rPr>
          <w:rFonts w:ascii="Book Antiqua" w:hAnsi="Book Antiqua"/>
          <w:b/>
        </w:rPr>
        <w:t xml:space="preserve"> </w:t>
      </w:r>
      <w:r w:rsidRPr="00B2588F">
        <w:rPr>
          <w:rFonts w:ascii="Book Antiqua" w:hAnsi="Book Antiqua"/>
          <w:b/>
        </w:rPr>
        <w:t>Summary</w:t>
      </w:r>
      <w:r w:rsidR="000D3AB5" w:rsidRPr="00B2588F">
        <w:rPr>
          <w:rFonts w:ascii="Book Antiqua" w:hAnsi="Book Antiqua"/>
          <w:b/>
        </w:rPr>
        <w:t xml:space="preserve"> </w:t>
      </w:r>
      <w:r w:rsidRPr="00B2588F">
        <w:rPr>
          <w:rFonts w:ascii="Book Antiqua" w:hAnsi="Book Antiqua"/>
          <w:b/>
        </w:rPr>
        <w:t>of</w:t>
      </w:r>
      <w:r w:rsidR="000D3AB5" w:rsidRPr="00B2588F">
        <w:rPr>
          <w:rFonts w:ascii="Book Antiqua" w:hAnsi="Book Antiqua"/>
          <w:b/>
        </w:rPr>
        <w:t xml:space="preserve"> </w:t>
      </w:r>
      <w:r w:rsidRPr="00B2588F">
        <w:rPr>
          <w:rFonts w:ascii="Book Antiqua" w:hAnsi="Book Antiqua"/>
          <w:b/>
        </w:rPr>
        <w:t>major</w:t>
      </w:r>
      <w:r w:rsidR="000D3AB5" w:rsidRPr="00B2588F">
        <w:rPr>
          <w:rFonts w:ascii="Book Antiqua" w:hAnsi="Book Antiqua"/>
          <w:b/>
        </w:rPr>
        <w:t xml:space="preserve"> </w:t>
      </w:r>
      <w:r w:rsidRPr="00B2588F">
        <w:rPr>
          <w:rFonts w:ascii="Book Antiqua" w:hAnsi="Book Antiqua"/>
          <w:b/>
        </w:rPr>
        <w:t>clinical</w:t>
      </w:r>
      <w:r w:rsidR="000D3AB5" w:rsidRPr="00B2588F">
        <w:rPr>
          <w:rFonts w:ascii="Book Antiqua" w:hAnsi="Book Antiqua"/>
          <w:b/>
        </w:rPr>
        <w:t xml:space="preserve"> </w:t>
      </w:r>
      <w:r w:rsidRPr="00B2588F">
        <w:rPr>
          <w:rFonts w:ascii="Book Antiqua" w:hAnsi="Book Antiqua"/>
          <w:b/>
        </w:rPr>
        <w:t>trials</w:t>
      </w:r>
      <w:r w:rsidR="000D3AB5" w:rsidRPr="00B2588F">
        <w:rPr>
          <w:rFonts w:ascii="Book Antiqua" w:hAnsi="Book Antiqua"/>
          <w:b/>
        </w:rPr>
        <w:t xml:space="preserve"> </w:t>
      </w:r>
      <w:r w:rsidRPr="00B2588F">
        <w:rPr>
          <w:rFonts w:ascii="Book Antiqua" w:hAnsi="Book Antiqua"/>
          <w:b/>
        </w:rPr>
        <w:t>of</w:t>
      </w:r>
      <w:r w:rsidR="000D3AB5" w:rsidRPr="00B2588F">
        <w:rPr>
          <w:rFonts w:ascii="Book Antiqua" w:hAnsi="Book Antiqua"/>
          <w:b/>
        </w:rPr>
        <w:t xml:space="preserve"> </w:t>
      </w:r>
      <w:r w:rsidRPr="00B2588F">
        <w:rPr>
          <w:rFonts w:ascii="Book Antiqua" w:hAnsi="Book Antiqua"/>
          <w:b/>
        </w:rPr>
        <w:t>dexamethasone</w:t>
      </w:r>
      <w:r w:rsidR="000D3AB5" w:rsidRPr="00B2588F">
        <w:rPr>
          <w:rFonts w:ascii="Book Antiqua" w:hAnsi="Book Antiqua"/>
          <w:b/>
        </w:rPr>
        <w:t xml:space="preserve"> </w:t>
      </w:r>
      <w:r w:rsidRPr="00B2588F">
        <w:rPr>
          <w:rFonts w:ascii="Book Antiqua" w:hAnsi="Book Antiqua"/>
          <w:b/>
        </w:rPr>
        <w:t>implant</w:t>
      </w:r>
      <w:r w:rsidR="000D3AB5" w:rsidRPr="00B2588F">
        <w:rPr>
          <w:rFonts w:ascii="Book Antiqua" w:hAnsi="Book Antiqua"/>
          <w:b/>
        </w:rPr>
        <w:t xml:space="preserve"> </w:t>
      </w:r>
      <w:r w:rsidRPr="00B2588F">
        <w:rPr>
          <w:rFonts w:ascii="Book Antiqua" w:hAnsi="Book Antiqua"/>
          <w:b/>
        </w:rPr>
        <w:t>in</w:t>
      </w:r>
      <w:r w:rsidR="000D3AB5" w:rsidRPr="00B2588F">
        <w:rPr>
          <w:rFonts w:ascii="Book Antiqua" w:hAnsi="Book Antiqua"/>
          <w:b/>
        </w:rPr>
        <w:t xml:space="preserve"> </w:t>
      </w:r>
      <w:r w:rsidRPr="00B2588F">
        <w:rPr>
          <w:rFonts w:ascii="Book Antiqua" w:hAnsi="Book Antiqua"/>
          <w:b/>
        </w:rPr>
        <w:t>patients</w:t>
      </w:r>
      <w:r w:rsidR="000D3AB5" w:rsidRPr="00B2588F">
        <w:rPr>
          <w:rFonts w:ascii="Book Antiqua" w:hAnsi="Book Antiqua"/>
          <w:b/>
        </w:rPr>
        <w:t xml:space="preserve"> </w:t>
      </w:r>
      <w:r w:rsidRPr="00B2588F">
        <w:rPr>
          <w:rFonts w:ascii="Book Antiqua" w:hAnsi="Book Antiqua"/>
          <w:b/>
        </w:rPr>
        <w:t>with</w:t>
      </w:r>
      <w:r w:rsidR="000D3AB5" w:rsidRPr="00B2588F">
        <w:rPr>
          <w:rFonts w:ascii="Book Antiqua" w:hAnsi="Book Antiqua"/>
          <w:b/>
        </w:rPr>
        <w:t xml:space="preserve"> </w:t>
      </w:r>
      <w:r w:rsidRPr="00B2588F">
        <w:rPr>
          <w:rFonts w:ascii="Book Antiqua" w:hAnsi="Book Antiqua"/>
          <w:b/>
        </w:rPr>
        <w:t>diabetic</w:t>
      </w:r>
      <w:r w:rsidR="000D3AB5" w:rsidRPr="00B2588F">
        <w:rPr>
          <w:rFonts w:ascii="Book Antiqua" w:hAnsi="Book Antiqua"/>
          <w:b/>
        </w:rPr>
        <w:t xml:space="preserve"> </w:t>
      </w:r>
      <w:r w:rsidRPr="00B2588F">
        <w:rPr>
          <w:rFonts w:ascii="Book Antiqua" w:hAnsi="Book Antiqua"/>
          <w:b/>
        </w:rPr>
        <w:t>macular</w:t>
      </w:r>
      <w:r w:rsidR="000D3AB5" w:rsidRPr="00B2588F">
        <w:rPr>
          <w:rFonts w:ascii="Book Antiqua" w:hAnsi="Book Antiqua"/>
          <w:b/>
        </w:rPr>
        <w:t xml:space="preserve"> </w:t>
      </w:r>
      <w:r w:rsidRPr="00B2588F">
        <w:rPr>
          <w:rFonts w:ascii="Book Antiqua" w:hAnsi="Book Antiqua"/>
          <w:b/>
        </w:rPr>
        <w:t>edema</w:t>
      </w:r>
    </w:p>
    <w:tbl>
      <w:tblPr>
        <w:tblStyle w:val="LightShading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941"/>
        <w:gridCol w:w="1615"/>
        <w:gridCol w:w="6018"/>
      </w:tblGrid>
      <w:tr w:rsidR="006B03F1" w:rsidRPr="00B2588F" w14:paraId="017EA9E9" w14:textId="77777777" w:rsidTr="006B0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5016108" w14:textId="77777777" w:rsidR="00A70969" w:rsidRPr="007C68BC" w:rsidRDefault="00E76B96" w:rsidP="0096083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  <w:lang w:eastAsia="zh-CN"/>
              </w:rPr>
            </w:pPr>
            <w:r w:rsidRPr="007C68BC">
              <w:rPr>
                <w:rFonts w:ascii="Book Antiqua" w:hAnsi="Book Antiqua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0F44B04" w14:textId="07DC20A1" w:rsidR="00A70969" w:rsidRPr="00B2588F" w:rsidRDefault="00E76B96" w:rsidP="0096083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color w:val="auto"/>
              </w:rPr>
            </w:pPr>
            <w:r w:rsidRPr="00B2588F">
              <w:rPr>
                <w:rFonts w:ascii="Book Antiqua" w:hAnsi="Book Antiqua"/>
                <w:color w:val="auto"/>
              </w:rPr>
              <w:t>Study</w:t>
            </w:r>
            <w:r w:rsidR="000D3AB5" w:rsidRPr="00B2588F">
              <w:rPr>
                <w:rFonts w:ascii="Book Antiqua" w:hAnsi="Book Antiqua"/>
                <w:color w:val="auto"/>
              </w:rPr>
              <w:t xml:space="preserve"> </w:t>
            </w:r>
            <w:r w:rsidRPr="00B2588F">
              <w:rPr>
                <w:rFonts w:ascii="Book Antiqua" w:hAnsi="Book Antiqua"/>
              </w:rPr>
              <w:t>design,</w:t>
            </w:r>
            <w:r w:rsidR="000D3AB5" w:rsidRPr="00B2588F">
              <w:rPr>
                <w:rFonts w:ascii="Book Antiqua" w:hAnsi="Book Antiqua"/>
              </w:rPr>
              <w:t xml:space="preserve"> </w:t>
            </w:r>
            <w:r w:rsidRPr="00B2588F">
              <w:rPr>
                <w:rFonts w:ascii="Book Antiqua" w:hAnsi="Book Antiqua"/>
              </w:rPr>
              <w:t>number</w:t>
            </w:r>
            <w:r w:rsidR="000D3AB5" w:rsidRPr="00B2588F">
              <w:rPr>
                <w:rFonts w:ascii="Book Antiqua" w:hAnsi="Book Antiqua"/>
              </w:rPr>
              <w:t xml:space="preserve"> </w:t>
            </w:r>
            <w:r w:rsidRPr="00B2588F">
              <w:rPr>
                <w:rFonts w:ascii="Book Antiqua" w:hAnsi="Book Antiqua"/>
              </w:rPr>
              <w:t>of</w:t>
            </w:r>
            <w:r w:rsidR="000D3AB5" w:rsidRPr="00B2588F">
              <w:rPr>
                <w:rFonts w:ascii="Book Antiqua" w:hAnsi="Book Antiqua"/>
              </w:rPr>
              <w:t xml:space="preserve"> </w:t>
            </w:r>
            <w:r w:rsidRPr="00B2588F">
              <w:rPr>
                <w:rFonts w:ascii="Book Antiqua" w:hAnsi="Book Antiqua"/>
              </w:rPr>
              <w:t>patients,</w:t>
            </w:r>
            <w:r w:rsidR="000D3AB5" w:rsidRPr="00B2588F">
              <w:rPr>
                <w:rFonts w:ascii="Book Antiqua" w:hAnsi="Book Antiqua"/>
              </w:rPr>
              <w:t xml:space="preserve"> </w:t>
            </w:r>
            <w:r w:rsidRPr="00B2588F">
              <w:rPr>
                <w:rFonts w:ascii="Book Antiqua" w:hAnsi="Book Antiqua"/>
              </w:rPr>
              <w:t>mean</w:t>
            </w:r>
            <w:r w:rsidR="000D3AB5" w:rsidRPr="00B2588F">
              <w:rPr>
                <w:rFonts w:ascii="Book Antiqua" w:hAnsi="Book Antiqua"/>
              </w:rPr>
              <w:t xml:space="preserve"> </w:t>
            </w:r>
            <w:r w:rsidRPr="00B2588F">
              <w:rPr>
                <w:rFonts w:ascii="Book Antiqua" w:hAnsi="Book Antiqua"/>
              </w:rPr>
              <w:t>or</w:t>
            </w:r>
            <w:r w:rsidR="000D3AB5" w:rsidRPr="00B2588F">
              <w:rPr>
                <w:rFonts w:ascii="Book Antiqua" w:hAnsi="Book Antiqua"/>
              </w:rPr>
              <w:t xml:space="preserve"> </w:t>
            </w:r>
            <w:r w:rsidRPr="00B2588F">
              <w:rPr>
                <w:rFonts w:ascii="Book Antiqua" w:hAnsi="Book Antiqua"/>
              </w:rPr>
              <w:t>median</w:t>
            </w:r>
            <w:r w:rsidR="000D3AB5" w:rsidRPr="00B2588F">
              <w:rPr>
                <w:rFonts w:ascii="Book Antiqua" w:hAnsi="Book Antiqua"/>
              </w:rPr>
              <w:t xml:space="preserve"> </w:t>
            </w:r>
            <w:r w:rsidRPr="00B2588F">
              <w:rPr>
                <w:rFonts w:ascii="Book Antiqua" w:hAnsi="Book Antiqua"/>
              </w:rPr>
              <w:t>follow-up</w:t>
            </w:r>
            <w:r w:rsidR="000D3AB5" w:rsidRPr="00B2588F">
              <w:rPr>
                <w:rFonts w:ascii="Book Antiqua" w:hAnsi="Book Antiqua"/>
              </w:rPr>
              <w:t xml:space="preserve"> </w:t>
            </w:r>
            <w:r w:rsidRPr="00B2588F">
              <w:rPr>
                <w:rFonts w:ascii="Book Antiqua" w:hAnsi="Book Antiqua"/>
              </w:rPr>
              <w:t>period</w:t>
            </w:r>
            <w:r w:rsidR="000D3AB5" w:rsidRPr="00B2588F">
              <w:rPr>
                <w:rFonts w:ascii="Book Antiqua" w:hAnsi="Book Antiqua"/>
              </w:rPr>
              <w:t xml:space="preserve"> </w:t>
            </w:r>
            <w:r w:rsidRPr="00B2588F">
              <w:rPr>
                <w:rFonts w:ascii="Book Antiqua" w:hAnsi="Book Antiqua"/>
              </w:rPr>
              <w:t>after</w:t>
            </w:r>
            <w:r w:rsidR="000D3AB5" w:rsidRPr="00B2588F">
              <w:rPr>
                <w:rFonts w:ascii="Book Antiqua" w:hAnsi="Book Antiqua"/>
              </w:rPr>
              <w:t xml:space="preserve"> </w:t>
            </w:r>
            <w:r w:rsidRPr="00B2588F">
              <w:rPr>
                <w:rFonts w:ascii="Book Antiqua" w:hAnsi="Book Antiqua"/>
              </w:rPr>
              <w:t>the</w:t>
            </w:r>
            <w:r w:rsidR="000D3AB5" w:rsidRPr="00B2588F">
              <w:rPr>
                <w:rFonts w:ascii="Book Antiqua" w:hAnsi="Book Antiqua"/>
              </w:rPr>
              <w:t xml:space="preserve"> </w:t>
            </w:r>
            <w:r w:rsidRPr="00B2588F">
              <w:rPr>
                <w:rFonts w:ascii="Book Antiqua" w:hAnsi="Book Antiqua"/>
              </w:rPr>
              <w:t>first</w:t>
            </w:r>
            <w:r w:rsidR="000D3AB5" w:rsidRPr="00B2588F">
              <w:rPr>
                <w:rFonts w:ascii="Book Antiqua" w:hAnsi="Book Antiqua"/>
              </w:rPr>
              <w:t xml:space="preserve"> </w:t>
            </w:r>
            <w:r w:rsidRPr="00B2588F">
              <w:rPr>
                <w:rFonts w:ascii="Book Antiqua" w:hAnsi="Book Antiqua"/>
              </w:rPr>
              <w:t>injection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6EED3DD" w14:textId="7C0F36C8" w:rsidR="00A70969" w:rsidRPr="00B2588F" w:rsidRDefault="00E76B96" w:rsidP="0096083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color w:val="auto"/>
              </w:rPr>
            </w:pPr>
            <w:r w:rsidRPr="00B2588F">
              <w:rPr>
                <w:rFonts w:ascii="Book Antiqua" w:hAnsi="Book Antiqua"/>
              </w:rPr>
              <w:t>Treatment</w:t>
            </w:r>
            <w:r w:rsidR="000D3AB5" w:rsidRPr="00B2588F">
              <w:rPr>
                <w:rFonts w:ascii="Book Antiqua" w:hAnsi="Book Antiqua"/>
              </w:rPr>
              <w:t xml:space="preserve"> </w:t>
            </w:r>
            <w:r w:rsidRPr="00B2588F">
              <w:rPr>
                <w:rFonts w:ascii="Book Antiqua" w:hAnsi="Book Antiqua"/>
              </w:rPr>
              <w:t>indications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3427EFA" w14:textId="3CCEAE5C" w:rsidR="00A70969" w:rsidRPr="00B2588F" w:rsidRDefault="000D3AB5" w:rsidP="0096083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color w:val="auto"/>
              </w:rPr>
            </w:pPr>
            <w:r w:rsidRPr="00B2588F">
              <w:rPr>
                <w:rFonts w:ascii="Book Antiqua" w:hAnsi="Book Antiqua"/>
              </w:rPr>
              <w:t xml:space="preserve"> </w:t>
            </w:r>
            <w:r w:rsidR="00E76B96" w:rsidRPr="00B2588F">
              <w:rPr>
                <w:rFonts w:ascii="Book Antiqua" w:hAnsi="Book Antiqua"/>
              </w:rPr>
              <w:t>Anatomical</w:t>
            </w:r>
            <w:r w:rsidRPr="00B2588F">
              <w:rPr>
                <w:rFonts w:ascii="Book Antiqua" w:hAnsi="Book Antiqua"/>
              </w:rPr>
              <w:t xml:space="preserve"> </w:t>
            </w:r>
            <w:r w:rsidR="00E76B96" w:rsidRPr="00B2588F">
              <w:rPr>
                <w:rFonts w:ascii="Book Antiqua" w:hAnsi="Book Antiqua"/>
              </w:rPr>
              <w:t>and</w:t>
            </w:r>
            <w:r w:rsidRPr="00B2588F">
              <w:rPr>
                <w:rFonts w:ascii="Book Antiqua" w:hAnsi="Book Antiqua"/>
              </w:rPr>
              <w:t xml:space="preserve"> </w:t>
            </w:r>
            <w:r w:rsidR="00E76B96" w:rsidRPr="00B2588F">
              <w:rPr>
                <w:rFonts w:ascii="Book Antiqua" w:hAnsi="Book Antiqua"/>
              </w:rPr>
              <w:t>functional</w:t>
            </w:r>
            <w:r w:rsidRPr="00B2588F">
              <w:rPr>
                <w:rFonts w:ascii="Book Antiqua" w:hAnsi="Book Antiqua"/>
              </w:rPr>
              <w:t xml:space="preserve"> </w:t>
            </w:r>
            <w:r w:rsidR="00E76B96" w:rsidRPr="00B2588F">
              <w:rPr>
                <w:rFonts w:ascii="Book Antiqua" w:hAnsi="Book Antiqua"/>
              </w:rPr>
              <w:t>outcomes</w:t>
            </w:r>
          </w:p>
          <w:p w14:paraId="090E37C8" w14:textId="77777777" w:rsidR="00A70969" w:rsidRPr="00B2588F" w:rsidRDefault="00A70969" w:rsidP="0096083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color w:val="auto"/>
              </w:rPr>
            </w:pPr>
          </w:p>
        </w:tc>
      </w:tr>
      <w:tr w:rsidR="006B03F1" w:rsidRPr="00B2588F" w14:paraId="4A99062E" w14:textId="77777777" w:rsidTr="006B03F1">
        <w:trPr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48F03C" w14:textId="3398EA84" w:rsidR="00A70969" w:rsidRPr="00B2588F" w:rsidRDefault="00E76B96" w:rsidP="00960830">
            <w:pPr>
              <w:pStyle w:val="ListParagraph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C68BC">
              <w:rPr>
                <w:rFonts w:ascii="Book Antiqua" w:hAnsi="Book Antiqua"/>
                <w:sz w:val="24"/>
                <w:szCs w:val="24"/>
                <w:lang w:val="en-US"/>
              </w:rPr>
              <w:t>Boyer</w:t>
            </w:r>
            <w:r w:rsidR="000D3AB5" w:rsidRPr="007C68BC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C68BC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et</w:t>
            </w:r>
            <w:r w:rsidR="000D3AB5" w:rsidRPr="007C68BC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C68BC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al</w:t>
            </w:r>
            <w:r w:rsidRPr="00B2588F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  <w:vertAlign w:val="superscript"/>
                <w:lang w:val="en-US"/>
              </w:rPr>
              <w:t>[24]</w:t>
            </w:r>
            <w:r w:rsidRPr="00B2588F">
              <w:rPr>
                <w:rFonts w:ascii="Book Antiqua" w:hAnsi="Book Antiqua"/>
                <w:b w:val="0"/>
                <w:bCs w:val="0"/>
                <w:color w:val="auto"/>
                <w:sz w:val="24"/>
                <w:szCs w:val="24"/>
                <w:lang w:val="en-US"/>
              </w:rPr>
              <w:t>,</w:t>
            </w:r>
            <w:r w:rsidR="000D3AB5" w:rsidRPr="007C68BC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hyperlink r:id="rId13">
              <w:r w:rsidRPr="00B2588F">
                <w:rPr>
                  <w:rFonts w:ascii="Book Antiqua" w:hAnsi="Book Antiqua" w:cs="Times New Roman"/>
                  <w:sz w:val="24"/>
                  <w:szCs w:val="24"/>
                  <w:lang w:val="en-US"/>
                </w:rPr>
                <w:t>Ozurdex</w:t>
              </w:r>
              <w:r w:rsidR="000D3AB5" w:rsidRPr="00B2588F">
                <w:rPr>
                  <w:rFonts w:ascii="Book Antiqua" w:hAnsi="Book Antiqua" w:cs="Times New Roman"/>
                  <w:sz w:val="24"/>
                  <w:szCs w:val="24"/>
                  <w:lang w:val="en-US"/>
                </w:rPr>
                <w:t xml:space="preserve"> </w:t>
              </w:r>
              <w:r w:rsidRPr="00B2588F">
                <w:rPr>
                  <w:rFonts w:ascii="Book Antiqua" w:hAnsi="Book Antiqua" w:cs="Times New Roman"/>
                  <w:sz w:val="24"/>
                  <w:szCs w:val="24"/>
                  <w:lang w:val="en-US"/>
                </w:rPr>
                <w:t>MEAD</w:t>
              </w:r>
              <w:r w:rsidR="000D3AB5" w:rsidRPr="00B2588F">
                <w:rPr>
                  <w:rFonts w:ascii="Book Antiqua" w:hAnsi="Book Antiqua" w:cs="Times New Roman"/>
                  <w:sz w:val="24"/>
                  <w:szCs w:val="24"/>
                  <w:lang w:val="en-US"/>
                </w:rPr>
                <w:t xml:space="preserve"> </w:t>
              </w:r>
              <w:r w:rsidR="006B03F1" w:rsidRPr="00B2588F">
                <w:rPr>
                  <w:rFonts w:ascii="Book Antiqua" w:hAnsi="Book Antiqua" w:cs="Times New Roman"/>
                  <w:sz w:val="24"/>
                  <w:szCs w:val="24"/>
                  <w:lang w:val="en-US"/>
                </w:rPr>
                <w:t>study</w:t>
              </w:r>
              <w:r w:rsidR="000D3AB5" w:rsidRPr="00B2588F">
                <w:rPr>
                  <w:rFonts w:ascii="Book Antiqua" w:hAnsi="Book Antiqua" w:cs="Times New Roman"/>
                  <w:sz w:val="24"/>
                  <w:szCs w:val="24"/>
                  <w:lang w:val="en-US"/>
                </w:rPr>
                <w:t xml:space="preserve"> </w:t>
              </w:r>
              <w:r w:rsidR="006B03F1" w:rsidRPr="00B2588F">
                <w:rPr>
                  <w:rFonts w:ascii="Book Antiqua" w:hAnsi="Book Antiqua" w:cs="Times New Roman"/>
                  <w:sz w:val="24"/>
                  <w:szCs w:val="24"/>
                  <w:lang w:val="en-US"/>
                </w:rPr>
                <w:t>group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0352E86" w14:textId="07483B3B" w:rsidR="00A70969" w:rsidRPr="00B2588F" w:rsidRDefault="00E76B96" w:rsidP="00960830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Multicenter,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randomized,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sham-controlled,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phase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954364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III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clinical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46B24F" w14:textId="77777777" w:rsidR="00A70969" w:rsidRPr="00B2588F" w:rsidRDefault="00E76B96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B2588F">
              <w:rPr>
                <w:rFonts w:ascii="Book Antiqua" w:hAnsi="Book Antiqua"/>
              </w:rPr>
              <w:t>DME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A333C31" w14:textId="4D7AC0BA" w:rsidR="00A70969" w:rsidRPr="00B2588F" w:rsidRDefault="00E76B96" w:rsidP="00960830">
            <w:pPr>
              <w:pStyle w:val="ListParagraph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Statistically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significantly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higher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mean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CMT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reduction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from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baseline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during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study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both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groups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than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sham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group</w:t>
            </w:r>
          </w:p>
        </w:tc>
      </w:tr>
      <w:tr w:rsidR="006B03F1" w:rsidRPr="00B2588F" w14:paraId="7C8B6B0E" w14:textId="77777777" w:rsidTr="006B03F1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6B8EFF81" w14:textId="77777777" w:rsidR="00A70969" w:rsidRPr="00B2588F" w:rsidRDefault="00A70969" w:rsidP="00960830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7ECEE2C" w14:textId="38B54BDF" w:rsidR="00A70969" w:rsidRPr="00B2588F" w:rsidRDefault="00E76B96" w:rsidP="00960830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1048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patients</w:t>
            </w:r>
          </w:p>
        </w:tc>
        <w:tc>
          <w:tcPr>
            <w:tcW w:w="0" w:type="auto"/>
            <w:vMerge/>
            <w:shd w:val="clear" w:color="auto" w:fill="auto"/>
          </w:tcPr>
          <w:p w14:paraId="077A06FF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14:paraId="6F6B2586" w14:textId="2A3D7EBA" w:rsidR="00A70969" w:rsidRPr="00B2588F" w:rsidRDefault="00E76B96" w:rsidP="00960830">
            <w:pPr>
              <w:pStyle w:val="ListParagraph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0.7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mg: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-111.6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µm</w:t>
            </w:r>
          </w:p>
        </w:tc>
      </w:tr>
      <w:tr w:rsidR="006B03F1" w:rsidRPr="00B2588F" w14:paraId="4D60764C" w14:textId="77777777" w:rsidTr="006B03F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0B96EF27" w14:textId="77777777" w:rsidR="00A70969" w:rsidRPr="00B2588F" w:rsidRDefault="00A70969" w:rsidP="00960830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615068" w14:textId="77777777" w:rsidR="00A70969" w:rsidRPr="00B2588F" w:rsidRDefault="00A70969" w:rsidP="00960830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568A30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14:paraId="7B001632" w14:textId="6CFE122B" w:rsidR="00A70969" w:rsidRPr="00B2588F" w:rsidRDefault="00E76B96" w:rsidP="00960830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0.35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mg: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-107.9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µm</w:t>
            </w:r>
          </w:p>
        </w:tc>
      </w:tr>
      <w:tr w:rsidR="006B03F1" w:rsidRPr="00B2588F" w14:paraId="65CEA358" w14:textId="77777777" w:rsidTr="006B03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08A71E73" w14:textId="77777777" w:rsidR="00A70969" w:rsidRPr="00B2588F" w:rsidRDefault="00A70969" w:rsidP="00960830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E47D748" w14:textId="463B7F2C" w:rsidR="00A70969" w:rsidRPr="00B2588F" w:rsidRDefault="00E76B96" w:rsidP="00960830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0.7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mg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(351)</w:t>
            </w:r>
          </w:p>
        </w:tc>
        <w:tc>
          <w:tcPr>
            <w:tcW w:w="0" w:type="auto"/>
            <w:vMerge/>
            <w:shd w:val="clear" w:color="auto" w:fill="auto"/>
          </w:tcPr>
          <w:p w14:paraId="751A8CCA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14:paraId="169824F6" w14:textId="7F5AE80D" w:rsidR="00A70969" w:rsidRPr="00B2588F" w:rsidRDefault="000D3AB5" w:rsidP="00960830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Sham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group: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-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41.9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µm</w:t>
            </w:r>
          </w:p>
        </w:tc>
      </w:tr>
      <w:tr w:rsidR="006B03F1" w:rsidRPr="00B2588F" w14:paraId="198BF6D9" w14:textId="77777777" w:rsidTr="006B03F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435D46BA" w14:textId="77777777" w:rsidR="00A70969" w:rsidRPr="00B2588F" w:rsidRDefault="00A70969" w:rsidP="00960830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6F2CA7" w14:textId="77777777" w:rsidR="00A70969" w:rsidRPr="00B2588F" w:rsidRDefault="00A70969" w:rsidP="00960830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010EFC5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4CAF7AA" w14:textId="7914EAB2" w:rsidR="00A70969" w:rsidRPr="00B2588F" w:rsidRDefault="00E76B96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Statistically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significant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improvement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BVCA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with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year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3.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significantly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greater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percentage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of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patients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with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 w:hint="eastAsia"/>
                <w:sz w:val="24"/>
                <w:szCs w:val="24"/>
                <w:lang w:val="en-US"/>
              </w:rPr>
              <w:t>≥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15-letter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improvement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BCVA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from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baseline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both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groups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than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sham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year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</w:t>
            </w:r>
          </w:p>
        </w:tc>
      </w:tr>
      <w:tr w:rsidR="006B03F1" w:rsidRPr="00B2588F" w14:paraId="33741877" w14:textId="77777777" w:rsidTr="006B03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2989ABE4" w14:textId="77777777" w:rsidR="00A70969" w:rsidRPr="00B2588F" w:rsidRDefault="00A70969" w:rsidP="00960830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1940121" w14:textId="7DA7D01B" w:rsidR="00A70969" w:rsidRPr="00B2588F" w:rsidRDefault="00E76B96" w:rsidP="00960830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0.35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mg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(347)</w:t>
            </w:r>
          </w:p>
        </w:tc>
        <w:tc>
          <w:tcPr>
            <w:tcW w:w="0" w:type="auto"/>
            <w:vMerge/>
            <w:shd w:val="clear" w:color="auto" w:fill="auto"/>
          </w:tcPr>
          <w:p w14:paraId="45FC046A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421D8A" w14:textId="77777777" w:rsidR="00A70969" w:rsidRPr="00B2588F" w:rsidRDefault="00A70969" w:rsidP="00960830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4D178189" w14:textId="77777777" w:rsidTr="006B03F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07DB6546" w14:textId="77777777" w:rsidR="00A70969" w:rsidRPr="00B2588F" w:rsidRDefault="00A70969" w:rsidP="00960830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6C8F252" w14:textId="341CBF10" w:rsidR="00A70969" w:rsidRPr="00B2588F" w:rsidRDefault="00E76B96" w:rsidP="00960830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Sham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(350)</w:t>
            </w:r>
          </w:p>
        </w:tc>
        <w:tc>
          <w:tcPr>
            <w:tcW w:w="0" w:type="auto"/>
            <w:vMerge/>
            <w:shd w:val="clear" w:color="auto" w:fill="auto"/>
          </w:tcPr>
          <w:p w14:paraId="6604D6A1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AACA15" w14:textId="77777777" w:rsidR="00A70969" w:rsidRPr="00B2588F" w:rsidRDefault="00A70969" w:rsidP="00960830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2A1D2D0F" w14:textId="77777777" w:rsidTr="006B03F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19D152EB" w14:textId="77777777" w:rsidR="00A70969" w:rsidRPr="00B2588F" w:rsidRDefault="00A70969" w:rsidP="00960830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E66B54D" w14:textId="578A933E" w:rsidR="00A70969" w:rsidRPr="00B2588F" w:rsidRDefault="00E76B96" w:rsidP="00960830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yr</w:t>
            </w:r>
          </w:p>
        </w:tc>
        <w:tc>
          <w:tcPr>
            <w:tcW w:w="0" w:type="auto"/>
            <w:vMerge/>
            <w:shd w:val="clear" w:color="auto" w:fill="auto"/>
          </w:tcPr>
          <w:p w14:paraId="1545F9BB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8A3B99" w14:textId="77777777" w:rsidR="00A70969" w:rsidRPr="00B2588F" w:rsidRDefault="00A70969" w:rsidP="00960830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5DD7FBAF" w14:textId="77777777" w:rsidTr="006B03F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3C564F13" w14:textId="77777777" w:rsidR="00A70969" w:rsidRPr="00B2588F" w:rsidRDefault="00A70969" w:rsidP="00960830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244F56" w14:textId="77777777" w:rsidR="00A70969" w:rsidRPr="00B2588F" w:rsidRDefault="00A70969" w:rsidP="00960830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04825D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14:paraId="2A0A07BF" w14:textId="7FE46B2A" w:rsidR="00A70969" w:rsidRPr="00B2588F" w:rsidRDefault="00E76B96" w:rsidP="00960830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0.7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mg: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22.2%</w:t>
            </w:r>
          </w:p>
        </w:tc>
      </w:tr>
      <w:tr w:rsidR="006B03F1" w:rsidRPr="00B2588F" w14:paraId="3D54AB5E" w14:textId="77777777" w:rsidTr="006B03F1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41DF457C" w14:textId="77777777" w:rsidR="00A70969" w:rsidRPr="00B2588F" w:rsidRDefault="00A70969" w:rsidP="00960830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D7988E1" w14:textId="77777777" w:rsidR="00A70969" w:rsidRPr="00B2588F" w:rsidRDefault="00A70969" w:rsidP="00960830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84E99F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14:paraId="48032FFC" w14:textId="5D8FAB3E" w:rsidR="00A70969" w:rsidRPr="00B2588F" w:rsidRDefault="00E76B96" w:rsidP="00960830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0.35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mg: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18.4%</w:t>
            </w:r>
          </w:p>
        </w:tc>
      </w:tr>
      <w:tr w:rsidR="006B03F1" w:rsidRPr="00B2588F" w14:paraId="465F45B5" w14:textId="77777777" w:rsidTr="006B03F1">
        <w:trPr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743F004C" w14:textId="77777777" w:rsidR="00A70969" w:rsidRPr="00B2588F" w:rsidRDefault="00A70969" w:rsidP="00960830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FFB6AEE" w14:textId="77777777" w:rsidR="00A70969" w:rsidRPr="00B2588F" w:rsidRDefault="00A70969" w:rsidP="00960830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420819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14:paraId="0F3D868B" w14:textId="4B360F38" w:rsidR="00A70969" w:rsidRPr="00B2588F" w:rsidRDefault="00E76B96" w:rsidP="00960830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Sham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group: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12%</w:t>
            </w:r>
          </w:p>
        </w:tc>
      </w:tr>
      <w:tr w:rsidR="006B03F1" w:rsidRPr="00B2588F" w14:paraId="3B4A6AB2" w14:textId="77777777" w:rsidTr="006B03F1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500207F8" w14:textId="05DE4ABD" w:rsidR="00A70969" w:rsidRPr="00B2588F" w:rsidRDefault="00E76B96" w:rsidP="00960830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Haller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>et</w:t>
            </w:r>
            <w:r w:rsidR="000D3AB5"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>al</w:t>
            </w:r>
            <w:r w:rsidRPr="00B2588F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[25]</w:t>
            </w:r>
          </w:p>
        </w:tc>
        <w:tc>
          <w:tcPr>
            <w:tcW w:w="0" w:type="auto"/>
            <w:shd w:val="clear" w:color="auto" w:fill="auto"/>
          </w:tcPr>
          <w:p w14:paraId="78F89F6A" w14:textId="2184F55F" w:rsidR="00A70969" w:rsidRPr="00B2588F" w:rsidRDefault="00E76B96" w:rsidP="00960830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Multicenter,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randomized-controlled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clinical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trial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5089C0B" w14:textId="77777777" w:rsidR="00A70969" w:rsidRPr="00B2588F" w:rsidRDefault="00E76B96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B2588F">
              <w:rPr>
                <w:rFonts w:ascii="Book Antiqua" w:hAnsi="Book Antiqua"/>
              </w:rPr>
              <w:t>DME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657399F" w14:textId="5F72790D" w:rsidR="00A70969" w:rsidRPr="00B2588F" w:rsidRDefault="00E76B96" w:rsidP="00960830">
            <w:pPr>
              <w:pStyle w:val="ListParagraph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statistically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significant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improvement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CMT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and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fluorescein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leakage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after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compared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with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observation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group.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Change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CMT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from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baseline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0.7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mg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Pr="00B2588F">
              <w:rPr>
                <w:rFonts w:ascii="Book Antiqua" w:eastAsia="Wingdings" w:hAnsi="Book Antiqua" w:cs="Times New Roman"/>
                <w:sz w:val="24"/>
                <w:szCs w:val="24"/>
                <w:lang w:val="en-US"/>
              </w:rPr>
              <w:t>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-132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µm,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observation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group</w:t>
            </w:r>
            <w:r w:rsidRPr="00B2588F">
              <w:rPr>
                <w:rFonts w:ascii="Book Antiqua" w:eastAsia="Wingdings" w:hAnsi="Book Antiqua" w:cs="Times New Roman"/>
                <w:sz w:val="24"/>
                <w:szCs w:val="24"/>
                <w:lang w:val="en-US"/>
              </w:rPr>
              <w:t>:</w:t>
            </w:r>
            <w:r w:rsidR="000D3AB5" w:rsidRPr="00B2588F">
              <w:rPr>
                <w:rFonts w:ascii="Book Antiqua" w:eastAsia="Wingdings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+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30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µm</w:t>
            </w:r>
          </w:p>
        </w:tc>
      </w:tr>
      <w:tr w:rsidR="006B03F1" w:rsidRPr="00B2588F" w14:paraId="44F9B9D6" w14:textId="77777777" w:rsidTr="006B03F1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30EBF1A7" w14:textId="77777777" w:rsidR="00A70969" w:rsidRPr="00B2588F" w:rsidRDefault="00A70969" w:rsidP="00960830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6A255FA" w14:textId="5E25B5CB" w:rsidR="00A70969" w:rsidRPr="00B2588F" w:rsidRDefault="00E76B96" w:rsidP="00960830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315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patients</w:t>
            </w:r>
          </w:p>
          <w:p w14:paraId="7CC94E81" w14:textId="52A63A5F" w:rsidR="00A70969" w:rsidRPr="00B2588F" w:rsidRDefault="00E76B96" w:rsidP="00960830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0.7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mg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(105)</w:t>
            </w:r>
          </w:p>
        </w:tc>
        <w:tc>
          <w:tcPr>
            <w:tcW w:w="0" w:type="auto"/>
            <w:vMerge/>
            <w:shd w:val="clear" w:color="auto" w:fill="auto"/>
          </w:tcPr>
          <w:p w14:paraId="51D5A046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728F8D" w14:textId="77777777" w:rsidR="00A70969" w:rsidRPr="00B2588F" w:rsidRDefault="00A70969" w:rsidP="00960830">
            <w:pPr>
              <w:pStyle w:val="ListParagraph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0404F02F" w14:textId="77777777" w:rsidTr="006B03F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3B5B27A0" w14:textId="77777777" w:rsidR="00A70969" w:rsidRPr="00B2588F" w:rsidRDefault="00A70969" w:rsidP="00960830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30BF9A5" w14:textId="28649E7B" w:rsidR="00A70969" w:rsidRPr="00B2588F" w:rsidRDefault="00E76B96" w:rsidP="00960830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0.35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mg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(105)</w:t>
            </w:r>
          </w:p>
        </w:tc>
        <w:tc>
          <w:tcPr>
            <w:tcW w:w="0" w:type="auto"/>
            <w:vMerge/>
            <w:shd w:val="clear" w:color="auto" w:fill="auto"/>
          </w:tcPr>
          <w:p w14:paraId="6D750495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3DB992" w14:textId="77777777" w:rsidR="00A70969" w:rsidRPr="00B2588F" w:rsidRDefault="00A70969" w:rsidP="00960830">
            <w:pPr>
              <w:pStyle w:val="ListParagraph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039E4FEF" w14:textId="77777777" w:rsidTr="006B03F1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4C7EDBE4" w14:textId="77777777" w:rsidR="00A70969" w:rsidRPr="00B2588F" w:rsidRDefault="00A70969" w:rsidP="00960830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9C6A919" w14:textId="77777777" w:rsidR="00A70969" w:rsidRPr="00B2588F" w:rsidRDefault="00A70969" w:rsidP="00960830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551F3CF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40309DF" w14:textId="72800E87" w:rsidR="00A70969" w:rsidRPr="00B2588F" w:rsidRDefault="00E76B96" w:rsidP="00960830">
            <w:pPr>
              <w:pStyle w:val="ListParagraph"/>
              <w:numPr>
                <w:ilvl w:val="0"/>
                <w:numId w:val="9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statistically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significantly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higher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proportion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of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eyes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improving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BCVA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 w:hint="eastAsia"/>
                <w:sz w:val="24"/>
                <w:szCs w:val="24"/>
                <w:lang w:val="en-US"/>
              </w:rPr>
              <w:t>(</w:t>
            </w:r>
            <w:r w:rsidRPr="00B2588F">
              <w:rPr>
                <w:rFonts w:ascii="Book Antiqua" w:hAnsi="Book Antiqua" w:cs="Times New Roman" w:hint="eastAsia"/>
                <w:sz w:val="24"/>
                <w:szCs w:val="24"/>
                <w:lang w:val="en-US"/>
              </w:rPr>
              <w:t>≥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10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letters)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0.7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mg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(26%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and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33%)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than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observation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group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(9%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and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12%)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and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3.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difference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between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0.7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mg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(30%)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and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observation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group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(23%)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was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maintained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through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6,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but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not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statistically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significant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after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</w:t>
            </w:r>
          </w:p>
        </w:tc>
      </w:tr>
      <w:tr w:rsidR="006B03F1" w:rsidRPr="00B2588F" w14:paraId="13C1A526" w14:textId="77777777" w:rsidTr="006B03F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6B6D45D5" w14:textId="77777777" w:rsidR="00A70969" w:rsidRPr="00B2588F" w:rsidRDefault="00A70969" w:rsidP="00960830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A1CFD8E" w14:textId="1C6B7D1E" w:rsidR="00A70969" w:rsidRPr="00B2588F" w:rsidRDefault="00E76B96" w:rsidP="00960830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Observation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group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(105)</w:t>
            </w:r>
          </w:p>
        </w:tc>
        <w:tc>
          <w:tcPr>
            <w:tcW w:w="0" w:type="auto"/>
            <w:vMerge/>
            <w:shd w:val="clear" w:color="auto" w:fill="auto"/>
          </w:tcPr>
          <w:p w14:paraId="2538101F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2CF3F70" w14:textId="77777777" w:rsidR="00A70969" w:rsidRPr="00B2588F" w:rsidRDefault="00A70969" w:rsidP="00960830">
            <w:pPr>
              <w:pStyle w:val="ListParagraph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2D88D8E0" w14:textId="77777777" w:rsidTr="006B03F1">
        <w:trPr>
          <w:trHeight w:val="4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06E96738" w14:textId="77777777" w:rsidR="00A70969" w:rsidRPr="00B2588F" w:rsidRDefault="00A70969" w:rsidP="00960830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3297C9A" w14:textId="6D015D35" w:rsidR="00A70969" w:rsidRPr="00B2588F" w:rsidRDefault="00E76B96" w:rsidP="00960830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6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  <w:vMerge/>
            <w:shd w:val="clear" w:color="auto" w:fill="auto"/>
          </w:tcPr>
          <w:p w14:paraId="299DEEB2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DAF8D5" w14:textId="77777777" w:rsidR="00A70969" w:rsidRPr="00B2588F" w:rsidRDefault="00A70969" w:rsidP="00960830">
            <w:pPr>
              <w:pStyle w:val="ListParagraph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22B1232B" w14:textId="77777777" w:rsidTr="006B03F1">
        <w:trPr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75F4C683" w14:textId="7287EF51" w:rsidR="00A70969" w:rsidRPr="00B2588F" w:rsidRDefault="00355C27" w:rsidP="00960830">
            <w:pPr>
              <w:pStyle w:val="ListParagraph"/>
              <w:numPr>
                <w:ilvl w:val="0"/>
                <w:numId w:val="1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C68BC">
              <w:rPr>
                <w:rFonts w:ascii="Book Antiqua" w:hAnsi="Book Antiqua"/>
                <w:sz w:val="24"/>
                <w:szCs w:val="24"/>
                <w:lang w:val="en-US"/>
              </w:rPr>
              <w:t>Boyer</w:t>
            </w:r>
            <w:r w:rsidR="000D3AB5" w:rsidRPr="007C68BC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E76B96" w:rsidRPr="007C68BC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et</w:t>
            </w:r>
            <w:r w:rsidR="000D3AB5" w:rsidRPr="007C68BC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E76B96" w:rsidRPr="007C68BC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al</w:t>
            </w:r>
            <w:r w:rsidR="00E76B96" w:rsidRPr="00B2588F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  <w:vertAlign w:val="superscript"/>
                <w:lang w:val="en-US"/>
              </w:rPr>
              <w:t>[26]</w:t>
            </w:r>
            <w:r w:rsidR="00E76B96" w:rsidRPr="00B2588F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,</w:t>
            </w:r>
            <w:r w:rsidR="000D3AB5" w:rsidRPr="00B2588F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  <w:vertAlign w:val="superscript"/>
                <w:lang w:val="en-US"/>
              </w:rPr>
              <w:t xml:space="preserve"> </w:t>
            </w:r>
            <w:hyperlink r:id="rId14">
              <w:r w:rsidR="00E76B96" w:rsidRPr="00B2588F">
                <w:rPr>
                  <w:rStyle w:val="highlight"/>
                  <w:rFonts w:ascii="Book Antiqua" w:hAnsi="Book Antiqua" w:cs="Times New Roman"/>
                  <w:sz w:val="24"/>
                  <w:szCs w:val="24"/>
                  <w:lang w:val="en-US"/>
                </w:rPr>
                <w:t>Ozurdex</w:t>
              </w:r>
              <w:r w:rsidR="000D3AB5" w:rsidRPr="00B2588F">
                <w:rPr>
                  <w:rStyle w:val="highlight"/>
                  <w:rFonts w:ascii="Book Antiqua" w:hAnsi="Book Antiqua" w:cs="Times New Roman"/>
                  <w:sz w:val="24"/>
                  <w:szCs w:val="24"/>
                  <w:lang w:val="en-US"/>
                </w:rPr>
                <w:t xml:space="preserve"> </w:t>
              </w:r>
              <w:r w:rsidR="00E76B96" w:rsidRPr="00B2588F">
                <w:rPr>
                  <w:rStyle w:val="highlight"/>
                  <w:rFonts w:ascii="Book Antiqua" w:hAnsi="Book Antiqua" w:cs="Times New Roman"/>
                  <w:sz w:val="24"/>
                  <w:szCs w:val="24"/>
                  <w:lang w:val="en-US"/>
                </w:rPr>
                <w:t>CHAMPLAIN</w:t>
              </w:r>
              <w:r w:rsidR="000D3AB5" w:rsidRPr="00B2588F">
                <w:rPr>
                  <w:rStyle w:val="highlight"/>
                  <w:rFonts w:ascii="Book Antiqua" w:hAnsi="Book Antiqua" w:cs="Times New Roman"/>
                  <w:sz w:val="24"/>
                  <w:szCs w:val="24"/>
                  <w:lang w:val="en-US"/>
                </w:rPr>
                <w:t xml:space="preserve"> </w:t>
              </w:r>
              <w:r w:rsidR="006B03F1" w:rsidRPr="00B2588F">
                <w:rPr>
                  <w:rStyle w:val="highlight"/>
                  <w:rFonts w:ascii="Book Antiqua" w:hAnsi="Book Antiqua" w:cs="Times New Roman"/>
                  <w:sz w:val="24"/>
                  <w:szCs w:val="24"/>
                  <w:lang w:val="en-US"/>
                </w:rPr>
                <w:t>study</w:t>
              </w:r>
              <w:r w:rsidR="000D3AB5" w:rsidRPr="00B2588F">
                <w:rPr>
                  <w:rStyle w:val="highlight"/>
                  <w:rFonts w:ascii="Book Antiqua" w:hAnsi="Book Antiqua" w:cs="Times New Roman"/>
                  <w:sz w:val="24"/>
                  <w:szCs w:val="24"/>
                  <w:lang w:val="en-US"/>
                </w:rPr>
                <w:t xml:space="preserve"> </w:t>
              </w:r>
              <w:r w:rsidR="006B03F1" w:rsidRPr="00B2588F">
                <w:rPr>
                  <w:rStyle w:val="highlight"/>
                  <w:rFonts w:ascii="Book Antiqua" w:hAnsi="Book Antiqua" w:cs="Times New Roman"/>
                  <w:sz w:val="24"/>
                  <w:szCs w:val="24"/>
                  <w:lang w:val="en-US"/>
                </w:rPr>
                <w:t>group</w:t>
              </w:r>
              <w:r w:rsidR="000D3AB5" w:rsidRPr="00B2588F">
                <w:rPr>
                  <w:rStyle w:val="highlight"/>
                  <w:rFonts w:ascii="Book Antiqua" w:hAnsi="Book Antiqua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</w:tcPr>
          <w:p w14:paraId="4A70982F" w14:textId="73CED215" w:rsidR="00A70969" w:rsidRPr="00B2588F" w:rsidRDefault="00E76B96" w:rsidP="00960830">
            <w:pPr>
              <w:pStyle w:val="ListParagraph"/>
              <w:numPr>
                <w:ilvl w:val="0"/>
                <w:numId w:val="1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Multicenter,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prospective,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open-label,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phase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954364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II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clinical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study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C8B2202" w14:textId="54072DA7" w:rsidR="00A70969" w:rsidRPr="00B2588F" w:rsidRDefault="00E76B96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B2588F">
              <w:rPr>
                <w:rFonts w:ascii="Book Antiqua" w:hAnsi="Book Antiqua"/>
              </w:rPr>
              <w:t>DME</w:t>
            </w:r>
            <w:r w:rsidR="000D3AB5" w:rsidRPr="00B2588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0A485E2" w14:textId="4C476E36" w:rsidR="00A70969" w:rsidRPr="00B2588F" w:rsidRDefault="00E76B96" w:rsidP="00960830">
            <w:pPr>
              <w:pStyle w:val="ListParagraph"/>
              <w:numPr>
                <w:ilvl w:val="0"/>
                <w:numId w:val="11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Significant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decrease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CMT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and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6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after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first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injection.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mean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change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from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baseline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CMT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(403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µm):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-156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µm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and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-39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µm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6</w:t>
            </w:r>
          </w:p>
        </w:tc>
      </w:tr>
      <w:tr w:rsidR="006B03F1" w:rsidRPr="00B2588F" w14:paraId="402A5D88" w14:textId="77777777" w:rsidTr="006B03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009EE9F6" w14:textId="77777777" w:rsidR="00A70969" w:rsidRPr="00B2588F" w:rsidRDefault="00A70969" w:rsidP="00960830">
            <w:pPr>
              <w:pStyle w:val="ListParagraph"/>
              <w:numPr>
                <w:ilvl w:val="0"/>
                <w:numId w:val="1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B8244D4" w14:textId="7600645F" w:rsidR="00A70969" w:rsidRPr="00B2588F" w:rsidRDefault="00E76B96" w:rsidP="00960830">
            <w:pPr>
              <w:pStyle w:val="ListParagraph"/>
              <w:numPr>
                <w:ilvl w:val="0"/>
                <w:numId w:val="1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55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patients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14:paraId="7F975746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BFC1123" w14:textId="54EE1E95" w:rsidR="00A70969" w:rsidRPr="00B2588F" w:rsidRDefault="00E76B96" w:rsidP="00960830">
            <w:pPr>
              <w:pStyle w:val="ListParagraph"/>
              <w:numPr>
                <w:ilvl w:val="0"/>
                <w:numId w:val="11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Significant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improvement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BCVA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and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6.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mean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increase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BCVA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from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baseline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(54.5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letters):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6.0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and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3.0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6.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30.4%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of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patients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gained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 w:hint="eastAsia"/>
                <w:sz w:val="24"/>
                <w:szCs w:val="24"/>
                <w:lang w:val="en-US"/>
              </w:rPr>
              <w:t>≥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10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BCVA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03F1" w:rsidRPr="00B2588F" w14:paraId="2A8DFAC5" w14:textId="77777777" w:rsidTr="006B03F1">
        <w:trPr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345300F3" w14:textId="77777777" w:rsidR="00A70969" w:rsidRPr="00B2588F" w:rsidRDefault="00A70969" w:rsidP="00960830">
            <w:pPr>
              <w:pStyle w:val="ListParagraph"/>
              <w:numPr>
                <w:ilvl w:val="0"/>
                <w:numId w:val="1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F583C3F" w14:textId="10749838" w:rsidR="006B03F1" w:rsidRPr="00B2588F" w:rsidRDefault="00E76B96" w:rsidP="00960830">
            <w:pPr>
              <w:pStyle w:val="ListParagraph"/>
              <w:numPr>
                <w:ilvl w:val="0"/>
                <w:numId w:val="1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6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</w:t>
            </w:r>
          </w:p>
        </w:tc>
        <w:tc>
          <w:tcPr>
            <w:tcW w:w="0" w:type="auto"/>
            <w:vMerge/>
            <w:shd w:val="clear" w:color="auto" w:fill="auto"/>
          </w:tcPr>
          <w:p w14:paraId="270C3227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ECBFFD" w14:textId="77777777" w:rsidR="00A70969" w:rsidRPr="00B2588F" w:rsidRDefault="00A70969" w:rsidP="00960830">
            <w:pPr>
              <w:pStyle w:val="ListParagraph"/>
              <w:numPr>
                <w:ilvl w:val="0"/>
                <w:numId w:val="11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04810F39" w14:textId="77777777" w:rsidTr="006B03F1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152B5BED" w14:textId="3ED4104C" w:rsidR="00A70969" w:rsidRPr="00B2588F" w:rsidRDefault="006B03F1" w:rsidP="00960830">
            <w:pPr>
              <w:pStyle w:val="ListParagraph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7C68BC">
              <w:rPr>
                <w:rFonts w:ascii="Book Antiqua" w:hAnsi="Book Antiqua" w:cs="Times New Roman"/>
                <w:sz w:val="24"/>
                <w:szCs w:val="24"/>
                <w:lang w:val="en-US"/>
              </w:rPr>
              <w:t>Callanan</w:t>
            </w:r>
            <w:r w:rsidR="000D3AB5" w:rsidRPr="007C68BC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7C68BC">
              <w:rPr>
                <w:rFonts w:ascii="Book Antiqua" w:hAnsi="Book Antiqua" w:cs="Times New Roman"/>
                <w:i/>
                <w:iCs/>
                <w:sz w:val="24"/>
                <w:szCs w:val="24"/>
                <w:lang w:val="en-US" w:eastAsia="zh-CN"/>
              </w:rPr>
              <w:t>et</w:t>
            </w:r>
            <w:r w:rsidR="000D3AB5" w:rsidRPr="007C68BC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C68BC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>al</w:t>
            </w:r>
            <w:r w:rsidRPr="007C68BC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[27]</w:t>
            </w:r>
            <w:r w:rsidRPr="007C68BC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="000D3AB5" w:rsidRPr="007C68BC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hyperlink r:id="rId15">
              <w:r w:rsidRPr="007C68BC">
                <w:rPr>
                  <w:rFonts w:ascii="Book Antiqua" w:hAnsi="Book Antiqua"/>
                  <w:sz w:val="24"/>
                  <w:szCs w:val="24"/>
                  <w:lang w:val="en-US"/>
                </w:rPr>
                <w:t>Ozurdex</w:t>
              </w:r>
              <w:r w:rsidR="000D3AB5" w:rsidRPr="007C68BC">
                <w:rPr>
                  <w:rFonts w:ascii="Book Antiqua" w:hAnsi="Book Antiqua"/>
                  <w:sz w:val="24"/>
                  <w:szCs w:val="24"/>
                  <w:lang w:val="en-US"/>
                </w:rPr>
                <w:t xml:space="preserve"> </w:t>
              </w:r>
              <w:r w:rsidRPr="007C68BC">
                <w:rPr>
                  <w:rFonts w:ascii="Book Antiqua" w:hAnsi="Book Antiqua"/>
                  <w:sz w:val="24"/>
                  <w:szCs w:val="24"/>
                  <w:lang w:val="en-US"/>
                </w:rPr>
                <w:t>PLACID</w:t>
              </w:r>
              <w:r w:rsidR="000D3AB5" w:rsidRPr="007C68BC">
                <w:rPr>
                  <w:rFonts w:ascii="Book Antiqua" w:hAnsi="Book Antiqua"/>
                  <w:sz w:val="24"/>
                  <w:szCs w:val="24"/>
                  <w:lang w:val="en-US"/>
                </w:rPr>
                <w:t xml:space="preserve"> </w:t>
              </w:r>
              <w:r w:rsidRPr="007C68BC">
                <w:rPr>
                  <w:rFonts w:ascii="Book Antiqua" w:hAnsi="Book Antiqua"/>
                  <w:sz w:val="24"/>
                  <w:szCs w:val="24"/>
                  <w:lang w:val="en-US"/>
                </w:rPr>
                <w:t>study</w:t>
              </w:r>
              <w:r w:rsidR="000D3AB5" w:rsidRPr="007C68BC">
                <w:rPr>
                  <w:rFonts w:ascii="Book Antiqua" w:hAnsi="Book Antiqua"/>
                  <w:sz w:val="24"/>
                  <w:szCs w:val="24"/>
                  <w:lang w:val="en-US"/>
                </w:rPr>
                <w:t xml:space="preserve"> </w:t>
              </w:r>
              <w:r w:rsidRPr="007C68BC">
                <w:rPr>
                  <w:rFonts w:ascii="Book Antiqua" w:hAnsi="Book Antiqua"/>
                  <w:sz w:val="24"/>
                  <w:szCs w:val="24"/>
                  <w:lang w:val="en-US"/>
                </w:rPr>
                <w:t>group</w:t>
              </w:r>
            </w:hyperlink>
            <w:r w:rsidR="000D3AB5" w:rsidRPr="00B2588F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B724A8C" w14:textId="215CB70F" w:rsidR="00A70969" w:rsidRPr="00B2588F" w:rsidRDefault="00E76B96" w:rsidP="00960830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Multicenter,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randomized,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sham-controlled,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double-masked,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phase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954364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II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clinical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AA2A039" w14:textId="77777777" w:rsidR="00A70969" w:rsidRPr="00B2588F" w:rsidRDefault="00E76B96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B2588F">
              <w:rPr>
                <w:rFonts w:ascii="Book Antiqua" w:hAnsi="Book Antiqua"/>
              </w:rPr>
              <w:t>DME</w:t>
            </w:r>
          </w:p>
        </w:tc>
        <w:tc>
          <w:tcPr>
            <w:tcW w:w="0" w:type="auto"/>
            <w:shd w:val="clear" w:color="auto" w:fill="auto"/>
          </w:tcPr>
          <w:p w14:paraId="3BE9697F" w14:textId="3BADA15B" w:rsidR="00A70969" w:rsidRPr="00B2588F" w:rsidRDefault="00E76B96" w:rsidP="00960830">
            <w:pPr>
              <w:pStyle w:val="ListParagraph"/>
              <w:numPr>
                <w:ilvl w:val="0"/>
                <w:numId w:val="1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Significant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decrease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CMT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and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area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of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leakage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combination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of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with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laser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than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laser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alone.</w:t>
            </w:r>
          </w:p>
        </w:tc>
      </w:tr>
      <w:tr w:rsidR="006B03F1" w:rsidRPr="00B2588F" w14:paraId="1DCBC229" w14:textId="77777777" w:rsidTr="006B03F1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6631A844" w14:textId="77777777" w:rsidR="00A70969" w:rsidRPr="00B2588F" w:rsidRDefault="00A70969" w:rsidP="00960830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111923" w14:textId="77777777" w:rsidR="00A70969" w:rsidRPr="00B2588F" w:rsidRDefault="00A70969" w:rsidP="00960830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FE24CA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CD62163" w14:textId="50D85884" w:rsidR="00A70969" w:rsidRPr="00B2588F" w:rsidRDefault="00E76B96" w:rsidP="00960830">
            <w:pPr>
              <w:pStyle w:val="ListParagraph"/>
              <w:numPr>
                <w:ilvl w:val="0"/>
                <w:numId w:val="1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percentage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of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patients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who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gained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 w:hint="eastAsia"/>
                <w:sz w:val="24"/>
                <w:szCs w:val="24"/>
                <w:lang w:val="en-US"/>
              </w:rPr>
              <w:t>≥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10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BVCA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combination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of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with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laser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was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significantly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higher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week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and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4,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and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9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(ranged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from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22.2%</w:t>
            </w:r>
            <w:r w:rsidR="00954364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-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30.3%),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but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not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B03F1" w:rsidRPr="00B2588F" w14:paraId="61AEB40D" w14:textId="77777777" w:rsidTr="006B03F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2CE467A7" w14:textId="77777777" w:rsidR="00A70969" w:rsidRPr="00B2588F" w:rsidRDefault="00A70969" w:rsidP="00960830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1693374" w14:textId="2094F786" w:rsidR="00A70969" w:rsidRPr="00B2588F" w:rsidRDefault="00E76B96" w:rsidP="00960830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253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patients</w:t>
            </w:r>
          </w:p>
        </w:tc>
        <w:tc>
          <w:tcPr>
            <w:tcW w:w="0" w:type="auto"/>
            <w:vMerge/>
            <w:shd w:val="clear" w:color="auto" w:fill="auto"/>
          </w:tcPr>
          <w:p w14:paraId="4BE7D569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7F3090B" w14:textId="77777777" w:rsidR="00A70969" w:rsidRPr="00B2588F" w:rsidRDefault="00A70969" w:rsidP="00960830">
            <w:pPr>
              <w:pStyle w:val="ListParagraph"/>
              <w:numPr>
                <w:ilvl w:val="0"/>
                <w:numId w:val="1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6AAECC14" w14:textId="77777777" w:rsidTr="006B03F1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063E3463" w14:textId="77777777" w:rsidR="00A70969" w:rsidRPr="00B2588F" w:rsidRDefault="00A70969" w:rsidP="00960830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B6C6F64" w14:textId="2FFC6846" w:rsidR="00A70969" w:rsidRPr="00B2588F" w:rsidRDefault="00E76B96" w:rsidP="00960830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plus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laser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(126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patients)</w:t>
            </w:r>
          </w:p>
        </w:tc>
        <w:tc>
          <w:tcPr>
            <w:tcW w:w="0" w:type="auto"/>
            <w:vMerge/>
            <w:shd w:val="clear" w:color="auto" w:fill="auto"/>
          </w:tcPr>
          <w:p w14:paraId="29FA165D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38A8C0" w14:textId="77777777" w:rsidR="00A70969" w:rsidRPr="00B2588F" w:rsidRDefault="00A70969" w:rsidP="00960830">
            <w:pPr>
              <w:pStyle w:val="ListParagraph"/>
              <w:numPr>
                <w:ilvl w:val="0"/>
                <w:numId w:val="1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6B8CF5F8" w14:textId="77777777" w:rsidTr="006B03F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4ED7FEB2" w14:textId="77777777" w:rsidR="00A70969" w:rsidRPr="00B2588F" w:rsidRDefault="00A70969" w:rsidP="00960830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F52CDED" w14:textId="507CEF4F" w:rsidR="00A70969" w:rsidRPr="00B2588F" w:rsidRDefault="00E76B96" w:rsidP="00960830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Laser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alone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(127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patients)</w:t>
            </w:r>
          </w:p>
        </w:tc>
        <w:tc>
          <w:tcPr>
            <w:tcW w:w="0" w:type="auto"/>
            <w:vMerge/>
            <w:shd w:val="clear" w:color="auto" w:fill="auto"/>
          </w:tcPr>
          <w:p w14:paraId="36B2E014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4B3716" w14:textId="77777777" w:rsidR="00A70969" w:rsidRPr="00B2588F" w:rsidRDefault="00A70969" w:rsidP="00960830">
            <w:pPr>
              <w:pStyle w:val="ListParagraph"/>
              <w:numPr>
                <w:ilvl w:val="0"/>
                <w:numId w:val="1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3B00E81E" w14:textId="77777777" w:rsidTr="006B03F1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19C52707" w14:textId="77777777" w:rsidR="00A70969" w:rsidRPr="00B2588F" w:rsidRDefault="00A70969" w:rsidP="00960830">
            <w:pPr>
              <w:pStyle w:val="ListParagraph"/>
              <w:numPr>
                <w:ilvl w:val="0"/>
                <w:numId w:val="1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B76FBCE" w14:textId="5F4AD9B4" w:rsidR="00A70969" w:rsidRPr="00B2588F" w:rsidRDefault="00E76B96" w:rsidP="00960830">
            <w:pPr>
              <w:pStyle w:val="ListParagraph"/>
              <w:numPr>
                <w:ilvl w:val="0"/>
                <w:numId w:val="1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12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</w:t>
            </w:r>
          </w:p>
        </w:tc>
        <w:tc>
          <w:tcPr>
            <w:tcW w:w="0" w:type="auto"/>
            <w:vMerge/>
            <w:shd w:val="clear" w:color="auto" w:fill="auto"/>
          </w:tcPr>
          <w:p w14:paraId="5EA6D385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0D6C4F" w14:textId="77777777" w:rsidR="00A70969" w:rsidRPr="00B2588F" w:rsidRDefault="00A70969" w:rsidP="00960830">
            <w:pPr>
              <w:pStyle w:val="ListParagraph"/>
              <w:numPr>
                <w:ilvl w:val="0"/>
                <w:numId w:val="1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4B26DD48" w14:textId="77777777" w:rsidTr="006B03F1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2CD5A370" w14:textId="61983772" w:rsidR="00A70969" w:rsidRPr="00B2588F" w:rsidRDefault="00E76B96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Gillies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>et</w:t>
            </w:r>
            <w:r w:rsidR="000D3AB5"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>al</w:t>
            </w:r>
            <w:r w:rsidRPr="00B2588F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[28]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BEVORDEX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Study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AEBBFAE" w14:textId="29592B91" w:rsidR="00A70969" w:rsidRPr="00B2588F" w:rsidRDefault="00E76B96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Multicenter,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prospective,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randomized,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phase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954364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II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1252E55" w14:textId="77777777" w:rsidR="00A70969" w:rsidRPr="00B2588F" w:rsidRDefault="00E76B96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B2588F">
              <w:rPr>
                <w:rFonts w:ascii="Book Antiqua" w:hAnsi="Book Antiqua"/>
              </w:rPr>
              <w:t>DME</w:t>
            </w:r>
          </w:p>
        </w:tc>
        <w:tc>
          <w:tcPr>
            <w:tcW w:w="0" w:type="auto"/>
            <w:shd w:val="clear" w:color="auto" w:fill="auto"/>
          </w:tcPr>
          <w:p w14:paraId="6A6F4E97" w14:textId="35C8B7BE" w:rsidR="00A70969" w:rsidRPr="00B2588F" w:rsidRDefault="00E76B96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Greater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mean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CMT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reduction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group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than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bevacizumab</w:t>
            </w:r>
          </w:p>
        </w:tc>
      </w:tr>
      <w:tr w:rsidR="006B03F1" w:rsidRPr="00B2588F" w14:paraId="7FA5CA12" w14:textId="77777777" w:rsidTr="006B03F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2D03F89C" w14:textId="77777777" w:rsidR="00A70969" w:rsidRPr="00B2588F" w:rsidRDefault="00A70969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C655044" w14:textId="77777777" w:rsidR="00A70969" w:rsidRPr="00B2588F" w:rsidRDefault="00A70969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C50125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14:paraId="11C9A403" w14:textId="4658D404" w:rsidR="00A70969" w:rsidRPr="00B2588F" w:rsidRDefault="00E76B96" w:rsidP="00960830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implant</w:t>
            </w:r>
            <w:r w:rsidRPr="00B2588F">
              <w:rPr>
                <w:rFonts w:ascii="Book Antiqua" w:eastAsia="Wingdings" w:hAnsi="Book Antiqua" w:cs="Times New Roman"/>
                <w:sz w:val="24"/>
                <w:szCs w:val="24"/>
                <w:lang w:val="en-US"/>
              </w:rPr>
              <w:t>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-187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µm</w:t>
            </w:r>
          </w:p>
        </w:tc>
      </w:tr>
      <w:tr w:rsidR="006B03F1" w:rsidRPr="00B2588F" w14:paraId="6C569314" w14:textId="77777777" w:rsidTr="006B03F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16462394" w14:textId="77777777" w:rsidR="00A70969" w:rsidRPr="00B2588F" w:rsidRDefault="00A70969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BCFB52B" w14:textId="375BDB11" w:rsidR="00A70969" w:rsidRPr="00B2588F" w:rsidRDefault="00E76B96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88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eyes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of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61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patients</w:t>
            </w:r>
          </w:p>
        </w:tc>
        <w:tc>
          <w:tcPr>
            <w:tcW w:w="0" w:type="auto"/>
            <w:vMerge/>
            <w:shd w:val="clear" w:color="auto" w:fill="auto"/>
          </w:tcPr>
          <w:p w14:paraId="0A65E247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14:paraId="01A6855B" w14:textId="6F28E160" w:rsidR="00A70969" w:rsidRPr="00B2588F" w:rsidRDefault="00E76B96" w:rsidP="00960830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Bevacizumab</w:t>
            </w:r>
            <w:r w:rsidRPr="00B2588F">
              <w:rPr>
                <w:rFonts w:ascii="Book Antiqua" w:eastAsia="Wingdings" w:hAnsi="Book Antiqua" w:cs="Times New Roman"/>
                <w:color w:val="auto"/>
                <w:sz w:val="24"/>
                <w:szCs w:val="24"/>
                <w:lang w:val="en-US"/>
              </w:rPr>
              <w:t>: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-122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µm</w:t>
            </w:r>
          </w:p>
        </w:tc>
      </w:tr>
      <w:tr w:rsidR="006B03F1" w:rsidRPr="00B2588F" w14:paraId="3EE8A08D" w14:textId="77777777" w:rsidTr="006B03F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505547BF" w14:textId="77777777" w:rsidR="00A70969" w:rsidRPr="00B2588F" w:rsidRDefault="00A70969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2AE5BE6" w14:textId="77777777" w:rsidR="00A70969" w:rsidRPr="00B2588F" w:rsidRDefault="00A70969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088DE1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137A603" w14:textId="0FF7F306" w:rsidR="00A70969" w:rsidRPr="00B2588F" w:rsidRDefault="00E76B96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percentage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of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patients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with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 w:hint="eastAsia"/>
                <w:sz w:val="24"/>
                <w:szCs w:val="24"/>
                <w:lang w:val="en-US"/>
              </w:rPr>
              <w:t>≥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10-letter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improvement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BCVA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B03F1" w:rsidRPr="00B2588F" w14:paraId="5E33D0D3" w14:textId="77777777" w:rsidTr="006B03F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7D64046E" w14:textId="77777777" w:rsidR="00A70969" w:rsidRPr="00B2588F" w:rsidRDefault="00A70969" w:rsidP="00960830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10AED8B" w14:textId="47524774" w:rsidR="00A70969" w:rsidRPr="00B2588F" w:rsidRDefault="00E76B96" w:rsidP="00960830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Bevacizumab</w:t>
            </w:r>
            <w:r w:rsidR="000D3AB5" w:rsidRPr="00B2588F">
              <w:rPr>
                <w:rFonts w:ascii="Book Antiqua" w:eastAsia="Wingdings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eastAsia="Wingdings" w:hAnsi="Book Antiqua" w:cs="Times New Roman"/>
                <w:sz w:val="24"/>
                <w:szCs w:val="24"/>
                <w:lang w:val="en-US"/>
              </w:rPr>
              <w:t>(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42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eyes)</w:t>
            </w:r>
          </w:p>
        </w:tc>
        <w:tc>
          <w:tcPr>
            <w:tcW w:w="0" w:type="auto"/>
            <w:vMerge/>
            <w:shd w:val="clear" w:color="auto" w:fill="auto"/>
          </w:tcPr>
          <w:p w14:paraId="1B47B175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6FA5AE" w14:textId="77777777" w:rsidR="00A70969" w:rsidRPr="00B2588F" w:rsidRDefault="00A70969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3823A9D3" w14:textId="77777777" w:rsidTr="006B03F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04DF1139" w14:textId="77777777" w:rsidR="00A70969" w:rsidRPr="00B2588F" w:rsidRDefault="00A70969" w:rsidP="00960830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A47C57" w14:textId="77777777" w:rsidR="00A70969" w:rsidRPr="00B2588F" w:rsidRDefault="00A70969" w:rsidP="00960830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42FE21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14:paraId="1E1C20D1" w14:textId="42DF1F65" w:rsidR="00A70969" w:rsidRPr="00B2588F" w:rsidRDefault="00E76B96" w:rsidP="00960830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Bevacizumab: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40%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(17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eyes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of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42)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B03F1" w:rsidRPr="00B2588F" w14:paraId="466724D7" w14:textId="77777777" w:rsidTr="006B03F1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4B36CA76" w14:textId="77777777" w:rsidR="00A70969" w:rsidRPr="00B2588F" w:rsidRDefault="00A70969" w:rsidP="00960830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001DD4C" w14:textId="65F70E72" w:rsidR="00A70969" w:rsidRPr="00B2588F" w:rsidRDefault="00E76B96" w:rsidP="00960830">
            <w:pPr>
              <w:pStyle w:val="ListParagraph"/>
              <w:numPr>
                <w:ilvl w:val="0"/>
                <w:numId w:val="16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eastAsia="Wingdings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eastAsia="Wingdings" w:hAnsi="Book Antiqua" w:cs="Times New Roman"/>
                <w:sz w:val="24"/>
                <w:szCs w:val="24"/>
                <w:lang w:val="en-US"/>
              </w:rPr>
              <w:t>(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46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eyes)</w:t>
            </w:r>
          </w:p>
        </w:tc>
        <w:tc>
          <w:tcPr>
            <w:tcW w:w="0" w:type="auto"/>
            <w:vMerge/>
            <w:shd w:val="clear" w:color="auto" w:fill="auto"/>
          </w:tcPr>
          <w:p w14:paraId="32936A94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C6C6B8F" w14:textId="71F7B9DE" w:rsidR="00A70969" w:rsidRPr="00B2588F" w:rsidRDefault="00E76B96" w:rsidP="00960830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implant: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41%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(19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eyes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of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46)</w:t>
            </w:r>
          </w:p>
        </w:tc>
      </w:tr>
      <w:tr w:rsidR="006B03F1" w:rsidRPr="00B2588F" w14:paraId="0689B436" w14:textId="77777777" w:rsidTr="006B03F1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7DFD286A" w14:textId="77777777" w:rsidR="00A70969" w:rsidRPr="00B2588F" w:rsidRDefault="00A70969" w:rsidP="00960830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4046251" w14:textId="3D1B6989" w:rsidR="00A70969" w:rsidRPr="00B2588F" w:rsidRDefault="00E76B96" w:rsidP="00960830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12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</w:t>
            </w:r>
          </w:p>
        </w:tc>
        <w:tc>
          <w:tcPr>
            <w:tcW w:w="0" w:type="auto"/>
            <w:vMerge/>
            <w:shd w:val="clear" w:color="auto" w:fill="auto"/>
          </w:tcPr>
          <w:p w14:paraId="673CA859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133FF7" w14:textId="77777777" w:rsidR="00A70969" w:rsidRPr="00B2588F" w:rsidRDefault="00A70969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42D34186" w14:textId="77777777" w:rsidTr="006B03F1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28DA7403" w14:textId="0518ECE8" w:rsidR="00A70969" w:rsidRPr="00B2588F" w:rsidRDefault="006B03F1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7C68BC">
              <w:rPr>
                <w:rFonts w:ascii="Book Antiqua" w:hAnsi="Book Antiqua"/>
                <w:sz w:val="24"/>
                <w:szCs w:val="24"/>
                <w:lang w:val="en-US"/>
              </w:rPr>
              <w:t>Guigou</w:t>
            </w:r>
            <w:r w:rsidR="000D3AB5" w:rsidRPr="007C68BC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C68BC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et</w:t>
            </w:r>
            <w:r w:rsidR="000D3AB5" w:rsidRPr="007C68BC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C68BC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al</w:t>
            </w:r>
            <w:r w:rsidRPr="007C68BC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[29]</w:t>
            </w:r>
            <w:r w:rsidRPr="007C68BC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="000D3AB5" w:rsidRPr="007C68BC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C68BC">
              <w:rPr>
                <w:rFonts w:ascii="Book Antiqua" w:hAnsi="Book Antiqua"/>
                <w:sz w:val="24"/>
                <w:szCs w:val="24"/>
                <w:lang w:val="en-US"/>
              </w:rPr>
              <w:t>MOZART</w:t>
            </w:r>
            <w:r w:rsidR="000D3AB5" w:rsidRPr="007C68BC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C68BC">
              <w:rPr>
                <w:rFonts w:ascii="Book Antiqua" w:hAnsi="Book Antiqua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0" w:type="auto"/>
            <w:shd w:val="clear" w:color="auto" w:fill="auto"/>
          </w:tcPr>
          <w:p w14:paraId="5FA1549B" w14:textId="66F7DDC8" w:rsidR="00A70969" w:rsidRPr="00B2588F" w:rsidRDefault="00E76B96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Multicenter,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retrospective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B379D05" w14:textId="77777777" w:rsidR="00A70969" w:rsidRPr="00B2588F" w:rsidRDefault="00E76B96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B2588F">
              <w:rPr>
                <w:rFonts w:ascii="Book Antiqua" w:hAnsi="Book Antiqua"/>
              </w:rPr>
              <w:t>DME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F8F9312" w14:textId="1025E253" w:rsidR="00A70969" w:rsidRPr="00B2588F" w:rsidRDefault="00E76B96" w:rsidP="00960830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Decrease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mean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CMT</w:t>
            </w:r>
            <w:r w:rsidRPr="00B2588F">
              <w:rPr>
                <w:rFonts w:ascii="Book Antiqua" w:eastAsia="Wingdings" w:hAnsi="Book Antiqua" w:cs="Times New Roman"/>
                <w:sz w:val="24"/>
                <w:szCs w:val="24"/>
                <w:lang w:val="en-US"/>
              </w:rPr>
              <w:t>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239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μm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and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135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μm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6</w:t>
            </w:r>
          </w:p>
          <w:p w14:paraId="3209F39B" w14:textId="347DA660" w:rsidR="00A70969" w:rsidRPr="00B2588F" w:rsidRDefault="00E76B96" w:rsidP="00960830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Improvement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mean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BCVA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from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baseline</w:t>
            </w:r>
            <w:r w:rsidRPr="00B2588F">
              <w:rPr>
                <w:rFonts w:ascii="Book Antiqua" w:eastAsia="Wingdings" w:hAnsi="Book Antiqua" w:cs="Times New Roman"/>
                <w:sz w:val="24"/>
                <w:szCs w:val="24"/>
                <w:lang w:val="en-US"/>
              </w:rPr>
              <w:t>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8.5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and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7.6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6.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percentage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of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patients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who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gained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greater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than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15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BVCA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6</w:t>
            </w:r>
            <w:r w:rsidR="000D3AB5" w:rsidRPr="00B2588F">
              <w:rPr>
                <w:rFonts w:ascii="Book Antiqua" w:eastAsia="Wingdings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eastAsia="Wingdings" w:hAnsi="Book Antiqua" w:cs="Times New Roman"/>
                <w:sz w:val="24"/>
                <w:szCs w:val="24"/>
                <w:lang w:val="en-US"/>
              </w:rPr>
              <w:t>was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27%</w:t>
            </w:r>
          </w:p>
        </w:tc>
      </w:tr>
      <w:tr w:rsidR="006B03F1" w:rsidRPr="00B2588F" w14:paraId="532DDD2E" w14:textId="77777777" w:rsidTr="006B03F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3D857EB5" w14:textId="77777777" w:rsidR="00A70969" w:rsidRPr="00B2588F" w:rsidRDefault="00A70969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55AB51A" w14:textId="371DE6B0" w:rsidR="00A70969" w:rsidRPr="00B2588F" w:rsidRDefault="00E76B96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74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patients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14:paraId="43E28DFF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6E4A86" w14:textId="77777777" w:rsidR="00A70969" w:rsidRPr="00B2588F" w:rsidRDefault="00A70969" w:rsidP="00960830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4ED2B731" w14:textId="77777777" w:rsidTr="006B03F1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218B1A22" w14:textId="77777777" w:rsidR="00A70969" w:rsidRPr="00B2588F" w:rsidRDefault="00A70969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0765DD2" w14:textId="3B39B0B8" w:rsidR="00A70969" w:rsidRPr="00B2588F" w:rsidRDefault="00E76B96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6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</w:t>
            </w:r>
          </w:p>
        </w:tc>
        <w:tc>
          <w:tcPr>
            <w:tcW w:w="0" w:type="auto"/>
            <w:vMerge/>
            <w:shd w:val="clear" w:color="auto" w:fill="auto"/>
          </w:tcPr>
          <w:p w14:paraId="07FA2878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EF3BB8" w14:textId="77777777" w:rsidR="00A70969" w:rsidRPr="00B2588F" w:rsidRDefault="00A70969" w:rsidP="00960830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35517274" w14:textId="77777777" w:rsidTr="006B03F1">
        <w:trPr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04CAB93B" w14:textId="77777777" w:rsidR="00A70969" w:rsidRPr="00B2588F" w:rsidRDefault="00A70969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030CB85" w14:textId="77777777" w:rsidR="00A70969" w:rsidRPr="00B2588F" w:rsidRDefault="00A70969" w:rsidP="00960830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FCAB46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435CF1" w14:textId="77777777" w:rsidR="00A70969" w:rsidRPr="00B2588F" w:rsidRDefault="00A70969" w:rsidP="00960830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48F7D0A6" w14:textId="77777777" w:rsidTr="006B03F1">
        <w:trPr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10A08B02" w14:textId="57DE90C3" w:rsidR="00A70969" w:rsidRPr="00B2588F" w:rsidRDefault="00E76B96" w:rsidP="00960830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Singer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>et</w:t>
            </w:r>
            <w:r w:rsidR="000D3AB5"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>al</w:t>
            </w:r>
            <w:r w:rsidRPr="00B2588F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[30]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REINFORCE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A018E69" w14:textId="755C6F4F" w:rsidR="00A70969" w:rsidRPr="00B2588F" w:rsidRDefault="00E76B96" w:rsidP="00960830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Multicenter,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prospective,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observational,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phase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954364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IV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clinical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8C14550" w14:textId="77777777" w:rsidR="00A70969" w:rsidRPr="00B2588F" w:rsidRDefault="00E76B96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B2588F">
              <w:rPr>
                <w:rFonts w:ascii="Book Antiqua" w:hAnsi="Book Antiqua"/>
              </w:rPr>
              <w:t>DME</w:t>
            </w:r>
          </w:p>
        </w:tc>
        <w:tc>
          <w:tcPr>
            <w:tcW w:w="0" w:type="auto"/>
            <w:shd w:val="clear" w:color="auto" w:fill="auto"/>
          </w:tcPr>
          <w:p w14:paraId="198CC896" w14:textId="088DA8B6" w:rsidR="00A70969" w:rsidRPr="00B2588F" w:rsidRDefault="00E76B96" w:rsidP="00960830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Statistically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significant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decrease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CMT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(from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-121.2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μm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to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-140.3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μm)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from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baseline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after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first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three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injections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all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through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B03F1" w:rsidRPr="00B2588F" w14:paraId="3E257D30" w14:textId="77777777" w:rsidTr="006B03F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660C45F2" w14:textId="77777777" w:rsidR="00A70969" w:rsidRPr="00B2588F" w:rsidRDefault="00A70969" w:rsidP="00960830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E4465A" w14:textId="77777777" w:rsidR="00A70969" w:rsidRPr="00B2588F" w:rsidRDefault="00A70969" w:rsidP="00960830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6BEB0B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E250B0C" w14:textId="0067F9A8" w:rsidR="00A70969" w:rsidRPr="00B2588F" w:rsidRDefault="00E76B96" w:rsidP="00960830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Statistically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significant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improvement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BCVA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(ranged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from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+7.0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approximate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ETDRS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to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+9.1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from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baseline)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after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first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three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injections.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percentage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of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patients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who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gained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greater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than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15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approximate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EDTRS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BVCA: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36%</w:t>
            </w:r>
          </w:p>
        </w:tc>
      </w:tr>
      <w:tr w:rsidR="006B03F1" w:rsidRPr="00B2588F" w14:paraId="41E1C92E" w14:textId="77777777" w:rsidTr="006B03F1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3F406C42" w14:textId="77777777" w:rsidR="00A70969" w:rsidRPr="00B2588F" w:rsidRDefault="00A70969" w:rsidP="00960830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586074E" w14:textId="5BE26AEF" w:rsidR="00A70969" w:rsidRPr="00B2588F" w:rsidRDefault="00E76B96" w:rsidP="00960830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177</w:t>
            </w:r>
            <w:r w:rsidR="000D3AB5" w:rsidRPr="00B2588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patients</w:t>
            </w:r>
            <w:r w:rsidR="000D3AB5" w:rsidRPr="00B2588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(180</w:t>
            </w:r>
            <w:r w:rsidR="000D3AB5" w:rsidRPr="00B2588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eyes)</w:t>
            </w:r>
          </w:p>
        </w:tc>
        <w:tc>
          <w:tcPr>
            <w:tcW w:w="0" w:type="auto"/>
            <w:vMerge/>
            <w:shd w:val="clear" w:color="auto" w:fill="auto"/>
          </w:tcPr>
          <w:p w14:paraId="21D30152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E6734B" w14:textId="77777777" w:rsidR="00A70969" w:rsidRPr="00B2588F" w:rsidRDefault="00A70969" w:rsidP="00960830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5C0FCC79" w14:textId="77777777" w:rsidTr="006B03F1">
        <w:trPr>
          <w:trHeight w:val="2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0DEFC7C0" w14:textId="77777777" w:rsidR="00A70969" w:rsidRPr="00B2588F" w:rsidRDefault="00A70969" w:rsidP="00960830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2CEC2A7" w14:textId="1C3BF7B6" w:rsidR="00A70969" w:rsidRPr="00B2588F" w:rsidRDefault="00E76B96" w:rsidP="00960830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12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  <w:vMerge/>
            <w:shd w:val="clear" w:color="auto" w:fill="auto"/>
          </w:tcPr>
          <w:p w14:paraId="110E5976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8AC0B5" w14:textId="77777777" w:rsidR="00A70969" w:rsidRPr="00B2588F" w:rsidRDefault="00A70969" w:rsidP="00960830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2CD11A84" w14:textId="77777777" w:rsidTr="006B03F1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65242D60" w14:textId="07086DDA" w:rsidR="00A70969" w:rsidRPr="00B2588F" w:rsidRDefault="00E76B96" w:rsidP="00960830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Mello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Filho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>et</w:t>
            </w:r>
            <w:r w:rsidR="000D3AB5"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>al</w:t>
            </w:r>
            <w:r w:rsidRPr="00B2588F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[31]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7ED9989" w14:textId="42A97DA2" w:rsidR="00A70969" w:rsidRPr="00B2588F" w:rsidRDefault="00E76B96" w:rsidP="00960830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Multicenter,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retrospective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observational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clinical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127F88F" w14:textId="77777777" w:rsidR="00A70969" w:rsidRPr="00B2588F" w:rsidRDefault="00E76B96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B2588F">
              <w:rPr>
                <w:rFonts w:ascii="Book Antiqua" w:hAnsi="Book Antiqua"/>
              </w:rPr>
              <w:t>DME</w:t>
            </w:r>
          </w:p>
        </w:tc>
        <w:tc>
          <w:tcPr>
            <w:tcW w:w="0" w:type="auto"/>
            <w:shd w:val="clear" w:color="auto" w:fill="auto"/>
          </w:tcPr>
          <w:p w14:paraId="65774CFB" w14:textId="0F371B70" w:rsidR="00A70969" w:rsidRPr="00B2588F" w:rsidRDefault="00E76B96" w:rsidP="00960830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Statistically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significant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reduction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median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CMT</w:t>
            </w:r>
          </w:p>
        </w:tc>
      </w:tr>
      <w:tr w:rsidR="006B03F1" w:rsidRPr="00B2588F" w14:paraId="0F2F8619" w14:textId="77777777" w:rsidTr="006B03F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6CF311EB" w14:textId="77777777" w:rsidR="00A70969" w:rsidRPr="00B2588F" w:rsidRDefault="00A70969" w:rsidP="00960830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0347A7" w14:textId="77777777" w:rsidR="00A70969" w:rsidRPr="00B2588F" w:rsidRDefault="00A70969" w:rsidP="00960830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E09F12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14:paraId="6043415D" w14:textId="0465512D" w:rsidR="00A70969" w:rsidRPr="00B2588F" w:rsidRDefault="00E76B96" w:rsidP="00960830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Baseline: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425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μm</w:t>
            </w:r>
          </w:p>
        </w:tc>
      </w:tr>
      <w:tr w:rsidR="006B03F1" w:rsidRPr="00B2588F" w14:paraId="64213BD5" w14:textId="77777777" w:rsidTr="006B03F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2D38237B" w14:textId="77777777" w:rsidR="00A70969" w:rsidRPr="00B2588F" w:rsidRDefault="00A70969" w:rsidP="00960830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DB5FA93" w14:textId="77777777" w:rsidR="00A70969" w:rsidRPr="00B2588F" w:rsidRDefault="00A70969" w:rsidP="00960830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5AD1E4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14:paraId="1C32CE4E" w14:textId="4F6E461E" w:rsidR="00A70969" w:rsidRPr="00B2588F" w:rsidRDefault="00E76B96" w:rsidP="00960830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After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Pr="00B2588F">
              <w:rPr>
                <w:rFonts w:ascii="Book Antiqua" w:eastAsia="Wingdings" w:hAnsi="Book Antiqua" w:cs="Times New Roman"/>
                <w:sz w:val="24"/>
                <w:szCs w:val="24"/>
                <w:lang w:val="en-US"/>
              </w:rPr>
              <w:t>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270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μm</w:t>
            </w:r>
          </w:p>
        </w:tc>
      </w:tr>
      <w:tr w:rsidR="006B03F1" w:rsidRPr="00B2588F" w14:paraId="3650B178" w14:textId="77777777" w:rsidTr="006B03F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6A014EBE" w14:textId="77777777" w:rsidR="00A70969" w:rsidRPr="00B2588F" w:rsidRDefault="00A70969" w:rsidP="00960830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F36AC3C" w14:textId="639CE247" w:rsidR="00A70969" w:rsidRPr="00B2588F" w:rsidRDefault="00E76B96" w:rsidP="00960830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282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patients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(329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eyes)</w:t>
            </w:r>
          </w:p>
          <w:p w14:paraId="7F7A5222" w14:textId="77777777" w:rsidR="00A70969" w:rsidRPr="00B2588F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ADE87A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14:paraId="34BC4931" w14:textId="7C407C96" w:rsidR="00A70969" w:rsidRPr="00B2588F" w:rsidRDefault="00E76B96" w:rsidP="00960830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Statistically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significant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improvement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median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BCVA.</w:t>
            </w:r>
          </w:p>
        </w:tc>
      </w:tr>
      <w:tr w:rsidR="006B03F1" w:rsidRPr="00B2588F" w14:paraId="301D724A" w14:textId="77777777" w:rsidTr="006B03F1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50B52C2C" w14:textId="77777777" w:rsidR="00A70969" w:rsidRPr="00B2588F" w:rsidRDefault="00A70969" w:rsidP="00960830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6C7D2F" w14:textId="77777777" w:rsidR="00A70969" w:rsidRPr="00B2588F" w:rsidRDefault="00A70969" w:rsidP="00960830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0B4ED0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14:paraId="2EDB5A21" w14:textId="5B26259B" w:rsidR="00A70969" w:rsidRPr="00B2588F" w:rsidRDefault="00E76B96" w:rsidP="00960830">
            <w:pPr>
              <w:pStyle w:val="ListParagraph"/>
              <w:numPr>
                <w:ilvl w:val="0"/>
                <w:numId w:val="25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Baseline: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0.7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log-MAR/50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</w:t>
            </w:r>
          </w:p>
        </w:tc>
      </w:tr>
      <w:tr w:rsidR="006B03F1" w:rsidRPr="00B2588F" w14:paraId="4BEB4CB8" w14:textId="77777777" w:rsidTr="006B03F1">
        <w:trPr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74B6539A" w14:textId="77777777" w:rsidR="00A70969" w:rsidRPr="00B2588F" w:rsidRDefault="00A70969" w:rsidP="00960830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B2292B" w14:textId="77777777" w:rsidR="00A70969" w:rsidRPr="00B2588F" w:rsidRDefault="00A70969" w:rsidP="00960830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E21196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14:paraId="4DC9A5D2" w14:textId="020C4641" w:rsidR="00A70969" w:rsidRPr="00B2588F" w:rsidRDefault="00E76B96" w:rsidP="00960830">
            <w:pPr>
              <w:pStyle w:val="ListParagraph"/>
              <w:numPr>
                <w:ilvl w:val="0"/>
                <w:numId w:val="25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After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0.3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logMAR/70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B03F1" w:rsidRPr="00B2588F" w14:paraId="0F4A5446" w14:textId="77777777" w:rsidTr="006B03F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1CEB0A1C" w14:textId="15BA6E38" w:rsidR="00A70969" w:rsidRPr="007C68BC" w:rsidRDefault="00E76B96" w:rsidP="00960830">
            <w:pPr>
              <w:pStyle w:val="ListParagraph"/>
              <w:numPr>
                <w:ilvl w:val="0"/>
                <w:numId w:val="26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Malclès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>et</w:t>
            </w:r>
            <w:r w:rsidR="000D3AB5"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>al</w:t>
            </w:r>
            <w:r w:rsidRPr="00B2588F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[32]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RELDEX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6B03F1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stu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dy</w:t>
            </w:r>
          </w:p>
        </w:tc>
        <w:tc>
          <w:tcPr>
            <w:tcW w:w="0" w:type="auto"/>
            <w:shd w:val="clear" w:color="auto" w:fill="auto"/>
          </w:tcPr>
          <w:p w14:paraId="7FEF90C9" w14:textId="0D1C345B" w:rsidR="00A70969" w:rsidRPr="00B2588F" w:rsidRDefault="00E76B96" w:rsidP="00960830">
            <w:pPr>
              <w:pStyle w:val="ListParagraph"/>
              <w:numPr>
                <w:ilvl w:val="0"/>
                <w:numId w:val="26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Multicenter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retrospective</w:t>
            </w:r>
            <w:r w:rsidR="000D3AB5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4926D33" w14:textId="77777777" w:rsidR="00A70969" w:rsidRPr="00B2588F" w:rsidRDefault="00E76B96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B2588F">
              <w:rPr>
                <w:rFonts w:ascii="Book Antiqua" w:hAnsi="Book Antiqua"/>
              </w:rPr>
              <w:t>DME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07412DF" w14:textId="7396AE5D" w:rsidR="00A70969" w:rsidRPr="00B2588F" w:rsidRDefault="00E76B96" w:rsidP="00960830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statistically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significant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improvement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CMT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</w:p>
          <w:p w14:paraId="2004CA95" w14:textId="45232DB1" w:rsidR="00A70969" w:rsidRPr="00B2588F" w:rsidRDefault="00E76B96" w:rsidP="00960830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Baseline: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451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μm,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12: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370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μm,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24: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377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μm,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and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36: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280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μm</w:t>
            </w:r>
          </w:p>
          <w:p w14:paraId="72DC7A3C" w14:textId="2E94778E" w:rsidR="00A70969" w:rsidRPr="00B2588F" w:rsidRDefault="00E76B96" w:rsidP="00960830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Statistically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significant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improvement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mean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BCVA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from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baseline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(50.5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letters):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54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54.7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12,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56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letters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24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and</w:t>
            </w:r>
          </w:p>
        </w:tc>
      </w:tr>
      <w:tr w:rsidR="006B03F1" w:rsidRPr="00B2588F" w14:paraId="16AFCA8C" w14:textId="77777777" w:rsidTr="006B03F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318FBA4D" w14:textId="77777777" w:rsidR="00A70969" w:rsidRPr="00B2588F" w:rsidRDefault="00A70969" w:rsidP="00960830">
            <w:pPr>
              <w:pStyle w:val="ListParagraph"/>
              <w:numPr>
                <w:ilvl w:val="0"/>
                <w:numId w:val="26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1EAF0A4" w14:textId="7AABC1A2" w:rsidR="00A70969" w:rsidRPr="00B2588F" w:rsidRDefault="00E76B96" w:rsidP="00960830">
            <w:pPr>
              <w:pStyle w:val="ListParagraph"/>
              <w:numPr>
                <w:ilvl w:val="0"/>
                <w:numId w:val="26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128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eyes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of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89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patients</w:t>
            </w:r>
          </w:p>
        </w:tc>
        <w:tc>
          <w:tcPr>
            <w:tcW w:w="0" w:type="auto"/>
            <w:vMerge/>
            <w:shd w:val="clear" w:color="auto" w:fill="auto"/>
          </w:tcPr>
          <w:p w14:paraId="5D1EA728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FF92CD" w14:textId="77777777" w:rsidR="00A70969" w:rsidRPr="00B2588F" w:rsidRDefault="00A70969" w:rsidP="00960830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3E1E8020" w14:textId="77777777" w:rsidTr="006B03F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70FA0AF0" w14:textId="77777777" w:rsidR="00A70969" w:rsidRPr="00B2588F" w:rsidRDefault="00A70969" w:rsidP="00960830">
            <w:pPr>
              <w:pStyle w:val="ListParagraph"/>
              <w:numPr>
                <w:ilvl w:val="0"/>
                <w:numId w:val="26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3828E3A" w14:textId="1AC0BE30" w:rsidR="00A70969" w:rsidRPr="00B2588F" w:rsidRDefault="00E76B96" w:rsidP="00960830">
            <w:pPr>
              <w:pStyle w:val="ListParagraph"/>
              <w:numPr>
                <w:ilvl w:val="0"/>
                <w:numId w:val="26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16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</w:t>
            </w:r>
          </w:p>
        </w:tc>
        <w:tc>
          <w:tcPr>
            <w:tcW w:w="0" w:type="auto"/>
            <w:vMerge/>
            <w:shd w:val="clear" w:color="auto" w:fill="auto"/>
          </w:tcPr>
          <w:p w14:paraId="0297166C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43EE6B" w14:textId="77777777" w:rsidR="00A70969" w:rsidRPr="00B2588F" w:rsidRDefault="00A70969" w:rsidP="00960830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5F4D7C91" w14:textId="77777777" w:rsidTr="006B03F1">
        <w:trPr>
          <w:trHeight w:val="2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332622C5" w14:textId="77777777" w:rsidR="00A70969" w:rsidRPr="00B2588F" w:rsidRDefault="00A70969" w:rsidP="00960830">
            <w:pPr>
              <w:pStyle w:val="ListParagraph"/>
              <w:numPr>
                <w:ilvl w:val="0"/>
                <w:numId w:val="26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109C8F" w14:textId="77777777" w:rsidR="00A70969" w:rsidRPr="00B2588F" w:rsidRDefault="00A70969" w:rsidP="00960830">
            <w:pPr>
              <w:pStyle w:val="ListParagraph"/>
              <w:numPr>
                <w:ilvl w:val="0"/>
                <w:numId w:val="26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52EE3E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14:paraId="218AA7A0" w14:textId="050563D1" w:rsidR="00A70969" w:rsidRPr="00B2588F" w:rsidRDefault="000D3AB5" w:rsidP="00960830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60.6</w:t>
            </w: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letters</w:t>
            </w: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36.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percentage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of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eyes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achieving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least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15-letter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improvement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from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baseline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36: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E76B96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25.4%</w:t>
            </w:r>
          </w:p>
        </w:tc>
      </w:tr>
      <w:tr w:rsidR="006B03F1" w:rsidRPr="00B2588F" w14:paraId="777186AA" w14:textId="77777777" w:rsidTr="006B03F1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3AB09F8B" w14:textId="3BE48077" w:rsidR="00A70969" w:rsidRPr="00B2588F" w:rsidRDefault="00E76B96" w:rsidP="00960830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Rosenblatt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>et</w:t>
            </w:r>
            <w:r w:rsidR="000D3AB5"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>al</w:t>
            </w:r>
            <w:r w:rsidRPr="00B2588F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[33]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ARTES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6B03F1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study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="006B03F1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14:paraId="24E55B4F" w14:textId="2A3ED300" w:rsidR="00A70969" w:rsidRPr="00B2588F" w:rsidRDefault="00E76B96" w:rsidP="00960830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Multicenter,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retrospective,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cohort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DECA7F0" w14:textId="77777777" w:rsidR="00A70969" w:rsidRPr="00B2588F" w:rsidRDefault="00E76B96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B2588F">
              <w:rPr>
                <w:rFonts w:ascii="Book Antiqua" w:hAnsi="Book Antiqua"/>
              </w:rPr>
              <w:t>DME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AF36B8B" w14:textId="43979E57" w:rsidR="00A70969" w:rsidRPr="00B2588F" w:rsidRDefault="00E76B96" w:rsidP="00960830">
            <w:pPr>
              <w:pStyle w:val="ListParagraph"/>
              <w:numPr>
                <w:ilvl w:val="0"/>
                <w:numId w:val="27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Statistically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significant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CMT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reduction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was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obtained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throughout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first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6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mo.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This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effect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diminished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after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but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maintained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until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6.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Mean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change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CMT</w:t>
            </w:r>
            <w:r w:rsidRPr="00B2588F">
              <w:rPr>
                <w:rFonts w:ascii="Book Antiqua" w:eastAsia="Wingdings" w:hAnsi="Book Antiqua" w:cs="Times New Roman"/>
                <w:sz w:val="24"/>
                <w:szCs w:val="24"/>
                <w:lang w:val="en-US"/>
              </w:rPr>
              <w:t>: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-174μm</w:t>
            </w:r>
          </w:p>
        </w:tc>
      </w:tr>
      <w:tr w:rsidR="006B03F1" w:rsidRPr="00B2588F" w14:paraId="137A0328" w14:textId="77777777" w:rsidTr="006B03F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5948196C" w14:textId="77777777" w:rsidR="00A70969" w:rsidRPr="00B2588F" w:rsidRDefault="00A70969" w:rsidP="00960830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E043334" w14:textId="0717003E" w:rsidR="00A70969" w:rsidRPr="00B2588F" w:rsidRDefault="00E76B96" w:rsidP="00960830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287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patients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(340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eyes)</w:t>
            </w:r>
          </w:p>
        </w:tc>
        <w:tc>
          <w:tcPr>
            <w:tcW w:w="0" w:type="auto"/>
            <w:vMerge/>
            <w:shd w:val="clear" w:color="auto" w:fill="auto"/>
          </w:tcPr>
          <w:p w14:paraId="422D2C1B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01D5F5" w14:textId="77777777" w:rsidR="00A70969" w:rsidRPr="00B2588F" w:rsidRDefault="00A70969" w:rsidP="00960830">
            <w:pPr>
              <w:pStyle w:val="ListParagraph"/>
              <w:numPr>
                <w:ilvl w:val="0"/>
                <w:numId w:val="27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7FF1D982" w14:textId="77777777" w:rsidTr="006B03F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4AD7BF44" w14:textId="77777777" w:rsidR="00A70969" w:rsidRPr="00B2588F" w:rsidRDefault="00A70969" w:rsidP="00960830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1D17436" w14:textId="4242F25F" w:rsidR="00A70969" w:rsidRPr="00B2588F" w:rsidRDefault="00E76B96" w:rsidP="00960830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1.7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yr</w:t>
            </w:r>
          </w:p>
        </w:tc>
        <w:tc>
          <w:tcPr>
            <w:tcW w:w="0" w:type="auto"/>
            <w:vMerge/>
            <w:shd w:val="clear" w:color="auto" w:fill="auto"/>
          </w:tcPr>
          <w:p w14:paraId="6B6413A8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52FE47" w14:textId="77777777" w:rsidR="00A70969" w:rsidRPr="00B2588F" w:rsidRDefault="00A70969" w:rsidP="00960830">
            <w:pPr>
              <w:pStyle w:val="ListParagraph"/>
              <w:numPr>
                <w:ilvl w:val="0"/>
                <w:numId w:val="27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B03F1" w:rsidRPr="00B2588F" w14:paraId="02CCEC21" w14:textId="77777777" w:rsidTr="006B03F1">
        <w:trPr>
          <w:trHeight w:val="1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7C3249D5" w14:textId="77777777" w:rsidR="00A70969" w:rsidRPr="00B2588F" w:rsidRDefault="00A70969" w:rsidP="00960830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476917" w14:textId="77777777" w:rsidR="00A70969" w:rsidRPr="00B2588F" w:rsidRDefault="00A70969" w:rsidP="00960830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9762CF" w14:textId="77777777" w:rsidR="00A70969" w:rsidRPr="007C68BC" w:rsidRDefault="00A70969" w:rsidP="0096083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14:paraId="50B675AA" w14:textId="7FDD627B" w:rsidR="00A70969" w:rsidRPr="00B2588F" w:rsidRDefault="00E76B96" w:rsidP="00960830">
            <w:pPr>
              <w:pStyle w:val="ListParagraph"/>
              <w:numPr>
                <w:ilvl w:val="0"/>
                <w:numId w:val="27"/>
              </w:numPr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2588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Significant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improvement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BCVA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during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first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six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months.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The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percentage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of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eyes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with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 w:hint="eastAsia"/>
                <w:sz w:val="24"/>
                <w:szCs w:val="24"/>
                <w:lang w:val="en-US"/>
              </w:rPr>
              <w:t>≥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10-letter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improvement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BCVA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after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DEX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implant</w:t>
            </w:r>
            <w:r w:rsidR="000D3AB5"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injections:</w:t>
            </w:r>
            <w:r w:rsidR="000D3AB5" w:rsidRPr="00B2588F">
              <w:rPr>
                <w:rFonts w:ascii="Book Antiqua" w:eastAsia="Wingdings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2588F">
              <w:rPr>
                <w:rFonts w:ascii="Book Antiqua" w:hAnsi="Book Antiqua" w:cs="Times New Roman"/>
                <w:sz w:val="24"/>
                <w:szCs w:val="24"/>
                <w:lang w:val="en-US"/>
              </w:rPr>
              <w:t>37.8%</w:t>
            </w:r>
          </w:p>
        </w:tc>
      </w:tr>
    </w:tbl>
    <w:p w14:paraId="0A8B5AA6" w14:textId="1243B8E8" w:rsidR="00A70969" w:rsidRPr="00B2588F" w:rsidRDefault="00E76B96" w:rsidP="0096083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2588F">
        <w:rPr>
          <w:rFonts w:ascii="Book Antiqua" w:hAnsi="Book Antiqua"/>
        </w:rPr>
        <w:t>BCVA: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Best-corrected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visual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acuity;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CMT: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Central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thickness;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Dexamethasone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phosphate;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DME: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macular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edema;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EDTRS: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Early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treatment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diabetic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retinopathy</w:t>
      </w:r>
      <w:r w:rsidR="000D3AB5" w:rsidRPr="00B2588F">
        <w:rPr>
          <w:rFonts w:ascii="Book Antiqua" w:hAnsi="Book Antiqua"/>
        </w:rPr>
        <w:t xml:space="preserve"> </w:t>
      </w:r>
      <w:r w:rsidRPr="00B2588F">
        <w:rPr>
          <w:rFonts w:ascii="Book Antiqua" w:hAnsi="Book Antiqua"/>
        </w:rPr>
        <w:t>study.</w:t>
      </w:r>
    </w:p>
    <w:sectPr w:rsidR="00A70969" w:rsidRPr="00B258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7B2CF" w14:textId="77777777" w:rsidR="00E17483" w:rsidRDefault="00E17483" w:rsidP="00BB760F">
      <w:r>
        <w:separator/>
      </w:r>
    </w:p>
  </w:endnote>
  <w:endnote w:type="continuationSeparator" w:id="0">
    <w:p w14:paraId="61166835" w14:textId="77777777" w:rsidR="00E17483" w:rsidRDefault="00E17483" w:rsidP="00BB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0518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1D7BE6" w14:textId="01D6ADE7" w:rsidR="00BB760F" w:rsidRDefault="00BB760F" w:rsidP="00BB760F">
            <w:pPr>
              <w:pStyle w:val="Footer"/>
              <w:jc w:val="right"/>
            </w:pPr>
            <w:r w:rsidRPr="0095436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C68BC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C68BC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7C68BC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91C77" w:rsidRPr="007C68BC">
              <w:rPr>
                <w:rFonts w:ascii="Book Antiqua" w:hAnsi="Book Antiqua"/>
                <w:noProof/>
                <w:sz w:val="24"/>
                <w:szCs w:val="24"/>
              </w:rPr>
              <w:t>27</w:t>
            </w:r>
            <w:r w:rsidRPr="007C68BC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95436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C68BC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C68BC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7C68BC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91C77" w:rsidRPr="007C68BC">
              <w:rPr>
                <w:rFonts w:ascii="Book Antiqua" w:hAnsi="Book Antiqua"/>
                <w:noProof/>
                <w:sz w:val="24"/>
                <w:szCs w:val="24"/>
              </w:rPr>
              <w:t>34</w:t>
            </w:r>
            <w:r w:rsidRPr="007C68BC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5715AE6C" w14:textId="77777777" w:rsidR="00BB760F" w:rsidRDefault="00BB7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DCC19" w14:textId="77777777" w:rsidR="00E17483" w:rsidRDefault="00E17483" w:rsidP="00BB760F">
      <w:r>
        <w:separator/>
      </w:r>
    </w:p>
  </w:footnote>
  <w:footnote w:type="continuationSeparator" w:id="0">
    <w:p w14:paraId="7F3B32F5" w14:textId="77777777" w:rsidR="00E17483" w:rsidRDefault="00E17483" w:rsidP="00BB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746"/>
    <w:multiLevelType w:val="multilevel"/>
    <w:tmpl w:val="002667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4A7BFD"/>
    <w:multiLevelType w:val="multilevel"/>
    <w:tmpl w:val="024A7BFD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4D346E"/>
    <w:multiLevelType w:val="multilevel"/>
    <w:tmpl w:val="084D346E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9547D2E"/>
    <w:multiLevelType w:val="multilevel"/>
    <w:tmpl w:val="09547D2E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763192"/>
    <w:multiLevelType w:val="multilevel"/>
    <w:tmpl w:val="0C76319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F4CED"/>
    <w:multiLevelType w:val="multilevel"/>
    <w:tmpl w:val="126F4C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C062EB"/>
    <w:multiLevelType w:val="multilevel"/>
    <w:tmpl w:val="13C062E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44587F"/>
    <w:multiLevelType w:val="multilevel"/>
    <w:tmpl w:val="1644587F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DE1206"/>
    <w:multiLevelType w:val="multilevel"/>
    <w:tmpl w:val="19DE12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A80ECF"/>
    <w:multiLevelType w:val="multilevel"/>
    <w:tmpl w:val="20A80EC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B84B44"/>
    <w:multiLevelType w:val="multilevel"/>
    <w:tmpl w:val="21B84B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1317F8"/>
    <w:multiLevelType w:val="multilevel"/>
    <w:tmpl w:val="331317F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431BEA"/>
    <w:multiLevelType w:val="multilevel"/>
    <w:tmpl w:val="35431B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CC1C4C"/>
    <w:multiLevelType w:val="multilevel"/>
    <w:tmpl w:val="38CC1C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9C6714"/>
    <w:multiLevelType w:val="multilevel"/>
    <w:tmpl w:val="399C6714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E42652"/>
    <w:multiLevelType w:val="multilevel"/>
    <w:tmpl w:val="40E426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A169E4"/>
    <w:multiLevelType w:val="multilevel"/>
    <w:tmpl w:val="42A169E4"/>
    <w:lvl w:ilvl="0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B109D0"/>
    <w:multiLevelType w:val="multilevel"/>
    <w:tmpl w:val="47B10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0571AF"/>
    <w:multiLevelType w:val="multilevel"/>
    <w:tmpl w:val="4A0571A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7065BE"/>
    <w:multiLevelType w:val="multilevel"/>
    <w:tmpl w:val="4E7065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CE2FB1"/>
    <w:multiLevelType w:val="multilevel"/>
    <w:tmpl w:val="54CE2FB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C62518"/>
    <w:multiLevelType w:val="multilevel"/>
    <w:tmpl w:val="5EC625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150B88"/>
    <w:multiLevelType w:val="multilevel"/>
    <w:tmpl w:val="69150B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A16707"/>
    <w:multiLevelType w:val="multilevel"/>
    <w:tmpl w:val="72A1670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336D68"/>
    <w:multiLevelType w:val="multilevel"/>
    <w:tmpl w:val="75336D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9307BE"/>
    <w:multiLevelType w:val="multilevel"/>
    <w:tmpl w:val="779307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031EE8"/>
    <w:multiLevelType w:val="multilevel"/>
    <w:tmpl w:val="7E031EE8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0"/>
  </w:num>
  <w:num w:numId="5">
    <w:abstractNumId w:val="6"/>
  </w:num>
  <w:num w:numId="6">
    <w:abstractNumId w:val="20"/>
  </w:num>
  <w:num w:numId="7">
    <w:abstractNumId w:val="14"/>
  </w:num>
  <w:num w:numId="8">
    <w:abstractNumId w:val="2"/>
  </w:num>
  <w:num w:numId="9">
    <w:abstractNumId w:val="24"/>
  </w:num>
  <w:num w:numId="10">
    <w:abstractNumId w:val="26"/>
  </w:num>
  <w:num w:numId="11">
    <w:abstractNumId w:val="3"/>
  </w:num>
  <w:num w:numId="12">
    <w:abstractNumId w:val="8"/>
  </w:num>
  <w:num w:numId="13">
    <w:abstractNumId w:val="4"/>
  </w:num>
  <w:num w:numId="14">
    <w:abstractNumId w:val="17"/>
  </w:num>
  <w:num w:numId="15">
    <w:abstractNumId w:val="23"/>
  </w:num>
  <w:num w:numId="16">
    <w:abstractNumId w:val="5"/>
  </w:num>
  <w:num w:numId="17">
    <w:abstractNumId w:val="7"/>
  </w:num>
  <w:num w:numId="18">
    <w:abstractNumId w:val="12"/>
  </w:num>
  <w:num w:numId="19">
    <w:abstractNumId w:val="18"/>
  </w:num>
  <w:num w:numId="20">
    <w:abstractNumId w:val="25"/>
  </w:num>
  <w:num w:numId="21">
    <w:abstractNumId w:val="9"/>
  </w:num>
  <w:num w:numId="22">
    <w:abstractNumId w:val="22"/>
  </w:num>
  <w:num w:numId="23">
    <w:abstractNumId w:val="13"/>
  </w:num>
  <w:num w:numId="24">
    <w:abstractNumId w:val="11"/>
  </w:num>
  <w:num w:numId="25">
    <w:abstractNumId w:val="1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7D54"/>
    <w:rsid w:val="00070AB0"/>
    <w:rsid w:val="000D3AB5"/>
    <w:rsid w:val="001820C0"/>
    <w:rsid w:val="001A390A"/>
    <w:rsid w:val="001B2275"/>
    <w:rsid w:val="001B2FD2"/>
    <w:rsid w:val="002A4C4E"/>
    <w:rsid w:val="00355C27"/>
    <w:rsid w:val="003B5E10"/>
    <w:rsid w:val="006428BB"/>
    <w:rsid w:val="00691B85"/>
    <w:rsid w:val="006B03F1"/>
    <w:rsid w:val="007C68BC"/>
    <w:rsid w:val="008428D8"/>
    <w:rsid w:val="008B06ED"/>
    <w:rsid w:val="008F4ECC"/>
    <w:rsid w:val="00931508"/>
    <w:rsid w:val="00954364"/>
    <w:rsid w:val="00960830"/>
    <w:rsid w:val="00A70969"/>
    <w:rsid w:val="00A77B3E"/>
    <w:rsid w:val="00AB4AD8"/>
    <w:rsid w:val="00AE019B"/>
    <w:rsid w:val="00B2588F"/>
    <w:rsid w:val="00BB760F"/>
    <w:rsid w:val="00C07F23"/>
    <w:rsid w:val="00C91A31"/>
    <w:rsid w:val="00CA2A55"/>
    <w:rsid w:val="00D24E4E"/>
    <w:rsid w:val="00D433FE"/>
    <w:rsid w:val="00D572FA"/>
    <w:rsid w:val="00E17483"/>
    <w:rsid w:val="00E26F52"/>
    <w:rsid w:val="00E375D3"/>
    <w:rsid w:val="00E6239F"/>
    <w:rsid w:val="00E76B96"/>
    <w:rsid w:val="00F91C77"/>
    <w:rsid w:val="00FB669E"/>
    <w:rsid w:val="7C21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25D41C"/>
  <w15:docId w15:val="{9B358E4F-1E28-4D14-910F-72D86E02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LightShading">
    <w:name w:val="Light Shading"/>
    <w:basedOn w:val="TableNormal"/>
    <w:uiPriority w:val="60"/>
    <w:rPr>
      <w:rFonts w:asciiTheme="minorHAnsi" w:hAnsiTheme="minorHAnsi" w:cstheme="minorBidi"/>
      <w:color w:val="000000" w:themeColor="text1" w:themeShade="BF"/>
      <w:szCs w:val="22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semiHidden/>
    <w:unhideWhenUsed/>
    <w:qFormat/>
    <w:rPr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sz w:val="24"/>
      <w:szCs w:val="24"/>
    </w:rPr>
  </w:style>
  <w:style w:type="character" w:customStyle="1" w:styleId="highlight">
    <w:name w:val="highlight"/>
    <w:basedOn w:val="DefaultParagraphFont"/>
    <w:qFormat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B7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B760F"/>
    <w:rPr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B76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760F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cbi.nlm.nih.gov/pubmed/?term=Ozurdex%20HURON%20Study%20Group%5BCorporate%20Author%5D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ncbi.nlm.nih.gov/pubmed/?term=Ozurdex%20PLACID%20Study%20Group%5BCorporate%20Author%5D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www.ncbi.nlm.nih.gov/pubmed/?term=Ozurdex%20CHAMPLAIN%20Study%20Group%5BCorporate%20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A4FA0F-B88A-4858-92E4-40364EA9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7753</Words>
  <Characters>44195</Characters>
  <Application>Microsoft Office Word</Application>
  <DocSecurity>0</DocSecurity>
  <Lines>368</Lines>
  <Paragraphs>103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Donna Fox</cp:lastModifiedBy>
  <cp:revision>2</cp:revision>
  <dcterms:created xsi:type="dcterms:W3CDTF">2021-07-13T19:08:00Z</dcterms:created>
  <dcterms:modified xsi:type="dcterms:W3CDTF">2021-07-13T19:08:00Z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57D0AE14666B42DB904EB97D472ED992</vt:lpwstr>
  </property>
</Properties>
</file>