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72E0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Name of Journal: </w:t>
      </w:r>
      <w:r w:rsidRPr="009A225C">
        <w:rPr>
          <w:rFonts w:ascii="Book Antiqua" w:eastAsia="Book Antiqua" w:hAnsi="Book Antiqua" w:cs="Book Antiqua"/>
          <w:i/>
          <w:color w:val="000000"/>
        </w:rPr>
        <w:t>World Journal of Gastroenterology</w:t>
      </w:r>
    </w:p>
    <w:p w14:paraId="45CE93CC"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Manuscript NO: </w:t>
      </w:r>
      <w:r w:rsidRPr="009A225C">
        <w:rPr>
          <w:rFonts w:ascii="Book Antiqua" w:eastAsia="Book Antiqua" w:hAnsi="Book Antiqua" w:cs="Book Antiqua"/>
          <w:color w:val="000000"/>
        </w:rPr>
        <w:t>62411</w:t>
      </w:r>
    </w:p>
    <w:p w14:paraId="2108C23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Manuscript Type: </w:t>
      </w:r>
      <w:r w:rsidRPr="009A225C">
        <w:rPr>
          <w:rFonts w:ascii="Book Antiqua" w:eastAsia="Book Antiqua" w:hAnsi="Book Antiqua" w:cs="Book Antiqua"/>
          <w:color w:val="000000"/>
        </w:rPr>
        <w:t>MINIREVIEWS</w:t>
      </w:r>
    </w:p>
    <w:p w14:paraId="681082C9" w14:textId="77777777" w:rsidR="00A77B3E" w:rsidRPr="009A225C" w:rsidRDefault="00A77B3E" w:rsidP="009A225C">
      <w:pPr>
        <w:snapToGrid w:val="0"/>
        <w:spacing w:line="360" w:lineRule="auto"/>
        <w:jc w:val="both"/>
        <w:rPr>
          <w:rFonts w:ascii="Book Antiqua" w:hAnsi="Book Antiqua"/>
        </w:rPr>
      </w:pPr>
    </w:p>
    <w:p w14:paraId="5C76570C" w14:textId="74360EB3" w:rsidR="00A77B3E" w:rsidRPr="009A225C" w:rsidRDefault="00AF38BA" w:rsidP="009A225C">
      <w:pPr>
        <w:snapToGrid w:val="0"/>
        <w:spacing w:line="360" w:lineRule="auto"/>
        <w:jc w:val="both"/>
        <w:rPr>
          <w:rFonts w:ascii="Book Antiqua" w:hAnsi="Book Antiqua"/>
        </w:rPr>
      </w:pPr>
      <w:bookmarkStart w:id="0" w:name="OLE_LINK1"/>
      <w:bookmarkStart w:id="1" w:name="OLE_LINK2"/>
      <w:r w:rsidRPr="009A225C">
        <w:rPr>
          <w:rFonts w:ascii="Book Antiqua" w:eastAsia="Book Antiqua" w:hAnsi="Book Antiqua" w:cs="Book Antiqua"/>
          <w:b/>
          <w:bCs/>
          <w:color w:val="000000"/>
        </w:rPr>
        <w:t>C</w:t>
      </w:r>
      <w:r w:rsidR="007B60D1">
        <w:rPr>
          <w:rFonts w:ascii="Book Antiqua" w:eastAsia="Book Antiqua" w:hAnsi="Book Antiqua" w:cs="Book Antiqua"/>
          <w:b/>
          <w:bCs/>
          <w:color w:val="000000"/>
        </w:rPr>
        <w:t>oronavirus disease 2019</w:t>
      </w:r>
      <w:r w:rsidRPr="009A225C">
        <w:rPr>
          <w:rFonts w:ascii="Book Antiqua" w:eastAsia="Book Antiqua" w:hAnsi="Book Antiqua" w:cs="Book Antiqua"/>
          <w:b/>
          <w:bCs/>
          <w:color w:val="000000"/>
        </w:rPr>
        <w:t xml:space="preserve"> severity in obesity: Metabolic dysfunction-associated fatty liver disease in the spotlight</w:t>
      </w:r>
    </w:p>
    <w:bookmarkEnd w:id="0"/>
    <w:bookmarkEnd w:id="1"/>
    <w:p w14:paraId="42F65521" w14:textId="77777777" w:rsidR="00A77B3E" w:rsidRPr="009A225C" w:rsidRDefault="00A77B3E" w:rsidP="009A225C">
      <w:pPr>
        <w:snapToGrid w:val="0"/>
        <w:spacing w:line="360" w:lineRule="auto"/>
        <w:jc w:val="both"/>
        <w:rPr>
          <w:rFonts w:ascii="Book Antiqua" w:hAnsi="Book Antiqua"/>
        </w:rPr>
      </w:pPr>
    </w:p>
    <w:p w14:paraId="7F2CB0CC" w14:textId="29F8951D" w:rsidR="00A77B3E" w:rsidRPr="009A225C" w:rsidRDefault="00A50D5E" w:rsidP="009A225C">
      <w:pPr>
        <w:snapToGrid w:val="0"/>
        <w:spacing w:line="360" w:lineRule="auto"/>
        <w:jc w:val="both"/>
        <w:rPr>
          <w:rFonts w:ascii="Book Antiqua" w:hAnsi="Book Antiqua"/>
        </w:rPr>
      </w:pPr>
      <w:r w:rsidRPr="009A225C">
        <w:rPr>
          <w:rFonts w:ascii="Book Antiqua" w:eastAsia="Book Antiqua" w:hAnsi="Book Antiqua" w:cs="Book Antiqua"/>
          <w:color w:val="000000"/>
          <w:lang w:val="pt-BR"/>
        </w:rPr>
        <w:t xml:space="preserve">Vasques-Monteiro IML </w:t>
      </w:r>
      <w:r w:rsidRPr="009A225C">
        <w:rPr>
          <w:rFonts w:ascii="Book Antiqua" w:eastAsia="Book Antiqua" w:hAnsi="Book Antiqua" w:cs="Book Antiqua"/>
          <w:i/>
          <w:iCs/>
          <w:color w:val="000000"/>
          <w:lang w:val="pt-BR"/>
        </w:rPr>
        <w:t>et al</w:t>
      </w:r>
      <w:r w:rsidRPr="009A225C">
        <w:rPr>
          <w:rFonts w:ascii="Book Antiqua" w:eastAsia="Book Antiqua" w:hAnsi="Book Antiqua" w:cs="Book Antiqua"/>
          <w:color w:val="000000"/>
          <w:lang w:val="pt-BR"/>
        </w:rPr>
        <w:t xml:space="preserve">. </w:t>
      </w:r>
      <w:bookmarkStart w:id="2" w:name="OLE_LINK3"/>
      <w:r w:rsidR="00AF38BA" w:rsidRPr="009A225C">
        <w:rPr>
          <w:rFonts w:ascii="Book Antiqua" w:eastAsia="Book Antiqua" w:hAnsi="Book Antiqua" w:cs="Book Antiqua"/>
          <w:color w:val="000000"/>
        </w:rPr>
        <w:t>COVID-19 severity in MAFLD patients</w:t>
      </w:r>
    </w:p>
    <w:bookmarkEnd w:id="2"/>
    <w:p w14:paraId="70876BD5" w14:textId="77777777" w:rsidR="00A77B3E" w:rsidRPr="009A225C" w:rsidRDefault="00A77B3E" w:rsidP="009A225C">
      <w:pPr>
        <w:snapToGrid w:val="0"/>
        <w:spacing w:line="360" w:lineRule="auto"/>
        <w:jc w:val="both"/>
        <w:rPr>
          <w:rFonts w:ascii="Book Antiqua" w:hAnsi="Book Antiqua"/>
        </w:rPr>
      </w:pPr>
    </w:p>
    <w:p w14:paraId="1640AF9C" w14:textId="77777777"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lang w:val="pt-BR"/>
        </w:rPr>
        <w:t>Isabela Macedo Lopes Vasques-Monteiro, Vanessa Souza-Mello</w:t>
      </w:r>
    </w:p>
    <w:p w14:paraId="4A9DB66F" w14:textId="77777777" w:rsidR="00A77B3E" w:rsidRPr="009A225C" w:rsidRDefault="00A77B3E" w:rsidP="009A225C">
      <w:pPr>
        <w:snapToGrid w:val="0"/>
        <w:spacing w:line="360" w:lineRule="auto"/>
        <w:jc w:val="both"/>
        <w:rPr>
          <w:rFonts w:ascii="Book Antiqua" w:hAnsi="Book Antiqua"/>
          <w:lang w:val="pt-BR"/>
        </w:rPr>
      </w:pPr>
    </w:p>
    <w:p w14:paraId="1F6C9419" w14:textId="5B3DA555"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b/>
          <w:bCs/>
          <w:color w:val="000000"/>
          <w:lang w:val="pt-BR"/>
        </w:rPr>
        <w:t xml:space="preserve">Isabela Macedo Lopes Vasques-Monteiro, </w:t>
      </w:r>
      <w:r w:rsidR="00D2620C" w:rsidRPr="009A225C">
        <w:rPr>
          <w:rFonts w:ascii="Book Antiqua" w:eastAsia="Book Antiqua" w:hAnsi="Book Antiqua" w:cs="Book Antiqua"/>
          <w:b/>
          <w:bCs/>
          <w:color w:val="000000"/>
          <w:lang w:val="pt-BR"/>
        </w:rPr>
        <w:t xml:space="preserve">Vanessa Souza-Mello, </w:t>
      </w:r>
      <w:r w:rsidRPr="009A225C">
        <w:rPr>
          <w:rFonts w:ascii="Book Antiqua" w:eastAsia="Book Antiqua" w:hAnsi="Book Antiqua" w:cs="Book Antiqua"/>
          <w:color w:val="000000"/>
          <w:lang w:val="pt-BR"/>
        </w:rPr>
        <w:t>Anatomy, Rio de Janeiro State University, Rio de Janeiro 20551030, Brazil</w:t>
      </w:r>
    </w:p>
    <w:p w14:paraId="237A3968" w14:textId="77777777" w:rsidR="00A77B3E" w:rsidRPr="009A225C" w:rsidRDefault="00A77B3E" w:rsidP="009A225C">
      <w:pPr>
        <w:snapToGrid w:val="0"/>
        <w:spacing w:line="360" w:lineRule="auto"/>
        <w:jc w:val="both"/>
        <w:rPr>
          <w:rFonts w:ascii="Book Antiqua" w:hAnsi="Book Antiqua"/>
          <w:lang w:val="pt-BR"/>
        </w:rPr>
      </w:pPr>
    </w:p>
    <w:p w14:paraId="22F918B5" w14:textId="1C1739DE"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b/>
          <w:bCs/>
          <w:color w:val="000000"/>
          <w:lang w:val="pt-BR"/>
        </w:rPr>
        <w:t xml:space="preserve">Isabela Macedo Lopes Vasques-Monteiro, </w:t>
      </w:r>
      <w:r w:rsidRPr="009A225C">
        <w:rPr>
          <w:rFonts w:ascii="Book Antiqua" w:eastAsia="Book Antiqua" w:hAnsi="Book Antiqua" w:cs="Book Antiqua"/>
          <w:color w:val="000000"/>
          <w:lang w:val="pt-BR"/>
        </w:rPr>
        <w:t>Food Science and Technology, Federal University of the State of Rio de Janeiro, Rio de Janeiro 22290250, Brazil</w:t>
      </w:r>
    </w:p>
    <w:p w14:paraId="4935ADFF" w14:textId="77777777" w:rsidR="00A77B3E" w:rsidRPr="009A225C" w:rsidRDefault="00A77B3E" w:rsidP="009A225C">
      <w:pPr>
        <w:snapToGrid w:val="0"/>
        <w:spacing w:line="360" w:lineRule="auto"/>
        <w:jc w:val="both"/>
        <w:rPr>
          <w:rFonts w:ascii="Book Antiqua" w:hAnsi="Book Antiqua"/>
          <w:lang w:val="pt-BR"/>
        </w:rPr>
      </w:pPr>
    </w:p>
    <w:p w14:paraId="404E5A77" w14:textId="682C605D" w:rsidR="00A77B3E" w:rsidRDefault="00AF38BA" w:rsidP="009A225C">
      <w:pPr>
        <w:snapToGrid w:val="0"/>
        <w:spacing w:line="360" w:lineRule="auto"/>
        <w:jc w:val="both"/>
        <w:rPr>
          <w:rFonts w:ascii="Book Antiqua" w:eastAsia="Book Antiqua" w:hAnsi="Book Antiqua" w:cs="Book Antiqua"/>
          <w:color w:val="000000"/>
          <w:lang w:val="pt-BR"/>
        </w:rPr>
      </w:pPr>
      <w:r w:rsidRPr="009A225C">
        <w:rPr>
          <w:rFonts w:ascii="Book Antiqua" w:eastAsia="Book Antiqua" w:hAnsi="Book Antiqua" w:cs="Book Antiqua"/>
          <w:b/>
          <w:bCs/>
          <w:color w:val="000000"/>
          <w:lang w:val="pt-BR"/>
        </w:rPr>
        <w:t xml:space="preserve">Vanessa Souza-Mello, </w:t>
      </w:r>
      <w:r w:rsidR="00D2620C" w:rsidRPr="009A225C">
        <w:rPr>
          <w:rFonts w:ascii="Book Antiqua" w:eastAsia="Book Antiqua" w:hAnsi="Book Antiqua" w:cs="Book Antiqua"/>
          <w:color w:val="000000"/>
          <w:lang w:val="pt-BR"/>
        </w:rPr>
        <w:t>Laboratory of Morphometry, Metabolism, and Cardiovascular Diseases, Biomedical Center, Institute of Biology, Anatomy Department, Rio de Janeiro State University, Rio de Janeiro 20551030, Brazil</w:t>
      </w:r>
    </w:p>
    <w:p w14:paraId="1074B40F" w14:textId="77777777" w:rsidR="00D2620C" w:rsidRPr="00D2620C" w:rsidRDefault="00D2620C" w:rsidP="009A225C">
      <w:pPr>
        <w:snapToGrid w:val="0"/>
        <w:spacing w:line="360" w:lineRule="auto"/>
        <w:jc w:val="both"/>
        <w:rPr>
          <w:rFonts w:ascii="Book Antiqua" w:hAnsi="Book Antiqua"/>
          <w:lang w:val="pt-BR"/>
        </w:rPr>
      </w:pPr>
    </w:p>
    <w:p w14:paraId="18F169D7" w14:textId="194F1586"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Author contributions: </w:t>
      </w:r>
      <w:r w:rsidRPr="009A225C">
        <w:rPr>
          <w:rFonts w:ascii="Book Antiqua" w:eastAsia="Book Antiqua" w:hAnsi="Book Antiqua" w:cs="Book Antiqua"/>
          <w:color w:val="000000"/>
        </w:rPr>
        <w:t xml:space="preserve">Souza-Mello V </w:t>
      </w:r>
      <w:r w:rsidR="007B60D1">
        <w:rPr>
          <w:rFonts w:ascii="Book Antiqua" w:eastAsia="Book Antiqua" w:hAnsi="Book Antiqua" w:cs="Book Antiqua"/>
          <w:color w:val="000000"/>
        </w:rPr>
        <w:t>conceived</w:t>
      </w:r>
      <w:r w:rsidRPr="009A225C">
        <w:rPr>
          <w:rFonts w:ascii="Book Antiqua" w:eastAsia="Book Antiqua" w:hAnsi="Book Antiqua" w:cs="Book Antiqua"/>
          <w:color w:val="000000"/>
        </w:rPr>
        <w:t xml:space="preserve"> the idea for the manuscript; Vasques-Monteiro IML and Souza-Mello V performed the literature search</w:t>
      </w:r>
      <w:r w:rsidR="007B60D1">
        <w:rPr>
          <w:rFonts w:ascii="Book Antiqua" w:eastAsia="Book Antiqua" w:hAnsi="Book Antiqua" w:cs="Book Antiqua"/>
          <w:color w:val="000000"/>
        </w:rPr>
        <w:t xml:space="preserve"> and</w:t>
      </w:r>
      <w:r w:rsidRPr="009A225C">
        <w:rPr>
          <w:rFonts w:ascii="Book Antiqua" w:eastAsia="Book Antiqua" w:hAnsi="Book Antiqua" w:cs="Book Antiqua"/>
          <w:color w:val="000000"/>
        </w:rPr>
        <w:t xml:space="preserve"> data analysis and drafted the manuscript; Vasquez-Monteiro IML designed the figures; Souza-Mello V critically revised the work; </w:t>
      </w:r>
      <w:r w:rsidR="007B60D1">
        <w:rPr>
          <w:rFonts w:ascii="Book Antiqua" w:eastAsia="Book Antiqua" w:hAnsi="Book Antiqua" w:cs="Book Antiqua"/>
          <w:color w:val="000000"/>
        </w:rPr>
        <w:t>all</w:t>
      </w:r>
      <w:r w:rsidRPr="009A225C">
        <w:rPr>
          <w:rFonts w:ascii="Book Antiqua" w:eastAsia="Book Antiqua" w:hAnsi="Book Antiqua" w:cs="Book Antiqua"/>
          <w:color w:val="000000"/>
        </w:rPr>
        <w:t xml:space="preserve"> authors read and approved the final version of the manuscript.</w:t>
      </w:r>
    </w:p>
    <w:p w14:paraId="00761215" w14:textId="77777777" w:rsidR="00A77B3E" w:rsidRPr="009A225C" w:rsidRDefault="00A77B3E" w:rsidP="009A225C">
      <w:pPr>
        <w:snapToGrid w:val="0"/>
        <w:spacing w:line="360" w:lineRule="auto"/>
        <w:jc w:val="both"/>
        <w:rPr>
          <w:rFonts w:ascii="Book Antiqua" w:hAnsi="Book Antiqua"/>
        </w:rPr>
      </w:pPr>
    </w:p>
    <w:p w14:paraId="4CA07337" w14:textId="1F134A9F"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b/>
          <w:bCs/>
          <w:color w:val="000000"/>
          <w:lang w:val="pt-BR"/>
        </w:rPr>
        <w:lastRenderedPageBreak/>
        <w:t xml:space="preserve">Supported by </w:t>
      </w:r>
      <w:bookmarkStart w:id="3" w:name="OLE_LINK6"/>
      <w:bookmarkStart w:id="4" w:name="OLE_LINK7"/>
      <w:r w:rsidRPr="009A225C">
        <w:rPr>
          <w:rFonts w:ascii="Book Antiqua" w:eastAsia="Book Antiqua" w:hAnsi="Book Antiqua" w:cs="Book Antiqua"/>
          <w:color w:val="000000"/>
          <w:lang w:val="pt-BR"/>
        </w:rPr>
        <w:t>Conselho Nacional de Desenvolvimento Ci</w:t>
      </w:r>
      <w:r w:rsidR="00A61BEF" w:rsidRPr="009A225C">
        <w:rPr>
          <w:rFonts w:ascii="Book Antiqua" w:eastAsia="Book Antiqua" w:hAnsi="Book Antiqua" w:cs="Book Antiqua"/>
          <w:color w:val="000000"/>
          <w:lang w:val="pt-BR"/>
        </w:rPr>
        <w:t>entífico e Tecnológico (Brazil)</w:t>
      </w:r>
      <w:r w:rsidR="00A61BEF" w:rsidRPr="009A225C">
        <w:rPr>
          <w:rFonts w:ascii="Book Antiqua" w:hAnsi="Book Antiqua" w:cs="Book Antiqua"/>
          <w:color w:val="000000"/>
          <w:lang w:val="pt-BR" w:eastAsia="zh-CN"/>
        </w:rPr>
        <w:t xml:space="preserve">, No. </w:t>
      </w:r>
      <w:r w:rsidRPr="009A225C">
        <w:rPr>
          <w:rFonts w:ascii="Book Antiqua" w:eastAsia="Book Antiqua" w:hAnsi="Book Antiqua" w:cs="Book Antiqua"/>
          <w:color w:val="000000"/>
          <w:lang w:val="pt-BR"/>
        </w:rPr>
        <w:t>305867/2017-2</w:t>
      </w:r>
      <w:r w:rsidR="00A61BEF" w:rsidRPr="009A225C">
        <w:rPr>
          <w:rFonts w:ascii="Book Antiqua" w:eastAsia="Book Antiqua" w:hAnsi="Book Antiqua" w:cs="Book Antiqua"/>
          <w:color w:val="000000"/>
          <w:lang w:val="pt-BR"/>
        </w:rPr>
        <w:t>;</w:t>
      </w:r>
      <w:r w:rsidRPr="009A225C">
        <w:rPr>
          <w:rFonts w:ascii="Book Antiqua" w:eastAsia="Book Antiqua" w:hAnsi="Book Antiqua" w:cs="Book Antiqua"/>
          <w:color w:val="000000"/>
          <w:lang w:val="pt-BR"/>
        </w:rPr>
        <w:t xml:space="preserve"> and Fundação Carlos Chagas Filho de Amparo à Pesqu</w:t>
      </w:r>
      <w:r w:rsidR="00A61BEF" w:rsidRPr="009A225C">
        <w:rPr>
          <w:rFonts w:ascii="Book Antiqua" w:eastAsia="Book Antiqua" w:hAnsi="Book Antiqua" w:cs="Book Antiqua"/>
          <w:color w:val="000000"/>
          <w:lang w:val="pt-BR"/>
        </w:rPr>
        <w:t>isa do Estado do Rio de Janeiro, No.</w:t>
      </w:r>
      <w:r w:rsidRPr="009A225C">
        <w:rPr>
          <w:rFonts w:ascii="Book Antiqua" w:eastAsia="Book Antiqua" w:hAnsi="Book Antiqua" w:cs="Book Antiqua"/>
          <w:color w:val="000000"/>
          <w:lang w:val="pt-BR"/>
        </w:rPr>
        <w:t xml:space="preserve"> E-26/202.657/2018.</w:t>
      </w:r>
    </w:p>
    <w:bookmarkEnd w:id="3"/>
    <w:bookmarkEnd w:id="4"/>
    <w:p w14:paraId="4270D8AD" w14:textId="77777777" w:rsidR="00A77B3E" w:rsidRPr="009A225C" w:rsidRDefault="00A77B3E" w:rsidP="009A225C">
      <w:pPr>
        <w:snapToGrid w:val="0"/>
        <w:spacing w:line="360" w:lineRule="auto"/>
        <w:jc w:val="both"/>
        <w:rPr>
          <w:rFonts w:ascii="Book Antiqua" w:hAnsi="Book Antiqua"/>
          <w:lang w:val="pt-BR"/>
        </w:rPr>
      </w:pPr>
    </w:p>
    <w:p w14:paraId="7E354607" w14:textId="22174958" w:rsidR="00A77B3E" w:rsidRPr="009A225C" w:rsidRDefault="00AF38BA" w:rsidP="009A225C">
      <w:pPr>
        <w:snapToGrid w:val="0"/>
        <w:spacing w:line="360" w:lineRule="auto"/>
        <w:jc w:val="both"/>
        <w:rPr>
          <w:rFonts w:ascii="Book Antiqua" w:eastAsia="Book Antiqua" w:hAnsi="Book Antiqua" w:cs="Book Antiqua"/>
          <w:b/>
          <w:bCs/>
          <w:color w:val="000000"/>
          <w:lang w:val="pt-BR"/>
        </w:rPr>
      </w:pPr>
      <w:r w:rsidRPr="009A225C">
        <w:rPr>
          <w:rFonts w:ascii="Book Antiqua" w:eastAsia="Book Antiqua" w:hAnsi="Book Antiqua" w:cs="Book Antiqua"/>
          <w:b/>
          <w:bCs/>
          <w:color w:val="000000"/>
          <w:lang w:val="pt-BR"/>
        </w:rPr>
        <w:t xml:space="preserve">Corresponding author: Vanessa Souza-Mello, PhD, Associate Professor, </w:t>
      </w:r>
      <w:bookmarkStart w:id="5" w:name="OLE_LINK19"/>
      <w:bookmarkStart w:id="6" w:name="OLE_LINK20"/>
      <w:r w:rsidR="009A3C5D" w:rsidRPr="009A225C">
        <w:rPr>
          <w:rFonts w:ascii="Book Antiqua" w:eastAsia="Book Antiqua" w:hAnsi="Book Antiqua" w:cs="Book Antiqua"/>
          <w:color w:val="000000"/>
          <w:lang w:val="pt-BR"/>
        </w:rPr>
        <w:t>Laboratory of Morphometry, Metabolism, and Cardiovascular Diseases, Biomedical Center, Institute of Biology, Anatomy Department</w:t>
      </w:r>
      <w:bookmarkEnd w:id="5"/>
      <w:bookmarkEnd w:id="6"/>
      <w:r w:rsidR="009A3C5D" w:rsidRPr="009A225C">
        <w:rPr>
          <w:rFonts w:ascii="Book Antiqua" w:eastAsia="Book Antiqua" w:hAnsi="Book Antiqua" w:cs="Book Antiqua"/>
          <w:color w:val="000000"/>
          <w:lang w:val="pt-BR"/>
        </w:rPr>
        <w:t xml:space="preserve">, </w:t>
      </w:r>
      <w:bookmarkStart w:id="7" w:name="OLE_LINK18"/>
      <w:r w:rsidRPr="009A225C">
        <w:rPr>
          <w:rFonts w:ascii="Book Antiqua" w:eastAsia="Book Antiqua" w:hAnsi="Book Antiqua" w:cs="Book Antiqua"/>
          <w:color w:val="000000"/>
          <w:lang w:val="pt-BR"/>
        </w:rPr>
        <w:t>Rio de Janeiro State University</w:t>
      </w:r>
      <w:bookmarkEnd w:id="7"/>
      <w:r w:rsidRPr="009A225C">
        <w:rPr>
          <w:rFonts w:ascii="Book Antiqua" w:eastAsia="Book Antiqua" w:hAnsi="Book Antiqua" w:cs="Book Antiqua"/>
          <w:color w:val="000000"/>
          <w:lang w:val="pt-BR"/>
        </w:rPr>
        <w:t xml:space="preserve">, </w:t>
      </w:r>
      <w:bookmarkStart w:id="8" w:name="OLE_LINK21"/>
      <w:bookmarkStart w:id="9" w:name="OLE_LINK22"/>
      <w:r w:rsidR="007F75CE" w:rsidRPr="009A225C">
        <w:rPr>
          <w:rFonts w:ascii="Book Antiqua" w:eastAsia="Book Antiqua" w:hAnsi="Book Antiqua" w:cs="Book Antiqua"/>
          <w:color w:val="000000"/>
          <w:lang w:val="pt-BR"/>
        </w:rPr>
        <w:t>Blvd. 28 de setembro 87</w:t>
      </w:r>
      <w:bookmarkEnd w:id="8"/>
      <w:bookmarkEnd w:id="9"/>
      <w:r w:rsidR="007F75CE" w:rsidRPr="009A225C">
        <w:rPr>
          <w:rFonts w:ascii="Book Antiqua" w:eastAsia="Book Antiqua" w:hAnsi="Book Antiqua" w:cs="Book Antiqua"/>
          <w:color w:val="000000"/>
          <w:lang w:val="pt-BR"/>
        </w:rPr>
        <w:t>,</w:t>
      </w:r>
      <w:r w:rsidR="008556ED" w:rsidRPr="009A225C" w:rsidDel="008556ED">
        <w:rPr>
          <w:rFonts w:ascii="Book Antiqua" w:eastAsia="Book Antiqua" w:hAnsi="Book Antiqua" w:cs="Book Antiqua"/>
          <w:color w:val="000000"/>
          <w:lang w:val="pt-BR"/>
        </w:rPr>
        <w:t xml:space="preserve"> </w:t>
      </w:r>
      <w:r w:rsidR="007F75CE" w:rsidRPr="009A225C">
        <w:rPr>
          <w:rFonts w:ascii="Book Antiqua" w:eastAsia="Book Antiqua" w:hAnsi="Book Antiqua" w:cs="Book Antiqua"/>
          <w:color w:val="000000"/>
          <w:lang w:val="pt-BR"/>
        </w:rPr>
        <w:t>Rio de Janeiro</w:t>
      </w:r>
      <w:r w:rsidR="008556ED" w:rsidRPr="009A225C">
        <w:rPr>
          <w:rFonts w:ascii="Book Antiqua" w:eastAsia="Book Antiqua" w:hAnsi="Book Antiqua" w:cs="Book Antiqua"/>
          <w:color w:val="000000"/>
          <w:lang w:val="pt-BR"/>
        </w:rPr>
        <w:t xml:space="preserve"> 20551030</w:t>
      </w:r>
      <w:r w:rsidR="007F75CE" w:rsidRPr="009A225C">
        <w:rPr>
          <w:rFonts w:ascii="Book Antiqua" w:eastAsia="Book Antiqua" w:hAnsi="Book Antiqua" w:cs="Book Antiqua"/>
          <w:color w:val="000000"/>
          <w:lang w:val="pt-BR"/>
        </w:rPr>
        <w:t>,</w:t>
      </w:r>
      <w:r w:rsidRPr="009A225C">
        <w:rPr>
          <w:rFonts w:ascii="Book Antiqua" w:eastAsia="Book Antiqua" w:hAnsi="Book Antiqua" w:cs="Book Antiqua"/>
          <w:color w:val="000000"/>
          <w:lang w:val="pt-BR"/>
        </w:rPr>
        <w:t xml:space="preserve"> Brazil. souzamello.uerj@gmail.com</w:t>
      </w:r>
    </w:p>
    <w:p w14:paraId="5CCC6AEF" w14:textId="77777777" w:rsidR="00A77B3E" w:rsidRPr="009A225C" w:rsidRDefault="00A77B3E" w:rsidP="009A225C">
      <w:pPr>
        <w:snapToGrid w:val="0"/>
        <w:spacing w:line="360" w:lineRule="auto"/>
        <w:jc w:val="both"/>
        <w:rPr>
          <w:rFonts w:ascii="Book Antiqua" w:hAnsi="Book Antiqua"/>
          <w:lang w:val="pt-BR"/>
        </w:rPr>
      </w:pPr>
    </w:p>
    <w:p w14:paraId="292F3E5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Received: </w:t>
      </w:r>
      <w:r w:rsidRPr="009A225C">
        <w:rPr>
          <w:rFonts w:ascii="Book Antiqua" w:eastAsia="Book Antiqua" w:hAnsi="Book Antiqua" w:cs="Book Antiqua"/>
          <w:color w:val="000000"/>
        </w:rPr>
        <w:t>January 10, 2021</w:t>
      </w:r>
    </w:p>
    <w:p w14:paraId="1477A8E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Revised: </w:t>
      </w:r>
      <w:r w:rsidRPr="009A225C">
        <w:rPr>
          <w:rFonts w:ascii="Book Antiqua" w:eastAsia="Book Antiqua" w:hAnsi="Book Antiqua" w:cs="Book Antiqua"/>
          <w:color w:val="000000"/>
        </w:rPr>
        <w:t>February 15, 2021</w:t>
      </w:r>
    </w:p>
    <w:p w14:paraId="4D97BE8C" w14:textId="1D9ADD5E"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Accepted: </w:t>
      </w:r>
      <w:r w:rsidR="00261D20" w:rsidRPr="00261D20">
        <w:rPr>
          <w:rFonts w:ascii="Book Antiqua" w:eastAsia="Book Antiqua" w:hAnsi="Book Antiqua" w:cs="Book Antiqua"/>
          <w:color w:val="000000"/>
        </w:rPr>
        <w:t>March 22, 2021</w:t>
      </w:r>
    </w:p>
    <w:p w14:paraId="5175DAC6" w14:textId="63D59F9A"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Published online: </w:t>
      </w:r>
      <w:r w:rsidR="00201890" w:rsidRPr="004449B0">
        <w:rPr>
          <w:rFonts w:ascii="Book Antiqua" w:eastAsia="Book Antiqua" w:hAnsi="Book Antiqua" w:cs="Book Antiqua"/>
          <w:bCs/>
          <w:color w:val="000000"/>
        </w:rPr>
        <w:t>April</w:t>
      </w:r>
      <w:r w:rsidR="00201890">
        <w:rPr>
          <w:rFonts w:ascii="Book Antiqua" w:hAnsi="Book Antiqua" w:cs="Book Antiqua" w:hint="eastAsia"/>
          <w:bCs/>
          <w:color w:val="000000"/>
          <w:lang w:eastAsia="zh-CN"/>
        </w:rPr>
        <w:t xml:space="preserve"> 28</w:t>
      </w:r>
      <w:r w:rsidR="00201890" w:rsidRPr="002D5D30">
        <w:rPr>
          <w:rFonts w:ascii="Book Antiqua" w:eastAsia="Book Antiqua" w:hAnsi="Book Antiqua" w:cs="Book Antiqua"/>
          <w:color w:val="000000"/>
        </w:rPr>
        <w:t>, 2021</w:t>
      </w:r>
    </w:p>
    <w:p w14:paraId="3156B692" w14:textId="77777777" w:rsidR="00A77B3E" w:rsidRPr="009A225C" w:rsidRDefault="00A77B3E" w:rsidP="009A225C">
      <w:pPr>
        <w:snapToGrid w:val="0"/>
        <w:spacing w:line="360" w:lineRule="auto"/>
        <w:jc w:val="both"/>
        <w:rPr>
          <w:rFonts w:ascii="Book Antiqua" w:hAnsi="Book Antiqua"/>
        </w:rPr>
        <w:sectPr w:rsidR="00A77B3E" w:rsidRPr="009A225C" w:rsidSect="00D57154">
          <w:footerReference w:type="default" r:id="rId8"/>
          <w:pgSz w:w="12240" w:h="15840"/>
          <w:pgMar w:top="1440" w:right="1800" w:bottom="1440" w:left="1800" w:header="720" w:footer="720" w:gutter="0"/>
          <w:cols w:space="720"/>
          <w:docGrid w:linePitch="360"/>
        </w:sectPr>
      </w:pPr>
    </w:p>
    <w:p w14:paraId="66A6D44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Abstract</w:t>
      </w:r>
    </w:p>
    <w:p w14:paraId="292BA94D" w14:textId="3021CD70" w:rsidR="00A77B3E" w:rsidRPr="009A225C" w:rsidRDefault="00AF38BA" w:rsidP="009A225C">
      <w:pPr>
        <w:snapToGrid w:val="0"/>
        <w:spacing w:line="360" w:lineRule="auto"/>
        <w:jc w:val="both"/>
        <w:rPr>
          <w:rFonts w:ascii="Book Antiqua" w:hAnsi="Book Antiqua"/>
        </w:rPr>
      </w:pPr>
      <w:bookmarkStart w:id="10" w:name="OLE_LINK8"/>
      <w:bookmarkStart w:id="11" w:name="OLE_LINK9"/>
      <w:r w:rsidRPr="009A225C">
        <w:rPr>
          <w:rFonts w:ascii="Book Antiqua" w:eastAsia="Book Antiqua" w:hAnsi="Book Antiqua" w:cs="Book Antiqua"/>
          <w:color w:val="000000"/>
        </w:rPr>
        <w:t xml:space="preserve">The </w:t>
      </w:r>
      <w:bookmarkStart w:id="12" w:name="_Hlk66892320"/>
      <w:r w:rsidR="00A50D5E" w:rsidRPr="009A225C">
        <w:rPr>
          <w:rFonts w:ascii="Book Antiqua" w:eastAsia="Book Antiqua" w:hAnsi="Book Antiqua" w:cs="Book Antiqua"/>
          <w:color w:val="000000"/>
        </w:rPr>
        <w:t>coronavirus disease 2019</w:t>
      </w:r>
      <w:bookmarkEnd w:id="12"/>
      <w:r w:rsidR="00A50D5E"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COVID-19</w:t>
      </w:r>
      <w:r w:rsidR="00A50D5E"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outbreak has drawn the scientific community's attention to pre-existing metabolic conditions that could aggravate the infection, causing extended viral shedding, prolonged hospitalization, and high death rates. Metabolic dysfunction-associated fatty liver disease (MAFLD) emerges as a surrogate for COVID-19 severity due to the constellation of metabolic alterations it entails. This review outline</w:t>
      </w:r>
      <w:r w:rsidR="007B60D1">
        <w:rPr>
          <w:rFonts w:ascii="Book Antiqua" w:eastAsia="Book Antiqua" w:hAnsi="Book Antiqua" w:cs="Book Antiqua"/>
          <w:color w:val="000000"/>
        </w:rPr>
        <w:t>s</w:t>
      </w:r>
      <w:r w:rsidRPr="009A225C">
        <w:rPr>
          <w:rFonts w:ascii="Book Antiqua" w:eastAsia="Book Antiqua" w:hAnsi="Book Antiqua" w:cs="Book Antiqua"/>
          <w:color w:val="000000"/>
        </w:rPr>
        <w:t xml:space="preserve"> the impact MAFLD exerts on COVID-19 severity in obese subjects, besides the possible mechanistic links to the poor outcomes. The data collected showed that MAFLD patients had poorer COVID-19 outcomes than non-MAFLD obese subjects. MAFLD is generally accompanied by impaired glycemic control and systemic arterial hypertension, both of which can decompensate during the COVID-19 clinical course. Also, MAFLD subjects had higher plasma inflammatory marker concentrations than non-MAFLD subjects, which might be related to an intensified cytokine storm syndrome frequently associated with the need for mechanical ventilation and death. In conclusion, MAFLD represents a higher risk than obesity for COVID-19 severity, resulting in poor outcomes and even progression to </w:t>
      </w:r>
      <w:r w:rsidR="00E9353B" w:rsidRPr="009A225C">
        <w:rPr>
          <w:rFonts w:ascii="Book Antiqua" w:eastAsia="Book Antiqua" w:hAnsi="Book Antiqua" w:cs="Book Antiqua"/>
          <w:color w:val="000000"/>
        </w:rPr>
        <w:t>non-alcoholic steatohepatitis</w:t>
      </w:r>
      <w:r w:rsidRPr="009A225C">
        <w:rPr>
          <w:rFonts w:ascii="Book Antiqua" w:eastAsia="Book Antiqua" w:hAnsi="Book Antiqua" w:cs="Book Antiqua"/>
          <w:color w:val="000000"/>
        </w:rPr>
        <w:t>. Hepatologists should include MAFLD subjects in the high-risk group, intensify preventive measurements</w:t>
      </w:r>
      <w:r w:rsidR="007B60D1">
        <w:rPr>
          <w:rFonts w:ascii="Book Antiqua" w:eastAsia="Book Antiqua" w:hAnsi="Book Antiqua" w:cs="Book Antiqua"/>
          <w:color w:val="000000"/>
        </w:rPr>
        <w:t>,</w:t>
      </w:r>
      <w:r w:rsidRPr="009A225C">
        <w:rPr>
          <w:rFonts w:ascii="Book Antiqua" w:eastAsia="Book Antiqua" w:hAnsi="Book Antiqua" w:cs="Book Antiqua"/>
          <w:color w:val="000000"/>
        </w:rPr>
        <w:t xml:space="preserve"> and prioritize their vaccination.</w:t>
      </w:r>
    </w:p>
    <w:bookmarkEnd w:id="10"/>
    <w:bookmarkEnd w:id="11"/>
    <w:p w14:paraId="0B0AB735" w14:textId="77777777" w:rsidR="00A77B3E" w:rsidRPr="009A225C" w:rsidRDefault="00A77B3E" w:rsidP="009A225C">
      <w:pPr>
        <w:snapToGrid w:val="0"/>
        <w:spacing w:line="360" w:lineRule="auto"/>
        <w:jc w:val="both"/>
        <w:rPr>
          <w:rFonts w:ascii="Book Antiqua" w:hAnsi="Book Antiqua"/>
        </w:rPr>
      </w:pPr>
    </w:p>
    <w:p w14:paraId="201A93E2" w14:textId="2DF809F5"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Key Words: </w:t>
      </w:r>
      <w:r w:rsidRPr="009A225C">
        <w:rPr>
          <w:rFonts w:ascii="Book Antiqua" w:eastAsia="Book Antiqua" w:hAnsi="Book Antiqua" w:cs="Book Antiqua"/>
          <w:color w:val="000000"/>
        </w:rPr>
        <w:t>Metabolic dysfunction-associated fatty liver disease; Obesity; COVID-19; Severity; Cytokine storm syndrome</w:t>
      </w:r>
    </w:p>
    <w:p w14:paraId="7B96A5E7" w14:textId="77777777" w:rsidR="002D47AC" w:rsidRDefault="002D47AC" w:rsidP="002D47AC">
      <w:pPr>
        <w:spacing w:line="360" w:lineRule="auto"/>
        <w:jc w:val="both"/>
        <w:rPr>
          <w:lang w:eastAsia="zh-CN"/>
        </w:rPr>
      </w:pPr>
    </w:p>
    <w:p w14:paraId="5D67921E" w14:textId="77777777" w:rsidR="002D47AC" w:rsidRPr="00026CB8" w:rsidRDefault="002D47AC" w:rsidP="002D47A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6A80803" w14:textId="77777777" w:rsidR="00A77B3E" w:rsidRPr="009A225C" w:rsidRDefault="00A77B3E" w:rsidP="009A225C">
      <w:pPr>
        <w:snapToGrid w:val="0"/>
        <w:spacing w:line="360" w:lineRule="auto"/>
        <w:jc w:val="both"/>
        <w:rPr>
          <w:rFonts w:ascii="Book Antiqua" w:hAnsi="Book Antiqua"/>
        </w:rPr>
      </w:pPr>
    </w:p>
    <w:p w14:paraId="358BB130" w14:textId="66227A2C" w:rsidR="00FD56B9" w:rsidRDefault="00FD56B9" w:rsidP="009A225C">
      <w:pPr>
        <w:snapToGrid w:val="0"/>
        <w:spacing w:line="360" w:lineRule="auto"/>
        <w:jc w:val="both"/>
        <w:rPr>
          <w:rFonts w:ascii="Book Antiqua" w:hAnsi="Book Antiqua" w:cs="Book Antiqua" w:hint="eastAsia"/>
          <w:color w:val="000000"/>
          <w:lang w:eastAsia="zh-CN"/>
        </w:rPr>
      </w:pPr>
      <w:r w:rsidRPr="00FD56B9">
        <w:rPr>
          <w:rFonts w:ascii="Book Antiqua" w:hAnsi="Book Antiqua" w:cs="Book Antiqua" w:hint="eastAsia"/>
          <w:b/>
          <w:color w:val="000000"/>
          <w:lang w:eastAsia="zh-CN"/>
        </w:rPr>
        <w:t xml:space="preserve">Citation: </w:t>
      </w:r>
      <w:r w:rsidR="00AF38BA" w:rsidRPr="009A225C">
        <w:rPr>
          <w:rFonts w:ascii="Book Antiqua" w:eastAsia="Book Antiqua" w:hAnsi="Book Antiqua" w:cs="Book Antiqua"/>
          <w:color w:val="000000"/>
        </w:rPr>
        <w:t>Vasques-Monteiro IML, Souza-Mello V. C</w:t>
      </w:r>
      <w:r w:rsidR="007B60D1">
        <w:rPr>
          <w:rFonts w:ascii="Book Antiqua" w:eastAsia="Book Antiqua" w:hAnsi="Book Antiqua" w:cs="Book Antiqua"/>
          <w:color w:val="000000"/>
        </w:rPr>
        <w:t>oronavirus disease 2019</w:t>
      </w:r>
      <w:r w:rsidR="00AF38BA" w:rsidRPr="009A225C">
        <w:rPr>
          <w:rFonts w:ascii="Book Antiqua" w:eastAsia="Book Antiqua" w:hAnsi="Book Antiqua" w:cs="Book Antiqua"/>
          <w:color w:val="000000"/>
        </w:rPr>
        <w:t xml:space="preserve"> severity in obesity: Metabolic dysfunction-associated fatty liver disease in the spotlight. </w:t>
      </w:r>
      <w:r w:rsidR="00AF38BA" w:rsidRPr="009A225C">
        <w:rPr>
          <w:rFonts w:ascii="Book Antiqua" w:eastAsia="Book Antiqua" w:hAnsi="Book Antiqua" w:cs="Book Antiqua"/>
          <w:i/>
          <w:iCs/>
          <w:color w:val="000000"/>
        </w:rPr>
        <w:t>World J Gastroenterol</w:t>
      </w:r>
      <w:r w:rsidR="00AF38BA" w:rsidRPr="009A225C">
        <w:rPr>
          <w:rFonts w:ascii="Book Antiqua" w:eastAsia="Book Antiqua" w:hAnsi="Book Antiqua" w:cs="Book Antiqua"/>
          <w:color w:val="000000"/>
        </w:rPr>
        <w:t xml:space="preserve"> </w:t>
      </w:r>
      <w:r w:rsidR="000B0ED0" w:rsidRPr="0032360E">
        <w:rPr>
          <w:rFonts w:ascii="Book Antiqua" w:eastAsia="Book Antiqua" w:hAnsi="Book Antiqua" w:cs="Book Antiqua"/>
          <w:color w:val="000000"/>
        </w:rPr>
        <w:t>202</w:t>
      </w:r>
      <w:r w:rsidR="000B0ED0">
        <w:rPr>
          <w:rFonts w:ascii="Book Antiqua" w:hAnsi="Book Antiqua" w:cs="Book Antiqua" w:hint="eastAsia"/>
          <w:color w:val="000000"/>
          <w:lang w:eastAsia="zh-CN"/>
        </w:rPr>
        <w:t>1</w:t>
      </w:r>
      <w:r w:rsidR="000B0ED0" w:rsidRPr="0032360E">
        <w:rPr>
          <w:rFonts w:ascii="Book Antiqua" w:eastAsia="Book Antiqua" w:hAnsi="Book Antiqua" w:cs="Book Antiqua"/>
          <w:color w:val="000000"/>
        </w:rPr>
        <w:t>; 2</w:t>
      </w:r>
      <w:r w:rsidR="000B0ED0">
        <w:rPr>
          <w:rFonts w:ascii="Book Antiqua" w:hAnsi="Book Antiqua" w:cs="Book Antiqua" w:hint="eastAsia"/>
          <w:color w:val="000000"/>
          <w:lang w:eastAsia="zh-CN"/>
        </w:rPr>
        <w:t>7</w:t>
      </w:r>
      <w:r w:rsidR="000B0ED0" w:rsidRPr="0032360E">
        <w:rPr>
          <w:rFonts w:ascii="Book Antiqua" w:eastAsia="Book Antiqua" w:hAnsi="Book Antiqua" w:cs="Book Antiqua"/>
          <w:color w:val="000000"/>
        </w:rPr>
        <w:t>(</w:t>
      </w:r>
      <w:r w:rsidR="000B0ED0">
        <w:rPr>
          <w:rFonts w:ascii="Book Antiqua" w:hAnsi="Book Antiqua" w:cs="Book Antiqua" w:hint="eastAsia"/>
          <w:color w:val="000000"/>
          <w:lang w:eastAsia="zh-CN"/>
        </w:rPr>
        <w:t>16</w:t>
      </w:r>
      <w:r w:rsidR="000B0ED0" w:rsidRPr="0032360E">
        <w:rPr>
          <w:rFonts w:ascii="Book Antiqua" w:eastAsia="Book Antiqua" w:hAnsi="Book Antiqua" w:cs="Book Antiqua"/>
          <w:color w:val="000000"/>
        </w:rPr>
        <w:t xml:space="preserve">): </w:t>
      </w:r>
      <w:r w:rsidR="009F1EF9" w:rsidRPr="009F1EF9">
        <w:rPr>
          <w:rFonts w:ascii="Book Antiqua" w:hAnsi="Book Antiqua" w:cs="Book Antiqua"/>
          <w:color w:val="000000"/>
          <w:lang w:eastAsia="zh-CN"/>
        </w:rPr>
        <w:t>1738-1750</w:t>
      </w:r>
      <w:r w:rsidR="000B0ED0" w:rsidRPr="0032360E">
        <w:rPr>
          <w:rFonts w:ascii="Book Antiqua" w:eastAsia="Book Antiqua" w:hAnsi="Book Antiqua" w:cs="Book Antiqua"/>
          <w:color w:val="000000"/>
        </w:rPr>
        <w:t xml:space="preserve">  </w:t>
      </w:r>
    </w:p>
    <w:p w14:paraId="279E5EFB" w14:textId="77777777" w:rsidR="00FD56B9" w:rsidRDefault="000B0ED0" w:rsidP="009A225C">
      <w:pPr>
        <w:snapToGrid w:val="0"/>
        <w:spacing w:line="360" w:lineRule="auto"/>
        <w:jc w:val="both"/>
        <w:rPr>
          <w:rFonts w:ascii="Book Antiqua" w:hAnsi="Book Antiqua" w:cs="Book Antiqua" w:hint="eastAsia"/>
          <w:color w:val="000000"/>
          <w:lang w:eastAsia="zh-CN"/>
        </w:rPr>
      </w:pPr>
      <w:r w:rsidRPr="00FD56B9">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16</w:t>
      </w:r>
      <w:r w:rsidRPr="0032360E">
        <w:rPr>
          <w:rFonts w:ascii="Book Antiqua" w:eastAsia="Book Antiqua" w:hAnsi="Book Antiqua" w:cs="Book Antiqua"/>
          <w:color w:val="000000"/>
        </w:rPr>
        <w:t>/</w:t>
      </w:r>
      <w:r w:rsidR="0024008A">
        <w:rPr>
          <w:rFonts w:ascii="Book Antiqua" w:hAnsi="Book Antiqua" w:cs="Book Antiqua" w:hint="eastAsia"/>
          <w:color w:val="000000"/>
          <w:lang w:eastAsia="zh-CN"/>
        </w:rPr>
        <w:t>1738</w:t>
      </w:r>
      <w:r w:rsidRPr="0032360E">
        <w:rPr>
          <w:rFonts w:ascii="Book Antiqua" w:eastAsia="Book Antiqua" w:hAnsi="Book Antiqua" w:cs="Book Antiqua"/>
          <w:color w:val="000000"/>
        </w:rPr>
        <w:t xml:space="preserve">.htm  </w:t>
      </w:r>
    </w:p>
    <w:p w14:paraId="67483CCB" w14:textId="01AE9B61" w:rsidR="00A77B3E" w:rsidRPr="009A225C" w:rsidRDefault="000B0ED0" w:rsidP="009A225C">
      <w:pPr>
        <w:snapToGrid w:val="0"/>
        <w:spacing w:line="360" w:lineRule="auto"/>
        <w:jc w:val="both"/>
        <w:rPr>
          <w:rFonts w:ascii="Book Antiqua" w:hAnsi="Book Antiqua"/>
        </w:rPr>
      </w:pPr>
      <w:r w:rsidRPr="00FD56B9">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16</w:t>
      </w:r>
      <w:r w:rsidRPr="0032360E">
        <w:rPr>
          <w:rFonts w:ascii="Book Antiqua" w:eastAsia="Book Antiqua" w:hAnsi="Book Antiqua" w:cs="Book Antiqua"/>
          <w:color w:val="000000"/>
        </w:rPr>
        <w:t>.</w:t>
      </w:r>
      <w:r w:rsidR="00F86E41">
        <w:rPr>
          <w:rFonts w:ascii="Book Antiqua" w:hAnsi="Book Antiqua" w:cs="Book Antiqua" w:hint="eastAsia"/>
          <w:color w:val="000000"/>
          <w:lang w:eastAsia="zh-CN"/>
        </w:rPr>
        <w:t>1738</w:t>
      </w:r>
    </w:p>
    <w:p w14:paraId="5951328D" w14:textId="77777777" w:rsidR="00A77B3E" w:rsidRPr="009A225C" w:rsidRDefault="00A77B3E" w:rsidP="009A225C">
      <w:pPr>
        <w:snapToGrid w:val="0"/>
        <w:spacing w:line="360" w:lineRule="auto"/>
        <w:jc w:val="both"/>
        <w:rPr>
          <w:rFonts w:ascii="Book Antiqua" w:hAnsi="Book Antiqua"/>
        </w:rPr>
      </w:pPr>
    </w:p>
    <w:p w14:paraId="66671989" w14:textId="03CD5B73"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Core Tip: </w:t>
      </w:r>
      <w:r w:rsidRPr="009A225C">
        <w:rPr>
          <w:rFonts w:ascii="Book Antiqua" w:eastAsia="Book Antiqua" w:hAnsi="Book Antiqua" w:cs="Book Antiqua"/>
          <w:color w:val="000000"/>
        </w:rPr>
        <w:t xml:space="preserve">It is notorious that obesity represents a risk for </w:t>
      </w:r>
      <w:r w:rsidR="008A0F76" w:rsidRPr="009A225C">
        <w:rPr>
          <w:rFonts w:ascii="Book Antiqua" w:eastAsia="Book Antiqua" w:hAnsi="Book Antiqua" w:cs="Book Antiqua"/>
          <w:color w:val="000000"/>
        </w:rPr>
        <w:t>coronavirus disease 2019 (COVID-19)</w:t>
      </w:r>
      <w:r w:rsidRPr="009A225C">
        <w:rPr>
          <w:rFonts w:ascii="Book Antiqua" w:eastAsia="Book Antiqua" w:hAnsi="Book Antiqua" w:cs="Book Antiqua"/>
          <w:color w:val="000000"/>
        </w:rPr>
        <w:t xml:space="preserve"> severity. However, COVID-19 often causes liver alterations or provokes the progression of pre-existing liver diseases. This review outline</w:t>
      </w:r>
      <w:r w:rsidR="007B60D1">
        <w:rPr>
          <w:rFonts w:ascii="Book Antiqua" w:eastAsia="Book Antiqua" w:hAnsi="Book Antiqua" w:cs="Book Antiqua"/>
          <w:color w:val="000000"/>
        </w:rPr>
        <w:t>s</w:t>
      </w:r>
      <w:r w:rsidRPr="009A225C">
        <w:rPr>
          <w:rFonts w:ascii="Book Antiqua" w:eastAsia="Book Antiqua" w:hAnsi="Book Antiqua" w:cs="Book Antiqua"/>
          <w:color w:val="000000"/>
        </w:rPr>
        <w:t xml:space="preserve"> the role of metabolic dysfunction-associated fatty liver disease</w:t>
      </w:r>
      <w:r w:rsidR="008A0F76"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 xml:space="preserve">in COVID-19 severity. The evidence available thus far supports the notion that </w:t>
      </w:r>
      <w:r w:rsidR="008A0F76" w:rsidRPr="009A225C">
        <w:rPr>
          <w:rFonts w:ascii="Book Antiqua" w:eastAsia="Book Antiqua" w:hAnsi="Book Antiqua" w:cs="Book Antiqua"/>
          <w:color w:val="000000"/>
        </w:rPr>
        <w:t>metabolic dysfunction-associated fatty liver disease</w:t>
      </w:r>
      <w:r w:rsidRPr="009A225C">
        <w:rPr>
          <w:rFonts w:ascii="Book Antiqua" w:eastAsia="Book Antiqua" w:hAnsi="Book Antiqua" w:cs="Book Antiqua"/>
          <w:color w:val="000000"/>
        </w:rPr>
        <w:t xml:space="preserve"> represents a more intense risk than obesity </w:t>
      </w:r>
      <w:r w:rsidR="009F74C9">
        <w:rPr>
          <w:rFonts w:ascii="Book Antiqua" w:eastAsia="Book Antiqua" w:hAnsi="Book Antiqua" w:cs="Book Antiqua"/>
          <w:color w:val="000000"/>
        </w:rPr>
        <w:t>for</w:t>
      </w:r>
      <w:r w:rsidRPr="009A225C">
        <w:rPr>
          <w:rFonts w:ascii="Book Antiqua" w:eastAsia="Book Antiqua" w:hAnsi="Book Antiqua" w:cs="Book Antiqua"/>
          <w:color w:val="000000"/>
        </w:rPr>
        <w:t xml:space="preserve"> hospitalization, extended viral shedding, and death. A pro-inflammatory state with inflammasome activation, implying increased susceptibility to cytokine storm syndrome, underlies these findings and emerges as</w:t>
      </w:r>
      <w:r w:rsidR="009F74C9">
        <w:rPr>
          <w:rFonts w:ascii="Book Antiqua" w:eastAsia="Book Antiqua" w:hAnsi="Book Antiqua" w:cs="Book Antiqua"/>
          <w:color w:val="000000"/>
        </w:rPr>
        <w:t xml:space="preserve">, in addition to massive vaccination of subjects with liver diseases, </w:t>
      </w:r>
      <w:r w:rsidRPr="009A225C">
        <w:rPr>
          <w:rFonts w:ascii="Book Antiqua" w:eastAsia="Book Antiqua" w:hAnsi="Book Antiqua" w:cs="Book Antiqua"/>
          <w:color w:val="000000"/>
        </w:rPr>
        <w:t xml:space="preserve">potential targets </w:t>
      </w:r>
      <w:r w:rsidR="009F74C9">
        <w:rPr>
          <w:rFonts w:ascii="Book Antiqua" w:eastAsia="Book Antiqua" w:hAnsi="Book Antiqua" w:cs="Book Antiqua"/>
          <w:color w:val="000000"/>
        </w:rPr>
        <w:t>for</w:t>
      </w:r>
      <w:r w:rsidRPr="009A225C">
        <w:rPr>
          <w:rFonts w:ascii="Book Antiqua" w:eastAsia="Book Antiqua" w:hAnsi="Book Antiqua" w:cs="Book Antiqua"/>
          <w:color w:val="000000"/>
        </w:rPr>
        <w:t xml:space="preserve"> therapeutic strategies.</w:t>
      </w:r>
    </w:p>
    <w:p w14:paraId="1C4B9CC0" w14:textId="77777777" w:rsidR="00A77B3E" w:rsidRPr="009A225C" w:rsidRDefault="00A77B3E" w:rsidP="009A225C">
      <w:pPr>
        <w:snapToGrid w:val="0"/>
        <w:spacing w:line="360" w:lineRule="auto"/>
        <w:jc w:val="both"/>
        <w:rPr>
          <w:rFonts w:ascii="Book Antiqua" w:hAnsi="Book Antiqua"/>
        </w:rPr>
      </w:pPr>
    </w:p>
    <w:p w14:paraId="1BC92E85" w14:textId="6BB02ED5" w:rsidR="00A77B3E" w:rsidRPr="009A225C" w:rsidRDefault="008A0F76" w:rsidP="009A225C">
      <w:pPr>
        <w:snapToGrid w:val="0"/>
        <w:spacing w:line="360" w:lineRule="auto"/>
        <w:jc w:val="both"/>
        <w:rPr>
          <w:rFonts w:ascii="Book Antiqua" w:hAnsi="Book Antiqua"/>
        </w:rPr>
      </w:pPr>
      <w:r w:rsidRPr="009A225C">
        <w:rPr>
          <w:rFonts w:ascii="Book Antiqua" w:eastAsia="Book Antiqua" w:hAnsi="Book Antiqua" w:cs="Book Antiqua"/>
          <w:b/>
          <w:caps/>
          <w:color w:val="000000"/>
          <w:u w:val="single"/>
        </w:rPr>
        <w:br w:type="page"/>
      </w:r>
      <w:r w:rsidR="00AF38BA" w:rsidRPr="009A225C">
        <w:rPr>
          <w:rFonts w:ascii="Book Antiqua" w:eastAsia="Book Antiqua" w:hAnsi="Book Antiqua" w:cs="Book Antiqua"/>
          <w:b/>
          <w:caps/>
          <w:color w:val="000000"/>
          <w:u w:val="single"/>
        </w:rPr>
        <w:t>INTRODUCTION</w:t>
      </w:r>
    </w:p>
    <w:p w14:paraId="100A63B6" w14:textId="67EF232B" w:rsidR="00A77B3E" w:rsidRPr="009A225C" w:rsidRDefault="00AF38BA" w:rsidP="009A225C">
      <w:pPr>
        <w:snapToGrid w:val="0"/>
        <w:spacing w:line="360" w:lineRule="auto"/>
        <w:jc w:val="both"/>
        <w:rPr>
          <w:rFonts w:ascii="Book Antiqua" w:hAnsi="Book Antiqua"/>
        </w:rPr>
      </w:pPr>
      <w:bookmarkStart w:id="13" w:name="OLE_LINK10"/>
      <w:bookmarkStart w:id="14" w:name="OLE_LINK11"/>
      <w:r w:rsidRPr="009A225C">
        <w:rPr>
          <w:rFonts w:ascii="Book Antiqua" w:eastAsia="Book Antiqua" w:hAnsi="Book Antiqua" w:cs="Book Antiqua"/>
          <w:color w:val="000000"/>
        </w:rPr>
        <w:t xml:space="preserve">The infection caused by the coronavirus </w:t>
      </w:r>
      <w:r w:rsidR="008A0F76" w:rsidRPr="009A225C">
        <w:rPr>
          <w:rFonts w:ascii="Book Antiqua" w:eastAsia="Book Antiqua" w:hAnsi="Book Antiqua" w:cs="Book Antiqua"/>
          <w:color w:val="000000"/>
        </w:rPr>
        <w:t xml:space="preserve">severe acute respiratory syndrome coronavirus </w:t>
      </w:r>
      <w:r w:rsidR="00387AEE" w:rsidRPr="009A225C">
        <w:rPr>
          <w:rFonts w:ascii="Book Antiqua" w:eastAsia="Book Antiqua" w:hAnsi="Book Antiqua" w:cs="Book Antiqua"/>
          <w:color w:val="000000"/>
        </w:rPr>
        <w:t xml:space="preserve">2 </w:t>
      </w:r>
      <w:r w:rsidR="008A0F76" w:rsidRPr="009A225C">
        <w:rPr>
          <w:rFonts w:ascii="Book Antiqua" w:eastAsia="Book Antiqua" w:hAnsi="Book Antiqua" w:cs="Book Antiqua"/>
          <w:color w:val="000000"/>
        </w:rPr>
        <w:t>(</w:t>
      </w:r>
      <w:r w:rsidRPr="009A225C">
        <w:rPr>
          <w:rFonts w:ascii="Book Antiqua" w:eastAsia="Book Antiqua" w:hAnsi="Book Antiqua" w:cs="Book Antiqua"/>
          <w:color w:val="000000"/>
        </w:rPr>
        <w:t>SARS-CoV-2</w:t>
      </w:r>
      <w:r w:rsidR="008A0F76"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w:t>
      </w:r>
      <w:r w:rsidR="008A0F76" w:rsidRPr="009A225C">
        <w:rPr>
          <w:rFonts w:ascii="Book Antiqua" w:eastAsia="Book Antiqua" w:hAnsi="Book Antiqua" w:cs="Book Antiqua"/>
          <w:color w:val="000000"/>
        </w:rPr>
        <w:t>[</w:t>
      </w:r>
      <w:r w:rsidR="00D2620C">
        <w:rPr>
          <w:rFonts w:ascii="Book Antiqua" w:eastAsia="Book Antiqua" w:hAnsi="Book Antiqua" w:cs="Book Antiqua"/>
          <w:color w:val="000000"/>
        </w:rPr>
        <w:t>c</w:t>
      </w:r>
      <w:r w:rsidR="00A61BEF" w:rsidRPr="009A225C">
        <w:rPr>
          <w:rFonts w:ascii="Book Antiqua" w:eastAsia="Book Antiqua" w:hAnsi="Book Antiqua" w:cs="Book Antiqua"/>
          <w:color w:val="000000"/>
        </w:rPr>
        <w:t xml:space="preserve">oronavirus </w:t>
      </w:r>
      <w:r w:rsidR="008A0F76" w:rsidRPr="009A225C">
        <w:rPr>
          <w:rFonts w:ascii="Book Antiqua" w:eastAsia="Book Antiqua" w:hAnsi="Book Antiqua" w:cs="Book Antiqua"/>
          <w:color w:val="000000"/>
        </w:rPr>
        <w:t>disease 2019 (COVID-19)</w:t>
      </w:r>
      <w:r w:rsidRPr="009A225C">
        <w:rPr>
          <w:rFonts w:ascii="Book Antiqua" w:eastAsia="Book Antiqua" w:hAnsi="Book Antiqua" w:cs="Book Antiqua"/>
          <w:color w:val="000000"/>
        </w:rPr>
        <w:t>, </w:t>
      </w:r>
      <w:r w:rsidR="009F74C9">
        <w:rPr>
          <w:rFonts w:ascii="Book Antiqua" w:eastAsia="Book Antiqua" w:hAnsi="Book Antiqua" w:cs="Book Antiqua"/>
          <w:i/>
          <w:iCs/>
          <w:color w:val="000000"/>
        </w:rPr>
        <w:t>B</w:t>
      </w:r>
      <w:r w:rsidR="00FD16DB" w:rsidRPr="009A225C">
        <w:rPr>
          <w:rFonts w:ascii="Book Antiqua" w:eastAsia="Book Antiqua" w:hAnsi="Book Antiqua" w:cs="Book Antiqua"/>
          <w:i/>
          <w:iCs/>
          <w:color w:val="000000"/>
        </w:rPr>
        <w:t>eta</w:t>
      </w:r>
      <w:r w:rsidR="00D2620C">
        <w:rPr>
          <w:rFonts w:ascii="Book Antiqua" w:eastAsia="Book Antiqua" w:hAnsi="Book Antiqua" w:cs="Book Antiqua"/>
          <w:i/>
          <w:iCs/>
          <w:color w:val="000000"/>
        </w:rPr>
        <w:t>-</w:t>
      </w:r>
      <w:r w:rsidRPr="009A225C">
        <w:rPr>
          <w:rFonts w:ascii="Book Antiqua" w:eastAsia="Book Antiqua" w:hAnsi="Book Antiqua" w:cs="Book Antiqua"/>
          <w:i/>
          <w:iCs/>
          <w:color w:val="000000"/>
        </w:rPr>
        <w:t>coronavirus</w:t>
      </w:r>
      <w:r w:rsidRPr="009A225C">
        <w:rPr>
          <w:rFonts w:ascii="Book Antiqua" w:eastAsia="Book Antiqua" w:hAnsi="Book Antiqua" w:cs="Book Antiqua"/>
          <w:color w:val="000000"/>
        </w:rPr>
        <w:t> genus, </w:t>
      </w:r>
      <w:r w:rsidR="009F74C9">
        <w:rPr>
          <w:rFonts w:ascii="Book Antiqua" w:eastAsia="Book Antiqua" w:hAnsi="Book Antiqua" w:cs="Book Antiqua"/>
          <w:i/>
          <w:iCs/>
          <w:color w:val="000000"/>
        </w:rPr>
        <w:t>C</w:t>
      </w:r>
      <w:r w:rsidR="009F74C9" w:rsidRPr="009A225C">
        <w:rPr>
          <w:rFonts w:ascii="Book Antiqua" w:eastAsia="Book Antiqua" w:hAnsi="Book Antiqua" w:cs="Book Antiqua"/>
          <w:i/>
          <w:iCs/>
          <w:color w:val="000000"/>
        </w:rPr>
        <w:t>oronaviridae</w:t>
      </w:r>
      <w:r w:rsidR="009F74C9" w:rsidRPr="009A225C">
        <w:rPr>
          <w:rFonts w:ascii="Book Antiqua" w:eastAsia="Book Antiqua" w:hAnsi="Book Antiqua" w:cs="Book Antiqua"/>
          <w:color w:val="000000"/>
        </w:rPr>
        <w:t> </w:t>
      </w:r>
      <w:r w:rsidRPr="009A225C">
        <w:rPr>
          <w:rFonts w:ascii="Book Antiqua" w:eastAsia="Book Antiqua" w:hAnsi="Book Antiqua" w:cs="Book Antiqua"/>
          <w:color w:val="000000"/>
        </w:rPr>
        <w:t>family</w:t>
      </w:r>
      <w:r w:rsidR="008A0F76"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w:t>
      </w:r>
      <w:r w:rsidR="009F74C9">
        <w:rPr>
          <w:rFonts w:ascii="Book Antiqua" w:eastAsia="Book Antiqua" w:hAnsi="Book Antiqua" w:cs="Book Antiqua"/>
          <w:color w:val="000000"/>
        </w:rPr>
        <w:t>was</w:t>
      </w:r>
      <w:r w:rsidRPr="009A225C">
        <w:rPr>
          <w:rFonts w:ascii="Book Antiqua" w:eastAsia="Book Antiqua" w:hAnsi="Book Antiqua" w:cs="Book Antiqua"/>
          <w:color w:val="000000"/>
        </w:rPr>
        <w:t xml:space="preserve"> declared as a pandemic in March 2020 by the World Health Organization and caused an unprecedented burden to health system</w:t>
      </w:r>
      <w:r w:rsidR="009F74C9">
        <w:rPr>
          <w:rFonts w:ascii="Book Antiqua" w:eastAsia="Book Antiqua" w:hAnsi="Book Antiqua" w:cs="Book Antiqua"/>
          <w:color w:val="000000"/>
        </w:rPr>
        <w:t>s</w:t>
      </w:r>
      <w:r w:rsidRPr="009A225C">
        <w:rPr>
          <w:rFonts w:ascii="Book Antiqua" w:eastAsia="Book Antiqua" w:hAnsi="Book Antiqua" w:cs="Book Antiqua"/>
          <w:color w:val="000000"/>
        </w:rPr>
        <w:t xml:space="preserve"> worldwide </w:t>
      </w:r>
      <w:r w:rsidR="009F74C9">
        <w:rPr>
          <w:rFonts w:ascii="Book Antiqua" w:eastAsia="Book Antiqua" w:hAnsi="Book Antiqua" w:cs="Book Antiqua"/>
          <w:color w:val="000000"/>
        </w:rPr>
        <w:t>because of</w:t>
      </w:r>
      <w:r w:rsidR="009F74C9"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its harmful evolution to severe acute respiratory syndrome</w:t>
      </w:r>
      <w:r w:rsidRPr="009A225C">
        <w:rPr>
          <w:rFonts w:ascii="Book Antiqua" w:eastAsia="Book Antiqua" w:hAnsi="Book Antiqua" w:cs="Book Antiqua"/>
          <w:color w:val="000000"/>
          <w:vertAlign w:val="superscript"/>
        </w:rPr>
        <w:t>[1,2]</w:t>
      </w:r>
      <w:r w:rsidRPr="009A225C">
        <w:rPr>
          <w:rFonts w:ascii="Book Antiqua" w:eastAsia="Book Antiqua" w:hAnsi="Book Antiqua" w:cs="Book Antiqua"/>
          <w:color w:val="000000"/>
        </w:rPr>
        <w:t>. Although most cases are asymptomatic, this fact facilitated the rapid viral spread worldwide, resulting in overloaded hospitals due to the extended hospitalizations and the frequent need for mechanical ventilation that severe COVID-19 requires</w:t>
      </w:r>
      <w:r w:rsidRPr="009A225C">
        <w:rPr>
          <w:rFonts w:ascii="Book Antiqua" w:eastAsia="Book Antiqua" w:hAnsi="Book Antiqua" w:cs="Book Antiqua"/>
          <w:color w:val="000000"/>
          <w:vertAlign w:val="superscript"/>
        </w:rPr>
        <w:t>[3,4]</w:t>
      </w:r>
      <w:r w:rsidRPr="009A225C">
        <w:rPr>
          <w:rFonts w:ascii="Book Antiqua" w:eastAsia="Book Antiqua" w:hAnsi="Book Antiqua" w:cs="Book Antiqua"/>
          <w:color w:val="000000"/>
        </w:rPr>
        <w:t>. From December 2019 to February 14, 2021, COVID-19 caused almost 2.4 million deaths, and more than 108 million confirmed cases in 222 countries or territories</w:t>
      </w:r>
      <w:r w:rsidRPr="009A225C">
        <w:rPr>
          <w:rFonts w:ascii="Book Antiqua" w:eastAsia="Book Antiqua" w:hAnsi="Book Antiqua" w:cs="Book Antiqua"/>
          <w:color w:val="000000"/>
          <w:vertAlign w:val="superscript"/>
        </w:rPr>
        <w:t>[1]</w:t>
      </w:r>
      <w:r w:rsidRPr="009A225C">
        <w:rPr>
          <w:rFonts w:ascii="Book Antiqua" w:eastAsia="Book Antiqua" w:hAnsi="Book Antiqua" w:cs="Book Antiqua"/>
          <w:color w:val="000000"/>
        </w:rPr>
        <w:t>.</w:t>
      </w:r>
    </w:p>
    <w:p w14:paraId="799FE3DA" w14:textId="5C250A2D"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The SARS-CoV-2 relies on bi</w:t>
      </w:r>
      <w:r w:rsidR="009F74C9">
        <w:rPr>
          <w:rFonts w:ascii="Book Antiqua" w:eastAsia="Book Antiqua" w:hAnsi="Book Antiqua" w:cs="Book Antiqua"/>
          <w:color w:val="000000"/>
        </w:rPr>
        <w:t>n</w:t>
      </w:r>
      <w:r w:rsidRPr="009A225C">
        <w:rPr>
          <w:rFonts w:ascii="Book Antiqua" w:eastAsia="Book Antiqua" w:hAnsi="Book Antiqua" w:cs="Book Antiqua"/>
          <w:color w:val="000000"/>
        </w:rPr>
        <w:t>ding</w:t>
      </w:r>
      <w:r w:rsidR="009F74C9">
        <w:rPr>
          <w:rFonts w:ascii="Book Antiqua" w:eastAsia="Book Antiqua" w:hAnsi="Book Antiqua" w:cs="Book Antiqua"/>
          <w:color w:val="000000"/>
        </w:rPr>
        <w:t xml:space="preserve"> to</w:t>
      </w:r>
      <w:r w:rsidRPr="009A225C">
        <w:rPr>
          <w:rFonts w:ascii="Book Antiqua" w:eastAsia="Book Antiqua" w:hAnsi="Book Antiqua" w:cs="Book Antiqua"/>
          <w:color w:val="000000"/>
        </w:rPr>
        <w:t xml:space="preserve"> the angiotensin-converting enzyme 2 (ACE2) receptor to enter target cells and start viral shedding</w:t>
      </w:r>
      <w:r w:rsidRPr="009A225C">
        <w:rPr>
          <w:rFonts w:ascii="Book Antiqua" w:eastAsia="Book Antiqua" w:hAnsi="Book Antiqua" w:cs="Book Antiqua"/>
          <w:color w:val="000000"/>
          <w:vertAlign w:val="superscript"/>
        </w:rPr>
        <w:t>[5]</w:t>
      </w:r>
      <w:r w:rsidRPr="009A225C">
        <w:rPr>
          <w:rFonts w:ascii="Book Antiqua" w:eastAsia="Book Antiqua" w:hAnsi="Book Antiqua" w:cs="Book Antiqua"/>
          <w:color w:val="000000"/>
        </w:rPr>
        <w:t>. Much as the infection frequently happens through the nasopharyngeal epithelium and has the lungs as the chief target with respiratory commitment, COVID-19 represents a systemic disease with adverse cardiac, circulatory, and cerebral outcomes after hematogenic propagation and virus neurotropism for the vagus nerve that links lungs to the central nervous system</w:t>
      </w:r>
      <w:r w:rsidRPr="009A225C">
        <w:rPr>
          <w:rFonts w:ascii="Book Antiqua" w:eastAsia="Book Antiqua" w:hAnsi="Book Antiqua" w:cs="Book Antiqua"/>
          <w:color w:val="000000"/>
          <w:vertAlign w:val="superscript"/>
        </w:rPr>
        <w:t>[6-8]</w:t>
      </w:r>
      <w:r w:rsidRPr="009A225C">
        <w:rPr>
          <w:rFonts w:ascii="Book Antiqua" w:eastAsia="Book Antiqua" w:hAnsi="Book Antiqua" w:cs="Book Antiqua"/>
          <w:color w:val="000000"/>
        </w:rPr>
        <w:t xml:space="preserve">. Of note, the presence of ACE2 receptors in the brush border of intestinal enterocytes and cholangiocytes </w:t>
      </w:r>
      <w:r w:rsidR="009F74C9">
        <w:rPr>
          <w:rFonts w:ascii="Book Antiqua" w:eastAsia="Book Antiqua" w:hAnsi="Book Antiqua" w:cs="Book Antiqua"/>
          <w:color w:val="000000"/>
        </w:rPr>
        <w:t>makes possible</w:t>
      </w:r>
      <w:r w:rsidRPr="009A225C">
        <w:rPr>
          <w:rFonts w:ascii="Book Antiqua" w:eastAsia="Book Antiqua" w:hAnsi="Book Antiqua" w:cs="Book Antiqua"/>
          <w:color w:val="000000"/>
        </w:rPr>
        <w:t xml:space="preserve"> the occurrence of gastrointestinal symptoms and aggravation of pre-existing metabolic diseases</w:t>
      </w:r>
      <w:r w:rsidRPr="009A225C">
        <w:rPr>
          <w:rFonts w:ascii="Book Antiqua" w:eastAsia="Book Antiqua" w:hAnsi="Book Antiqua" w:cs="Book Antiqua"/>
          <w:color w:val="000000"/>
          <w:vertAlign w:val="superscript"/>
        </w:rPr>
        <w:t>[9,10]</w:t>
      </w:r>
      <w:r w:rsidRPr="009A225C">
        <w:rPr>
          <w:rFonts w:ascii="Book Antiqua" w:eastAsia="Book Antiqua" w:hAnsi="Book Antiqua" w:cs="Book Antiqua"/>
          <w:color w:val="000000"/>
        </w:rPr>
        <w:t>. Figure 1 summarizes the most common infection and propagation pathways of SARS-CoV-2 with adverse effects in the human body.</w:t>
      </w:r>
    </w:p>
    <w:p w14:paraId="05F51EE1" w14:textId="398C9642"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In this regard, overweight emerged as a high-risk factor to hospitalization due to COVID-19, surpassed only by age</w:t>
      </w:r>
      <w:r w:rsidR="00E9353B"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w:t>
      </w:r>
      <w:r w:rsidR="00E9353B"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65 in the New York population</w:t>
      </w:r>
      <w:r w:rsidRPr="009A225C">
        <w:rPr>
          <w:rFonts w:ascii="Book Antiqua" w:eastAsia="Book Antiqua" w:hAnsi="Book Antiqua" w:cs="Book Antiqua"/>
          <w:color w:val="000000"/>
          <w:vertAlign w:val="superscript"/>
        </w:rPr>
        <w:t>[11]</w:t>
      </w:r>
      <w:r w:rsidRPr="009A225C">
        <w:rPr>
          <w:rFonts w:ascii="Book Antiqua" w:eastAsia="Book Antiqua" w:hAnsi="Book Antiqua" w:cs="Book Antiqua"/>
          <w:color w:val="000000"/>
        </w:rPr>
        <w:t xml:space="preserve">, emphasizing the high risk </w:t>
      </w:r>
      <w:r w:rsidR="00A250D7" w:rsidRPr="009A225C">
        <w:rPr>
          <w:rFonts w:ascii="Book Antiqua" w:eastAsia="Book Antiqua" w:hAnsi="Book Antiqua" w:cs="Book Antiqua"/>
          <w:color w:val="000000"/>
        </w:rPr>
        <w:t xml:space="preserve">of </w:t>
      </w:r>
      <w:r w:rsidRPr="009A225C">
        <w:rPr>
          <w:rFonts w:ascii="Book Antiqua" w:eastAsia="Book Antiqua" w:hAnsi="Book Antiqua" w:cs="Book Antiqua"/>
          <w:color w:val="000000"/>
        </w:rPr>
        <w:t>severe COVID-19. Body mass gain yields metabolic alterations that start in the adipose tissue, with hypertrophy and hyperplasia as attempts to buffer excessive energy intake by fat storage</w:t>
      </w:r>
      <w:r w:rsidRPr="009A225C">
        <w:rPr>
          <w:rFonts w:ascii="Book Antiqua" w:eastAsia="Book Antiqua" w:hAnsi="Book Antiqua" w:cs="Book Antiqua"/>
          <w:color w:val="000000"/>
          <w:vertAlign w:val="superscript"/>
        </w:rPr>
        <w:t>[12]</w:t>
      </w:r>
      <w:r w:rsidRPr="009A225C">
        <w:rPr>
          <w:rFonts w:ascii="Book Antiqua" w:eastAsia="Book Antiqua" w:hAnsi="Book Antiqua" w:cs="Book Antiqua"/>
          <w:color w:val="000000"/>
        </w:rPr>
        <w:t>. In the long run, adipogenesis capacity exhausts, and the existing enlarged adipocytes trigger lipolysis to manage a continuous lipid accumulation through lipogenesis</w:t>
      </w:r>
      <w:r w:rsidRPr="009A225C">
        <w:rPr>
          <w:rFonts w:ascii="Book Antiqua" w:eastAsia="Book Antiqua" w:hAnsi="Book Antiqua" w:cs="Book Antiqua"/>
          <w:color w:val="000000"/>
          <w:vertAlign w:val="superscript"/>
        </w:rPr>
        <w:t>[13,14]</w:t>
      </w:r>
      <w:r w:rsidRPr="009A225C">
        <w:rPr>
          <w:rFonts w:ascii="Book Antiqua" w:eastAsia="Book Antiqua" w:hAnsi="Book Antiqua" w:cs="Book Antiqua"/>
          <w:color w:val="000000"/>
        </w:rPr>
        <w:t>. At this stage, excessive non-esterified fatty acids (NEFAs) are diverted to other organs like the liver and drive steatosis</w:t>
      </w:r>
      <w:r w:rsidRPr="009A225C">
        <w:rPr>
          <w:rFonts w:ascii="Book Antiqua" w:eastAsia="Book Antiqua" w:hAnsi="Book Antiqua" w:cs="Book Antiqua"/>
          <w:color w:val="000000"/>
          <w:vertAlign w:val="superscript"/>
        </w:rPr>
        <w:t>[15]</w:t>
      </w:r>
      <w:r w:rsidRPr="009A225C">
        <w:rPr>
          <w:rFonts w:ascii="Book Antiqua" w:eastAsia="Book Antiqua" w:hAnsi="Book Antiqua" w:cs="Book Antiqua"/>
          <w:color w:val="000000"/>
        </w:rPr>
        <w:t>.</w:t>
      </w:r>
    </w:p>
    <w:p w14:paraId="27AE5ACF" w14:textId="719D8E28"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Hepatic steatosis is known as the hepatic manifestation of metabolic syndrome. Hence, metabolic disturbances such as insulin resistance, systemic arterial hypertension, and meta</w:t>
      </w:r>
      <w:r w:rsidR="00D2620C">
        <w:rPr>
          <w:rFonts w:ascii="Book Antiqua" w:eastAsia="Book Antiqua" w:hAnsi="Book Antiqua" w:cs="Book Antiqua"/>
          <w:color w:val="000000"/>
        </w:rPr>
        <w:t>-</w:t>
      </w:r>
      <w:r w:rsidRPr="009A225C">
        <w:rPr>
          <w:rFonts w:ascii="Book Antiqua" w:eastAsia="Book Antiqua" w:hAnsi="Book Antiqua" w:cs="Book Antiqua"/>
          <w:color w:val="000000"/>
        </w:rPr>
        <w:t>inflammation, typical from obesity, coexist with this hepatic impairment</w:t>
      </w:r>
      <w:r w:rsidRPr="009A225C">
        <w:rPr>
          <w:rFonts w:ascii="Book Antiqua" w:eastAsia="Book Antiqua" w:hAnsi="Book Antiqua" w:cs="Book Antiqua"/>
          <w:color w:val="000000"/>
          <w:vertAlign w:val="superscript"/>
        </w:rPr>
        <w:t>[15,16]</w:t>
      </w:r>
      <w:r w:rsidRPr="009A225C">
        <w:rPr>
          <w:rFonts w:ascii="Book Antiqua" w:eastAsia="Book Antiqua" w:hAnsi="Book Antiqua" w:cs="Book Antiqua"/>
          <w:color w:val="000000"/>
        </w:rPr>
        <w:t>. Therefore, it was recently renamed metabolic dysfunction-associated fatty liver disease (MAFLD) as it represents better the constellation of metabolic impairments involved in its etiology than the former acronym</w:t>
      </w:r>
      <w:r w:rsidR="00E9353B"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non-alcoholic fatty liver disease</w:t>
      </w:r>
      <w:r w:rsidRPr="009A225C">
        <w:rPr>
          <w:rFonts w:ascii="Book Antiqua" w:eastAsia="Book Antiqua" w:hAnsi="Book Antiqua" w:cs="Book Antiqua"/>
          <w:color w:val="000000"/>
          <w:vertAlign w:val="superscript"/>
        </w:rPr>
        <w:t>[17]</w:t>
      </w:r>
      <w:r w:rsidRPr="009A225C">
        <w:rPr>
          <w:rFonts w:ascii="Book Antiqua" w:eastAsia="Book Antiqua" w:hAnsi="Book Antiqua" w:cs="Book Antiqua"/>
          <w:color w:val="000000"/>
        </w:rPr>
        <w:t>.</w:t>
      </w:r>
    </w:p>
    <w:p w14:paraId="66DE6C19" w14:textId="1E527F61"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MAFLD in obesity comprises lipotoxic effects on the liver by proinflammatory adipokines that influence hepatic energy metabolism in an endocrine fashion</w:t>
      </w:r>
      <w:r w:rsidRPr="009A225C">
        <w:rPr>
          <w:rFonts w:ascii="Book Antiqua" w:eastAsia="Book Antiqua" w:hAnsi="Book Antiqua" w:cs="Book Antiqua"/>
          <w:color w:val="000000"/>
          <w:vertAlign w:val="superscript"/>
        </w:rPr>
        <w:t>[18]</w:t>
      </w:r>
      <w:r w:rsidRPr="009A225C">
        <w:rPr>
          <w:rFonts w:ascii="Book Antiqua" w:eastAsia="Book Antiqua" w:hAnsi="Book Antiqua" w:cs="Book Antiqua"/>
          <w:color w:val="000000"/>
        </w:rPr>
        <w:t>. The inflamed adipose tissue has been linked to enhanced viral systemic spread, entry, and viral shedding in COVID-19 obese subjects</w:t>
      </w:r>
      <w:r w:rsidRPr="009A225C">
        <w:rPr>
          <w:rFonts w:ascii="Book Antiqua" w:eastAsia="Book Antiqua" w:hAnsi="Book Antiqua" w:cs="Book Antiqua"/>
          <w:color w:val="000000"/>
          <w:vertAlign w:val="superscript"/>
        </w:rPr>
        <w:t>[19]</w:t>
      </w:r>
      <w:r w:rsidRPr="009A225C">
        <w:rPr>
          <w:rFonts w:ascii="Book Antiqua" w:eastAsia="Book Antiqua" w:hAnsi="Book Antiqua" w:cs="Book Antiqua"/>
          <w:color w:val="000000"/>
        </w:rPr>
        <w:t>. This hypothesis complies with an intensified cytokine storm in obese patients with COVID-19, explaining the poor outcomes</w:t>
      </w:r>
      <w:r w:rsidRPr="009A225C">
        <w:rPr>
          <w:rFonts w:ascii="Book Antiqua" w:eastAsia="Book Antiqua" w:hAnsi="Book Antiqua" w:cs="Book Antiqua"/>
          <w:color w:val="000000"/>
          <w:vertAlign w:val="superscript"/>
        </w:rPr>
        <w:t>[20]</w:t>
      </w:r>
      <w:r w:rsidRPr="009A225C">
        <w:rPr>
          <w:rFonts w:ascii="Book Antiqua" w:eastAsia="Book Antiqua" w:hAnsi="Book Antiqua" w:cs="Book Antiqua"/>
          <w:color w:val="000000"/>
        </w:rPr>
        <w:t>.</w:t>
      </w:r>
    </w:p>
    <w:p w14:paraId="7DE5DE0F" w14:textId="1CC6CFC3"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Among the metabolic impairments caused by excessive body fat, pre-existing MAFLD can result in COVID-19 patients </w:t>
      </w:r>
      <w:r w:rsidR="009F74C9">
        <w:rPr>
          <w:rFonts w:ascii="Book Antiqua" w:eastAsia="Book Antiqua" w:hAnsi="Book Antiqua" w:cs="Book Antiqua"/>
          <w:color w:val="000000"/>
        </w:rPr>
        <w:t xml:space="preserve">being </w:t>
      </w:r>
      <w:r w:rsidRPr="009A225C">
        <w:rPr>
          <w:rFonts w:ascii="Book Antiqua" w:eastAsia="Book Antiqua" w:hAnsi="Book Antiqua" w:cs="Book Antiqua"/>
          <w:color w:val="000000"/>
        </w:rPr>
        <w:t>more prone to hospitalization and worsening metabolic conditions</w:t>
      </w:r>
      <w:r w:rsidRPr="009A225C">
        <w:rPr>
          <w:rFonts w:ascii="Book Antiqua" w:eastAsia="Book Antiqua" w:hAnsi="Book Antiqua" w:cs="Book Antiqua"/>
          <w:color w:val="000000"/>
          <w:vertAlign w:val="superscript"/>
        </w:rPr>
        <w:t>[21]</w:t>
      </w:r>
      <w:r w:rsidRPr="009A225C">
        <w:rPr>
          <w:rFonts w:ascii="Book Antiqua" w:eastAsia="Book Antiqua" w:hAnsi="Book Antiqua" w:cs="Book Antiqua"/>
          <w:color w:val="000000"/>
        </w:rPr>
        <w:t>. This review outlined the impact MAFLD exerts on COVID-19 severity in obese subjects</w:t>
      </w:r>
      <w:r w:rsidR="009F74C9">
        <w:rPr>
          <w:rFonts w:ascii="Book Antiqua" w:eastAsia="Book Antiqua" w:hAnsi="Book Antiqua" w:cs="Book Antiqua"/>
          <w:color w:val="000000"/>
        </w:rPr>
        <w:t xml:space="preserve"> in addition to</w:t>
      </w:r>
      <w:r w:rsidRPr="009A225C">
        <w:rPr>
          <w:rFonts w:ascii="Book Antiqua" w:eastAsia="Book Antiqua" w:hAnsi="Book Antiqua" w:cs="Book Antiqua"/>
          <w:color w:val="000000"/>
        </w:rPr>
        <w:t xml:space="preserve"> the possible mechanistic links to poor outcomes. The information gathered relating to COVID-19 was</w:t>
      </w:r>
      <w:r w:rsidR="009F74C9">
        <w:rPr>
          <w:rFonts w:ascii="Book Antiqua" w:eastAsia="Book Antiqua" w:hAnsi="Book Antiqua" w:cs="Book Antiqua"/>
          <w:color w:val="000000"/>
        </w:rPr>
        <w:t xml:space="preserve"> that</w:t>
      </w:r>
      <w:r w:rsidRPr="009A225C">
        <w:rPr>
          <w:rFonts w:ascii="Book Antiqua" w:eastAsia="Book Antiqua" w:hAnsi="Book Antiqua" w:cs="Book Antiqua"/>
          <w:color w:val="000000"/>
        </w:rPr>
        <w:t xml:space="preserve"> available </w:t>
      </w:r>
      <w:r w:rsidR="009F74C9">
        <w:rPr>
          <w:rFonts w:ascii="Book Antiqua" w:eastAsia="Book Antiqua" w:hAnsi="Book Antiqua" w:cs="Book Antiqua"/>
          <w:color w:val="000000"/>
        </w:rPr>
        <w:t>on</w:t>
      </w:r>
      <w:r w:rsidRPr="009A225C">
        <w:rPr>
          <w:rFonts w:ascii="Book Antiqua" w:eastAsia="Book Antiqua" w:hAnsi="Book Antiqua" w:cs="Book Antiqua"/>
          <w:color w:val="000000"/>
        </w:rPr>
        <w:t xml:space="preserve"> PubMed from the beginning of </w:t>
      </w:r>
      <w:r w:rsidR="009F74C9">
        <w:rPr>
          <w:rFonts w:ascii="Book Antiqua" w:eastAsia="Book Antiqua" w:hAnsi="Book Antiqua" w:cs="Book Antiqua"/>
          <w:color w:val="000000"/>
        </w:rPr>
        <w:t xml:space="preserve">the </w:t>
      </w:r>
      <w:r w:rsidRPr="009A225C">
        <w:rPr>
          <w:rFonts w:ascii="Book Antiqua" w:eastAsia="Book Antiqua" w:hAnsi="Book Antiqua" w:cs="Book Antiqua"/>
          <w:color w:val="000000"/>
        </w:rPr>
        <w:t>pandemic until the end of 2020.</w:t>
      </w:r>
    </w:p>
    <w:bookmarkEnd w:id="13"/>
    <w:bookmarkEnd w:id="14"/>
    <w:p w14:paraId="7684E3A0" w14:textId="77777777" w:rsidR="00A77B3E" w:rsidRPr="009A225C" w:rsidRDefault="00A77B3E" w:rsidP="009A225C">
      <w:pPr>
        <w:snapToGrid w:val="0"/>
        <w:spacing w:line="360" w:lineRule="auto"/>
        <w:jc w:val="both"/>
        <w:rPr>
          <w:rFonts w:ascii="Book Antiqua" w:hAnsi="Book Antiqua"/>
        </w:rPr>
      </w:pPr>
    </w:p>
    <w:p w14:paraId="631D6CD4" w14:textId="29400225" w:rsidR="00A77B3E" w:rsidRPr="009A225C" w:rsidRDefault="00A61BEF" w:rsidP="009A225C">
      <w:pPr>
        <w:snapToGrid w:val="0"/>
        <w:spacing w:line="360" w:lineRule="auto"/>
        <w:jc w:val="both"/>
        <w:rPr>
          <w:rFonts w:ascii="Book Antiqua" w:hAnsi="Book Antiqua"/>
        </w:rPr>
      </w:pPr>
      <w:r w:rsidRPr="009A225C">
        <w:rPr>
          <w:rFonts w:ascii="Book Antiqua" w:eastAsia="Book Antiqua" w:hAnsi="Book Antiqua" w:cs="Book Antiqua"/>
          <w:b/>
          <w:color w:val="000000"/>
          <w:u w:val="single"/>
        </w:rPr>
        <w:t>OBESITY AND FATTY LIVER: EPIDEMIOLOGY AND PATHOGENESIS</w:t>
      </w:r>
    </w:p>
    <w:p w14:paraId="7AE4FD05" w14:textId="6430D2EE"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MAFLD is the most common chronic hepatic disease worldwide. Its global prevalence is around 25%, with the highest prevalence in the Middle East (31.79%) and South America (30.45%)</w:t>
      </w:r>
      <w:r w:rsidRPr="009A225C">
        <w:rPr>
          <w:rFonts w:ascii="Book Antiqua" w:eastAsia="Book Antiqua" w:hAnsi="Book Antiqua" w:cs="Book Antiqua"/>
          <w:color w:val="000000"/>
          <w:vertAlign w:val="superscript"/>
        </w:rPr>
        <w:t>[22]</w:t>
      </w:r>
      <w:r w:rsidRPr="009A225C">
        <w:rPr>
          <w:rFonts w:ascii="Book Antiqua" w:eastAsia="Book Antiqua" w:hAnsi="Book Antiqua" w:cs="Book Antiqua"/>
          <w:color w:val="000000"/>
        </w:rPr>
        <w:t>. MAFLD is not a disease exclusive of obesity, but obese subjects fall victim to fatty liver more frequently, as their insulin-resistant and proinflammatory adipokine profile converge to the accumulation of ectopic fat</w:t>
      </w:r>
      <w:r w:rsidRPr="009A225C">
        <w:rPr>
          <w:rFonts w:ascii="Book Antiqua" w:eastAsia="Book Antiqua" w:hAnsi="Book Antiqua" w:cs="Book Antiqua"/>
          <w:color w:val="000000"/>
          <w:vertAlign w:val="superscript"/>
        </w:rPr>
        <w:t>[18,23]</w:t>
      </w:r>
      <w:r w:rsidRPr="009A225C">
        <w:rPr>
          <w:rFonts w:ascii="Book Antiqua" w:eastAsia="Book Antiqua" w:hAnsi="Book Antiqua" w:cs="Book Antiqua"/>
          <w:color w:val="000000"/>
        </w:rPr>
        <w:t>. Recent evidence shows the presence of obesity among 51.34% of MAFLD patients and 81.83% of patients with non-alcoholic steatohepatitis (NASH)</w:t>
      </w:r>
      <w:r w:rsidRPr="009A225C">
        <w:rPr>
          <w:rFonts w:ascii="Book Antiqua" w:eastAsia="Book Antiqua" w:hAnsi="Book Antiqua" w:cs="Book Antiqua"/>
          <w:color w:val="000000"/>
          <w:vertAlign w:val="superscript"/>
        </w:rPr>
        <w:t>[22]</w:t>
      </w:r>
      <w:r w:rsidRPr="009A225C">
        <w:rPr>
          <w:rFonts w:ascii="Book Antiqua" w:eastAsia="Book Antiqua" w:hAnsi="Book Antiqua" w:cs="Book Antiqua"/>
          <w:color w:val="000000"/>
        </w:rPr>
        <w:t>. Although MAFLD silently initiates without symptoms, its harmful progression towards NASH (with hepatic fibrosis), cirrhosis, or hepatocellular carcinoma challenges the scientific community to understand its metabolic basis.</w:t>
      </w:r>
    </w:p>
    <w:p w14:paraId="3DCB9A42" w14:textId="5349DE31"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The pathogenesis of fatty liver is multifactorial </w:t>
      </w:r>
      <w:r w:rsidR="00172E50">
        <w:rPr>
          <w:rFonts w:ascii="Book Antiqua" w:eastAsia="Book Antiqua" w:hAnsi="Book Antiqua" w:cs="Book Antiqua"/>
          <w:color w:val="000000"/>
        </w:rPr>
        <w:t xml:space="preserve">and </w:t>
      </w:r>
      <w:r w:rsidRPr="009A225C">
        <w:rPr>
          <w:rFonts w:ascii="Book Antiqua" w:eastAsia="Book Antiqua" w:hAnsi="Book Antiqua" w:cs="Book Antiqua"/>
          <w:color w:val="000000"/>
        </w:rPr>
        <w:t>linked to diet, metabolic factors, intestinal microorganisms, and genetics. Exposure of hepatocytes to high levels of lipids and carbohydrates, usually included in the diet of obese individuals, leads to glucolipotoxicity and predisposes to MAFLD. Excessive circulating NEFAs come from accelerated lipolysis and reduced fatty acid uptake in subcutaneous adipose tissue, triggering ectopic fat accumulation (in the liver, skeletal muscle) and, therefore, insulin resistance in multiple organs</w:t>
      </w:r>
      <w:r w:rsidRPr="009A225C">
        <w:rPr>
          <w:rFonts w:ascii="Book Antiqua" w:eastAsia="Book Antiqua" w:hAnsi="Book Antiqua" w:cs="Book Antiqua"/>
          <w:color w:val="000000"/>
          <w:vertAlign w:val="superscript"/>
        </w:rPr>
        <w:t>[24]</w:t>
      </w:r>
      <w:r w:rsidRPr="009A225C">
        <w:rPr>
          <w:rFonts w:ascii="Book Antiqua" w:eastAsia="Book Antiqua" w:hAnsi="Book Antiqua" w:cs="Book Antiqua"/>
          <w:color w:val="000000"/>
        </w:rPr>
        <w:t xml:space="preserve">. The release of NEFAs from dysfunctional and insulin-resistant adipocytes causes lipotoxicity, induced by the ectopic accumulation of toxic metabolites stemmed from triglycerides. Hence, inflammatory pathways are activated, </w:t>
      </w:r>
      <w:r w:rsidR="00172E50">
        <w:rPr>
          <w:rFonts w:ascii="Book Antiqua" w:eastAsia="Book Antiqua" w:hAnsi="Book Antiqua" w:cs="Book Antiqua"/>
          <w:color w:val="000000"/>
        </w:rPr>
        <w:t xml:space="preserve">and </w:t>
      </w:r>
      <w:r w:rsidRPr="009A225C">
        <w:rPr>
          <w:rFonts w:ascii="Book Antiqua" w:eastAsia="Book Antiqua" w:hAnsi="Book Antiqua" w:cs="Book Antiqua"/>
          <w:color w:val="000000"/>
        </w:rPr>
        <w:t>cellular dysfunction occurs with liver incapacity to eliminate excessive NEFAs, ending up in lipoapoptosis, an essential feature of NASH</w:t>
      </w:r>
      <w:r w:rsidRPr="009A225C">
        <w:rPr>
          <w:rFonts w:ascii="Book Antiqua" w:eastAsia="Book Antiqua" w:hAnsi="Book Antiqua" w:cs="Book Antiqua"/>
          <w:color w:val="000000"/>
          <w:vertAlign w:val="superscript"/>
        </w:rPr>
        <w:t>[18]</w:t>
      </w:r>
      <w:r w:rsidRPr="009A225C">
        <w:rPr>
          <w:rFonts w:ascii="Book Antiqua" w:eastAsia="Book Antiqua" w:hAnsi="Book Antiqua" w:cs="Book Antiqua"/>
          <w:color w:val="000000"/>
        </w:rPr>
        <w:t>.</w:t>
      </w:r>
    </w:p>
    <w:p w14:paraId="46E9B01D" w14:textId="4018CEAD"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Hepatic steatosis comprises approximately 60% of hepatic triglycerides from adipose tissue, 25% from </w:t>
      </w:r>
      <w:r w:rsidRPr="009A225C">
        <w:rPr>
          <w:rFonts w:ascii="Book Antiqua" w:eastAsia="Book Antiqua" w:hAnsi="Book Antiqua" w:cs="Book Antiqua"/>
          <w:i/>
          <w:iCs/>
          <w:color w:val="000000"/>
        </w:rPr>
        <w:t>de novo</w:t>
      </w:r>
      <w:r w:rsidRPr="009A225C">
        <w:rPr>
          <w:rFonts w:ascii="Book Antiqua" w:eastAsia="Book Antiqua" w:hAnsi="Book Antiqua" w:cs="Book Antiqua"/>
          <w:color w:val="000000"/>
        </w:rPr>
        <w:t xml:space="preserve"> lipogenesis and 15% from dietary lipids</w:t>
      </w:r>
      <w:r w:rsidRPr="009A225C">
        <w:rPr>
          <w:rFonts w:ascii="Book Antiqua" w:eastAsia="Book Antiqua" w:hAnsi="Book Antiqua" w:cs="Book Antiqua"/>
          <w:color w:val="000000"/>
          <w:vertAlign w:val="superscript"/>
        </w:rPr>
        <w:t>[25]</w:t>
      </w:r>
      <w:r w:rsidRPr="009A225C">
        <w:rPr>
          <w:rFonts w:ascii="Book Antiqua" w:eastAsia="Book Antiqua" w:hAnsi="Book Antiqua" w:cs="Book Antiqua"/>
          <w:color w:val="000000"/>
        </w:rPr>
        <w:t>. Moreover, visceral adipose tissue is more closely related to the fatty liver than subcutaneous adipose tissue, possibly because the former is more resistant to insulin than the latter</w:t>
      </w:r>
      <w:r w:rsidRPr="009A225C">
        <w:rPr>
          <w:rFonts w:ascii="Book Antiqua" w:eastAsia="Book Antiqua" w:hAnsi="Book Antiqua" w:cs="Book Antiqua"/>
          <w:color w:val="000000"/>
          <w:vertAlign w:val="superscript"/>
        </w:rPr>
        <w:t>[26]</w:t>
      </w:r>
      <w:r w:rsidRPr="009A225C">
        <w:rPr>
          <w:rFonts w:ascii="Book Antiqua" w:eastAsia="Book Antiqua" w:hAnsi="Book Antiqua" w:cs="Book Antiqua"/>
          <w:color w:val="000000"/>
        </w:rPr>
        <w:t>. Increasing evidence shows that during adipose tissue expansion in obesity, there are changes in the expression and secretion of adipokines, favoring pro-inflammatory mediators for the development of MAFLD, progression to NASH, and possible development of liver cirrhosis</w:t>
      </w:r>
      <w:r w:rsidRPr="009A225C">
        <w:rPr>
          <w:rFonts w:ascii="Book Antiqua" w:eastAsia="Book Antiqua" w:hAnsi="Book Antiqua" w:cs="Book Antiqua"/>
          <w:color w:val="000000"/>
          <w:vertAlign w:val="superscript"/>
        </w:rPr>
        <w:t>[27]</w:t>
      </w:r>
      <w:r w:rsidRPr="009A225C">
        <w:rPr>
          <w:rFonts w:ascii="Book Antiqua" w:eastAsia="Book Antiqua" w:hAnsi="Book Antiqua" w:cs="Book Antiqua"/>
          <w:color w:val="000000"/>
        </w:rPr>
        <w:t>. Leptin and adiponectin are the adipokines widely described in the literature as influences on fatty liver development.</w:t>
      </w:r>
    </w:p>
    <w:p w14:paraId="0E163615" w14:textId="0D7071CA"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In animal models of MAFLD, leptin seems to have a double action: </w:t>
      </w:r>
      <w:r w:rsidR="00172E50">
        <w:rPr>
          <w:rFonts w:ascii="Book Antiqua" w:eastAsia="Book Antiqua" w:hAnsi="Book Antiqua" w:cs="Book Antiqua"/>
          <w:color w:val="000000"/>
        </w:rPr>
        <w:t>I</w:t>
      </w:r>
      <w:r w:rsidRPr="009A225C">
        <w:rPr>
          <w:rFonts w:ascii="Book Antiqua" w:eastAsia="Book Antiqua" w:hAnsi="Book Antiqua" w:cs="Book Antiqua"/>
          <w:color w:val="000000"/>
        </w:rPr>
        <w:t>t can protect from hepatic steatosis, at least in the early stages of the disease, but it also can act as an inflammatory and fibrogenic factor when the disease persists or progresses, that is when the mechanisms of counterweight do not limit it</w:t>
      </w:r>
      <w:r w:rsidRPr="009A225C">
        <w:rPr>
          <w:rFonts w:ascii="Book Antiqua" w:eastAsia="Book Antiqua" w:hAnsi="Book Antiqua" w:cs="Book Antiqua"/>
          <w:color w:val="000000"/>
          <w:vertAlign w:val="superscript"/>
        </w:rPr>
        <w:t>[28-30]</w:t>
      </w:r>
      <w:r w:rsidRPr="009A225C">
        <w:rPr>
          <w:rFonts w:ascii="Book Antiqua" w:eastAsia="Book Antiqua" w:hAnsi="Book Antiqua" w:cs="Book Antiqua"/>
          <w:color w:val="000000"/>
        </w:rPr>
        <w:t xml:space="preserve">. In this sense, leptin can directly increase the production of pro-inflammatory cytokines, such as tumor necrosis factor (TNF)-α, interleukin (IL)-6, IL-12, </w:t>
      </w:r>
      <w:r w:rsidR="00172E50">
        <w:rPr>
          <w:rFonts w:ascii="Book Antiqua" w:eastAsia="Book Antiqua" w:hAnsi="Book Antiqua" w:cs="Book Antiqua"/>
          <w:color w:val="000000"/>
        </w:rPr>
        <w:t xml:space="preserve">and </w:t>
      </w:r>
      <w:r w:rsidRPr="009A225C">
        <w:rPr>
          <w:rFonts w:ascii="Book Antiqua" w:eastAsia="Book Antiqua" w:hAnsi="Book Antiqua" w:cs="Book Antiqua"/>
          <w:color w:val="000000"/>
        </w:rPr>
        <w:t xml:space="preserve">IL-18, the chemokines IL-8 and monocyte chemoattractant protein 1, and the lipid mediators </w:t>
      </w:r>
      <w:r w:rsidR="00172E50">
        <w:rPr>
          <w:rFonts w:ascii="Book Antiqua" w:eastAsia="Book Antiqua" w:hAnsi="Book Antiqua" w:cs="Book Antiqua"/>
          <w:color w:val="000000"/>
        </w:rPr>
        <w:t>p</w:t>
      </w:r>
      <w:r w:rsidRPr="009A225C">
        <w:rPr>
          <w:rFonts w:ascii="Book Antiqua" w:eastAsia="Book Antiqua" w:hAnsi="Book Antiqua" w:cs="Book Antiqua"/>
          <w:color w:val="000000"/>
        </w:rPr>
        <w:t>rostaglandin E2, leukotrienes, and LTB4, being responsible for the noxious MAFLD progression</w:t>
      </w:r>
      <w:r w:rsidRPr="009A225C">
        <w:rPr>
          <w:rFonts w:ascii="Book Antiqua" w:eastAsia="Book Antiqua" w:hAnsi="Book Antiqua" w:cs="Book Antiqua"/>
          <w:color w:val="000000"/>
          <w:vertAlign w:val="superscript"/>
        </w:rPr>
        <w:t>[26]</w:t>
      </w:r>
      <w:r w:rsidRPr="009A225C">
        <w:rPr>
          <w:rFonts w:ascii="Book Antiqua" w:eastAsia="Book Antiqua" w:hAnsi="Book Antiqua" w:cs="Book Antiqua"/>
          <w:color w:val="000000"/>
        </w:rPr>
        <w:t>. Persisting hyperleptinemia promote</w:t>
      </w:r>
      <w:r w:rsidR="00A250D7" w:rsidRPr="009A225C">
        <w:rPr>
          <w:rFonts w:ascii="Book Antiqua" w:eastAsia="Book Antiqua" w:hAnsi="Book Antiqua" w:cs="Book Antiqua"/>
          <w:color w:val="000000"/>
        </w:rPr>
        <w:t>s</w:t>
      </w:r>
      <w:r w:rsidRPr="009A225C">
        <w:rPr>
          <w:rFonts w:ascii="Book Antiqua" w:eastAsia="Book Antiqua" w:hAnsi="Book Antiqua" w:cs="Book Antiqua"/>
          <w:color w:val="000000"/>
        </w:rPr>
        <w:t xml:space="preserve"> liver inflammation and fibrosis as the disease progresses to NASH.</w:t>
      </w:r>
    </w:p>
    <w:p w14:paraId="05258C8A" w14:textId="4F0F61E0"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On the contrary, adiponectin decreases as the fat mass increases. At physiological conditions, adiponectin exerts an anti-steatotic effect on hepatocytes by increasing beta-oxidation, while decreasing gluconeogenesis, fatty acid input to the liver, and </w:t>
      </w:r>
      <w:r w:rsidRPr="009A225C">
        <w:rPr>
          <w:rFonts w:ascii="Book Antiqua" w:eastAsia="Book Antiqua" w:hAnsi="Book Antiqua" w:cs="Book Antiqua"/>
          <w:i/>
          <w:iCs/>
          <w:color w:val="000000"/>
        </w:rPr>
        <w:t>de novo</w:t>
      </w:r>
      <w:r w:rsidRPr="009A225C">
        <w:rPr>
          <w:rFonts w:ascii="Book Antiqua" w:eastAsia="Book Antiqua" w:hAnsi="Book Antiqua" w:cs="Book Antiqua"/>
          <w:color w:val="000000"/>
        </w:rPr>
        <w:t xml:space="preserve"> lipogenesis. Furthermore, high molecular weight adiponectin isoform has anti-inflammatory properties like TNF-α blockade and downregulation, resulting in insulin resistance alleviation</w:t>
      </w:r>
      <w:r w:rsidRPr="009A225C">
        <w:rPr>
          <w:rFonts w:ascii="Book Antiqua" w:eastAsia="Book Antiqua" w:hAnsi="Book Antiqua" w:cs="Book Antiqua"/>
          <w:color w:val="000000"/>
          <w:vertAlign w:val="superscript"/>
        </w:rPr>
        <w:t>[29]</w:t>
      </w:r>
      <w:r w:rsidRPr="009A225C">
        <w:rPr>
          <w:rFonts w:ascii="Book Antiqua" w:eastAsia="Book Antiqua" w:hAnsi="Book Antiqua" w:cs="Book Antiqua"/>
          <w:color w:val="000000"/>
        </w:rPr>
        <w:t>. In the case of positive energy balance and overweight onset, this critical balance is disrupted towards the side of TNF-α, contributing to chronic low-grade inflammation, insulin resistance, and MAFLD</w:t>
      </w:r>
      <w:r w:rsidRPr="009A225C">
        <w:rPr>
          <w:rFonts w:ascii="Book Antiqua" w:eastAsia="Book Antiqua" w:hAnsi="Book Antiqua" w:cs="Book Antiqua"/>
          <w:color w:val="000000"/>
          <w:vertAlign w:val="superscript"/>
        </w:rPr>
        <w:t>[26]</w:t>
      </w:r>
      <w:r w:rsidRPr="009A225C">
        <w:rPr>
          <w:rFonts w:ascii="Book Antiqua" w:eastAsia="Book Antiqua" w:hAnsi="Book Antiqua" w:cs="Book Antiqua"/>
          <w:color w:val="000000"/>
        </w:rPr>
        <w:t>. In humans, patients with fatty liver exhibit low adiponectin concentrations, whereas control subjects show high adiponectin concentrations. However, the adiponectin concentrations are even lower in patients with NASH than in MAFLD. It can be argued that, initially, adipokine actions can limit hepatic steatosis, but as adipose tissue expands, adipokine changes become harmful and contribute to MAFLD progression</w:t>
      </w:r>
      <w:r w:rsidRPr="009A225C">
        <w:rPr>
          <w:rFonts w:ascii="Book Antiqua" w:eastAsia="Book Antiqua" w:hAnsi="Book Antiqua" w:cs="Book Antiqua"/>
          <w:color w:val="000000"/>
          <w:vertAlign w:val="superscript"/>
        </w:rPr>
        <w:t>[18]</w:t>
      </w:r>
      <w:r w:rsidRPr="009A225C">
        <w:rPr>
          <w:rFonts w:ascii="Book Antiqua" w:eastAsia="Book Antiqua" w:hAnsi="Book Antiqua" w:cs="Book Antiqua"/>
          <w:color w:val="000000"/>
        </w:rPr>
        <w:t>.</w:t>
      </w:r>
    </w:p>
    <w:p w14:paraId="0C8D337F" w14:textId="38D9EB68"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An innovative concept proposes that the gut-liver axis plays a crucial role in the pathogenesis and progression of MAFLD</w:t>
      </w:r>
      <w:r w:rsidRPr="009A225C">
        <w:rPr>
          <w:rFonts w:ascii="Book Antiqua" w:eastAsia="Book Antiqua" w:hAnsi="Book Antiqua" w:cs="Book Antiqua"/>
          <w:color w:val="000000"/>
          <w:vertAlign w:val="superscript"/>
        </w:rPr>
        <w:t>[31]</w:t>
      </w:r>
      <w:r w:rsidRPr="009A225C">
        <w:rPr>
          <w:rFonts w:ascii="Book Antiqua" w:eastAsia="Book Antiqua" w:hAnsi="Book Antiqua" w:cs="Book Antiqua"/>
          <w:color w:val="000000"/>
        </w:rPr>
        <w:t>. Although there are some controversies, animal and human studies show that gut microbiota from obese subjects comprises an increase in the relative abundance of </w:t>
      </w:r>
      <w:r w:rsidR="00740355" w:rsidRPr="00D2620C">
        <w:rPr>
          <w:rFonts w:ascii="Book Antiqua" w:eastAsia="Book Antiqua" w:hAnsi="Book Antiqua" w:cs="Book Antiqua"/>
          <w:color w:val="000000"/>
        </w:rPr>
        <w:t>f</w:t>
      </w:r>
      <w:r w:rsidRPr="00D2620C">
        <w:rPr>
          <w:rFonts w:ascii="Book Antiqua" w:eastAsia="Book Antiqua" w:hAnsi="Book Antiqua" w:cs="Book Antiqua"/>
          <w:color w:val="000000"/>
        </w:rPr>
        <w:t>irmicutes</w:t>
      </w:r>
      <w:r w:rsidRPr="009A225C">
        <w:rPr>
          <w:rFonts w:ascii="Book Antiqua" w:eastAsia="Book Antiqua" w:hAnsi="Book Antiqua" w:cs="Book Antiqua"/>
          <w:color w:val="000000"/>
        </w:rPr>
        <w:t> followed by a decrease of </w:t>
      </w:r>
      <w:r w:rsidR="00740355" w:rsidRPr="00D2620C">
        <w:rPr>
          <w:rFonts w:ascii="Book Antiqua" w:eastAsia="Book Antiqua" w:hAnsi="Book Antiqua" w:cs="Book Antiqua"/>
          <w:color w:val="000000"/>
        </w:rPr>
        <w:t>b</w:t>
      </w:r>
      <w:r w:rsidRPr="00D2620C">
        <w:rPr>
          <w:rFonts w:ascii="Book Antiqua" w:eastAsia="Book Antiqua" w:hAnsi="Book Antiqua" w:cs="Book Antiqua"/>
          <w:color w:val="000000"/>
        </w:rPr>
        <w:t>acteroidetes</w:t>
      </w:r>
      <w:r w:rsidRPr="009A225C">
        <w:rPr>
          <w:rFonts w:ascii="Book Antiqua" w:eastAsia="Book Antiqua" w:hAnsi="Book Antiqua" w:cs="Book Antiqua"/>
          <w:color w:val="000000"/>
          <w:vertAlign w:val="superscript"/>
        </w:rPr>
        <w:t>[32]</w:t>
      </w:r>
      <w:r w:rsidRPr="009A225C">
        <w:rPr>
          <w:rFonts w:ascii="Book Antiqua" w:eastAsia="Book Antiqua" w:hAnsi="Book Antiqua" w:cs="Book Antiqua"/>
          <w:color w:val="000000"/>
        </w:rPr>
        <w:t xml:space="preserve">. Moreover, a higher prevalence of </w:t>
      </w:r>
      <w:r w:rsidR="00172E50">
        <w:rPr>
          <w:rFonts w:ascii="Book Antiqua" w:eastAsia="Book Antiqua" w:hAnsi="Book Antiqua" w:cs="Book Antiqua"/>
          <w:color w:val="000000"/>
        </w:rPr>
        <w:t>g</w:t>
      </w:r>
      <w:r w:rsidRPr="009A225C">
        <w:rPr>
          <w:rFonts w:ascii="Book Antiqua" w:eastAsia="Book Antiqua" w:hAnsi="Book Antiqua" w:cs="Book Antiqua"/>
          <w:color w:val="000000"/>
        </w:rPr>
        <w:t xml:space="preserve">ram-negative bacteria, such as </w:t>
      </w:r>
      <w:r w:rsidR="00740355" w:rsidRPr="00D2620C">
        <w:rPr>
          <w:rFonts w:ascii="Book Antiqua" w:eastAsia="Book Antiqua" w:hAnsi="Book Antiqua" w:cs="Book Antiqua"/>
          <w:color w:val="000000"/>
        </w:rPr>
        <w:t>p</w:t>
      </w:r>
      <w:r w:rsidRPr="00D2620C">
        <w:rPr>
          <w:rFonts w:ascii="Book Antiqua" w:eastAsia="Book Antiqua" w:hAnsi="Book Antiqua" w:cs="Book Antiqua"/>
          <w:color w:val="000000"/>
        </w:rPr>
        <w:t>roteobacteria</w:t>
      </w:r>
      <w:r w:rsidRPr="009A225C">
        <w:rPr>
          <w:rFonts w:ascii="Book Antiqua" w:eastAsia="Book Antiqua" w:hAnsi="Book Antiqua" w:cs="Book Antiqua"/>
          <w:color w:val="000000"/>
        </w:rPr>
        <w:t xml:space="preserve">, and reduced phylum-level diversity are usual features in </w:t>
      </w:r>
      <w:r w:rsidR="00E9353B" w:rsidRPr="009A225C">
        <w:rPr>
          <w:rFonts w:ascii="Book Antiqua" w:eastAsia="Book Antiqua" w:hAnsi="Book Antiqua" w:cs="Book Antiqua"/>
          <w:color w:val="000000"/>
        </w:rPr>
        <w:t xml:space="preserve">non-alcoholic fatty liver disease </w:t>
      </w:r>
      <w:r w:rsidRPr="009A225C">
        <w:rPr>
          <w:rFonts w:ascii="Book Antiqua" w:eastAsia="Book Antiqua" w:hAnsi="Book Antiqua" w:cs="Book Antiqua"/>
          <w:color w:val="000000"/>
        </w:rPr>
        <w:t>patients</w:t>
      </w:r>
      <w:r w:rsidRPr="009A225C">
        <w:rPr>
          <w:rFonts w:ascii="Book Antiqua" w:eastAsia="Book Antiqua" w:hAnsi="Book Antiqua" w:cs="Book Antiqua"/>
          <w:color w:val="000000"/>
          <w:vertAlign w:val="superscript"/>
        </w:rPr>
        <w:t>[33]</w:t>
      </w:r>
      <w:r w:rsidRPr="009A225C">
        <w:rPr>
          <w:rFonts w:ascii="Book Antiqua" w:eastAsia="Book Antiqua" w:hAnsi="Book Antiqua" w:cs="Book Antiqua"/>
          <w:color w:val="000000"/>
        </w:rPr>
        <w:t>. Changes in the gut microbiota in obesity disrupt the intestinal endothelial barrier, eliciting systemic bacterial translocation and hepatic inflammation by microbiota-related endotoxins and short-chain fatty acids that reach the liver through the portal vein</w:t>
      </w:r>
      <w:r w:rsidRPr="009A225C">
        <w:rPr>
          <w:rFonts w:ascii="Book Antiqua" w:eastAsia="Book Antiqua" w:hAnsi="Book Antiqua" w:cs="Book Antiqua"/>
          <w:color w:val="000000"/>
          <w:vertAlign w:val="superscript"/>
        </w:rPr>
        <w:t>[26]</w:t>
      </w:r>
      <w:r w:rsidRPr="009A225C">
        <w:rPr>
          <w:rFonts w:ascii="Book Antiqua" w:eastAsia="Book Antiqua" w:hAnsi="Book Antiqua" w:cs="Book Antiqua"/>
          <w:color w:val="000000"/>
        </w:rPr>
        <w:t>.</w:t>
      </w:r>
    </w:p>
    <w:p w14:paraId="1FFD4CCE" w14:textId="27E0A854"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Concerning a possible genetic predisposition to MAFLD, the adipose tissue of obese patients with fatty liver has upregulation of pro-inflammatory genes and macrophages-producing cytokines compared to obese subjects that do not develop MAFLD</w:t>
      </w:r>
      <w:r w:rsidRPr="009A225C">
        <w:rPr>
          <w:rFonts w:ascii="Book Antiqua" w:eastAsia="Book Antiqua" w:hAnsi="Book Antiqua" w:cs="Book Antiqua"/>
          <w:color w:val="000000"/>
          <w:vertAlign w:val="superscript"/>
        </w:rPr>
        <w:t>[34]</w:t>
      </w:r>
      <w:r w:rsidRPr="009A225C">
        <w:rPr>
          <w:rFonts w:ascii="Book Antiqua" w:eastAsia="Book Antiqua" w:hAnsi="Book Antiqua" w:cs="Book Antiqua"/>
          <w:color w:val="000000"/>
        </w:rPr>
        <w:t>. This observation raises the hypothesis of a genetic polymorphism that explains why some obese individuals develop MAFLD, while others do not</w:t>
      </w:r>
      <w:r w:rsidRPr="009A225C">
        <w:rPr>
          <w:rFonts w:ascii="Book Antiqua" w:eastAsia="Book Antiqua" w:hAnsi="Book Antiqua" w:cs="Book Antiqua"/>
          <w:color w:val="000000"/>
          <w:vertAlign w:val="superscript"/>
        </w:rPr>
        <w:t>[35]</w:t>
      </w:r>
      <w:r w:rsidRPr="009A225C">
        <w:rPr>
          <w:rFonts w:ascii="Book Antiqua" w:eastAsia="Book Antiqua" w:hAnsi="Book Antiqua" w:cs="Book Antiqua"/>
          <w:color w:val="000000"/>
        </w:rPr>
        <w:t xml:space="preserve">. Briefly, an allele in the </w:t>
      </w:r>
      <w:r w:rsidRPr="00390076">
        <w:rPr>
          <w:rFonts w:ascii="Book Antiqua" w:eastAsia="Book Antiqua" w:hAnsi="Book Antiqua" w:cs="Book Antiqua"/>
          <w:i/>
          <w:iCs/>
          <w:color w:val="000000"/>
        </w:rPr>
        <w:t>PNPLA3</w:t>
      </w:r>
      <w:r w:rsidRPr="009A225C">
        <w:rPr>
          <w:rFonts w:ascii="Book Antiqua" w:eastAsia="Book Antiqua" w:hAnsi="Book Antiqua" w:cs="Book Antiqua"/>
          <w:color w:val="000000"/>
        </w:rPr>
        <w:t xml:space="preserve"> gene is a surrogate for the MAFLD onset and hepatic inflammation</w:t>
      </w:r>
      <w:r w:rsidRPr="009A225C">
        <w:rPr>
          <w:rFonts w:ascii="Book Antiqua" w:eastAsia="Book Antiqua" w:hAnsi="Book Antiqua" w:cs="Book Antiqua"/>
          <w:color w:val="000000"/>
          <w:vertAlign w:val="superscript"/>
        </w:rPr>
        <w:t>[36]</w:t>
      </w:r>
      <w:r w:rsidRPr="009A225C">
        <w:rPr>
          <w:rFonts w:ascii="Book Antiqua" w:eastAsia="Book Antiqua" w:hAnsi="Book Antiqua" w:cs="Book Antiqua"/>
          <w:color w:val="000000"/>
        </w:rPr>
        <w:t xml:space="preserve">. Other genes like </w:t>
      </w:r>
      <w:r w:rsidRPr="009A225C">
        <w:rPr>
          <w:rFonts w:ascii="Book Antiqua" w:eastAsia="Book Antiqua" w:hAnsi="Book Antiqua" w:cs="Book Antiqua"/>
          <w:i/>
          <w:color w:val="000000"/>
        </w:rPr>
        <w:t>FDFT1, TM6SF2</w:t>
      </w:r>
      <w:r w:rsidRPr="009A225C">
        <w:rPr>
          <w:rFonts w:ascii="Book Antiqua" w:eastAsia="Book Antiqua" w:hAnsi="Book Antiqua" w:cs="Book Antiqua"/>
          <w:color w:val="000000"/>
        </w:rPr>
        <w:t xml:space="preserve">, </w:t>
      </w:r>
      <w:r w:rsidRPr="009A225C">
        <w:rPr>
          <w:rFonts w:ascii="Book Antiqua" w:eastAsia="Book Antiqua" w:hAnsi="Book Antiqua" w:cs="Book Antiqua"/>
          <w:i/>
          <w:color w:val="000000"/>
        </w:rPr>
        <w:t xml:space="preserve">GCKR, </w:t>
      </w:r>
      <w:r w:rsidRPr="009A225C">
        <w:rPr>
          <w:rFonts w:ascii="Book Antiqua" w:eastAsia="Book Antiqua" w:hAnsi="Book Antiqua" w:cs="Book Antiqua"/>
          <w:color w:val="000000"/>
        </w:rPr>
        <w:t xml:space="preserve">and </w:t>
      </w:r>
      <w:r w:rsidRPr="009A225C">
        <w:rPr>
          <w:rFonts w:ascii="Book Antiqua" w:eastAsia="Book Antiqua" w:hAnsi="Book Antiqua" w:cs="Book Antiqua"/>
          <w:i/>
          <w:color w:val="000000"/>
        </w:rPr>
        <w:t>MBAT7</w:t>
      </w:r>
      <w:r w:rsidRPr="009A225C">
        <w:rPr>
          <w:rFonts w:ascii="Book Antiqua" w:eastAsia="Book Antiqua" w:hAnsi="Book Antiqua" w:cs="Book Antiqua"/>
          <w:color w:val="000000"/>
        </w:rPr>
        <w:t xml:space="preserve"> have already been linked to the progression of MAFLD</w:t>
      </w:r>
      <w:r w:rsidRPr="009A225C">
        <w:rPr>
          <w:rFonts w:ascii="Book Antiqua" w:eastAsia="Book Antiqua" w:hAnsi="Book Antiqua" w:cs="Book Antiqua"/>
          <w:color w:val="000000"/>
          <w:vertAlign w:val="superscript"/>
        </w:rPr>
        <w:t>[37]</w:t>
      </w:r>
      <w:r w:rsidRPr="009A225C">
        <w:rPr>
          <w:rFonts w:ascii="Book Antiqua" w:eastAsia="Book Antiqua" w:hAnsi="Book Antiqua" w:cs="Book Antiqua"/>
          <w:color w:val="000000"/>
        </w:rPr>
        <w:t>. However, the complete identity of "MAFLD related to genetics" still needs to be further investigated.</w:t>
      </w:r>
    </w:p>
    <w:p w14:paraId="5378411E" w14:textId="77777777" w:rsidR="00A77B3E" w:rsidRPr="009A225C" w:rsidRDefault="00A77B3E" w:rsidP="009A225C">
      <w:pPr>
        <w:snapToGrid w:val="0"/>
        <w:spacing w:line="360" w:lineRule="auto"/>
        <w:jc w:val="both"/>
        <w:rPr>
          <w:rFonts w:ascii="Book Antiqua" w:hAnsi="Book Antiqua"/>
        </w:rPr>
      </w:pPr>
    </w:p>
    <w:p w14:paraId="47670446" w14:textId="473FA355" w:rsidR="00A77B3E" w:rsidRPr="009A225C" w:rsidRDefault="00A61BEF" w:rsidP="009A225C">
      <w:pPr>
        <w:snapToGrid w:val="0"/>
        <w:spacing w:line="360" w:lineRule="auto"/>
        <w:jc w:val="both"/>
        <w:rPr>
          <w:rFonts w:ascii="Book Antiqua" w:hAnsi="Book Antiqua"/>
          <w:b/>
          <w:u w:val="single"/>
        </w:rPr>
      </w:pPr>
      <w:r w:rsidRPr="009A225C">
        <w:rPr>
          <w:rFonts w:ascii="Book Antiqua" w:eastAsia="Book Antiqua" w:hAnsi="Book Antiqua" w:cs="Book Antiqua"/>
          <w:b/>
          <w:color w:val="000000"/>
          <w:u w:val="single"/>
        </w:rPr>
        <w:t>CORONAVIRUS DISEASE 2019 PROGNOSIS IN METABOLIC DYSFUNCTION-ASSOCIATED FATTY LIVER DISEASE PATIENTS</w:t>
      </w:r>
    </w:p>
    <w:p w14:paraId="561BCC3E" w14:textId="77777777" w:rsidR="00A77B3E" w:rsidRPr="009A225C" w:rsidRDefault="00AF38BA" w:rsidP="009A225C">
      <w:pPr>
        <w:snapToGrid w:val="0"/>
        <w:spacing w:line="360" w:lineRule="auto"/>
        <w:jc w:val="both"/>
        <w:rPr>
          <w:rFonts w:ascii="Book Antiqua" w:hAnsi="Book Antiqua"/>
          <w:b/>
          <w:bCs/>
        </w:rPr>
      </w:pPr>
      <w:r w:rsidRPr="009A225C">
        <w:rPr>
          <w:rFonts w:ascii="Book Antiqua" w:eastAsia="Book Antiqua" w:hAnsi="Book Antiqua" w:cs="Book Antiqua"/>
          <w:b/>
          <w:bCs/>
          <w:i/>
          <w:iCs/>
          <w:color w:val="000000"/>
        </w:rPr>
        <w:t>Hepatic outcomes of COVID-19</w:t>
      </w:r>
    </w:p>
    <w:p w14:paraId="03774610" w14:textId="1B28CCD3"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The clinical course of COVID-19 encompasses elevated aspartate aminotransferase</w:t>
      </w:r>
      <w:r w:rsidR="00740355"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and alanine aminotransferase</w:t>
      </w:r>
      <w:r w:rsidR="00740355"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combined with a mild rise in bilirubin levels</w:t>
      </w:r>
      <w:r w:rsidRPr="009A225C">
        <w:rPr>
          <w:rFonts w:ascii="Book Antiqua" w:eastAsia="Book Antiqua" w:hAnsi="Book Antiqua" w:cs="Book Antiqua"/>
          <w:color w:val="000000"/>
          <w:vertAlign w:val="superscript"/>
        </w:rPr>
        <w:t>[38]</w:t>
      </w:r>
      <w:r w:rsidRPr="009A225C">
        <w:rPr>
          <w:rFonts w:ascii="Book Antiqua" w:eastAsia="Book Antiqua" w:hAnsi="Book Antiqua" w:cs="Book Antiqua"/>
          <w:color w:val="000000"/>
        </w:rPr>
        <w:t>. A study in China found that 37.3% of patients had an abnormal liver function at hospital admission</w:t>
      </w:r>
      <w:r w:rsidRPr="009A225C">
        <w:rPr>
          <w:rFonts w:ascii="Book Antiqua" w:eastAsia="Book Antiqua" w:hAnsi="Book Antiqua" w:cs="Book Antiqua"/>
          <w:color w:val="000000"/>
          <w:vertAlign w:val="superscript"/>
        </w:rPr>
        <w:t>[39]</w:t>
      </w:r>
      <w:r w:rsidRPr="009A225C">
        <w:rPr>
          <w:rFonts w:ascii="Book Antiqua" w:eastAsia="Book Antiqua" w:hAnsi="Book Antiqua" w:cs="Book Antiqua"/>
          <w:color w:val="000000"/>
        </w:rPr>
        <w:t>. In Mexico, 96.8% of patients (</w:t>
      </w:r>
      <w:r w:rsidRPr="009A225C">
        <w:rPr>
          <w:rFonts w:ascii="Book Antiqua" w:eastAsia="Book Antiqua" w:hAnsi="Book Antiqua" w:cs="Book Antiqua"/>
          <w:i/>
          <w:iCs/>
          <w:color w:val="000000"/>
        </w:rPr>
        <w:t>n</w:t>
      </w:r>
      <w:r w:rsidRPr="009A225C">
        <w:rPr>
          <w:rFonts w:ascii="Book Antiqua" w:eastAsia="Book Antiqua" w:hAnsi="Book Antiqua" w:cs="Book Antiqua"/>
          <w:color w:val="000000"/>
        </w:rPr>
        <w:t xml:space="preserve"> = 150) had a liver impairment but without an association between abnormal liver function tests and mortality</w:t>
      </w:r>
      <w:r w:rsidRPr="009A225C">
        <w:rPr>
          <w:rFonts w:ascii="Book Antiqua" w:eastAsia="Book Antiqua" w:hAnsi="Book Antiqua" w:cs="Book Antiqua"/>
          <w:color w:val="000000"/>
          <w:vertAlign w:val="superscript"/>
        </w:rPr>
        <w:t>[40]</w:t>
      </w:r>
      <w:r w:rsidRPr="009A225C">
        <w:rPr>
          <w:rFonts w:ascii="Book Antiqua" w:eastAsia="Book Antiqua" w:hAnsi="Book Antiqua" w:cs="Book Antiqua"/>
          <w:color w:val="000000"/>
        </w:rPr>
        <w:t xml:space="preserve">. A Chinese study has suggested </w:t>
      </w:r>
      <w:r w:rsidR="00740355" w:rsidRPr="009A225C">
        <w:rPr>
          <w:rFonts w:ascii="Book Antiqua" w:eastAsia="Book Antiqua" w:hAnsi="Book Antiqua" w:cs="Book Antiqua"/>
          <w:color w:val="000000"/>
        </w:rPr>
        <w:t>aspartate aminotransferase</w:t>
      </w:r>
      <w:r w:rsidRPr="009A225C">
        <w:rPr>
          <w:rFonts w:ascii="Book Antiqua" w:eastAsia="Book Antiqua" w:hAnsi="Book Antiqua" w:cs="Book Antiqua"/>
          <w:color w:val="000000"/>
        </w:rPr>
        <w:t xml:space="preserve"> as a promising marker to predict hospital stay, with higher values suggestive of prolonged periods. However, this information might not apply to different populations and should be better addressed</w:t>
      </w:r>
      <w:r w:rsidRPr="009A225C">
        <w:rPr>
          <w:rFonts w:ascii="Book Antiqua" w:eastAsia="Book Antiqua" w:hAnsi="Book Antiqua" w:cs="Book Antiqua"/>
          <w:color w:val="000000"/>
          <w:vertAlign w:val="superscript"/>
        </w:rPr>
        <w:t>[41]</w:t>
      </w:r>
      <w:r w:rsidRPr="009A225C">
        <w:rPr>
          <w:rFonts w:ascii="Book Antiqua" w:eastAsia="Book Antiqua" w:hAnsi="Book Antiqua" w:cs="Book Antiqua"/>
          <w:color w:val="000000"/>
        </w:rPr>
        <w:t>.</w:t>
      </w:r>
    </w:p>
    <w:p w14:paraId="11C777A2" w14:textId="314AF7D7"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Concerning histological liver changes, a post-mortem study in Belgium revealed histological alterations in all 14 </w:t>
      </w:r>
      <w:r w:rsidR="00172E50">
        <w:rPr>
          <w:rFonts w:ascii="Book Antiqua" w:eastAsia="Book Antiqua" w:hAnsi="Book Antiqua" w:cs="Book Antiqua"/>
          <w:color w:val="000000"/>
        </w:rPr>
        <w:t xml:space="preserve">deceased </w:t>
      </w:r>
      <w:r w:rsidRPr="009A225C">
        <w:rPr>
          <w:rFonts w:ascii="Book Antiqua" w:eastAsia="Book Antiqua" w:hAnsi="Book Antiqua" w:cs="Book Antiqua"/>
          <w:color w:val="000000"/>
        </w:rPr>
        <w:t>COVID-19 patients, with central lobular necrosis and portal inflammation as the most frequent hepatic histological damages</w:t>
      </w:r>
      <w:r w:rsidRPr="009A225C">
        <w:rPr>
          <w:rFonts w:ascii="Book Antiqua" w:eastAsia="Book Antiqua" w:hAnsi="Book Antiqua" w:cs="Book Antiqua"/>
          <w:color w:val="000000"/>
          <w:vertAlign w:val="superscript"/>
        </w:rPr>
        <w:t>[42]</w:t>
      </w:r>
      <w:r w:rsidRPr="009A225C">
        <w:rPr>
          <w:rFonts w:ascii="Book Antiqua" w:eastAsia="Book Antiqua" w:hAnsi="Book Antiqua" w:cs="Book Antiqua"/>
          <w:color w:val="000000"/>
        </w:rPr>
        <w:t>. In agreement with this, COVID-19 patients with acute respiratory distress syndrome showed mild microvesicular steatosis</w:t>
      </w:r>
      <w:r w:rsidR="00172E50">
        <w:rPr>
          <w:rFonts w:ascii="Book Antiqua" w:eastAsia="Book Antiqua" w:hAnsi="Book Antiqua" w:cs="Book Antiqua"/>
          <w:color w:val="000000"/>
        </w:rPr>
        <w:t xml:space="preserve"> and</w:t>
      </w:r>
      <w:r w:rsidRPr="009A225C">
        <w:rPr>
          <w:rFonts w:ascii="Book Antiqua" w:eastAsia="Book Antiqua" w:hAnsi="Book Antiqua" w:cs="Book Antiqua"/>
          <w:color w:val="000000"/>
        </w:rPr>
        <w:t xml:space="preserve"> lobular and portal activity in China</w:t>
      </w:r>
      <w:r w:rsidRPr="009A225C">
        <w:rPr>
          <w:rFonts w:ascii="Book Antiqua" w:eastAsia="Book Antiqua" w:hAnsi="Book Antiqua" w:cs="Book Antiqua"/>
          <w:color w:val="000000"/>
          <w:vertAlign w:val="superscript"/>
        </w:rPr>
        <w:t>[43]</w:t>
      </w:r>
      <w:r w:rsidRPr="009A225C">
        <w:rPr>
          <w:rFonts w:ascii="Book Antiqua" w:eastAsia="Book Antiqua" w:hAnsi="Book Antiqua" w:cs="Book Antiqua"/>
          <w:color w:val="000000"/>
        </w:rPr>
        <w:t>. The most common post-mortem histological findings in 40 North Americans that died from COVID-19 were fatty liver (75%), mild acute hepatitis (50%), and portal inflammation (50%). However, the fat distribution pattern was not typical of MAFLD and might stem from the administration of steroids during hospitalization</w:t>
      </w:r>
      <w:r w:rsidRPr="009A225C">
        <w:rPr>
          <w:rFonts w:ascii="Book Antiqua" w:eastAsia="Book Antiqua" w:hAnsi="Book Antiqua" w:cs="Book Antiqua"/>
          <w:color w:val="000000"/>
          <w:vertAlign w:val="superscript"/>
        </w:rPr>
        <w:t>[44]</w:t>
      </w:r>
      <w:r w:rsidRPr="009A225C">
        <w:rPr>
          <w:rFonts w:ascii="Book Antiqua" w:eastAsia="Book Antiqua" w:hAnsi="Book Antiqua" w:cs="Book Antiqua"/>
          <w:color w:val="000000"/>
        </w:rPr>
        <w:t>.</w:t>
      </w:r>
    </w:p>
    <w:p w14:paraId="2C452E96" w14:textId="7F5BBC72"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In line with these previous findings, a Chinese study showed 96% of hepatocellular liver injury among COVID-19 hospitalized subjects, with 50% of them presenting liver injury at hospital admission and 75.2% showing liver injury during hospital stay</w:t>
      </w:r>
      <w:r w:rsidRPr="009A225C">
        <w:rPr>
          <w:rFonts w:ascii="Book Antiqua" w:eastAsia="Book Antiqua" w:hAnsi="Book Antiqua" w:cs="Book Antiqua"/>
          <w:color w:val="000000"/>
          <w:vertAlign w:val="superscript"/>
        </w:rPr>
        <w:t>[45]</w:t>
      </w:r>
      <w:r w:rsidRPr="009A225C">
        <w:rPr>
          <w:rFonts w:ascii="Book Antiqua" w:eastAsia="Book Antiqua" w:hAnsi="Book Antiqua" w:cs="Book Antiqua"/>
          <w:color w:val="000000"/>
        </w:rPr>
        <w:t xml:space="preserve">. This observation emphasizes that not only </w:t>
      </w:r>
      <w:r w:rsidR="008230D6">
        <w:rPr>
          <w:rFonts w:ascii="Book Antiqua" w:eastAsia="Book Antiqua" w:hAnsi="Book Antiqua" w:cs="Book Antiqua"/>
          <w:color w:val="000000"/>
        </w:rPr>
        <w:t>could</w:t>
      </w:r>
      <w:r w:rsidRPr="009A225C">
        <w:rPr>
          <w:rFonts w:ascii="Book Antiqua" w:eastAsia="Book Antiqua" w:hAnsi="Book Antiqua" w:cs="Book Antiqua"/>
          <w:color w:val="000000"/>
        </w:rPr>
        <w:t xml:space="preserve"> the pre-existing hepatic disease produce a severe form of COVID-19, but the virus itself can trigger liver damage. Indeed, it is hard to distinguish whether liver injury during hospital stay stemmed from the COVID-19 infection or some drugs used as attempts to stop viral replication</w:t>
      </w:r>
      <w:r w:rsidRPr="009A225C">
        <w:rPr>
          <w:rFonts w:ascii="Book Antiqua" w:eastAsia="Book Antiqua" w:hAnsi="Book Antiqua" w:cs="Book Antiqua"/>
          <w:color w:val="000000"/>
          <w:vertAlign w:val="superscript"/>
        </w:rPr>
        <w:t>[45,46]</w:t>
      </w:r>
      <w:r w:rsidRPr="009A225C">
        <w:rPr>
          <w:rFonts w:ascii="Book Antiqua" w:eastAsia="Book Antiqua" w:hAnsi="Book Antiqua" w:cs="Book Antiqua"/>
          <w:color w:val="000000"/>
        </w:rPr>
        <w:t>. Hepatotoxic effects of paracetamol, lopinavir/ritonavir, remdesivir, chloroquine, tocilizumab, and uminefovir can cause microvesicular steatosis and mild hepatic inflammation</w:t>
      </w:r>
      <w:r w:rsidRPr="009A225C">
        <w:rPr>
          <w:rFonts w:ascii="Book Antiqua" w:eastAsia="Book Antiqua" w:hAnsi="Book Antiqua" w:cs="Book Antiqua"/>
          <w:color w:val="000000"/>
          <w:vertAlign w:val="superscript"/>
        </w:rPr>
        <w:t>[47]</w:t>
      </w:r>
      <w:r w:rsidRPr="009A225C">
        <w:rPr>
          <w:rFonts w:ascii="Book Antiqua" w:eastAsia="Book Antiqua" w:hAnsi="Book Antiqua" w:cs="Book Antiqua"/>
          <w:color w:val="000000"/>
        </w:rPr>
        <w:t>. These findings are depicted in Figure 2.</w:t>
      </w:r>
    </w:p>
    <w:p w14:paraId="7518F4D3" w14:textId="77777777" w:rsidR="00A77B3E" w:rsidRPr="009A225C" w:rsidRDefault="00A77B3E" w:rsidP="009A225C">
      <w:pPr>
        <w:snapToGrid w:val="0"/>
        <w:spacing w:line="360" w:lineRule="auto"/>
        <w:jc w:val="both"/>
        <w:rPr>
          <w:rFonts w:ascii="Book Antiqua" w:hAnsi="Book Antiqua"/>
        </w:rPr>
      </w:pPr>
    </w:p>
    <w:p w14:paraId="597535AB" w14:textId="6049ED58" w:rsidR="00A77B3E" w:rsidRPr="009A225C" w:rsidRDefault="00485C63" w:rsidP="009A225C">
      <w:pPr>
        <w:snapToGrid w:val="0"/>
        <w:spacing w:line="360" w:lineRule="auto"/>
        <w:jc w:val="both"/>
        <w:rPr>
          <w:rFonts w:ascii="Book Antiqua" w:hAnsi="Book Antiqua"/>
          <w:b/>
          <w:bCs/>
          <w:u w:val="single"/>
        </w:rPr>
      </w:pPr>
      <w:r w:rsidRPr="009A225C">
        <w:rPr>
          <w:rFonts w:ascii="Book Antiqua" w:eastAsia="Book Antiqua" w:hAnsi="Book Antiqua" w:cs="Book Antiqua"/>
          <w:b/>
          <w:color w:val="000000"/>
          <w:u w:val="single"/>
        </w:rPr>
        <w:t>METABOLIC DYSFUNCTION-ASSOCIATED FATTY LIVER DISEASE</w:t>
      </w:r>
      <w:r w:rsidRPr="009A225C">
        <w:rPr>
          <w:rFonts w:ascii="Book Antiqua" w:eastAsia="Book Antiqua" w:hAnsi="Book Antiqua" w:cs="Book Antiqua"/>
          <w:b/>
          <w:bCs/>
          <w:color w:val="000000"/>
          <w:u w:val="single"/>
        </w:rPr>
        <w:t xml:space="preserve"> IN </w:t>
      </w:r>
      <w:r w:rsidRPr="009A225C">
        <w:rPr>
          <w:rFonts w:ascii="Book Antiqua" w:eastAsia="Book Antiqua" w:hAnsi="Book Antiqua" w:cs="Book Antiqua"/>
          <w:b/>
          <w:color w:val="000000"/>
          <w:u w:val="single"/>
        </w:rPr>
        <w:t>CORONAVIRUS DISEASE 2019</w:t>
      </w:r>
      <w:r w:rsidRPr="009A225C">
        <w:rPr>
          <w:rFonts w:ascii="Book Antiqua" w:eastAsia="Book Antiqua" w:hAnsi="Book Antiqua" w:cs="Book Antiqua"/>
          <w:b/>
          <w:bCs/>
          <w:color w:val="000000"/>
          <w:u w:val="single"/>
        </w:rPr>
        <w:t xml:space="preserve"> PATIENTS: INCREASED SEVERITY WHEN COMPARED TO OBESITY?</w:t>
      </w:r>
    </w:p>
    <w:p w14:paraId="0098B412" w14:textId="6913FB5E"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MAFLD is considered a pre-existing condition that turns individuals more vulnerable to COVID-19 infection and virus-related complications. Furthermore, these patients may have an increased risk of MAFLD to NASH progression, a long-term consequence of viral infection</w:t>
      </w:r>
      <w:r w:rsidRPr="009A225C">
        <w:rPr>
          <w:rFonts w:ascii="Book Antiqua" w:eastAsia="Book Antiqua" w:hAnsi="Book Antiqua" w:cs="Book Antiqua"/>
          <w:color w:val="000000"/>
          <w:vertAlign w:val="superscript"/>
        </w:rPr>
        <w:t>[48]</w:t>
      </w:r>
      <w:r w:rsidRPr="009A225C">
        <w:rPr>
          <w:rFonts w:ascii="Book Antiqua" w:eastAsia="Book Antiqua" w:hAnsi="Book Antiqua" w:cs="Book Antiqua"/>
          <w:color w:val="000000"/>
        </w:rPr>
        <w:t xml:space="preserve">. As MAFLD is frequently associated with overweight/obesity, it is sometimes hard to separate the single effect each one exerts on COVID-19 severity. Herein, we outlined the most recent evidence after almost </w:t>
      </w:r>
      <w:r w:rsidR="008230D6">
        <w:rPr>
          <w:rFonts w:ascii="Book Antiqua" w:eastAsia="Book Antiqua" w:hAnsi="Book Antiqua" w:cs="Book Antiqua"/>
          <w:color w:val="000000"/>
        </w:rPr>
        <w:t>1</w:t>
      </w:r>
      <w:r w:rsidRPr="009A225C">
        <w:rPr>
          <w:rFonts w:ascii="Book Antiqua" w:eastAsia="Book Antiqua" w:hAnsi="Book Antiqua" w:cs="Book Antiqua"/>
          <w:color w:val="000000"/>
        </w:rPr>
        <w:t xml:space="preserve"> year from the beginning of the pandemic.</w:t>
      </w:r>
    </w:p>
    <w:p w14:paraId="7D40CCEF" w14:textId="597A6BBF"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The presence of MAFLD could predict severe COVID-19 (more than 2-fold prevalence) and critical illness in patients younger than 60 years old in China</w:t>
      </w:r>
      <w:r w:rsidRPr="009A225C">
        <w:rPr>
          <w:rFonts w:ascii="Book Antiqua" w:eastAsia="Book Antiqua" w:hAnsi="Book Antiqua" w:cs="Book Antiqua"/>
          <w:color w:val="000000"/>
          <w:vertAlign w:val="superscript"/>
        </w:rPr>
        <w:t>[49]</w:t>
      </w:r>
      <w:r w:rsidRPr="009A225C">
        <w:rPr>
          <w:rFonts w:ascii="Book Antiqua" w:eastAsia="Book Antiqua" w:hAnsi="Book Antiqua" w:cs="Book Antiqua"/>
          <w:color w:val="000000"/>
        </w:rPr>
        <w:t xml:space="preserve">, </w:t>
      </w:r>
      <w:r w:rsidR="0044655B">
        <w:rPr>
          <w:rFonts w:ascii="Book Antiqua" w:eastAsia="Book Antiqua" w:hAnsi="Book Antiqua" w:cs="Book Antiqua"/>
          <w:color w:val="000000"/>
        </w:rPr>
        <w:t>in addition to</w:t>
      </w:r>
      <w:r w:rsidRPr="009A225C">
        <w:rPr>
          <w:rFonts w:ascii="Book Antiqua" w:eastAsia="Book Antiqua" w:hAnsi="Book Antiqua" w:cs="Book Antiqua"/>
          <w:color w:val="000000"/>
        </w:rPr>
        <w:t xml:space="preserve"> longer viral shedding time (17.5 d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12.1 d on average)</w:t>
      </w:r>
      <w:r w:rsidRPr="009A225C">
        <w:rPr>
          <w:rFonts w:ascii="Book Antiqua" w:eastAsia="Book Antiqua" w:hAnsi="Book Antiqua" w:cs="Book Antiqua"/>
          <w:color w:val="000000"/>
          <w:vertAlign w:val="superscript"/>
        </w:rPr>
        <w:t>[45]</w:t>
      </w:r>
      <w:r w:rsidRPr="009A225C">
        <w:rPr>
          <w:rFonts w:ascii="Book Antiqua" w:eastAsia="Book Antiqua" w:hAnsi="Book Antiqua" w:cs="Book Antiqua"/>
          <w:color w:val="000000"/>
        </w:rPr>
        <w:t xml:space="preserve">. Furthermore, Chinese MAFLD patients without type 2 diabetes showed a 4-fold high risk for severe COVID-19, </w:t>
      </w:r>
      <w:r w:rsidR="0044655B">
        <w:rPr>
          <w:rFonts w:ascii="Book Antiqua" w:eastAsia="Book Antiqua" w:hAnsi="Book Antiqua" w:cs="Book Antiqua"/>
          <w:color w:val="000000"/>
        </w:rPr>
        <w:t>and</w:t>
      </w:r>
      <w:r w:rsidR="0044655B"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a 12% increase in the risk for severe COVID-19</w:t>
      </w:r>
      <w:r w:rsidR="0044655B">
        <w:rPr>
          <w:rFonts w:ascii="Book Antiqua" w:eastAsia="Book Antiqua" w:hAnsi="Book Antiqua" w:cs="Book Antiqua"/>
          <w:color w:val="000000"/>
        </w:rPr>
        <w:t xml:space="preserve"> for</w:t>
      </w:r>
      <w:r w:rsidRPr="009A225C">
        <w:rPr>
          <w:rFonts w:ascii="Book Antiqua" w:eastAsia="Book Antiqua" w:hAnsi="Book Antiqua" w:cs="Book Antiqua"/>
          <w:color w:val="000000"/>
        </w:rPr>
        <w:t xml:space="preserve"> each 1-unit augmentation in body mass index</w:t>
      </w:r>
      <w:r w:rsidRPr="009A225C">
        <w:rPr>
          <w:rFonts w:ascii="Book Antiqua" w:eastAsia="Book Antiqua" w:hAnsi="Book Antiqua" w:cs="Book Antiqua"/>
          <w:color w:val="000000"/>
          <w:vertAlign w:val="superscript"/>
        </w:rPr>
        <w:t>[50]</w:t>
      </w:r>
      <w:r w:rsidRPr="009A225C">
        <w:rPr>
          <w:rFonts w:ascii="Book Antiqua" w:eastAsia="Book Antiqua" w:hAnsi="Book Antiqua" w:cs="Book Antiqua"/>
          <w:color w:val="000000"/>
        </w:rPr>
        <w:t xml:space="preserve">. Obesity conferred a </w:t>
      </w:r>
      <w:r w:rsidR="0044655B">
        <w:rPr>
          <w:rFonts w:ascii="Book Antiqua" w:eastAsia="Book Antiqua" w:hAnsi="Book Antiqua" w:cs="Book Antiqua"/>
          <w:color w:val="000000"/>
        </w:rPr>
        <w:t>6</w:t>
      </w:r>
      <w:r w:rsidR="003750BF">
        <w:rPr>
          <w:rFonts w:ascii="Book Antiqua" w:eastAsia="Book Antiqua" w:hAnsi="Book Antiqua" w:cs="Book Antiqua"/>
          <w:color w:val="000000"/>
        </w:rPr>
        <w:t xml:space="preserve"> times</w:t>
      </w:r>
      <w:r w:rsidRPr="009A225C">
        <w:rPr>
          <w:rFonts w:ascii="Book Antiqua" w:eastAsia="Book Antiqua" w:hAnsi="Book Antiqua" w:cs="Book Antiqua"/>
          <w:color w:val="000000"/>
        </w:rPr>
        <w:t xml:space="preserve"> greater risk of severe infection in Chinese patients with MAFLD </w:t>
      </w:r>
      <w:r w:rsidR="00EF17CE" w:rsidRPr="009A225C">
        <w:rPr>
          <w:rFonts w:ascii="Book Antiqua" w:eastAsia="Book Antiqua" w:hAnsi="Book Antiqua" w:cs="Book Antiqua"/>
          <w:color w:val="000000"/>
        </w:rPr>
        <w:t>[</w:t>
      </w:r>
      <w:r w:rsidRPr="009A225C">
        <w:rPr>
          <w:rFonts w:ascii="Book Antiqua" w:eastAsia="Book Antiqua" w:hAnsi="Book Antiqua" w:cs="Book Antiqua"/>
          <w:color w:val="000000"/>
        </w:rPr>
        <w:t>odds ratio</w:t>
      </w:r>
      <w:r w:rsidR="00EF17CE" w:rsidRPr="009A225C">
        <w:rPr>
          <w:rFonts w:ascii="Book Antiqua" w:eastAsia="Book Antiqua" w:hAnsi="Book Antiqua" w:cs="Book Antiqua"/>
          <w:color w:val="000000"/>
        </w:rPr>
        <w:t xml:space="preserve"> (OR)</w:t>
      </w:r>
      <w:r w:rsidRPr="009A225C">
        <w:rPr>
          <w:rFonts w:ascii="Book Antiqua" w:eastAsia="Book Antiqua" w:hAnsi="Book Antiqua" w:cs="Book Antiqua"/>
          <w:color w:val="000000"/>
        </w:rPr>
        <w:t xml:space="preserve"> did not adapt 5.77, </w:t>
      </w:r>
      <w:r w:rsidRPr="009A225C">
        <w:rPr>
          <w:rFonts w:ascii="Book Antiqua" w:eastAsia="Book Antiqua" w:hAnsi="Book Antiqua" w:cs="Book Antiqua"/>
          <w:i/>
          <w:iCs/>
          <w:color w:val="000000"/>
        </w:rPr>
        <w:t>P</w:t>
      </w:r>
      <w:r w:rsidR="00740355"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w:t>
      </w:r>
      <w:r w:rsidR="00740355"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0.029</w:t>
      </w:r>
      <w:r w:rsidR="00EF17CE"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The association of obesity with COVID-19 severity remained after adjusting for many factors (age, sex, smoking habits, diabetes, hypertension, and dyslipidemia, </w:t>
      </w:r>
      <w:r w:rsidR="00EF17CE" w:rsidRPr="009A225C">
        <w:rPr>
          <w:rFonts w:ascii="Book Antiqua" w:eastAsia="Book Antiqua" w:hAnsi="Book Antiqua" w:cs="Book Antiqua"/>
          <w:color w:val="000000"/>
        </w:rPr>
        <w:t>OR</w:t>
      </w:r>
      <w:r w:rsidRPr="009A225C">
        <w:rPr>
          <w:rFonts w:ascii="Book Antiqua" w:eastAsia="Book Antiqua" w:hAnsi="Book Antiqua" w:cs="Book Antiqua"/>
          <w:color w:val="000000"/>
        </w:rPr>
        <w:t xml:space="preserve"> compatible 6.32, </w:t>
      </w:r>
      <w:r w:rsidRPr="009A225C">
        <w:rPr>
          <w:rFonts w:ascii="Book Antiqua" w:eastAsia="Book Antiqua" w:hAnsi="Book Antiqua" w:cs="Book Antiqua"/>
          <w:i/>
          <w:iCs/>
          <w:color w:val="000000"/>
        </w:rPr>
        <w:t>P</w:t>
      </w:r>
      <w:r w:rsidR="00740355"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w:t>
      </w:r>
      <w:r w:rsidR="00740355"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0.033)</w:t>
      </w:r>
      <w:r w:rsidRPr="009A225C">
        <w:rPr>
          <w:rFonts w:ascii="Book Antiqua" w:eastAsia="Book Antiqua" w:hAnsi="Book Antiqua" w:cs="Book Antiqua"/>
          <w:color w:val="000000"/>
          <w:vertAlign w:val="superscript"/>
        </w:rPr>
        <w:t>[51]</w:t>
      </w:r>
      <w:r w:rsidRPr="009A225C">
        <w:rPr>
          <w:rFonts w:ascii="Book Antiqua" w:eastAsia="Book Antiqua" w:hAnsi="Book Antiqua" w:cs="Book Antiqua"/>
          <w:color w:val="000000"/>
        </w:rPr>
        <w:t>.</w:t>
      </w:r>
    </w:p>
    <w:p w14:paraId="3A02E815" w14:textId="48846BDB"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Conversely, a study considering a large sample in the </w:t>
      </w:r>
      <w:r w:rsidR="00740355" w:rsidRPr="009A225C">
        <w:rPr>
          <w:rFonts w:ascii="Book Antiqua" w:eastAsia="Book Antiqua" w:hAnsi="Book Antiqua" w:cs="Book Antiqua"/>
          <w:color w:val="000000"/>
        </w:rPr>
        <w:t>United States</w:t>
      </w:r>
      <w:r w:rsidRPr="009A225C">
        <w:rPr>
          <w:rFonts w:ascii="Book Antiqua" w:eastAsia="Book Antiqua" w:hAnsi="Book Antiqua" w:cs="Book Antiqua"/>
          <w:color w:val="000000"/>
        </w:rPr>
        <w:t xml:space="preserve"> pointed out MAFLD/NASH as a greater risk for hospitalization than obesity itself</w:t>
      </w:r>
      <w:r w:rsidRPr="009A225C">
        <w:rPr>
          <w:rFonts w:ascii="Book Antiqua" w:eastAsia="Book Antiqua" w:hAnsi="Book Antiqua" w:cs="Book Antiqua"/>
          <w:color w:val="000000"/>
          <w:vertAlign w:val="superscript"/>
        </w:rPr>
        <w:t>[52]</w:t>
      </w:r>
      <w:r w:rsidRPr="009A225C">
        <w:rPr>
          <w:rFonts w:ascii="Book Antiqua" w:eastAsia="Book Antiqua" w:hAnsi="Book Antiqua" w:cs="Book Antiqua"/>
          <w:color w:val="000000"/>
        </w:rPr>
        <w:t>. In line with this, increased rates of COVID-19 clinical severity among MAFLD patients have been observed even after controlling for obesity, suggesting that the effect of MAFLD on disease severity may be more expressive than increased body mass index</w:t>
      </w:r>
      <w:r w:rsidRPr="009A225C">
        <w:rPr>
          <w:rFonts w:ascii="Book Antiqua" w:eastAsia="Book Antiqua" w:hAnsi="Book Antiqua" w:cs="Book Antiqua"/>
          <w:color w:val="000000"/>
          <w:vertAlign w:val="superscript"/>
        </w:rPr>
        <w:t>[53]</w:t>
      </w:r>
      <w:r w:rsidRPr="009A225C">
        <w:rPr>
          <w:rFonts w:ascii="Book Antiqua" w:eastAsia="Book Antiqua" w:hAnsi="Book Antiqua" w:cs="Book Antiqua"/>
          <w:color w:val="000000"/>
        </w:rPr>
        <w:t>. MAFLD/NASH might have a significant role in maximizing chronic inflammation and hypercoagulability, emerging as a pivotal surrogate for severe COVID-19 cases</w:t>
      </w:r>
      <w:r w:rsidRPr="009A225C">
        <w:rPr>
          <w:rFonts w:ascii="Book Antiqua" w:eastAsia="Book Antiqua" w:hAnsi="Book Antiqua" w:cs="Book Antiqua"/>
          <w:color w:val="000000"/>
          <w:vertAlign w:val="superscript"/>
        </w:rPr>
        <w:t>[52]</w:t>
      </w:r>
      <w:r w:rsidRPr="009A225C">
        <w:rPr>
          <w:rFonts w:ascii="Book Antiqua" w:eastAsia="Book Antiqua" w:hAnsi="Book Antiqua" w:cs="Book Antiqua"/>
          <w:color w:val="000000"/>
        </w:rPr>
        <w:t>.</w:t>
      </w:r>
    </w:p>
    <w:p w14:paraId="1C8E4B5E" w14:textId="6FE60DBB"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A study in Brazil showed that hepatic steatosis was found in computed tomography (CT) among 31.9% of COVID-19 positive patients, while only 7.1% of COVID-19 negative subjects showed hepatic steatosis. The </w:t>
      </w:r>
      <w:r w:rsidR="00EF17CE" w:rsidRPr="009A225C">
        <w:rPr>
          <w:rFonts w:ascii="Book Antiqua" w:eastAsia="Book Antiqua" w:hAnsi="Book Antiqua" w:cs="Book Antiqua"/>
          <w:color w:val="000000"/>
        </w:rPr>
        <w:t>OR</w:t>
      </w:r>
      <w:r w:rsidRPr="009A225C">
        <w:rPr>
          <w:rFonts w:ascii="Book Antiqua" w:eastAsia="Book Antiqua" w:hAnsi="Book Antiqua" w:cs="Book Antiqua"/>
          <w:color w:val="000000"/>
        </w:rPr>
        <w:t xml:space="preserve"> was 4.698 after adjusting for age and sex, but they did not evaluate the severity or poor clinical outcomes</w:t>
      </w:r>
      <w:r w:rsidRPr="009A225C">
        <w:rPr>
          <w:rFonts w:ascii="Book Antiqua" w:eastAsia="Book Antiqua" w:hAnsi="Book Antiqua" w:cs="Book Antiqua"/>
          <w:color w:val="000000"/>
          <w:vertAlign w:val="superscript"/>
        </w:rPr>
        <w:t>[54]</w:t>
      </w:r>
      <w:r w:rsidRPr="009A225C">
        <w:rPr>
          <w:rFonts w:ascii="Book Antiqua" w:eastAsia="Book Antiqua" w:hAnsi="Book Antiqua" w:cs="Book Antiqua"/>
          <w:color w:val="000000"/>
        </w:rPr>
        <w:t>. In this context, a meta-analysis carried out with six Chinese studies with 1293 participants revealed that patients with COVID-19 showed a high percentage of MAFLD and increased risk of COVID-19 severity, indicating a need for intensive monitoring of MAFLD patients with COVID-19</w:t>
      </w:r>
      <w:r w:rsidRPr="009A225C">
        <w:rPr>
          <w:rFonts w:ascii="Book Antiqua" w:eastAsia="Book Antiqua" w:hAnsi="Book Antiqua" w:cs="Book Antiqua"/>
          <w:color w:val="000000"/>
          <w:vertAlign w:val="superscript"/>
        </w:rPr>
        <w:t>[55]</w:t>
      </w:r>
      <w:r w:rsidRPr="009A225C">
        <w:rPr>
          <w:rFonts w:ascii="Book Antiqua" w:eastAsia="Book Antiqua" w:hAnsi="Book Antiqua" w:cs="Book Antiqua"/>
          <w:color w:val="000000"/>
        </w:rPr>
        <w:t>.</w:t>
      </w:r>
    </w:p>
    <w:p w14:paraId="19EE118B" w14:textId="73A06299"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In agreement with this, MAFLD entails a constellation of metabolic abnormalities that can</w:t>
      </w:r>
      <w:r w:rsidR="006E3F0D">
        <w:rPr>
          <w:rFonts w:ascii="Book Antiqua" w:eastAsia="Book Antiqua" w:hAnsi="Book Antiqua" w:cs="Book Antiqua"/>
          <w:color w:val="000000"/>
        </w:rPr>
        <w:t xml:space="preserve"> be</w:t>
      </w:r>
      <w:r w:rsidRPr="009A225C">
        <w:rPr>
          <w:rFonts w:ascii="Book Antiqua" w:eastAsia="Book Antiqua" w:hAnsi="Book Antiqua" w:cs="Book Antiqua"/>
          <w:color w:val="000000"/>
        </w:rPr>
        <w:t xml:space="preserve"> aggravate</w:t>
      </w:r>
      <w:r w:rsidR="006E3F0D">
        <w:rPr>
          <w:rFonts w:ascii="Book Antiqua" w:eastAsia="Book Antiqua" w:hAnsi="Book Antiqua" w:cs="Book Antiqua"/>
          <w:color w:val="000000"/>
        </w:rPr>
        <w:t>d</w:t>
      </w:r>
      <w:r w:rsidRPr="009A225C">
        <w:rPr>
          <w:rFonts w:ascii="Book Antiqua" w:eastAsia="Book Antiqua" w:hAnsi="Book Antiqua" w:cs="Book Antiqua"/>
          <w:color w:val="000000"/>
        </w:rPr>
        <w:t xml:space="preserve"> during viral infection. Through univariate analysis, </w:t>
      </w:r>
      <w:r w:rsidR="00C15A08">
        <w:rPr>
          <w:rFonts w:ascii="Book Antiqua" w:eastAsia="Book Antiqua" w:hAnsi="Book Antiqua" w:cs="Book Antiqua"/>
          <w:color w:val="000000"/>
        </w:rPr>
        <w:t xml:space="preserve">it was shown that </w:t>
      </w:r>
      <w:r w:rsidRPr="009A225C">
        <w:rPr>
          <w:rFonts w:ascii="Book Antiqua" w:eastAsia="Book Antiqua" w:hAnsi="Book Antiqua" w:cs="Book Antiqua"/>
          <w:color w:val="000000"/>
        </w:rPr>
        <w:t>metabolic syndrome leads to a higher cumulative incidence of COVID-19, with liver damage being the most associated with this outcome</w:t>
      </w:r>
      <w:r w:rsidRPr="009A225C">
        <w:rPr>
          <w:rFonts w:ascii="Book Antiqua" w:eastAsia="Book Antiqua" w:hAnsi="Book Antiqua" w:cs="Book Antiqua"/>
          <w:color w:val="000000"/>
          <w:vertAlign w:val="superscript"/>
        </w:rPr>
        <w:t>[56]</w:t>
      </w:r>
      <w:r w:rsidRPr="009A225C">
        <w:rPr>
          <w:rFonts w:ascii="Book Antiqua" w:eastAsia="Book Antiqua" w:hAnsi="Book Antiqua" w:cs="Book Antiqua"/>
          <w:color w:val="000000"/>
        </w:rPr>
        <w:t>. Moreover, COVID-19 can cause hypoglycemia or hyperglycemia, compromising glycemic control due to sedentarism, anxiety, or viral tropism to pancreatic tissue</w:t>
      </w:r>
      <w:r w:rsidRPr="009A225C">
        <w:rPr>
          <w:rFonts w:ascii="Book Antiqua" w:eastAsia="Book Antiqua" w:hAnsi="Book Antiqua" w:cs="Book Antiqua"/>
          <w:color w:val="000000"/>
          <w:vertAlign w:val="superscript"/>
        </w:rPr>
        <w:t>[57]</w:t>
      </w:r>
      <w:r w:rsidRPr="009A225C">
        <w:rPr>
          <w:rFonts w:ascii="Book Antiqua" w:eastAsia="Book Antiqua" w:hAnsi="Book Antiqua" w:cs="Book Antiqua"/>
          <w:color w:val="000000"/>
        </w:rPr>
        <w:t>. Continuous monitoring of blood glucose is encouraged as hypoglycemia should be avoided, and glycemia should not exceed 180</w:t>
      </w:r>
      <w:r w:rsidR="001E78FC"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mg/dL or 10</w:t>
      </w:r>
      <w:r w:rsidR="00485C63"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mmol/L in COVID-19 patients. MAFLD patients commonly show hypertension, and surveillance of medication and blood pressure levels can avoid shock in severe COVID-19 cases</w:t>
      </w:r>
      <w:r w:rsidRPr="009A225C">
        <w:rPr>
          <w:rFonts w:ascii="Book Antiqua" w:eastAsia="Book Antiqua" w:hAnsi="Book Antiqua" w:cs="Book Antiqua"/>
          <w:color w:val="000000"/>
          <w:vertAlign w:val="superscript"/>
        </w:rPr>
        <w:t>[58]</w:t>
      </w:r>
      <w:r w:rsidRPr="009A225C">
        <w:rPr>
          <w:rFonts w:ascii="Book Antiqua" w:eastAsia="Book Antiqua" w:hAnsi="Book Antiqua" w:cs="Book Antiqua"/>
          <w:color w:val="000000"/>
        </w:rPr>
        <w:t>.</w:t>
      </w:r>
    </w:p>
    <w:p w14:paraId="5D23C468" w14:textId="4C3703C4"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Despite showing similar COVID-19 symptoms to non-MAFLD, fever in 66.8% and cough in 55.7% of patients</w:t>
      </w:r>
      <w:r w:rsidRPr="009A225C">
        <w:rPr>
          <w:rFonts w:ascii="Book Antiqua" w:eastAsia="Book Antiqua" w:hAnsi="Book Antiqua" w:cs="Book Antiqua"/>
          <w:color w:val="000000"/>
          <w:vertAlign w:val="superscript"/>
        </w:rPr>
        <w:t>[39]</w:t>
      </w:r>
      <w:r w:rsidRPr="009A225C">
        <w:rPr>
          <w:rFonts w:ascii="Book Antiqua" w:eastAsia="Book Antiqua" w:hAnsi="Book Antiqua" w:cs="Book Antiqua"/>
          <w:color w:val="000000"/>
        </w:rPr>
        <w:t>, MAFLD patients showed higher chances of intensive care unit admission (</w:t>
      </w:r>
      <w:r w:rsidR="001E78FC" w:rsidRPr="009A225C">
        <w:rPr>
          <w:rFonts w:ascii="Book Antiqua" w:eastAsia="Book Antiqua" w:hAnsi="Book Antiqua" w:cs="Book Antiqua"/>
          <w:color w:val="000000"/>
        </w:rPr>
        <w:t>intensive care unit</w:t>
      </w:r>
      <w:r w:rsidRPr="009A225C">
        <w:rPr>
          <w:rFonts w:ascii="Book Antiqua" w:eastAsia="Book Antiqua" w:hAnsi="Book Antiqua" w:cs="Book Antiqua"/>
          <w:color w:val="000000"/>
        </w:rPr>
        <w:t>, OR</w:t>
      </w:r>
      <w:r w:rsidR="00485C63"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1.60), intubation (2.51), need for vasopressors (1.22)</w:t>
      </w:r>
      <w:r w:rsidR="003750BF">
        <w:rPr>
          <w:rFonts w:ascii="Book Antiqua" w:eastAsia="Book Antiqua" w:hAnsi="Book Antiqua" w:cs="Book Antiqua"/>
          <w:color w:val="000000"/>
        </w:rPr>
        <w:t>,</w:t>
      </w:r>
      <w:r w:rsidRPr="009A225C">
        <w:rPr>
          <w:rFonts w:ascii="Book Antiqua" w:eastAsia="Book Antiqua" w:hAnsi="Book Antiqua" w:cs="Book Antiqua"/>
          <w:color w:val="000000"/>
        </w:rPr>
        <w:t xml:space="preserve"> and </w:t>
      </w:r>
      <w:r w:rsidR="00740355" w:rsidRPr="009A225C">
        <w:rPr>
          <w:rFonts w:ascii="Book Antiqua" w:eastAsia="Book Antiqua" w:hAnsi="Book Antiqua" w:cs="Book Antiqua"/>
          <w:color w:val="000000"/>
        </w:rPr>
        <w:t xml:space="preserve">alanine aminotransferase </w:t>
      </w:r>
      <w:r w:rsidRPr="009A225C">
        <w:rPr>
          <w:rFonts w:ascii="Book Antiqua" w:eastAsia="Book Antiqua" w:hAnsi="Book Antiqua" w:cs="Book Antiqua"/>
          <w:color w:val="000000"/>
        </w:rPr>
        <w:t>&gt; 5</w:t>
      </w:r>
      <w:r w:rsidR="00376DCC" w:rsidRPr="009A225C">
        <w:rPr>
          <w:rFonts w:ascii="Book Antiqua" w:eastAsia="Book Antiqua" w:hAnsi="Book Antiqua" w:cs="Book Antiqua"/>
          <w:color w:val="000000"/>
        </w:rPr>
        <w:t xml:space="preserve"> </w:t>
      </w:r>
      <w:r w:rsidR="003750BF">
        <w:rPr>
          <w:rFonts w:ascii="Book Antiqua" w:eastAsia="Book Antiqua" w:hAnsi="Book Antiqua" w:cs="Book Antiqua"/>
          <w:color w:val="000000"/>
        </w:rPr>
        <w:t>times</w:t>
      </w:r>
      <w:r w:rsidRPr="009A225C">
        <w:rPr>
          <w:rFonts w:ascii="Book Antiqua" w:eastAsia="Book Antiqua" w:hAnsi="Book Antiqua" w:cs="Book Antiqua"/>
          <w:color w:val="000000"/>
        </w:rPr>
        <w:t xml:space="preserve"> upper limit of normal (2.12)</w:t>
      </w:r>
      <w:r w:rsidRPr="009A225C">
        <w:rPr>
          <w:rFonts w:ascii="Book Antiqua" w:eastAsia="Book Antiqua" w:hAnsi="Book Antiqua" w:cs="Book Antiqua"/>
          <w:color w:val="000000"/>
          <w:vertAlign w:val="superscript"/>
        </w:rPr>
        <w:t>[59]</w:t>
      </w:r>
      <w:r w:rsidRPr="009A225C">
        <w:rPr>
          <w:rFonts w:ascii="Book Antiqua" w:eastAsia="Book Antiqua" w:hAnsi="Book Antiqua" w:cs="Book Antiqua"/>
          <w:color w:val="000000"/>
        </w:rPr>
        <w:t>. In univariate analy</w:t>
      </w:r>
      <w:r w:rsidR="003750BF">
        <w:rPr>
          <w:rFonts w:ascii="Book Antiqua" w:eastAsia="Book Antiqua" w:hAnsi="Book Antiqua" w:cs="Book Antiqua"/>
          <w:color w:val="000000"/>
        </w:rPr>
        <w:t>s</w:t>
      </w:r>
      <w:r w:rsidRPr="009A225C">
        <w:rPr>
          <w:rFonts w:ascii="Book Antiqua" w:eastAsia="Book Antiqua" w:hAnsi="Book Antiqua" w:cs="Book Antiqua"/>
          <w:color w:val="000000"/>
        </w:rPr>
        <w:t xml:space="preserve">es, when compared with patients without chronic liver disease, subjects with MAFLD had significantly higher rates of </w:t>
      </w:r>
      <w:r w:rsidR="001E78FC" w:rsidRPr="009A225C">
        <w:rPr>
          <w:rFonts w:ascii="Book Antiqua" w:eastAsia="Book Antiqua" w:hAnsi="Book Antiqua" w:cs="Book Antiqua"/>
          <w:color w:val="000000"/>
        </w:rPr>
        <w:t>intensive care unit</w:t>
      </w:r>
      <w:r w:rsidRPr="009A225C">
        <w:rPr>
          <w:rFonts w:ascii="Book Antiqua" w:eastAsia="Book Antiqua" w:hAnsi="Book Antiqua" w:cs="Book Antiqua"/>
          <w:color w:val="000000"/>
        </w:rPr>
        <w:t xml:space="preserve"> admission (50.9%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35.2%, </w:t>
      </w:r>
      <w:r w:rsidRPr="009A225C">
        <w:rPr>
          <w:rFonts w:ascii="Book Antiqua" w:eastAsia="Book Antiqua" w:hAnsi="Book Antiqua" w:cs="Book Antiqua"/>
          <w:i/>
          <w:iCs/>
          <w:color w:val="000000"/>
        </w:rPr>
        <w:t>P</w:t>
      </w:r>
      <w:r w:rsidR="00376DCC"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 xml:space="preserve">= 0.0095) and need for mechanical ventilation (49.1%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30.4%, </w:t>
      </w:r>
      <w:r w:rsidRPr="009A225C">
        <w:rPr>
          <w:rFonts w:ascii="Book Antiqua" w:eastAsia="Book Antiqua" w:hAnsi="Book Antiqua" w:cs="Book Antiqua"/>
          <w:i/>
          <w:iCs/>
          <w:color w:val="000000"/>
        </w:rPr>
        <w:t>P</w:t>
      </w:r>
      <w:r w:rsidR="00D2620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w:t>
      </w:r>
      <w:r w:rsidR="00D2620C">
        <w:rPr>
          <w:rFonts w:ascii="Book Antiqua" w:eastAsia="Book Antiqua" w:hAnsi="Book Antiqua" w:cs="Book Antiqua"/>
          <w:color w:val="000000"/>
        </w:rPr>
        <w:t xml:space="preserve"> </w:t>
      </w:r>
      <w:r w:rsidRPr="009A225C">
        <w:rPr>
          <w:rFonts w:ascii="Book Antiqua" w:eastAsia="Book Antiqua" w:hAnsi="Book Antiqua" w:cs="Book Antiqua"/>
          <w:color w:val="000000"/>
        </w:rPr>
        <w:t>0.006)</w:t>
      </w:r>
      <w:r w:rsidRPr="009A225C">
        <w:rPr>
          <w:rFonts w:ascii="Book Antiqua" w:eastAsia="Book Antiqua" w:hAnsi="Book Antiqua" w:cs="Book Antiqua"/>
          <w:color w:val="000000"/>
          <w:vertAlign w:val="superscript"/>
        </w:rPr>
        <w:t>[53]</w:t>
      </w:r>
      <w:r w:rsidRPr="009A225C">
        <w:rPr>
          <w:rFonts w:ascii="Book Antiqua" w:eastAsia="Book Antiqua" w:hAnsi="Book Antiqua" w:cs="Book Antiqua"/>
          <w:color w:val="000000"/>
        </w:rPr>
        <w:t>.</w:t>
      </w:r>
    </w:p>
    <w:p w14:paraId="4032AB7D" w14:textId="2A4B553D"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A possible explanation for increased COVID-19 severity due to MAFLD includes higher C reactive protein (CRP) (107 </w:t>
      </w:r>
      <w:r w:rsidRPr="009A225C">
        <w:rPr>
          <w:rFonts w:ascii="Book Antiqua" w:eastAsia="Book Antiqua" w:hAnsi="Book Antiqua" w:cs="Book Antiqua"/>
          <w:i/>
          <w:iCs/>
          <w:color w:val="000000"/>
        </w:rPr>
        <w:t xml:space="preserve">vs </w:t>
      </w:r>
      <w:r w:rsidRPr="009A225C">
        <w:rPr>
          <w:rFonts w:ascii="Book Antiqua" w:eastAsia="Book Antiqua" w:hAnsi="Book Antiqua" w:cs="Book Antiqua"/>
          <w:color w:val="000000"/>
        </w:rPr>
        <w:t>91.2 mg/L, </w:t>
      </w:r>
      <w:r w:rsidRPr="009A225C">
        <w:rPr>
          <w:rFonts w:ascii="Book Antiqua" w:eastAsia="Book Antiqua" w:hAnsi="Book Antiqua" w:cs="Book Antiqua"/>
          <w:i/>
          <w:iCs/>
          <w:color w:val="000000"/>
        </w:rPr>
        <w:t>P</w:t>
      </w:r>
      <w:r w:rsidR="00485C63"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 0.05) concentrations in COVID-19 patients with MAFLD than controls without MAFLD in London</w:t>
      </w:r>
      <w:r w:rsidRPr="009A225C">
        <w:rPr>
          <w:rFonts w:ascii="Book Antiqua" w:eastAsia="Book Antiqua" w:hAnsi="Book Antiqua" w:cs="Book Antiqua"/>
          <w:color w:val="000000"/>
          <w:vertAlign w:val="superscript"/>
        </w:rPr>
        <w:t>[60]</w:t>
      </w:r>
      <w:r w:rsidRPr="009A225C">
        <w:rPr>
          <w:rFonts w:ascii="Book Antiqua" w:eastAsia="Book Antiqua" w:hAnsi="Book Antiqua" w:cs="Book Antiqua"/>
          <w:color w:val="000000"/>
        </w:rPr>
        <w:t>. This favored pro-inflammatory state can result in high death rates</w:t>
      </w:r>
      <w:r w:rsidR="003750BF">
        <w:rPr>
          <w:rFonts w:ascii="Book Antiqua" w:eastAsia="Book Antiqua" w:hAnsi="Book Antiqua" w:cs="Book Antiqua"/>
          <w:color w:val="000000"/>
        </w:rPr>
        <w:t>,</w:t>
      </w:r>
      <w:r w:rsidRPr="009A225C">
        <w:rPr>
          <w:rFonts w:ascii="Book Antiqua" w:eastAsia="Book Antiqua" w:hAnsi="Book Antiqua" w:cs="Book Antiqua"/>
          <w:color w:val="000000"/>
        </w:rPr>
        <w:t xml:space="preserve"> as MAFLD patients who died during hospitalization had higher concentrations of inflammatory markers like ferritin</w:t>
      </w:r>
      <w:r w:rsidRPr="009A225C">
        <w:rPr>
          <w:rFonts w:ascii="Book Antiqua" w:eastAsia="Book Antiqua" w:hAnsi="Book Antiqua" w:cs="Book Antiqua"/>
          <w:color w:val="000000"/>
          <w:vertAlign w:val="superscript"/>
        </w:rPr>
        <w:t>[61]</w:t>
      </w:r>
      <w:r w:rsidRPr="009A225C">
        <w:rPr>
          <w:rFonts w:ascii="Book Antiqua" w:eastAsia="Book Antiqua" w:hAnsi="Book Antiqua" w:cs="Book Antiqua"/>
          <w:color w:val="000000"/>
        </w:rPr>
        <w:t>, prothrombin time, and lactate dehydrogenase than patients with MAFLD who survived hospitalization</w:t>
      </w:r>
      <w:r w:rsidRPr="009A225C">
        <w:rPr>
          <w:rFonts w:ascii="Book Antiqua" w:eastAsia="Book Antiqua" w:hAnsi="Book Antiqua" w:cs="Book Antiqua"/>
          <w:color w:val="000000"/>
          <w:vertAlign w:val="superscript"/>
        </w:rPr>
        <w:t>[60]</w:t>
      </w:r>
      <w:r w:rsidRPr="009A225C">
        <w:rPr>
          <w:rFonts w:ascii="Book Antiqua" w:eastAsia="Book Antiqua" w:hAnsi="Book Antiqua" w:cs="Book Antiqua"/>
          <w:color w:val="000000"/>
        </w:rPr>
        <w:t xml:space="preserve">. Notably, the combination of high CRP levels with low lymphocyte count predicted prolonged hospital stay (median 23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18 d; </w:t>
      </w:r>
      <w:r w:rsidRPr="009A225C">
        <w:rPr>
          <w:rFonts w:ascii="Book Antiqua" w:eastAsia="Book Antiqua" w:hAnsi="Book Antiqua" w:cs="Book Antiqua"/>
          <w:i/>
          <w:iCs/>
          <w:color w:val="000000"/>
        </w:rPr>
        <w:t>P</w:t>
      </w:r>
      <w:r w:rsidRPr="009A225C">
        <w:rPr>
          <w:rFonts w:ascii="Book Antiqua" w:eastAsia="Book Antiqua" w:hAnsi="Book Antiqua" w:cs="Book Antiqua"/>
          <w:color w:val="000000"/>
        </w:rPr>
        <w:t xml:space="preserve"> = 0.037) and a higher proportion of severe COVID-19 (33.3%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14.7%, </w:t>
      </w:r>
      <w:r w:rsidRPr="009A225C">
        <w:rPr>
          <w:rFonts w:ascii="Book Antiqua" w:eastAsia="Book Antiqua" w:hAnsi="Book Antiqua" w:cs="Book Antiqua"/>
          <w:i/>
          <w:iCs/>
          <w:color w:val="000000"/>
        </w:rPr>
        <w:t>P</w:t>
      </w:r>
      <w:r w:rsidRPr="009A225C">
        <w:rPr>
          <w:rFonts w:ascii="Book Antiqua" w:eastAsia="Book Antiqua" w:hAnsi="Book Antiqua" w:cs="Book Antiqua"/>
          <w:color w:val="000000"/>
        </w:rPr>
        <w:t xml:space="preserve"> = 0.007) compared to non-obese patients</w:t>
      </w:r>
      <w:r w:rsidRPr="009A225C">
        <w:rPr>
          <w:rFonts w:ascii="Book Antiqua" w:eastAsia="Book Antiqua" w:hAnsi="Book Antiqua" w:cs="Book Antiqua"/>
          <w:color w:val="000000"/>
          <w:vertAlign w:val="superscript"/>
        </w:rPr>
        <w:t>[50]</w:t>
      </w:r>
      <w:r w:rsidRPr="009A225C">
        <w:rPr>
          <w:rFonts w:ascii="Book Antiqua" w:eastAsia="Book Antiqua" w:hAnsi="Book Antiqua" w:cs="Book Antiqua"/>
          <w:color w:val="000000"/>
        </w:rPr>
        <w:t>. Figure 3 outlines the mild symptoms and the factors that lead to severe forms of COVID-19.</w:t>
      </w:r>
    </w:p>
    <w:p w14:paraId="72E9AEDA" w14:textId="0992B4C5"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Concerning imaging exams and COVID-19 prognosis in MAFLD patients, a CT study in the Mexican population proposed the liver to spleen ratio (CTL/S) as a surrogate for the diagnosis of MAFLD in COVID-19 patients, given that spleen does not store fat. Both organs are visualized in the CT performed to evaluate the degree of pulmonary commitment because it shows the upper abdomen, and the CTL/S ≤ 0.9 indicated the presence of fatty liver. Hepatic steatosis was associated with severe COVID-19 pneumonia, and CTL/S could be a substantial aid to estimate the prognosis of COVID-19 in MAFLD patients</w:t>
      </w:r>
      <w:r w:rsidRPr="009A225C">
        <w:rPr>
          <w:rFonts w:ascii="Book Antiqua" w:eastAsia="Book Antiqua" w:hAnsi="Book Antiqua" w:cs="Book Antiqua"/>
          <w:color w:val="000000"/>
          <w:vertAlign w:val="superscript"/>
        </w:rPr>
        <w:t>[62]</w:t>
      </w:r>
      <w:r w:rsidRPr="009A225C">
        <w:rPr>
          <w:rFonts w:ascii="Book Antiqua" w:eastAsia="Book Antiqua" w:hAnsi="Book Antiqua" w:cs="Book Antiqua"/>
          <w:color w:val="000000"/>
        </w:rPr>
        <w:t>.</w:t>
      </w:r>
    </w:p>
    <w:p w14:paraId="09E5D63D" w14:textId="70BC16B9"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A recent systematic review evaluating clinical studies from China, Israel, and the</w:t>
      </w:r>
      <w:r w:rsidR="00740355" w:rsidRPr="009A225C">
        <w:rPr>
          <w:rFonts w:ascii="Book Antiqua" w:hAnsi="Book Antiqua"/>
        </w:rPr>
        <w:t xml:space="preserve"> </w:t>
      </w:r>
      <w:r w:rsidR="00740355" w:rsidRPr="009A225C">
        <w:rPr>
          <w:rFonts w:ascii="Book Antiqua" w:eastAsia="Book Antiqua" w:hAnsi="Book Antiqua" w:cs="Book Antiqua"/>
          <w:color w:val="000000"/>
        </w:rPr>
        <w:t>United States</w:t>
      </w:r>
      <w:r w:rsidRPr="009A225C">
        <w:rPr>
          <w:rFonts w:ascii="Book Antiqua" w:eastAsia="Book Antiqua" w:hAnsi="Book Antiqua" w:cs="Book Antiqua"/>
          <w:color w:val="000000"/>
        </w:rPr>
        <w:t xml:space="preserve"> showed that the presence of hepatic steatosis is a predictor for symptomatic and severe COVID-19, even after the adjustment for obesity presence (</w:t>
      </w:r>
      <w:r w:rsidR="00EF17CE" w:rsidRPr="009A225C">
        <w:rPr>
          <w:rFonts w:ascii="Book Antiqua" w:eastAsia="Book Antiqua" w:hAnsi="Book Antiqua" w:cs="Book Antiqua"/>
          <w:color w:val="000000"/>
        </w:rPr>
        <w:t>OR</w:t>
      </w:r>
      <w:r w:rsidR="00485C63" w:rsidRPr="009A225C">
        <w:rPr>
          <w:rFonts w:ascii="Book Antiqua" w:eastAsia="Book Antiqua" w:hAnsi="Book Antiqua" w:cs="Book Antiqua"/>
          <w:color w:val="000000"/>
        </w:rPr>
        <w:t>:</w:t>
      </w:r>
      <w:r w:rsidR="001E78FC"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 xml:space="preserve">2.358, </w:t>
      </w:r>
      <w:r w:rsidRPr="009A225C">
        <w:rPr>
          <w:rFonts w:ascii="Book Antiqua" w:eastAsia="Book Antiqua" w:hAnsi="Book Antiqua" w:cs="Book Antiqua"/>
          <w:i/>
          <w:iCs/>
          <w:color w:val="000000"/>
        </w:rPr>
        <w:t>P</w:t>
      </w:r>
      <w:r w:rsidR="001E78FC"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&lt;</w:t>
      </w:r>
      <w:r w:rsidR="001E78FC"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0.001)</w:t>
      </w:r>
      <w:r w:rsidRPr="009A225C">
        <w:rPr>
          <w:rFonts w:ascii="Book Antiqua" w:eastAsia="Book Antiqua" w:hAnsi="Book Antiqua" w:cs="Book Antiqua"/>
          <w:color w:val="000000"/>
          <w:vertAlign w:val="superscript"/>
        </w:rPr>
        <w:t>[63]</w:t>
      </w:r>
      <w:r w:rsidRPr="009A225C">
        <w:rPr>
          <w:rFonts w:ascii="Book Antiqua" w:eastAsia="Book Antiqua" w:hAnsi="Book Antiqua" w:cs="Book Antiqua"/>
          <w:color w:val="000000"/>
        </w:rPr>
        <w:t>. Moreover, COVID-19 infection in pre-existing chronic liver disease patients from 13 different Asian countries caused decompensation in 20% of the cirrhotic patients with high mortality. Among MAFLD patients, the presence of comorbidities like obesity and type 2 diabetes entailed a risk of liver injuries due to COVID-19 infection</w:t>
      </w:r>
      <w:r w:rsidRPr="009A225C">
        <w:rPr>
          <w:rFonts w:ascii="Book Antiqua" w:eastAsia="Book Antiqua" w:hAnsi="Book Antiqua" w:cs="Book Antiqua"/>
          <w:color w:val="000000"/>
          <w:vertAlign w:val="superscript"/>
        </w:rPr>
        <w:t>[64]</w:t>
      </w:r>
      <w:r w:rsidRPr="009A225C">
        <w:rPr>
          <w:rFonts w:ascii="Book Antiqua" w:eastAsia="Book Antiqua" w:hAnsi="Book Antiqua" w:cs="Book Antiqua"/>
          <w:color w:val="000000"/>
        </w:rPr>
        <w:t>. In agreement, a recent Indian study using non-COVID-19 cirrhotic patients as controls showed that COVID-19 infection resulted in a 100% mortality rate in patients with acute-on-chronic liver failure</w:t>
      </w:r>
      <w:r w:rsidR="001E78FC"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 xml:space="preserve">in comparison with 53.3% in </w:t>
      </w:r>
      <w:r w:rsidR="001E78FC" w:rsidRPr="009A225C">
        <w:rPr>
          <w:rFonts w:ascii="Book Antiqua" w:eastAsia="Book Antiqua" w:hAnsi="Book Antiqua" w:cs="Book Antiqua"/>
          <w:color w:val="000000"/>
        </w:rPr>
        <w:t xml:space="preserve">acute-on-chronic liver failure </w:t>
      </w:r>
      <w:r w:rsidRPr="009A225C">
        <w:rPr>
          <w:rFonts w:ascii="Book Antiqua" w:eastAsia="Book Antiqua" w:hAnsi="Book Antiqua" w:cs="Book Antiqua"/>
          <w:color w:val="000000"/>
        </w:rPr>
        <w:t>controls. The poor outcome that COVID-19 imposes on cirrhotic patients includes the need for mechanical ventilation and urges physicians and hepatologists to consider patients with chronic liver diseases as a high-risk group for COVID-19 and guarantee rigorous preventive measures</w:t>
      </w:r>
      <w:r w:rsidRPr="009A225C">
        <w:rPr>
          <w:rFonts w:ascii="Book Antiqua" w:eastAsia="Book Antiqua" w:hAnsi="Book Antiqua" w:cs="Book Antiqua"/>
          <w:color w:val="000000"/>
          <w:vertAlign w:val="superscript"/>
        </w:rPr>
        <w:t>[65]</w:t>
      </w:r>
      <w:r w:rsidRPr="009A225C">
        <w:rPr>
          <w:rFonts w:ascii="Book Antiqua" w:eastAsia="Book Antiqua" w:hAnsi="Book Antiqua" w:cs="Book Antiqua"/>
          <w:color w:val="000000"/>
        </w:rPr>
        <w:t>.</w:t>
      </w:r>
    </w:p>
    <w:p w14:paraId="51588B25" w14:textId="77777777" w:rsidR="00A77B3E" w:rsidRPr="009A225C" w:rsidRDefault="00A77B3E" w:rsidP="009A225C">
      <w:pPr>
        <w:snapToGrid w:val="0"/>
        <w:spacing w:line="360" w:lineRule="auto"/>
        <w:jc w:val="both"/>
        <w:rPr>
          <w:rFonts w:ascii="Book Antiqua" w:hAnsi="Book Antiqua"/>
        </w:rPr>
      </w:pPr>
    </w:p>
    <w:p w14:paraId="4CDEF1FE" w14:textId="031B612E" w:rsidR="00A77B3E" w:rsidRPr="009A225C" w:rsidRDefault="00485C63" w:rsidP="009A225C">
      <w:pPr>
        <w:snapToGrid w:val="0"/>
        <w:spacing w:line="360" w:lineRule="auto"/>
        <w:jc w:val="both"/>
        <w:rPr>
          <w:rFonts w:ascii="Book Antiqua" w:hAnsi="Book Antiqua"/>
          <w:b/>
          <w:u w:val="single"/>
        </w:rPr>
      </w:pPr>
      <w:r w:rsidRPr="009A225C">
        <w:rPr>
          <w:rFonts w:ascii="Book Antiqua" w:eastAsia="Book Antiqua" w:hAnsi="Book Antiqua" w:cs="Book Antiqua"/>
          <w:b/>
          <w:bCs/>
          <w:color w:val="000000"/>
          <w:u w:val="single"/>
        </w:rPr>
        <w:t xml:space="preserve">INVOLVED PATHWAYS IN INCREASED SEVERITY OF </w:t>
      </w:r>
      <w:r w:rsidRPr="009A225C">
        <w:rPr>
          <w:rFonts w:ascii="Book Antiqua" w:eastAsia="Book Antiqua" w:hAnsi="Book Antiqua" w:cs="Book Antiqua"/>
          <w:b/>
          <w:color w:val="000000"/>
          <w:u w:val="single"/>
        </w:rPr>
        <w:t>CORONAVIRUS DISEASE 2019</w:t>
      </w:r>
      <w:r w:rsidRPr="009A225C">
        <w:rPr>
          <w:rFonts w:ascii="Book Antiqua" w:eastAsia="Book Antiqua" w:hAnsi="Book Antiqua" w:cs="Book Antiqua"/>
          <w:b/>
          <w:bCs/>
          <w:color w:val="000000"/>
          <w:u w:val="single"/>
        </w:rPr>
        <w:t xml:space="preserve"> IN OBESE SUBJECTS WITH </w:t>
      </w:r>
      <w:r w:rsidRPr="009A225C">
        <w:rPr>
          <w:rFonts w:ascii="Book Antiqua" w:eastAsia="Book Antiqua" w:hAnsi="Book Antiqua" w:cs="Book Antiqua"/>
          <w:b/>
          <w:color w:val="000000"/>
          <w:u w:val="single"/>
        </w:rPr>
        <w:t>METABOLIC DYSFUNCTION-ASSOCIATED FATTY LIVER DISEASE</w:t>
      </w:r>
    </w:p>
    <w:p w14:paraId="1FF6782A" w14:textId="7AC0B442"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The post-mortem evaluation of the livers from people that died of COVID-19 often reveals that the virus causes inflammatory and immune-mediated liver damage rather than cytopathic harm</w:t>
      </w:r>
      <w:r w:rsidRPr="009A225C">
        <w:rPr>
          <w:rFonts w:ascii="Book Antiqua" w:eastAsia="Book Antiqua" w:hAnsi="Book Antiqua" w:cs="Book Antiqua"/>
          <w:color w:val="000000"/>
          <w:vertAlign w:val="superscript"/>
        </w:rPr>
        <w:t>[43]</w:t>
      </w:r>
      <w:r w:rsidRPr="009A225C">
        <w:rPr>
          <w:rFonts w:ascii="Book Antiqua" w:eastAsia="Book Antiqua" w:hAnsi="Book Antiqua" w:cs="Book Antiqua"/>
          <w:color w:val="000000"/>
        </w:rPr>
        <w:t>. The observation of different immune cell exudates near the portal area reinforces this hypothesis and links hepatic damage to the cytokine storm syndrome (CSS), which emerges as a promising explanation for the increased severity of COVID-19 in obese patients with MAFLD</w:t>
      </w:r>
      <w:r w:rsidRPr="009A225C">
        <w:rPr>
          <w:rFonts w:ascii="Book Antiqua" w:eastAsia="Book Antiqua" w:hAnsi="Book Antiqua" w:cs="Book Antiqua"/>
          <w:color w:val="000000"/>
          <w:vertAlign w:val="superscript"/>
        </w:rPr>
        <w:t>[66,67]</w:t>
      </w:r>
      <w:r w:rsidRPr="009A225C">
        <w:rPr>
          <w:rFonts w:ascii="Book Antiqua" w:eastAsia="Book Antiqua" w:hAnsi="Book Antiqua" w:cs="Book Antiqua"/>
          <w:color w:val="000000"/>
        </w:rPr>
        <w:t>.</w:t>
      </w:r>
    </w:p>
    <w:p w14:paraId="4D6CA365" w14:textId="4DD04E53"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To put it simply, CSS comprises the activation of inflammasomes and the following release of pro-inflammatory cytokines like IL-1β and IL-6</w:t>
      </w:r>
      <w:r w:rsidRPr="009A225C">
        <w:rPr>
          <w:rFonts w:ascii="Book Antiqua" w:eastAsia="Book Antiqua" w:hAnsi="Book Antiqua" w:cs="Book Antiqua"/>
          <w:color w:val="000000"/>
          <w:vertAlign w:val="superscript"/>
        </w:rPr>
        <w:t>[68,69]</w:t>
      </w:r>
      <w:r w:rsidRPr="009A225C">
        <w:rPr>
          <w:rFonts w:ascii="Book Antiqua" w:eastAsia="Book Antiqua" w:hAnsi="Book Antiqua" w:cs="Book Antiqua"/>
          <w:color w:val="000000"/>
        </w:rPr>
        <w:t>. The inflammasomes are complexes of proteins that reside in macrophages, activated by tool-like receptors binding to a pathogen-associated molecular pattern</w:t>
      </w:r>
      <w:r w:rsidR="00015561"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or damage-associated molecular patterns</w:t>
      </w:r>
      <w:r w:rsidRPr="009A225C">
        <w:rPr>
          <w:rFonts w:ascii="Book Antiqua" w:eastAsia="Book Antiqua" w:hAnsi="Book Antiqua" w:cs="Book Antiqua"/>
          <w:color w:val="000000"/>
          <w:vertAlign w:val="superscript"/>
        </w:rPr>
        <w:t>[70,71]</w:t>
      </w:r>
      <w:r w:rsidRPr="009A225C">
        <w:rPr>
          <w:rFonts w:ascii="Book Antiqua" w:eastAsia="Book Antiqua" w:hAnsi="Book Antiqua" w:cs="Book Antiqua"/>
          <w:color w:val="000000"/>
        </w:rPr>
        <w:t>. The liver has the largest macrophage reservoir in the body (the Kupfer cells)</w:t>
      </w:r>
      <w:r w:rsidR="003750BF">
        <w:rPr>
          <w:rFonts w:ascii="Book Antiqua" w:eastAsia="Book Antiqua" w:hAnsi="Book Antiqua" w:cs="Book Antiqua"/>
          <w:color w:val="000000"/>
        </w:rPr>
        <w:t>;</w:t>
      </w:r>
      <w:r w:rsidRPr="009A225C">
        <w:rPr>
          <w:rFonts w:ascii="Book Antiqua" w:eastAsia="Book Antiqua" w:hAnsi="Book Antiqua" w:cs="Book Antiqua"/>
          <w:color w:val="000000"/>
        </w:rPr>
        <w:t xml:space="preserve"> and, therefore, the activation of the NLR family pyrin domain containing 3 (NLRP3) inflammasome can damage this organ and act</w:t>
      </w:r>
      <w:r w:rsidR="003750BF">
        <w:rPr>
          <w:rFonts w:ascii="Book Antiqua" w:eastAsia="Book Antiqua" w:hAnsi="Book Antiqua" w:cs="Book Antiqua"/>
          <w:color w:val="000000"/>
        </w:rPr>
        <w:t>s</w:t>
      </w:r>
      <w:r w:rsidRPr="009A225C">
        <w:rPr>
          <w:rFonts w:ascii="Book Antiqua" w:eastAsia="Book Antiqua" w:hAnsi="Book Antiqua" w:cs="Book Antiqua"/>
          <w:color w:val="000000"/>
        </w:rPr>
        <w:t xml:space="preserve"> as a promising marker of COVID-19 severity in obese patients</w:t>
      </w:r>
      <w:r w:rsidRPr="009A225C">
        <w:rPr>
          <w:rFonts w:ascii="Book Antiqua" w:eastAsia="Book Antiqua" w:hAnsi="Book Antiqua" w:cs="Book Antiqua"/>
          <w:color w:val="000000"/>
          <w:vertAlign w:val="superscript"/>
        </w:rPr>
        <w:t>[43,72]</w:t>
      </w:r>
      <w:r w:rsidRPr="009A225C">
        <w:rPr>
          <w:rFonts w:ascii="Book Antiqua" w:eastAsia="Book Antiqua" w:hAnsi="Book Antiqua" w:cs="Book Antiqua"/>
          <w:color w:val="000000"/>
        </w:rPr>
        <w:t>.</w:t>
      </w:r>
    </w:p>
    <w:p w14:paraId="5BC5461C" w14:textId="3A9D0211"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The adipose tissue expansion in obesity triggers fatty liver and inflammasome activity by lipotoxicity</w:t>
      </w:r>
      <w:r w:rsidRPr="009A225C">
        <w:rPr>
          <w:rFonts w:ascii="Book Antiqua" w:eastAsia="Book Antiqua" w:hAnsi="Book Antiqua" w:cs="Book Antiqua"/>
          <w:color w:val="000000"/>
          <w:vertAlign w:val="superscript"/>
        </w:rPr>
        <w:t>[73]</w:t>
      </w:r>
      <w:r w:rsidRPr="009A225C">
        <w:rPr>
          <w:rFonts w:ascii="Book Antiqua" w:eastAsia="Book Antiqua" w:hAnsi="Book Antiqua" w:cs="Book Antiqua"/>
          <w:color w:val="000000"/>
        </w:rPr>
        <w:t>. The dramatic changes that adipose tissue macrophages undergo during weight gain (polarization to M1 state) reflect in the Kupfer cells that produce inflammatory chemokines and cytokines, generating hepatic insulin resistance and inflammation</w:t>
      </w:r>
      <w:r w:rsidRPr="009A225C">
        <w:rPr>
          <w:rFonts w:ascii="Book Antiqua" w:eastAsia="Book Antiqua" w:hAnsi="Book Antiqua" w:cs="Book Antiqua"/>
          <w:color w:val="000000"/>
          <w:vertAlign w:val="superscript"/>
        </w:rPr>
        <w:t>[74,75]</w:t>
      </w:r>
      <w:r w:rsidRPr="009A225C">
        <w:rPr>
          <w:rFonts w:ascii="Book Antiqua" w:eastAsia="Book Antiqua" w:hAnsi="Book Antiqua" w:cs="Book Antiqua"/>
          <w:color w:val="000000"/>
        </w:rPr>
        <w:t>. In this context, IL-6 emerges as a pivotal marker of COVID-19 worsening as it can trigger the CSS</w:t>
      </w:r>
      <w:r w:rsidRPr="009A225C">
        <w:rPr>
          <w:rFonts w:ascii="Book Antiqua" w:eastAsia="Book Antiqua" w:hAnsi="Book Antiqua" w:cs="Book Antiqua"/>
          <w:color w:val="000000"/>
          <w:vertAlign w:val="superscript"/>
        </w:rPr>
        <w:t>[76]</w:t>
      </w:r>
      <w:r w:rsidRPr="009A225C">
        <w:rPr>
          <w:rFonts w:ascii="Book Antiqua" w:eastAsia="Book Antiqua" w:hAnsi="Book Antiqua" w:cs="Book Antiqua"/>
          <w:color w:val="000000"/>
        </w:rPr>
        <w:t>, besides being generally high in obese and MAFLD subjects</w:t>
      </w:r>
      <w:r w:rsidRPr="009A225C">
        <w:rPr>
          <w:rFonts w:ascii="Book Antiqua" w:eastAsia="Book Antiqua" w:hAnsi="Book Antiqua" w:cs="Book Antiqua"/>
          <w:color w:val="000000"/>
          <w:vertAlign w:val="superscript"/>
        </w:rPr>
        <w:t>[77]</w:t>
      </w:r>
      <w:r w:rsidRPr="009A225C">
        <w:rPr>
          <w:rFonts w:ascii="Book Antiqua" w:eastAsia="Book Antiqua" w:hAnsi="Book Antiqua" w:cs="Book Antiqua"/>
          <w:color w:val="000000"/>
        </w:rPr>
        <w:t>.</w:t>
      </w:r>
    </w:p>
    <w:p w14:paraId="3A1F9A02" w14:textId="3644AF04"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It can be supposed that the obese patient with MAFLD </w:t>
      </w:r>
      <w:r w:rsidR="00597086" w:rsidRPr="009A225C">
        <w:rPr>
          <w:rFonts w:ascii="Book Antiqua" w:eastAsia="Book Antiqua" w:hAnsi="Book Antiqua" w:cs="Book Antiqua"/>
          <w:color w:val="000000"/>
        </w:rPr>
        <w:t>before</w:t>
      </w:r>
      <w:r w:rsidRPr="009A225C">
        <w:rPr>
          <w:rFonts w:ascii="Book Antiqua" w:eastAsia="Book Antiqua" w:hAnsi="Book Antiqua" w:cs="Book Antiqua"/>
          <w:color w:val="000000"/>
        </w:rPr>
        <w:t xml:space="preserve"> catching COVID-19 could show a maximized CSS, which might be linked to the increased need for longer hospitalizations and intensive care. </w:t>
      </w:r>
      <w:r w:rsidR="00D76F1B">
        <w:rPr>
          <w:rFonts w:ascii="Book Antiqua" w:eastAsia="Book Antiqua" w:hAnsi="Book Antiqua" w:cs="Book Antiqua"/>
          <w:color w:val="000000"/>
        </w:rPr>
        <w:t>Consistent with this suggestion,</w:t>
      </w:r>
      <w:r w:rsidRPr="009A225C">
        <w:rPr>
          <w:rFonts w:ascii="Book Antiqua" w:eastAsia="Book Antiqua" w:hAnsi="Book Antiqua" w:cs="Book Antiqua"/>
          <w:color w:val="000000"/>
        </w:rPr>
        <w:t xml:space="preserve"> inflammasome activation elicits massive augmentation of pro-inflammatory cytokine concentrations and induces pyroptosis</w:t>
      </w:r>
      <w:r w:rsidRPr="009A225C">
        <w:rPr>
          <w:rFonts w:ascii="Book Antiqua" w:eastAsia="Book Antiqua" w:hAnsi="Book Antiqua" w:cs="Book Antiqua"/>
          <w:color w:val="000000"/>
          <w:vertAlign w:val="superscript"/>
        </w:rPr>
        <w:t>[78]</w:t>
      </w:r>
      <w:r w:rsidRPr="009A225C">
        <w:rPr>
          <w:rFonts w:ascii="Book Antiqua" w:eastAsia="Book Antiqua" w:hAnsi="Book Antiqua" w:cs="Book Antiqua"/>
          <w:color w:val="000000"/>
        </w:rPr>
        <w:t xml:space="preserve">. Cell death mediated by pyroptosis in macrophages relies on NLRP3 activation and provokes </w:t>
      </w:r>
      <w:r w:rsidR="00E6242D" w:rsidRPr="009A225C">
        <w:rPr>
          <w:rFonts w:ascii="Book Antiqua" w:eastAsia="Book Antiqua" w:hAnsi="Book Antiqua" w:cs="Book Antiqua"/>
          <w:color w:val="000000"/>
        </w:rPr>
        <w:t>severe acute respiratory syndrome</w:t>
      </w:r>
      <w:r w:rsidR="00E6242D" w:rsidRPr="009A225C" w:rsidDel="00E6242D">
        <w:rPr>
          <w:rFonts w:ascii="Book Antiqua" w:eastAsia="Book Antiqua" w:hAnsi="Book Antiqua" w:cs="Book Antiqua"/>
          <w:color w:val="000000"/>
        </w:rPr>
        <w:t xml:space="preserve"> </w:t>
      </w:r>
      <w:r w:rsidRPr="009A225C">
        <w:rPr>
          <w:rFonts w:ascii="Book Antiqua" w:eastAsia="Book Antiqua" w:hAnsi="Book Antiqua" w:cs="Book Antiqua"/>
          <w:color w:val="000000"/>
        </w:rPr>
        <w:t>in COVID-19 patients, picturing a frame of aggravated disease by the CSS in MAFLD patients</w:t>
      </w:r>
      <w:r w:rsidRPr="009A225C">
        <w:rPr>
          <w:rFonts w:ascii="Book Antiqua" w:eastAsia="Book Antiqua" w:hAnsi="Book Antiqua" w:cs="Book Antiqua"/>
          <w:color w:val="000000"/>
          <w:vertAlign w:val="superscript"/>
        </w:rPr>
        <w:t>[79]</w:t>
      </w:r>
      <w:r w:rsidRPr="009A225C">
        <w:rPr>
          <w:rFonts w:ascii="Book Antiqua" w:eastAsia="Book Antiqua" w:hAnsi="Book Antiqua" w:cs="Book Antiqua"/>
          <w:color w:val="000000"/>
        </w:rPr>
        <w:t>. Furthermore, severe obese subjects can show serious infections in the lower respiratory tract due to mechanical dysfunction, which also ma</w:t>
      </w:r>
      <w:r w:rsidR="00D76F1B">
        <w:rPr>
          <w:rFonts w:ascii="Book Antiqua" w:eastAsia="Book Antiqua" w:hAnsi="Book Antiqua" w:cs="Book Antiqua"/>
          <w:color w:val="000000"/>
        </w:rPr>
        <w:t>kes</w:t>
      </w:r>
      <w:r w:rsidRPr="009A225C">
        <w:rPr>
          <w:rFonts w:ascii="Book Antiqua" w:eastAsia="Book Antiqua" w:hAnsi="Book Antiqua" w:cs="Book Antiqua"/>
          <w:color w:val="000000"/>
        </w:rPr>
        <w:t xml:space="preserve"> them more prone to secondary infections</w:t>
      </w:r>
      <w:r w:rsidRPr="009A225C">
        <w:rPr>
          <w:rFonts w:ascii="Book Antiqua" w:eastAsia="Book Antiqua" w:hAnsi="Book Antiqua" w:cs="Book Antiqua"/>
          <w:color w:val="000000"/>
          <w:vertAlign w:val="superscript"/>
        </w:rPr>
        <w:t>[80]</w:t>
      </w:r>
      <w:r w:rsidRPr="009A225C">
        <w:rPr>
          <w:rFonts w:ascii="Book Antiqua" w:eastAsia="Book Antiqua" w:hAnsi="Book Antiqua" w:cs="Book Antiqua"/>
          <w:color w:val="000000"/>
        </w:rPr>
        <w:t>.</w:t>
      </w:r>
    </w:p>
    <w:p w14:paraId="6963FF8A" w14:textId="03FB0AB8"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Additional mechanisms related to the intensification of COVID-19 in MAFLD obese patients include the hepatocellular hypoxia in chronic liver diseases that leads to ACE2 overexpression</w:t>
      </w:r>
      <w:r w:rsidRPr="009A225C">
        <w:rPr>
          <w:rFonts w:ascii="Book Antiqua" w:eastAsia="Book Antiqua" w:hAnsi="Book Antiqua" w:cs="Book Antiqua"/>
          <w:color w:val="000000"/>
          <w:vertAlign w:val="superscript"/>
        </w:rPr>
        <w:t>[81]</w:t>
      </w:r>
      <w:r w:rsidRPr="009A225C">
        <w:rPr>
          <w:rFonts w:ascii="Book Antiqua" w:eastAsia="Book Antiqua" w:hAnsi="Book Antiqua" w:cs="Book Antiqua"/>
          <w:color w:val="000000"/>
        </w:rPr>
        <w:t xml:space="preserve">. Hence, these changes can cope with MAFLD progression towards NASH by the overexpression of ACE2 in endothelial cells and the consequent increased reactive oxygen species production, inflammatory pathways activated in the Kupfer cells, </w:t>
      </w:r>
      <w:r w:rsidRPr="003D0326">
        <w:rPr>
          <w:rFonts w:ascii="Book Antiqua" w:eastAsia="Book Antiqua" w:hAnsi="Book Antiqua" w:cs="Book Antiqua"/>
          <w:color w:val="000000"/>
        </w:rPr>
        <w:t xml:space="preserve">and </w:t>
      </w:r>
      <w:r w:rsidR="003D0326" w:rsidRPr="00390076">
        <w:rPr>
          <w:rFonts w:ascii="Book Antiqua" w:hAnsi="Book Antiqua" w:cs="Arial"/>
          <w:color w:val="202124"/>
          <w:shd w:val="clear" w:color="auto" w:fill="FFFFFF"/>
        </w:rPr>
        <w:t>peroxisome proliferator-activated receptor-</w:t>
      </w:r>
      <w:r w:rsidRPr="003D0326">
        <w:rPr>
          <w:rFonts w:ascii="Book Antiqua" w:eastAsia="Book Antiqua" w:hAnsi="Book Antiqua" w:cs="Book Antiqua"/>
          <w:color w:val="000000"/>
        </w:rPr>
        <w:t>alpha down-regu</w:t>
      </w:r>
      <w:r w:rsidRPr="009A225C">
        <w:rPr>
          <w:rFonts w:ascii="Book Antiqua" w:eastAsia="Book Antiqua" w:hAnsi="Book Antiqua" w:cs="Book Antiqua"/>
          <w:color w:val="000000"/>
        </w:rPr>
        <w:t>lation with pro-lipogenic gene expression and steatosis maximization</w:t>
      </w:r>
      <w:r w:rsidRPr="009A225C">
        <w:rPr>
          <w:rFonts w:ascii="Book Antiqua" w:eastAsia="Book Antiqua" w:hAnsi="Book Antiqua" w:cs="Book Antiqua"/>
          <w:color w:val="000000"/>
          <w:vertAlign w:val="superscript"/>
        </w:rPr>
        <w:t>[82,83]</w:t>
      </w:r>
      <w:r w:rsidRPr="009A225C">
        <w:rPr>
          <w:rFonts w:ascii="Book Antiqua" w:eastAsia="Book Antiqua" w:hAnsi="Book Antiqua" w:cs="Book Antiqua"/>
          <w:color w:val="000000"/>
        </w:rPr>
        <w:t>. In this regard, the presence of hepatic steatosis before viral infection can amplify the symptoms of COVID-19 as the lipotoxicity sustains the activation of Kupfer cells and allows the progression to liver fibrosis. The main pathways involved with the severity of COVID-19 in MAFLD patients are depicted in Figure 4.</w:t>
      </w:r>
    </w:p>
    <w:p w14:paraId="3C4F2F8B" w14:textId="77777777" w:rsidR="00A77B3E" w:rsidRPr="009A225C" w:rsidRDefault="00A77B3E" w:rsidP="009A225C">
      <w:pPr>
        <w:snapToGrid w:val="0"/>
        <w:spacing w:line="360" w:lineRule="auto"/>
        <w:jc w:val="both"/>
        <w:rPr>
          <w:rFonts w:ascii="Book Antiqua" w:hAnsi="Book Antiqua"/>
        </w:rPr>
      </w:pPr>
    </w:p>
    <w:p w14:paraId="44DFBC3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aps/>
          <w:color w:val="000000"/>
          <w:u w:val="single"/>
        </w:rPr>
        <w:t>CONCLUSION</w:t>
      </w:r>
    </w:p>
    <w:p w14:paraId="56455AB5" w14:textId="73D049CF"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In conclusion, pre-existing MAFLD increases the risk of severe COVID-19 that requires hospitalization. MAFLD itself can represent an increased predisposition to CSS, and high CRP concentrations, NLRP3 activation, and IL-6 concentrations emerge as likely surrogates for the need for mechanical ventilation, with high death rates or evolution to NASH among survivors.</w:t>
      </w:r>
    </w:p>
    <w:p w14:paraId="3DB5B6D5" w14:textId="77777777"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It is urgent to consider that MAFLD surpassed obesity as a risk factor to COVID-19 severity in populations with diverse genetic backgrounds. Therefore, MAFLD subjects should be ranked high-risk to catch COVID-19, submitted to rigorous preventive measurements, and classified as a prioritized group for vaccination.</w:t>
      </w:r>
    </w:p>
    <w:p w14:paraId="7F33E47D" w14:textId="77777777" w:rsidR="00A77B3E" w:rsidRPr="009A225C" w:rsidRDefault="00A77B3E" w:rsidP="009A225C">
      <w:pPr>
        <w:snapToGrid w:val="0"/>
        <w:spacing w:line="360" w:lineRule="auto"/>
        <w:jc w:val="both"/>
        <w:rPr>
          <w:rFonts w:ascii="Book Antiqua" w:hAnsi="Book Antiqua"/>
        </w:rPr>
      </w:pPr>
    </w:p>
    <w:p w14:paraId="04D18AD2" w14:textId="77777777" w:rsidR="00A77B3E" w:rsidRPr="009A225C" w:rsidRDefault="00AF38BA" w:rsidP="009A225C">
      <w:pPr>
        <w:snapToGrid w:val="0"/>
        <w:spacing w:line="360" w:lineRule="auto"/>
        <w:jc w:val="both"/>
        <w:rPr>
          <w:rFonts w:ascii="Book Antiqua" w:hAnsi="Book Antiqua"/>
        </w:rPr>
      </w:pPr>
      <w:bookmarkStart w:id="15" w:name="OLE_LINK12"/>
      <w:bookmarkStart w:id="16" w:name="OLE_LINK13"/>
      <w:r w:rsidRPr="009A225C">
        <w:rPr>
          <w:rFonts w:ascii="Book Antiqua" w:eastAsia="Book Antiqua" w:hAnsi="Book Antiqua" w:cs="Book Antiqua"/>
          <w:b/>
          <w:caps/>
          <w:color w:val="000000"/>
          <w:u w:val="single"/>
        </w:rPr>
        <w:t>ACKNOWLEDGEMENTS</w:t>
      </w:r>
    </w:p>
    <w:p w14:paraId="75C7540E" w14:textId="77777777" w:rsidR="00A77B3E" w:rsidRPr="009A225C" w:rsidRDefault="00AF38BA" w:rsidP="009A225C">
      <w:pPr>
        <w:snapToGrid w:val="0"/>
        <w:spacing w:line="360" w:lineRule="auto"/>
        <w:jc w:val="both"/>
        <w:rPr>
          <w:rFonts w:ascii="Book Antiqua" w:hAnsi="Book Antiqua"/>
        </w:rPr>
      </w:pPr>
      <w:bookmarkStart w:id="17" w:name="OLE_LINK5"/>
      <w:r w:rsidRPr="009A225C">
        <w:rPr>
          <w:rFonts w:ascii="Book Antiqua" w:eastAsia="Book Antiqua" w:hAnsi="Book Antiqua" w:cs="Book Antiqua"/>
          <w:color w:val="000000"/>
        </w:rPr>
        <w:t>The authors would like to thank all physicians, health professionals, and researchers for working uninterruptedly during pandemics. Your dedication helped to gather the information that saved millions of lives and resulted in vaccines in an unprecedented minimal time.</w:t>
      </w:r>
    </w:p>
    <w:bookmarkEnd w:id="17"/>
    <w:p w14:paraId="7AF09F02" w14:textId="77777777" w:rsidR="00A77B3E" w:rsidRPr="009A225C" w:rsidRDefault="00A77B3E" w:rsidP="009A225C">
      <w:pPr>
        <w:snapToGrid w:val="0"/>
        <w:spacing w:line="360" w:lineRule="auto"/>
        <w:jc w:val="both"/>
        <w:rPr>
          <w:rFonts w:ascii="Book Antiqua" w:hAnsi="Book Antiqua"/>
        </w:rPr>
      </w:pPr>
    </w:p>
    <w:p w14:paraId="7C110EBA"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REFERENCES</w:t>
      </w:r>
    </w:p>
    <w:p w14:paraId="356EF147" w14:textId="40CC8AA1" w:rsidR="00A77B3E" w:rsidRPr="00861B73" w:rsidRDefault="00AF38BA" w:rsidP="009A225C">
      <w:pPr>
        <w:snapToGrid w:val="0"/>
        <w:spacing w:line="360" w:lineRule="auto"/>
        <w:jc w:val="both"/>
        <w:rPr>
          <w:rFonts w:ascii="Book Antiqua" w:hAnsi="Book Antiqua"/>
        </w:rPr>
      </w:pPr>
      <w:bookmarkStart w:id="18" w:name="OLE_LINK2678"/>
      <w:bookmarkStart w:id="19" w:name="OLE_LINK2679"/>
      <w:r w:rsidRPr="00861B73">
        <w:rPr>
          <w:rFonts w:ascii="Book Antiqua" w:eastAsia="Book Antiqua" w:hAnsi="Book Antiqua" w:cs="Book Antiqua"/>
          <w:color w:val="000000"/>
        </w:rPr>
        <w:t xml:space="preserve">1 </w:t>
      </w:r>
      <w:r w:rsidR="00485C63" w:rsidRPr="00861B73">
        <w:rPr>
          <w:rFonts w:ascii="Book Antiqua" w:eastAsia="Book Antiqua" w:hAnsi="Book Antiqua" w:cs="Book Antiqua"/>
          <w:b/>
          <w:color w:val="000000"/>
        </w:rPr>
        <w:t>World Health Organization</w:t>
      </w:r>
      <w:r w:rsidRPr="00861B73">
        <w:rPr>
          <w:rFonts w:ascii="Book Antiqua" w:eastAsia="Book Antiqua" w:hAnsi="Book Antiqua" w:cs="Book Antiqua"/>
          <w:b/>
          <w:color w:val="000000"/>
        </w:rPr>
        <w:t>.</w:t>
      </w:r>
      <w:r w:rsidRPr="00861B73">
        <w:rPr>
          <w:rFonts w:ascii="Book Antiqua" w:eastAsia="Book Antiqua" w:hAnsi="Book Antiqua" w:cs="Book Antiqua"/>
          <w:color w:val="000000"/>
        </w:rPr>
        <w:t xml:space="preserve"> WHO Coronavir</w:t>
      </w:r>
      <w:r w:rsidR="00485C63" w:rsidRPr="00861B73">
        <w:rPr>
          <w:rFonts w:ascii="Book Antiqua" w:eastAsia="Book Antiqua" w:hAnsi="Book Antiqua" w:cs="Book Antiqua"/>
          <w:color w:val="000000"/>
        </w:rPr>
        <w:t>us Disease (COVID-19) Dashboard</w:t>
      </w:r>
      <w:r w:rsidRPr="00861B73">
        <w:rPr>
          <w:rFonts w:ascii="Book Antiqua" w:eastAsia="Book Antiqua" w:hAnsi="Book Antiqua" w:cs="Book Antiqua"/>
          <w:color w:val="000000"/>
        </w:rPr>
        <w:t xml:space="preserve"> 2021</w:t>
      </w:r>
      <w:r w:rsidR="00485C63" w:rsidRPr="00861B73">
        <w:rPr>
          <w:rFonts w:ascii="Book Antiqua" w:eastAsia="Book Antiqua" w:hAnsi="Book Antiqua" w:cs="Book Antiqua"/>
          <w:color w:val="000000"/>
        </w:rPr>
        <w:t xml:space="preserve"> [cited 19 </w:t>
      </w:r>
      <w:r w:rsidR="00D2620C" w:rsidRPr="00861B73">
        <w:rPr>
          <w:rFonts w:ascii="Book Antiqua" w:eastAsia="Book Antiqua" w:hAnsi="Book Antiqua" w:cs="Book Antiqua"/>
          <w:color w:val="000000"/>
        </w:rPr>
        <w:t>January</w:t>
      </w:r>
      <w:r w:rsidR="00485C63" w:rsidRPr="00861B73">
        <w:rPr>
          <w:rFonts w:ascii="Book Antiqua" w:eastAsia="Book Antiqua" w:hAnsi="Book Antiqua" w:cs="Book Antiqua"/>
          <w:color w:val="000000"/>
        </w:rPr>
        <w:t xml:space="preserve"> 2021].</w:t>
      </w:r>
      <w:r w:rsidR="00015561" w:rsidRPr="00861B73">
        <w:rPr>
          <w:rFonts w:ascii="Book Antiqua" w:hAnsi="Book Antiqua"/>
        </w:rPr>
        <w:t xml:space="preserve"> Available from: </w:t>
      </w:r>
      <w:r w:rsidR="00015561" w:rsidRPr="00861B73">
        <w:rPr>
          <w:rFonts w:ascii="Book Antiqua" w:eastAsia="Book Antiqua" w:hAnsi="Book Antiqua" w:cs="Book Antiqua"/>
          <w:color w:val="000000"/>
        </w:rPr>
        <w:t>https://covid19.who.int/</w:t>
      </w:r>
    </w:p>
    <w:p w14:paraId="7C2B066F"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2 </w:t>
      </w:r>
      <w:r w:rsidRPr="00861B73">
        <w:rPr>
          <w:rFonts w:ascii="Book Antiqua" w:eastAsia="Book Antiqua" w:hAnsi="Book Antiqua" w:cs="Book Antiqua"/>
          <w:b/>
          <w:bCs/>
          <w:color w:val="000000"/>
        </w:rPr>
        <w:t>Wu D</w:t>
      </w:r>
      <w:r w:rsidRPr="00861B73">
        <w:rPr>
          <w:rFonts w:ascii="Book Antiqua" w:eastAsia="Book Antiqua" w:hAnsi="Book Antiqua" w:cs="Book Antiqua"/>
          <w:color w:val="000000"/>
        </w:rPr>
        <w:t xml:space="preserve">, Wu T, Liu Q, Yang Z. The SARS-CoV-2 outbreak: What we know. </w:t>
      </w:r>
      <w:r w:rsidRPr="00861B73">
        <w:rPr>
          <w:rFonts w:ascii="Book Antiqua" w:eastAsia="Book Antiqua" w:hAnsi="Book Antiqua" w:cs="Book Antiqua"/>
          <w:i/>
          <w:iCs/>
          <w:color w:val="000000"/>
        </w:rPr>
        <w:t>Int J Infect Dis</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94</w:t>
      </w:r>
      <w:r w:rsidRPr="00861B73">
        <w:rPr>
          <w:rFonts w:ascii="Book Antiqua" w:eastAsia="Book Antiqua" w:hAnsi="Book Antiqua" w:cs="Book Antiqua"/>
          <w:color w:val="000000"/>
        </w:rPr>
        <w:t>: 44-48 [PMID: 32171952 DOI: 10.1016/j.ijid.2020.03.004]</w:t>
      </w:r>
    </w:p>
    <w:p w14:paraId="19A2C1C5"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 </w:t>
      </w:r>
      <w:r w:rsidRPr="00861B73">
        <w:rPr>
          <w:rFonts w:ascii="Book Antiqua" w:eastAsia="Book Antiqua" w:hAnsi="Book Antiqua" w:cs="Book Antiqua"/>
          <w:b/>
          <w:bCs/>
          <w:color w:val="000000"/>
        </w:rPr>
        <w:t>Albano D</w:t>
      </w:r>
      <w:r w:rsidRPr="00861B73">
        <w:rPr>
          <w:rFonts w:ascii="Book Antiqua" w:eastAsia="Book Antiqua" w:hAnsi="Book Antiqua" w:cs="Book Antiqua"/>
          <w:color w:val="000000"/>
        </w:rPr>
        <w:t xml:space="preserve">, Bertagna F, Bertoli M, Bosio G, Lucchini S, Motta F, Panarotto MB, Peli A, Camoni L, Bengel FM, Giubbini R. Incidental Findings Suggestive of COVID-19 in Asymptomatic Patients Undergoing Nuclear Medicine Procedures in a High-Prevalence Region. </w:t>
      </w:r>
      <w:r w:rsidRPr="00861B73">
        <w:rPr>
          <w:rFonts w:ascii="Book Antiqua" w:eastAsia="Book Antiqua" w:hAnsi="Book Antiqua" w:cs="Book Antiqua"/>
          <w:i/>
          <w:iCs/>
          <w:color w:val="000000"/>
        </w:rPr>
        <w:t>J Nucl Med</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61</w:t>
      </w:r>
      <w:r w:rsidRPr="00861B73">
        <w:rPr>
          <w:rFonts w:ascii="Book Antiqua" w:eastAsia="Book Antiqua" w:hAnsi="Book Antiqua" w:cs="Book Antiqua"/>
          <w:color w:val="000000"/>
        </w:rPr>
        <w:t>: 632-636 [PMID: 32238429 DOI: 10.2967/jnumed.120.246256]</w:t>
      </w:r>
    </w:p>
    <w:p w14:paraId="13F05658"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 </w:t>
      </w:r>
      <w:r w:rsidRPr="00861B73">
        <w:rPr>
          <w:rFonts w:ascii="Book Antiqua" w:eastAsia="Book Antiqua" w:hAnsi="Book Antiqua" w:cs="Book Antiqua"/>
          <w:b/>
          <w:bCs/>
          <w:color w:val="000000"/>
        </w:rPr>
        <w:t>Goyal P</w:t>
      </w:r>
      <w:r w:rsidRPr="00861B73">
        <w:rPr>
          <w:rFonts w:ascii="Book Antiqua" w:eastAsia="Book Antiqua" w:hAnsi="Book Antiqua" w:cs="Book Antiqua"/>
          <w:color w:val="000000"/>
        </w:rPr>
        <w:t xml:space="preserve">, Choi JJ, Pinheiro LC, Schenck EJ, Chen R, Jabri A, Satlin MJ, Campion TR Jr, Nahid M, Ringel JB, Hoffman KL, Alshak MN, Li HA, Wehmeyer GT, Rajan M, Reshetnyak E, Hupert N, Horn EM, Martinez FJ, Gulick RM, Safford MM. Clinical Characteristics of Covid-19 in New York City. </w:t>
      </w:r>
      <w:r w:rsidRPr="00861B73">
        <w:rPr>
          <w:rFonts w:ascii="Book Antiqua" w:eastAsia="Book Antiqua" w:hAnsi="Book Antiqua" w:cs="Book Antiqua"/>
          <w:i/>
          <w:iCs/>
          <w:color w:val="000000"/>
        </w:rPr>
        <w:t>N Engl J Med</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382</w:t>
      </w:r>
      <w:r w:rsidRPr="00861B73">
        <w:rPr>
          <w:rFonts w:ascii="Book Antiqua" w:eastAsia="Book Antiqua" w:hAnsi="Book Antiqua" w:cs="Book Antiqua"/>
          <w:color w:val="000000"/>
        </w:rPr>
        <w:t>: 2372-2374 [PMID: 32302078 DOI: 10.1056/NEJMc2010419]</w:t>
      </w:r>
    </w:p>
    <w:p w14:paraId="062D3528"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 </w:t>
      </w:r>
      <w:r w:rsidRPr="00861B73">
        <w:rPr>
          <w:rFonts w:ascii="Book Antiqua" w:eastAsia="Book Antiqua" w:hAnsi="Book Antiqua" w:cs="Book Antiqua"/>
          <w:b/>
          <w:bCs/>
          <w:color w:val="000000"/>
        </w:rPr>
        <w:t>Zubair AS</w:t>
      </w:r>
      <w:r w:rsidRPr="00861B73">
        <w:rPr>
          <w:rFonts w:ascii="Book Antiqua" w:eastAsia="Book Antiqua" w:hAnsi="Book Antiqua" w:cs="Book Antiqua"/>
          <w:color w:val="000000"/>
        </w:rPr>
        <w:t xml:space="preserve">, McAlpine LS, Gardin T, Farhadian S, Kuruvilla DE, Spudich S. Neuropathogenesis and Neurologic Manifestations of the Coronaviruses in the Age of Coronavirus Disease 2019: A Review. </w:t>
      </w:r>
      <w:r w:rsidRPr="00861B73">
        <w:rPr>
          <w:rFonts w:ascii="Book Antiqua" w:eastAsia="Book Antiqua" w:hAnsi="Book Antiqua" w:cs="Book Antiqua"/>
          <w:i/>
          <w:iCs/>
          <w:color w:val="000000"/>
        </w:rPr>
        <w:t>JAMA Neurol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77</w:t>
      </w:r>
      <w:r w:rsidRPr="00861B73">
        <w:rPr>
          <w:rFonts w:ascii="Book Antiqua" w:eastAsia="Book Antiqua" w:hAnsi="Book Antiqua" w:cs="Book Antiqua"/>
          <w:color w:val="000000"/>
        </w:rPr>
        <w:t>: 1018-1027 [PMID: 32469387 DOI: 10.1001/jamaneurol.2020.2065]</w:t>
      </w:r>
    </w:p>
    <w:p w14:paraId="0F5CE214"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 </w:t>
      </w:r>
      <w:r w:rsidRPr="00861B73">
        <w:rPr>
          <w:rFonts w:ascii="Book Antiqua" w:eastAsia="Book Antiqua" w:hAnsi="Book Antiqua" w:cs="Book Antiqua"/>
          <w:b/>
          <w:bCs/>
          <w:color w:val="000000"/>
        </w:rPr>
        <w:t>Chigr F</w:t>
      </w:r>
      <w:r w:rsidRPr="00861B73">
        <w:rPr>
          <w:rFonts w:ascii="Book Antiqua" w:eastAsia="Book Antiqua" w:hAnsi="Book Antiqua" w:cs="Book Antiqua"/>
          <w:color w:val="000000"/>
        </w:rPr>
        <w:t xml:space="preserve">, Merzouki M, Najimi M. Autonomic Brain Centers and Pathophysiology of COVID-19. </w:t>
      </w:r>
      <w:r w:rsidRPr="00861B73">
        <w:rPr>
          <w:rFonts w:ascii="Book Antiqua" w:eastAsia="Book Antiqua" w:hAnsi="Book Antiqua" w:cs="Book Antiqua"/>
          <w:i/>
          <w:iCs/>
          <w:color w:val="000000"/>
        </w:rPr>
        <w:t>ACS Chem Neurosci</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11</w:t>
      </w:r>
      <w:r w:rsidRPr="00861B73">
        <w:rPr>
          <w:rFonts w:ascii="Book Antiqua" w:eastAsia="Book Antiqua" w:hAnsi="Book Antiqua" w:cs="Book Antiqua"/>
          <w:color w:val="000000"/>
        </w:rPr>
        <w:t>: 1520-1522 [PMID: 32427468 DOI: 10.1021/acschemneuro.0c00265]</w:t>
      </w:r>
    </w:p>
    <w:p w14:paraId="7959C29F"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 </w:t>
      </w:r>
      <w:r w:rsidRPr="00861B73">
        <w:rPr>
          <w:rFonts w:ascii="Book Antiqua" w:eastAsia="Book Antiqua" w:hAnsi="Book Antiqua" w:cs="Book Antiqua"/>
          <w:b/>
          <w:bCs/>
          <w:color w:val="000000"/>
        </w:rPr>
        <w:t>Ellul MA</w:t>
      </w:r>
      <w:r w:rsidRPr="00861B73">
        <w:rPr>
          <w:rFonts w:ascii="Book Antiqua" w:eastAsia="Book Antiqua" w:hAnsi="Book Antiqua" w:cs="Book Antiqua"/>
          <w:color w:val="000000"/>
        </w:rPr>
        <w:t xml:space="preserve">, Benjamin L, Singh B, Lant S, Michael BD, Easton A, Kneen R, Defres S, Sejvar J, Solomon T. Neurological associations of COVID-19. </w:t>
      </w:r>
      <w:r w:rsidRPr="00861B73">
        <w:rPr>
          <w:rFonts w:ascii="Book Antiqua" w:eastAsia="Book Antiqua" w:hAnsi="Book Antiqua" w:cs="Book Antiqua"/>
          <w:i/>
          <w:iCs/>
          <w:color w:val="000000"/>
        </w:rPr>
        <w:t>Lancet Neurol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19</w:t>
      </w:r>
      <w:r w:rsidRPr="00861B73">
        <w:rPr>
          <w:rFonts w:ascii="Book Antiqua" w:eastAsia="Book Antiqua" w:hAnsi="Book Antiqua" w:cs="Book Antiqua"/>
          <w:color w:val="000000"/>
        </w:rPr>
        <w:t>: 767-783 [PMID: 32622375 DOI: 10.1016/S1474-4422(20)30221-0]</w:t>
      </w:r>
    </w:p>
    <w:p w14:paraId="038C5829"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8 </w:t>
      </w:r>
      <w:r w:rsidRPr="00861B73">
        <w:rPr>
          <w:rFonts w:ascii="Book Antiqua" w:eastAsia="Book Antiqua" w:hAnsi="Book Antiqua" w:cs="Book Antiqua"/>
          <w:b/>
          <w:bCs/>
          <w:color w:val="000000"/>
        </w:rPr>
        <w:t>Mitrani RD</w:t>
      </w:r>
      <w:r w:rsidRPr="00861B73">
        <w:rPr>
          <w:rFonts w:ascii="Book Antiqua" w:eastAsia="Book Antiqua" w:hAnsi="Book Antiqua" w:cs="Book Antiqua"/>
          <w:color w:val="000000"/>
        </w:rPr>
        <w:t xml:space="preserve">, Dabas N, Goldberger JJ. COVID-19 cardiac injury: Implications for long-term surveillance and outcomes in survivors. </w:t>
      </w:r>
      <w:r w:rsidRPr="00861B73">
        <w:rPr>
          <w:rFonts w:ascii="Book Antiqua" w:eastAsia="Book Antiqua" w:hAnsi="Book Antiqua" w:cs="Book Antiqua"/>
          <w:i/>
          <w:iCs/>
          <w:color w:val="000000"/>
        </w:rPr>
        <w:t>Heart Rhythm</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17</w:t>
      </w:r>
      <w:r w:rsidRPr="00861B73">
        <w:rPr>
          <w:rFonts w:ascii="Book Antiqua" w:eastAsia="Book Antiqua" w:hAnsi="Book Antiqua" w:cs="Book Antiqua"/>
          <w:color w:val="000000"/>
        </w:rPr>
        <w:t>: 1984-1990 [PMID: 32599178 DOI: 10.1016/j.hrthm.2020.06.026]</w:t>
      </w:r>
    </w:p>
    <w:p w14:paraId="3A1EBCE4"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9 </w:t>
      </w:r>
      <w:r w:rsidRPr="00861B73">
        <w:rPr>
          <w:rFonts w:ascii="Book Antiqua" w:eastAsia="Book Antiqua" w:hAnsi="Book Antiqua" w:cs="Book Antiqua"/>
          <w:b/>
          <w:bCs/>
          <w:color w:val="000000"/>
        </w:rPr>
        <w:t>Hamming I</w:t>
      </w:r>
      <w:r w:rsidRPr="00861B73">
        <w:rPr>
          <w:rFonts w:ascii="Book Antiqua" w:eastAsia="Book Antiqua" w:hAnsi="Book Antiqua" w:cs="Book Antiqua"/>
          <w:color w:val="000000"/>
        </w:rPr>
        <w:t xml:space="preserve">, Timens W, Bulthuis ML, Lely AT, Navis G, van Goor H. Tissue distribution of ACE2 protein, the functional receptor for SARS coronavirus. A first step in understanding SARS pathogenesis. </w:t>
      </w:r>
      <w:r w:rsidRPr="00861B73">
        <w:rPr>
          <w:rFonts w:ascii="Book Antiqua" w:eastAsia="Book Antiqua" w:hAnsi="Book Antiqua" w:cs="Book Antiqua"/>
          <w:i/>
          <w:iCs/>
          <w:color w:val="000000"/>
        </w:rPr>
        <w:t>J Pathol</w:t>
      </w:r>
      <w:r w:rsidRPr="00861B73">
        <w:rPr>
          <w:rFonts w:ascii="Book Antiqua" w:eastAsia="Book Antiqua" w:hAnsi="Book Antiqua" w:cs="Book Antiqua"/>
          <w:color w:val="000000"/>
        </w:rPr>
        <w:t xml:space="preserve"> 2004; </w:t>
      </w:r>
      <w:r w:rsidRPr="00861B73">
        <w:rPr>
          <w:rFonts w:ascii="Book Antiqua" w:eastAsia="Book Antiqua" w:hAnsi="Book Antiqua" w:cs="Book Antiqua"/>
          <w:b/>
          <w:bCs/>
          <w:color w:val="000000"/>
        </w:rPr>
        <w:t>203</w:t>
      </w:r>
      <w:r w:rsidRPr="00861B73">
        <w:rPr>
          <w:rFonts w:ascii="Book Antiqua" w:eastAsia="Book Antiqua" w:hAnsi="Book Antiqua" w:cs="Book Antiqua"/>
          <w:color w:val="000000"/>
        </w:rPr>
        <w:t>: 631-637 [PMID: 15141377 DOI: 10.1002/path.1570]</w:t>
      </w:r>
    </w:p>
    <w:p w14:paraId="48413FCF"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10 </w:t>
      </w:r>
      <w:r w:rsidRPr="00861B73">
        <w:rPr>
          <w:rFonts w:ascii="Book Antiqua" w:eastAsia="Book Antiqua" w:hAnsi="Book Antiqua" w:cs="Book Antiqua"/>
          <w:b/>
          <w:bCs/>
          <w:color w:val="000000"/>
        </w:rPr>
        <w:t>Qi F</w:t>
      </w:r>
      <w:r w:rsidRPr="00861B73">
        <w:rPr>
          <w:rFonts w:ascii="Book Antiqua" w:eastAsia="Book Antiqua" w:hAnsi="Book Antiqua" w:cs="Book Antiqua"/>
          <w:color w:val="000000"/>
        </w:rPr>
        <w:t xml:space="preserve">, Qian S, Zhang S, Zhang Z. Single cell RNA sequencing of 13 human tissues identify cell types and receptors of human coronaviruses. </w:t>
      </w:r>
      <w:r w:rsidRPr="00861B73">
        <w:rPr>
          <w:rFonts w:ascii="Book Antiqua" w:eastAsia="Book Antiqua" w:hAnsi="Book Antiqua" w:cs="Book Antiqua"/>
          <w:i/>
          <w:iCs/>
          <w:color w:val="000000"/>
        </w:rPr>
        <w:t>Biochem Biophys Res Commun</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526</w:t>
      </w:r>
      <w:r w:rsidRPr="00861B73">
        <w:rPr>
          <w:rFonts w:ascii="Book Antiqua" w:eastAsia="Book Antiqua" w:hAnsi="Book Antiqua" w:cs="Book Antiqua"/>
          <w:color w:val="000000"/>
        </w:rPr>
        <w:t>: 135-140 [PMID: 32199615 DOI: 10.1016/j.bbrc.2020.03.044]</w:t>
      </w:r>
    </w:p>
    <w:p w14:paraId="0A39BEE5"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11 </w:t>
      </w:r>
      <w:r w:rsidRPr="00861B73">
        <w:rPr>
          <w:rFonts w:ascii="Book Antiqua" w:eastAsia="Book Antiqua" w:hAnsi="Book Antiqua" w:cs="Book Antiqua"/>
          <w:b/>
          <w:bCs/>
          <w:color w:val="000000"/>
        </w:rPr>
        <w:t>Petrilli CM</w:t>
      </w:r>
      <w:r w:rsidRPr="00861B73">
        <w:rPr>
          <w:rFonts w:ascii="Book Antiqua" w:eastAsia="Book Antiqua" w:hAnsi="Book Antiqua" w:cs="Book Antiqua"/>
          <w:color w:val="000000"/>
        </w:rPr>
        <w:t xml:space="preserve">, Jones SA, Yang J, Rajagopalan H, O'Donnell L, Chernyak Y, Tobin KA, Cerfolio RJ, Francois F, Horwitz LI. Factors associated with hospital admission and critical illness among 5279 people with coronavirus disease 2019 in New York City: prospective cohort study. </w:t>
      </w:r>
      <w:r w:rsidRPr="00861B73">
        <w:rPr>
          <w:rFonts w:ascii="Book Antiqua" w:eastAsia="Book Antiqua" w:hAnsi="Book Antiqua" w:cs="Book Antiqua"/>
          <w:i/>
          <w:iCs/>
          <w:color w:val="000000"/>
        </w:rPr>
        <w:t>BMJ</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369</w:t>
      </w:r>
      <w:r w:rsidRPr="00861B73">
        <w:rPr>
          <w:rFonts w:ascii="Book Antiqua" w:eastAsia="Book Antiqua" w:hAnsi="Book Antiqua" w:cs="Book Antiqua"/>
          <w:color w:val="000000"/>
        </w:rPr>
        <w:t>: m1966 [PMID: 32444366 DOI: 10.1136/bmj.m1966]</w:t>
      </w:r>
    </w:p>
    <w:p w14:paraId="645D10BC"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12 </w:t>
      </w:r>
      <w:r w:rsidRPr="00861B73">
        <w:rPr>
          <w:rFonts w:ascii="Book Antiqua" w:eastAsia="Book Antiqua" w:hAnsi="Book Antiqua" w:cs="Book Antiqua"/>
          <w:b/>
          <w:bCs/>
          <w:color w:val="000000"/>
        </w:rPr>
        <w:t>Gustafson B</w:t>
      </w:r>
      <w:r w:rsidRPr="00861B73">
        <w:rPr>
          <w:rFonts w:ascii="Book Antiqua" w:eastAsia="Book Antiqua" w:hAnsi="Book Antiqua" w:cs="Book Antiqua"/>
          <w:color w:val="000000"/>
        </w:rPr>
        <w:t xml:space="preserve">, Smith U. Regulation of white adipogenesis and its relation to ectopic fat accumulation and cardiovascular risk. </w:t>
      </w:r>
      <w:r w:rsidRPr="00861B73">
        <w:rPr>
          <w:rFonts w:ascii="Book Antiqua" w:eastAsia="Book Antiqua" w:hAnsi="Book Antiqua" w:cs="Book Antiqua"/>
          <w:i/>
          <w:iCs/>
          <w:color w:val="000000"/>
        </w:rPr>
        <w:t>Atherosclerosis</w:t>
      </w:r>
      <w:r w:rsidRPr="00861B73">
        <w:rPr>
          <w:rFonts w:ascii="Book Antiqua" w:eastAsia="Book Antiqua" w:hAnsi="Book Antiqua" w:cs="Book Antiqua"/>
          <w:color w:val="000000"/>
        </w:rPr>
        <w:t xml:space="preserve"> 2015; </w:t>
      </w:r>
      <w:r w:rsidRPr="00861B73">
        <w:rPr>
          <w:rFonts w:ascii="Book Antiqua" w:eastAsia="Book Antiqua" w:hAnsi="Book Antiqua" w:cs="Book Antiqua"/>
          <w:b/>
          <w:bCs/>
          <w:color w:val="000000"/>
        </w:rPr>
        <w:t>241</w:t>
      </w:r>
      <w:r w:rsidRPr="00861B73">
        <w:rPr>
          <w:rFonts w:ascii="Book Antiqua" w:eastAsia="Book Antiqua" w:hAnsi="Book Antiqua" w:cs="Book Antiqua"/>
          <w:color w:val="000000"/>
        </w:rPr>
        <w:t>: 27-35 [PMID: 25957567 DOI: 10.1016/j.atherosclerosis.2015.04.812]</w:t>
      </w:r>
    </w:p>
    <w:p w14:paraId="6157E951"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13 </w:t>
      </w:r>
      <w:r w:rsidRPr="00861B73">
        <w:rPr>
          <w:rFonts w:ascii="Book Antiqua" w:eastAsia="Book Antiqua" w:hAnsi="Book Antiqua" w:cs="Book Antiqua"/>
          <w:b/>
          <w:bCs/>
          <w:color w:val="000000"/>
        </w:rPr>
        <w:t>Gustafson B</w:t>
      </w:r>
      <w:r w:rsidRPr="00861B73">
        <w:rPr>
          <w:rFonts w:ascii="Book Antiqua" w:eastAsia="Book Antiqua" w:hAnsi="Book Antiqua" w:cs="Book Antiqua"/>
          <w:color w:val="000000"/>
        </w:rPr>
        <w:t xml:space="preserve">, Hammarstedt A, Hedjazifar S, Smith U. Restricted adipogenesis in hypertrophic obesity: the role of WISP2, WNT, and BMP4. </w:t>
      </w:r>
      <w:r w:rsidRPr="00861B73">
        <w:rPr>
          <w:rFonts w:ascii="Book Antiqua" w:eastAsia="Book Antiqua" w:hAnsi="Book Antiqua" w:cs="Book Antiqua"/>
          <w:i/>
          <w:iCs/>
          <w:color w:val="000000"/>
        </w:rPr>
        <w:t>Diabetes</w:t>
      </w:r>
      <w:r w:rsidRPr="00861B73">
        <w:rPr>
          <w:rFonts w:ascii="Book Antiqua" w:eastAsia="Book Antiqua" w:hAnsi="Book Antiqua" w:cs="Book Antiqua"/>
          <w:color w:val="000000"/>
        </w:rPr>
        <w:t xml:space="preserve"> 2013; </w:t>
      </w:r>
      <w:r w:rsidRPr="00861B73">
        <w:rPr>
          <w:rFonts w:ascii="Book Antiqua" w:eastAsia="Book Antiqua" w:hAnsi="Book Antiqua" w:cs="Book Antiqua"/>
          <w:b/>
          <w:bCs/>
          <w:color w:val="000000"/>
        </w:rPr>
        <w:t>62</w:t>
      </w:r>
      <w:r w:rsidRPr="00861B73">
        <w:rPr>
          <w:rFonts w:ascii="Book Antiqua" w:eastAsia="Book Antiqua" w:hAnsi="Book Antiqua" w:cs="Book Antiqua"/>
          <w:color w:val="000000"/>
        </w:rPr>
        <w:t>: 2997-3004 [PMID: 23970518 DOI: 10.2337/db13-0473]</w:t>
      </w:r>
    </w:p>
    <w:p w14:paraId="049EAD49"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14 </w:t>
      </w:r>
      <w:r w:rsidRPr="00861B73">
        <w:rPr>
          <w:rFonts w:ascii="Book Antiqua" w:eastAsia="Book Antiqua" w:hAnsi="Book Antiqua" w:cs="Book Antiqua"/>
          <w:b/>
          <w:bCs/>
          <w:color w:val="000000"/>
        </w:rPr>
        <w:t>Saponaro C</w:t>
      </w:r>
      <w:r w:rsidRPr="00861B73">
        <w:rPr>
          <w:rFonts w:ascii="Book Antiqua" w:eastAsia="Book Antiqua" w:hAnsi="Book Antiqua" w:cs="Book Antiqua"/>
          <w:color w:val="000000"/>
        </w:rPr>
        <w:t xml:space="preserve">, Gaggini M, Carli F, Gastaldelli A. The Subtle Balance between Lipolysis and Lipogenesis: A Critical Point in Metabolic Homeostasis. </w:t>
      </w:r>
      <w:r w:rsidRPr="00861B73">
        <w:rPr>
          <w:rFonts w:ascii="Book Antiqua" w:eastAsia="Book Antiqua" w:hAnsi="Book Antiqua" w:cs="Book Antiqua"/>
          <w:i/>
          <w:iCs/>
          <w:color w:val="000000"/>
        </w:rPr>
        <w:t>Nutrients</w:t>
      </w:r>
      <w:r w:rsidRPr="00861B73">
        <w:rPr>
          <w:rFonts w:ascii="Book Antiqua" w:eastAsia="Book Antiqua" w:hAnsi="Book Antiqua" w:cs="Book Antiqua"/>
          <w:color w:val="000000"/>
        </w:rPr>
        <w:t xml:space="preserve"> 2015; </w:t>
      </w:r>
      <w:r w:rsidRPr="00861B73">
        <w:rPr>
          <w:rFonts w:ascii="Book Antiqua" w:eastAsia="Book Antiqua" w:hAnsi="Book Antiqua" w:cs="Book Antiqua"/>
          <w:b/>
          <w:bCs/>
          <w:color w:val="000000"/>
        </w:rPr>
        <w:t>7</w:t>
      </w:r>
      <w:r w:rsidRPr="00861B73">
        <w:rPr>
          <w:rFonts w:ascii="Book Antiqua" w:eastAsia="Book Antiqua" w:hAnsi="Book Antiqua" w:cs="Book Antiqua"/>
          <w:color w:val="000000"/>
        </w:rPr>
        <w:t>: 9453-9474 [PMID: 26580649 DOI: 10.3390/nu7115475]</w:t>
      </w:r>
    </w:p>
    <w:p w14:paraId="566A695D"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15 </w:t>
      </w:r>
      <w:r w:rsidRPr="00861B73">
        <w:rPr>
          <w:rFonts w:ascii="Book Antiqua" w:eastAsia="Book Antiqua" w:hAnsi="Book Antiqua" w:cs="Book Antiqua"/>
          <w:b/>
          <w:bCs/>
          <w:color w:val="000000"/>
        </w:rPr>
        <w:t>Cusi K</w:t>
      </w:r>
      <w:r w:rsidRPr="00861B73">
        <w:rPr>
          <w:rFonts w:ascii="Book Antiqua" w:eastAsia="Book Antiqua" w:hAnsi="Book Antiqua" w:cs="Book Antiqua"/>
          <w:color w:val="000000"/>
        </w:rPr>
        <w:t xml:space="preserve">. Role of insulin resistance and lipotoxicity in non-alcoholic steatohepatitis. </w:t>
      </w:r>
      <w:r w:rsidRPr="00861B73">
        <w:rPr>
          <w:rFonts w:ascii="Book Antiqua" w:eastAsia="Book Antiqua" w:hAnsi="Book Antiqua" w:cs="Book Antiqua"/>
          <w:i/>
          <w:iCs/>
          <w:color w:val="000000"/>
        </w:rPr>
        <w:t>Clin Liver Dis</w:t>
      </w:r>
      <w:r w:rsidRPr="00861B73">
        <w:rPr>
          <w:rFonts w:ascii="Book Antiqua" w:eastAsia="Book Antiqua" w:hAnsi="Book Antiqua" w:cs="Book Antiqua"/>
          <w:color w:val="000000"/>
        </w:rPr>
        <w:t xml:space="preserve"> 2009; </w:t>
      </w:r>
      <w:r w:rsidRPr="00861B73">
        <w:rPr>
          <w:rFonts w:ascii="Book Antiqua" w:eastAsia="Book Antiqua" w:hAnsi="Book Antiqua" w:cs="Book Antiqua"/>
          <w:b/>
          <w:bCs/>
          <w:color w:val="000000"/>
        </w:rPr>
        <w:t>13</w:t>
      </w:r>
      <w:r w:rsidRPr="00861B73">
        <w:rPr>
          <w:rFonts w:ascii="Book Antiqua" w:eastAsia="Book Antiqua" w:hAnsi="Book Antiqua" w:cs="Book Antiqua"/>
          <w:color w:val="000000"/>
        </w:rPr>
        <w:t>: 545-563 [PMID: 19818304 DOI: 10.1016/j.cld.2009.07.009]</w:t>
      </w:r>
    </w:p>
    <w:p w14:paraId="4B58F631"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16 </w:t>
      </w:r>
      <w:r w:rsidRPr="00861B73">
        <w:rPr>
          <w:rFonts w:ascii="Book Antiqua" w:eastAsia="Book Antiqua" w:hAnsi="Book Antiqua" w:cs="Book Antiqua"/>
          <w:b/>
          <w:bCs/>
          <w:color w:val="000000"/>
        </w:rPr>
        <w:t>Cildir G</w:t>
      </w:r>
      <w:r w:rsidRPr="00861B73">
        <w:rPr>
          <w:rFonts w:ascii="Book Antiqua" w:eastAsia="Book Antiqua" w:hAnsi="Book Antiqua" w:cs="Book Antiqua"/>
          <w:color w:val="000000"/>
        </w:rPr>
        <w:t xml:space="preserve">, Akıncılar SC, Tergaonkar V. Chronic adipose tissue inflammation: all immune cells on the stage. </w:t>
      </w:r>
      <w:r w:rsidRPr="00861B73">
        <w:rPr>
          <w:rFonts w:ascii="Book Antiqua" w:eastAsia="Book Antiqua" w:hAnsi="Book Antiqua" w:cs="Book Antiqua"/>
          <w:i/>
          <w:iCs/>
          <w:color w:val="000000"/>
        </w:rPr>
        <w:t>Trends Mol Med</w:t>
      </w:r>
      <w:r w:rsidRPr="00861B73">
        <w:rPr>
          <w:rFonts w:ascii="Book Antiqua" w:eastAsia="Book Antiqua" w:hAnsi="Book Antiqua" w:cs="Book Antiqua"/>
          <w:color w:val="000000"/>
        </w:rPr>
        <w:t xml:space="preserve"> 2013; </w:t>
      </w:r>
      <w:r w:rsidRPr="00861B73">
        <w:rPr>
          <w:rFonts w:ascii="Book Antiqua" w:eastAsia="Book Antiqua" w:hAnsi="Book Antiqua" w:cs="Book Antiqua"/>
          <w:b/>
          <w:bCs/>
          <w:color w:val="000000"/>
        </w:rPr>
        <w:t>19</w:t>
      </w:r>
      <w:r w:rsidRPr="00861B73">
        <w:rPr>
          <w:rFonts w:ascii="Book Antiqua" w:eastAsia="Book Antiqua" w:hAnsi="Book Antiqua" w:cs="Book Antiqua"/>
          <w:color w:val="000000"/>
        </w:rPr>
        <w:t>: 487-500 [PMID: 23746697 DOI: 10.1016/j.molmed.2013.05.001]</w:t>
      </w:r>
    </w:p>
    <w:p w14:paraId="2EE994BC" w14:textId="77777777" w:rsidR="00A77B3E" w:rsidRPr="00861B73" w:rsidRDefault="00AF38BA" w:rsidP="009A225C">
      <w:pPr>
        <w:snapToGrid w:val="0"/>
        <w:spacing w:line="360" w:lineRule="auto"/>
        <w:jc w:val="both"/>
        <w:rPr>
          <w:rFonts w:ascii="Book Antiqua" w:hAnsi="Book Antiqua"/>
          <w:lang w:val="pt-BR"/>
        </w:rPr>
      </w:pPr>
      <w:r w:rsidRPr="00861B73">
        <w:rPr>
          <w:rFonts w:ascii="Book Antiqua" w:eastAsia="Book Antiqua" w:hAnsi="Book Antiqua" w:cs="Book Antiqua"/>
          <w:color w:val="000000"/>
        </w:rPr>
        <w:t xml:space="preserve">17 </w:t>
      </w:r>
      <w:r w:rsidRPr="00861B73">
        <w:rPr>
          <w:rFonts w:ascii="Book Antiqua" w:eastAsia="Book Antiqua" w:hAnsi="Book Antiqua" w:cs="Book Antiqua"/>
          <w:b/>
          <w:bCs/>
          <w:color w:val="000000"/>
        </w:rPr>
        <w:t>Eslam M</w:t>
      </w:r>
      <w:r w:rsidRPr="00861B73">
        <w:rPr>
          <w:rFonts w:ascii="Book Antiqua" w:eastAsia="Book Antiqua" w:hAnsi="Book Antiqua" w:cs="Book Antiqua"/>
          <w:color w:val="000000"/>
        </w:rPr>
        <w:t xml:space="preserve">, Sanyal AJ, George J; International Consensus Panel. MAFLD: A Consensus-Driven Proposed Nomenclature for Metabolic Associated Fatty Liver Disease. </w:t>
      </w:r>
      <w:r w:rsidRPr="00861B73">
        <w:rPr>
          <w:rFonts w:ascii="Book Antiqua" w:eastAsia="Book Antiqua" w:hAnsi="Book Antiqua" w:cs="Book Antiqua"/>
          <w:i/>
          <w:iCs/>
          <w:color w:val="000000"/>
          <w:lang w:val="pt-BR"/>
        </w:rPr>
        <w:t>Gastroenterology</w:t>
      </w:r>
      <w:r w:rsidRPr="00861B73">
        <w:rPr>
          <w:rFonts w:ascii="Book Antiqua" w:eastAsia="Book Antiqua" w:hAnsi="Book Antiqua" w:cs="Book Antiqua"/>
          <w:color w:val="000000"/>
          <w:lang w:val="pt-BR"/>
        </w:rPr>
        <w:t xml:space="preserve"> 2020; </w:t>
      </w:r>
      <w:r w:rsidRPr="00861B73">
        <w:rPr>
          <w:rFonts w:ascii="Book Antiqua" w:eastAsia="Book Antiqua" w:hAnsi="Book Antiqua" w:cs="Book Antiqua"/>
          <w:b/>
          <w:bCs/>
          <w:color w:val="000000"/>
          <w:lang w:val="pt-BR"/>
        </w:rPr>
        <w:t>158</w:t>
      </w:r>
      <w:r w:rsidRPr="00861B73">
        <w:rPr>
          <w:rFonts w:ascii="Book Antiqua" w:eastAsia="Book Antiqua" w:hAnsi="Book Antiqua" w:cs="Book Antiqua"/>
          <w:color w:val="000000"/>
          <w:lang w:val="pt-BR"/>
        </w:rPr>
        <w:t>: 1999-2014.e1 [PMID: 32044314 DOI: 10.1053/j.gastro.2019.11.312]</w:t>
      </w:r>
    </w:p>
    <w:p w14:paraId="51FBCF74"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lang w:val="pt-BR"/>
        </w:rPr>
        <w:t xml:space="preserve">18 </w:t>
      </w:r>
      <w:r w:rsidRPr="00861B73">
        <w:rPr>
          <w:rFonts w:ascii="Book Antiqua" w:eastAsia="Book Antiqua" w:hAnsi="Book Antiqua" w:cs="Book Antiqua"/>
          <w:b/>
          <w:bCs/>
          <w:color w:val="000000"/>
          <w:lang w:val="pt-BR"/>
        </w:rPr>
        <w:t>Polyzos SA</w:t>
      </w:r>
      <w:r w:rsidRPr="00861B73">
        <w:rPr>
          <w:rFonts w:ascii="Book Antiqua" w:eastAsia="Book Antiqua" w:hAnsi="Book Antiqua" w:cs="Book Antiqua"/>
          <w:color w:val="000000"/>
          <w:lang w:val="pt-BR"/>
        </w:rPr>
        <w:t xml:space="preserve">, Kountouras J, Mantzoros CS. </w:t>
      </w:r>
      <w:r w:rsidRPr="00861B73">
        <w:rPr>
          <w:rFonts w:ascii="Book Antiqua" w:eastAsia="Book Antiqua" w:hAnsi="Book Antiqua" w:cs="Book Antiqua"/>
          <w:color w:val="000000"/>
        </w:rPr>
        <w:t xml:space="preserve">Obesity and nonalcoholic fatty liver disease: From pathophysiology to therapeutics. </w:t>
      </w:r>
      <w:r w:rsidRPr="00861B73">
        <w:rPr>
          <w:rFonts w:ascii="Book Antiqua" w:eastAsia="Book Antiqua" w:hAnsi="Book Antiqua" w:cs="Book Antiqua"/>
          <w:i/>
          <w:iCs/>
          <w:color w:val="000000"/>
        </w:rPr>
        <w:t>Metabolism</w:t>
      </w:r>
      <w:r w:rsidRPr="00861B73">
        <w:rPr>
          <w:rFonts w:ascii="Book Antiqua" w:eastAsia="Book Antiqua" w:hAnsi="Book Antiqua" w:cs="Book Antiqua"/>
          <w:color w:val="000000"/>
        </w:rPr>
        <w:t xml:space="preserve"> 2019; </w:t>
      </w:r>
      <w:r w:rsidRPr="00861B73">
        <w:rPr>
          <w:rFonts w:ascii="Book Antiqua" w:eastAsia="Book Antiqua" w:hAnsi="Book Antiqua" w:cs="Book Antiqua"/>
          <w:b/>
          <w:bCs/>
          <w:color w:val="000000"/>
        </w:rPr>
        <w:t>92</w:t>
      </w:r>
      <w:r w:rsidRPr="00861B73">
        <w:rPr>
          <w:rFonts w:ascii="Book Antiqua" w:eastAsia="Book Antiqua" w:hAnsi="Book Antiqua" w:cs="Book Antiqua"/>
          <w:color w:val="000000"/>
        </w:rPr>
        <w:t>: 82-97 [PMID: 30502373 DOI: 10.1016/j.metabol.2018.11.014]</w:t>
      </w:r>
    </w:p>
    <w:p w14:paraId="44528934"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19 </w:t>
      </w:r>
      <w:r w:rsidRPr="00861B73">
        <w:rPr>
          <w:rFonts w:ascii="Book Antiqua" w:eastAsia="Book Antiqua" w:hAnsi="Book Antiqua" w:cs="Book Antiqua"/>
          <w:b/>
          <w:bCs/>
          <w:color w:val="000000"/>
        </w:rPr>
        <w:t>Ryan PM</w:t>
      </w:r>
      <w:r w:rsidRPr="00861B73">
        <w:rPr>
          <w:rFonts w:ascii="Book Antiqua" w:eastAsia="Book Antiqua" w:hAnsi="Book Antiqua" w:cs="Book Antiqua"/>
          <w:color w:val="000000"/>
        </w:rPr>
        <w:t xml:space="preserve">, Caplice NM. Is Adipose Tissue a Reservoir for Viral Spread, Immune Activation, and Cytokine Amplification in Coronavirus Disease 2019? </w:t>
      </w:r>
      <w:r w:rsidRPr="00861B73">
        <w:rPr>
          <w:rFonts w:ascii="Book Antiqua" w:eastAsia="Book Antiqua" w:hAnsi="Book Antiqua" w:cs="Book Antiqua"/>
          <w:i/>
          <w:iCs/>
          <w:color w:val="000000"/>
        </w:rPr>
        <w:t>Obesity (Silver Spring)</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28</w:t>
      </w:r>
      <w:r w:rsidRPr="00861B73">
        <w:rPr>
          <w:rFonts w:ascii="Book Antiqua" w:eastAsia="Book Antiqua" w:hAnsi="Book Antiqua" w:cs="Book Antiqua"/>
          <w:color w:val="000000"/>
        </w:rPr>
        <w:t>: 1191-1194 [PMID: 32314868 DOI: 10.1002/oby.22843]</w:t>
      </w:r>
    </w:p>
    <w:p w14:paraId="2D667798"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20 </w:t>
      </w:r>
      <w:r w:rsidRPr="00861B73">
        <w:rPr>
          <w:rFonts w:ascii="Book Antiqua" w:eastAsia="Book Antiqua" w:hAnsi="Book Antiqua" w:cs="Book Antiqua"/>
          <w:b/>
          <w:bCs/>
          <w:color w:val="000000"/>
        </w:rPr>
        <w:t>Dugail I</w:t>
      </w:r>
      <w:r w:rsidRPr="00861B73">
        <w:rPr>
          <w:rFonts w:ascii="Book Antiqua" w:eastAsia="Book Antiqua" w:hAnsi="Book Antiqua" w:cs="Book Antiqua"/>
          <w:color w:val="000000"/>
        </w:rPr>
        <w:t xml:space="preserve">, Amri EZ, Vitale N. High prevalence for obesity in severe COVID-19: Possible links and perspectives towards patient stratification. </w:t>
      </w:r>
      <w:r w:rsidRPr="00861B73">
        <w:rPr>
          <w:rFonts w:ascii="Book Antiqua" w:eastAsia="Book Antiqua" w:hAnsi="Book Antiqua" w:cs="Book Antiqua"/>
          <w:i/>
          <w:iCs/>
          <w:color w:val="000000"/>
        </w:rPr>
        <w:t>Biochimie</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179</w:t>
      </w:r>
      <w:r w:rsidRPr="00861B73">
        <w:rPr>
          <w:rFonts w:ascii="Book Antiqua" w:eastAsia="Book Antiqua" w:hAnsi="Book Antiqua" w:cs="Book Antiqua"/>
          <w:color w:val="000000"/>
        </w:rPr>
        <w:t>: 257-265 [PMID: 32649962 DOI: 10.1016/j.biochi.2020.07.001]</w:t>
      </w:r>
    </w:p>
    <w:p w14:paraId="4F06C4AE"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21 </w:t>
      </w:r>
      <w:r w:rsidRPr="00861B73">
        <w:rPr>
          <w:rFonts w:ascii="Book Antiqua" w:eastAsia="Book Antiqua" w:hAnsi="Book Antiqua" w:cs="Book Antiqua"/>
          <w:b/>
          <w:bCs/>
          <w:color w:val="000000"/>
        </w:rPr>
        <w:t>Portincasa P</w:t>
      </w:r>
      <w:r w:rsidRPr="00861B73">
        <w:rPr>
          <w:rFonts w:ascii="Book Antiqua" w:eastAsia="Book Antiqua" w:hAnsi="Book Antiqua" w:cs="Book Antiqua"/>
          <w:color w:val="000000"/>
        </w:rPr>
        <w:t xml:space="preserve">, Krawczyk M, Smyk W, Lammert F, Di Ciaula A. COVID-19 and non-alcoholic fatty liver disease: Two intersecting pandemics. </w:t>
      </w:r>
      <w:r w:rsidRPr="00861B73">
        <w:rPr>
          <w:rFonts w:ascii="Book Antiqua" w:eastAsia="Book Antiqua" w:hAnsi="Book Antiqua" w:cs="Book Antiqua"/>
          <w:i/>
          <w:iCs/>
          <w:color w:val="000000"/>
        </w:rPr>
        <w:t>Eur J Clin Invest</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50</w:t>
      </w:r>
      <w:r w:rsidRPr="00861B73">
        <w:rPr>
          <w:rFonts w:ascii="Book Antiqua" w:eastAsia="Book Antiqua" w:hAnsi="Book Antiqua" w:cs="Book Antiqua"/>
          <w:color w:val="000000"/>
        </w:rPr>
        <w:t>: e13338 [PMID: 32589264 DOI: 10.1111/eci.13338]</w:t>
      </w:r>
    </w:p>
    <w:p w14:paraId="51B42578"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22 </w:t>
      </w:r>
      <w:r w:rsidRPr="00861B73">
        <w:rPr>
          <w:rFonts w:ascii="Book Antiqua" w:eastAsia="Book Antiqua" w:hAnsi="Book Antiqua" w:cs="Book Antiqua"/>
          <w:b/>
          <w:bCs/>
          <w:color w:val="000000"/>
        </w:rPr>
        <w:t>Younossi ZM</w:t>
      </w:r>
      <w:r w:rsidRPr="00861B73">
        <w:rPr>
          <w:rFonts w:ascii="Book Antiqua" w:eastAsia="Book Antiqua" w:hAnsi="Book Antiqua" w:cs="Book Antiqua"/>
          <w:color w:val="000000"/>
        </w:rPr>
        <w:t xml:space="preserve">, Koenig AB, Abdelatif D, Fazel Y, Henry L, Wymer M. Global epidemiology of nonalcoholic fatty liver disease-Meta-analytic assessment of prevalence, incidence, and outcomes. </w:t>
      </w:r>
      <w:r w:rsidRPr="00861B73">
        <w:rPr>
          <w:rFonts w:ascii="Book Antiqua" w:eastAsia="Book Antiqua" w:hAnsi="Book Antiqua" w:cs="Book Antiqua"/>
          <w:i/>
          <w:iCs/>
          <w:color w:val="000000"/>
        </w:rPr>
        <w:t>Hepatology</w:t>
      </w:r>
      <w:r w:rsidRPr="00861B73">
        <w:rPr>
          <w:rFonts w:ascii="Book Antiqua" w:eastAsia="Book Antiqua" w:hAnsi="Book Antiqua" w:cs="Book Antiqua"/>
          <w:color w:val="000000"/>
        </w:rPr>
        <w:t xml:space="preserve"> 2016; </w:t>
      </w:r>
      <w:r w:rsidRPr="00861B73">
        <w:rPr>
          <w:rFonts w:ascii="Book Antiqua" w:eastAsia="Book Antiqua" w:hAnsi="Book Antiqua" w:cs="Book Antiqua"/>
          <w:b/>
          <w:bCs/>
          <w:color w:val="000000"/>
        </w:rPr>
        <w:t>64</w:t>
      </w:r>
      <w:r w:rsidRPr="00861B73">
        <w:rPr>
          <w:rFonts w:ascii="Book Antiqua" w:eastAsia="Book Antiqua" w:hAnsi="Book Antiqua" w:cs="Book Antiqua"/>
          <w:color w:val="000000"/>
        </w:rPr>
        <w:t>: 73-84 [PMID: 26707365 DOI: 10.1002/hep.28431]</w:t>
      </w:r>
    </w:p>
    <w:p w14:paraId="070E59C5"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23 </w:t>
      </w:r>
      <w:r w:rsidRPr="00861B73">
        <w:rPr>
          <w:rFonts w:ascii="Book Antiqua" w:eastAsia="Book Antiqua" w:hAnsi="Book Antiqua" w:cs="Book Antiqua"/>
          <w:b/>
          <w:bCs/>
          <w:color w:val="000000"/>
        </w:rPr>
        <w:t>Xian YX</w:t>
      </w:r>
      <w:r w:rsidRPr="00861B73">
        <w:rPr>
          <w:rFonts w:ascii="Book Antiqua" w:eastAsia="Book Antiqua" w:hAnsi="Book Antiqua" w:cs="Book Antiqua"/>
          <w:color w:val="000000"/>
        </w:rPr>
        <w:t xml:space="preserve">, Weng JP, Xu F. MAFLD vs. NAFLD: shared features and potential changes in epidemiology, pathophysiology, diagnosis, and pharmacotherapy. </w:t>
      </w:r>
      <w:r w:rsidRPr="00861B73">
        <w:rPr>
          <w:rFonts w:ascii="Book Antiqua" w:eastAsia="Book Antiqua" w:hAnsi="Book Antiqua" w:cs="Book Antiqua"/>
          <w:i/>
          <w:iCs/>
          <w:color w:val="000000"/>
        </w:rPr>
        <w:t>Chin Med J (Engl)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134</w:t>
      </w:r>
      <w:r w:rsidRPr="00861B73">
        <w:rPr>
          <w:rFonts w:ascii="Book Antiqua" w:eastAsia="Book Antiqua" w:hAnsi="Book Antiqua" w:cs="Book Antiqua"/>
          <w:color w:val="000000"/>
        </w:rPr>
        <w:t>: 8-19 [PMID: 33323806 DOI: 10.1097/CM9.0000000000001263]</w:t>
      </w:r>
    </w:p>
    <w:p w14:paraId="4C9680A1"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24 </w:t>
      </w:r>
      <w:r w:rsidRPr="00861B73">
        <w:rPr>
          <w:rFonts w:ascii="Book Antiqua" w:eastAsia="Book Antiqua" w:hAnsi="Book Antiqua" w:cs="Book Antiqua"/>
          <w:b/>
          <w:bCs/>
          <w:color w:val="000000"/>
        </w:rPr>
        <w:t>Magkos F</w:t>
      </w:r>
      <w:r w:rsidRPr="00861B73">
        <w:rPr>
          <w:rFonts w:ascii="Book Antiqua" w:eastAsia="Book Antiqua" w:hAnsi="Book Antiqua" w:cs="Book Antiqua"/>
          <w:color w:val="000000"/>
        </w:rPr>
        <w:t xml:space="preserve">, Mantzoros CS. Body fat redistribution and metabolic abnormalities in HIV-infected patients on highly active antiretroviral therapy: novel insights into pathophysiology and emerging opportunities for treatment. </w:t>
      </w:r>
      <w:r w:rsidRPr="00861B73">
        <w:rPr>
          <w:rFonts w:ascii="Book Antiqua" w:eastAsia="Book Antiqua" w:hAnsi="Book Antiqua" w:cs="Book Antiqua"/>
          <w:i/>
          <w:iCs/>
          <w:color w:val="000000"/>
        </w:rPr>
        <w:t>Metabolism</w:t>
      </w:r>
      <w:r w:rsidRPr="00861B73">
        <w:rPr>
          <w:rFonts w:ascii="Book Antiqua" w:eastAsia="Book Antiqua" w:hAnsi="Book Antiqua" w:cs="Book Antiqua"/>
          <w:color w:val="000000"/>
        </w:rPr>
        <w:t xml:space="preserve"> 2011; </w:t>
      </w:r>
      <w:r w:rsidRPr="00861B73">
        <w:rPr>
          <w:rFonts w:ascii="Book Antiqua" w:eastAsia="Book Antiqua" w:hAnsi="Book Antiqua" w:cs="Book Antiqua"/>
          <w:b/>
          <w:bCs/>
          <w:color w:val="000000"/>
        </w:rPr>
        <w:t>60</w:t>
      </w:r>
      <w:r w:rsidRPr="00861B73">
        <w:rPr>
          <w:rFonts w:ascii="Book Antiqua" w:eastAsia="Book Antiqua" w:hAnsi="Book Antiqua" w:cs="Book Antiqua"/>
          <w:color w:val="000000"/>
        </w:rPr>
        <w:t>: 749-753 [PMID: 20965525 DOI: 10.1016/j.metabol.2010.09.011]</w:t>
      </w:r>
    </w:p>
    <w:p w14:paraId="44D184D1" w14:textId="77777777" w:rsidR="00A77B3E" w:rsidRPr="00861B73" w:rsidRDefault="00AF38BA" w:rsidP="009A225C">
      <w:pPr>
        <w:snapToGrid w:val="0"/>
        <w:spacing w:line="360" w:lineRule="auto"/>
        <w:jc w:val="both"/>
        <w:rPr>
          <w:rFonts w:ascii="Book Antiqua" w:hAnsi="Book Antiqua"/>
          <w:lang w:val="pt-BR"/>
        </w:rPr>
      </w:pPr>
      <w:r w:rsidRPr="00861B73">
        <w:rPr>
          <w:rFonts w:ascii="Book Antiqua" w:eastAsia="Book Antiqua" w:hAnsi="Book Antiqua" w:cs="Book Antiqua"/>
          <w:color w:val="000000"/>
        </w:rPr>
        <w:t xml:space="preserve">25 </w:t>
      </w:r>
      <w:r w:rsidRPr="00861B73">
        <w:rPr>
          <w:rFonts w:ascii="Book Antiqua" w:eastAsia="Book Antiqua" w:hAnsi="Book Antiqua" w:cs="Book Antiqua"/>
          <w:b/>
          <w:bCs/>
          <w:color w:val="000000"/>
        </w:rPr>
        <w:t>Donnelly KL</w:t>
      </w:r>
      <w:r w:rsidRPr="00861B73">
        <w:rPr>
          <w:rFonts w:ascii="Book Antiqua" w:eastAsia="Book Antiqua" w:hAnsi="Book Antiqua" w:cs="Book Antiqua"/>
          <w:color w:val="000000"/>
        </w:rPr>
        <w:t xml:space="preserve">, Smith CI, Schwarzenberg SJ, Jessurun J, Boldt MD, Parks EJ. Sources of fatty acids stored in liver and secreted </w:t>
      </w:r>
      <w:r w:rsidRPr="00861B73">
        <w:rPr>
          <w:rFonts w:ascii="Book Antiqua" w:eastAsia="Book Antiqua" w:hAnsi="Book Antiqua" w:cs="Book Antiqua"/>
          <w:i/>
          <w:iCs/>
          <w:color w:val="000000"/>
        </w:rPr>
        <w:t>via</w:t>
      </w:r>
      <w:r w:rsidRPr="00861B73">
        <w:rPr>
          <w:rFonts w:ascii="Book Antiqua" w:eastAsia="Book Antiqua" w:hAnsi="Book Antiqua" w:cs="Book Antiqua"/>
          <w:color w:val="000000"/>
        </w:rPr>
        <w:t xml:space="preserve"> lipoproteins in patients with nonalcoholic fatty liver disease. </w:t>
      </w:r>
      <w:r w:rsidRPr="00861B73">
        <w:rPr>
          <w:rFonts w:ascii="Book Antiqua" w:eastAsia="Book Antiqua" w:hAnsi="Book Antiqua" w:cs="Book Antiqua"/>
          <w:i/>
          <w:iCs/>
          <w:color w:val="000000"/>
          <w:lang w:val="pt-BR"/>
        </w:rPr>
        <w:t>J Clin Invest</w:t>
      </w:r>
      <w:r w:rsidRPr="00861B73">
        <w:rPr>
          <w:rFonts w:ascii="Book Antiqua" w:eastAsia="Book Antiqua" w:hAnsi="Book Antiqua" w:cs="Book Antiqua"/>
          <w:color w:val="000000"/>
          <w:lang w:val="pt-BR"/>
        </w:rPr>
        <w:t xml:space="preserve"> 2005; </w:t>
      </w:r>
      <w:r w:rsidRPr="00861B73">
        <w:rPr>
          <w:rFonts w:ascii="Book Antiqua" w:eastAsia="Book Antiqua" w:hAnsi="Book Antiqua" w:cs="Book Antiqua"/>
          <w:b/>
          <w:bCs/>
          <w:color w:val="000000"/>
          <w:lang w:val="pt-BR"/>
        </w:rPr>
        <w:t>115</w:t>
      </w:r>
      <w:r w:rsidRPr="00861B73">
        <w:rPr>
          <w:rFonts w:ascii="Book Antiqua" w:eastAsia="Book Antiqua" w:hAnsi="Book Antiqua" w:cs="Book Antiqua"/>
          <w:color w:val="000000"/>
          <w:lang w:val="pt-BR"/>
        </w:rPr>
        <w:t>: 1343-1351 [PMID: 15864352 DOI: 10.1172/JCI23621]</w:t>
      </w:r>
    </w:p>
    <w:p w14:paraId="34E12815" w14:textId="77777777" w:rsidR="00A77B3E" w:rsidRPr="00861B73" w:rsidRDefault="00AF38BA" w:rsidP="009A225C">
      <w:pPr>
        <w:snapToGrid w:val="0"/>
        <w:spacing w:line="360" w:lineRule="auto"/>
        <w:jc w:val="both"/>
        <w:rPr>
          <w:rFonts w:ascii="Book Antiqua" w:hAnsi="Book Antiqua"/>
          <w:lang w:val="pt-BR"/>
        </w:rPr>
      </w:pPr>
      <w:r w:rsidRPr="00861B73">
        <w:rPr>
          <w:rFonts w:ascii="Book Antiqua" w:eastAsia="Book Antiqua" w:hAnsi="Book Antiqua" w:cs="Book Antiqua"/>
          <w:color w:val="000000"/>
          <w:lang w:val="pt-BR"/>
        </w:rPr>
        <w:t xml:space="preserve">26 </w:t>
      </w:r>
      <w:r w:rsidRPr="00861B73">
        <w:rPr>
          <w:rFonts w:ascii="Book Antiqua" w:eastAsia="Book Antiqua" w:hAnsi="Book Antiqua" w:cs="Book Antiqua"/>
          <w:b/>
          <w:bCs/>
          <w:color w:val="000000"/>
          <w:lang w:val="pt-BR"/>
        </w:rPr>
        <w:t>Polyzos SA</w:t>
      </w:r>
      <w:r w:rsidRPr="00861B73">
        <w:rPr>
          <w:rFonts w:ascii="Book Antiqua" w:eastAsia="Book Antiqua" w:hAnsi="Book Antiqua" w:cs="Book Antiqua"/>
          <w:color w:val="000000"/>
          <w:lang w:val="pt-BR"/>
        </w:rPr>
        <w:t xml:space="preserve">, Kountouras J, Mantzoros CS. </w:t>
      </w:r>
      <w:r w:rsidRPr="00861B73">
        <w:rPr>
          <w:rFonts w:ascii="Book Antiqua" w:eastAsia="Book Antiqua" w:hAnsi="Book Antiqua" w:cs="Book Antiqua"/>
          <w:color w:val="000000"/>
        </w:rPr>
        <w:t xml:space="preserve">Adipose tissue, obesity and non-alcoholic fatty liver disease. </w:t>
      </w:r>
      <w:r w:rsidRPr="00861B73">
        <w:rPr>
          <w:rFonts w:ascii="Book Antiqua" w:eastAsia="Book Antiqua" w:hAnsi="Book Antiqua" w:cs="Book Antiqua"/>
          <w:i/>
          <w:iCs/>
          <w:color w:val="000000"/>
          <w:lang w:val="pt-BR"/>
        </w:rPr>
        <w:t>Minerva Endocrinol</w:t>
      </w:r>
      <w:r w:rsidRPr="00861B73">
        <w:rPr>
          <w:rFonts w:ascii="Book Antiqua" w:eastAsia="Book Antiqua" w:hAnsi="Book Antiqua" w:cs="Book Antiqua"/>
          <w:color w:val="000000"/>
          <w:lang w:val="pt-BR"/>
        </w:rPr>
        <w:t xml:space="preserve"> 2017; </w:t>
      </w:r>
      <w:r w:rsidRPr="00861B73">
        <w:rPr>
          <w:rFonts w:ascii="Book Antiqua" w:eastAsia="Book Antiqua" w:hAnsi="Book Antiqua" w:cs="Book Antiqua"/>
          <w:b/>
          <w:bCs/>
          <w:color w:val="000000"/>
          <w:lang w:val="pt-BR"/>
        </w:rPr>
        <w:t>42</w:t>
      </w:r>
      <w:r w:rsidRPr="00861B73">
        <w:rPr>
          <w:rFonts w:ascii="Book Antiqua" w:eastAsia="Book Antiqua" w:hAnsi="Book Antiqua" w:cs="Book Antiqua"/>
          <w:color w:val="000000"/>
          <w:lang w:val="pt-BR"/>
        </w:rPr>
        <w:t>: 92-108 [PMID: 27711029 DOI: 10.23736/S0391-1977.16.02563-3]</w:t>
      </w:r>
    </w:p>
    <w:p w14:paraId="3CCB8585" w14:textId="77777777" w:rsidR="00A77B3E" w:rsidRPr="00861B73" w:rsidRDefault="00AF38BA" w:rsidP="009A225C">
      <w:pPr>
        <w:snapToGrid w:val="0"/>
        <w:spacing w:line="360" w:lineRule="auto"/>
        <w:jc w:val="both"/>
        <w:rPr>
          <w:rFonts w:ascii="Book Antiqua" w:hAnsi="Book Antiqua"/>
          <w:lang w:val="pt-BR"/>
        </w:rPr>
      </w:pPr>
      <w:r w:rsidRPr="00861B73">
        <w:rPr>
          <w:rFonts w:ascii="Book Antiqua" w:eastAsia="Book Antiqua" w:hAnsi="Book Antiqua" w:cs="Book Antiqua"/>
          <w:color w:val="000000"/>
          <w:lang w:val="pt-BR"/>
        </w:rPr>
        <w:t xml:space="preserve">27 </w:t>
      </w:r>
      <w:r w:rsidRPr="00861B73">
        <w:rPr>
          <w:rFonts w:ascii="Book Antiqua" w:eastAsia="Book Antiqua" w:hAnsi="Book Antiqua" w:cs="Book Antiqua"/>
          <w:b/>
          <w:bCs/>
          <w:color w:val="000000"/>
          <w:lang w:val="pt-BR"/>
        </w:rPr>
        <w:t>Polyzos SA</w:t>
      </w:r>
      <w:r w:rsidRPr="00861B73">
        <w:rPr>
          <w:rFonts w:ascii="Book Antiqua" w:eastAsia="Book Antiqua" w:hAnsi="Book Antiqua" w:cs="Book Antiqua"/>
          <w:color w:val="000000"/>
          <w:lang w:val="pt-BR"/>
        </w:rPr>
        <w:t xml:space="preserve">, Kountouras J, Mantzoros CS. </w:t>
      </w:r>
      <w:r w:rsidRPr="00861B73">
        <w:rPr>
          <w:rFonts w:ascii="Book Antiqua" w:eastAsia="Book Antiqua" w:hAnsi="Book Antiqua" w:cs="Book Antiqua"/>
          <w:color w:val="000000"/>
        </w:rPr>
        <w:t xml:space="preserve">Adipokines in nonalcoholic fatty liver disease. </w:t>
      </w:r>
      <w:r w:rsidRPr="00861B73">
        <w:rPr>
          <w:rFonts w:ascii="Book Antiqua" w:eastAsia="Book Antiqua" w:hAnsi="Book Antiqua" w:cs="Book Antiqua"/>
          <w:i/>
          <w:iCs/>
          <w:color w:val="000000"/>
          <w:lang w:val="pt-BR"/>
        </w:rPr>
        <w:t>Metabolism</w:t>
      </w:r>
      <w:r w:rsidRPr="00861B73">
        <w:rPr>
          <w:rFonts w:ascii="Book Antiqua" w:eastAsia="Book Antiqua" w:hAnsi="Book Antiqua" w:cs="Book Antiqua"/>
          <w:color w:val="000000"/>
          <w:lang w:val="pt-BR"/>
        </w:rPr>
        <w:t xml:space="preserve"> 2016; </w:t>
      </w:r>
      <w:r w:rsidRPr="00861B73">
        <w:rPr>
          <w:rFonts w:ascii="Book Antiqua" w:eastAsia="Book Antiqua" w:hAnsi="Book Antiqua" w:cs="Book Antiqua"/>
          <w:b/>
          <w:bCs/>
          <w:color w:val="000000"/>
          <w:lang w:val="pt-BR"/>
        </w:rPr>
        <w:t>65</w:t>
      </w:r>
      <w:r w:rsidRPr="00861B73">
        <w:rPr>
          <w:rFonts w:ascii="Book Antiqua" w:eastAsia="Book Antiqua" w:hAnsi="Book Antiqua" w:cs="Book Antiqua"/>
          <w:color w:val="000000"/>
          <w:lang w:val="pt-BR"/>
        </w:rPr>
        <w:t>: 1062-1079 [PMID: 26725002 DOI: 10.1016/j.metabol.2015.11.006]</w:t>
      </w:r>
    </w:p>
    <w:p w14:paraId="66CE1BA0"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lang w:val="pt-BR"/>
        </w:rPr>
        <w:t xml:space="preserve">28 </w:t>
      </w:r>
      <w:r w:rsidRPr="00861B73">
        <w:rPr>
          <w:rFonts w:ascii="Book Antiqua" w:eastAsia="Book Antiqua" w:hAnsi="Book Antiqua" w:cs="Book Antiqua"/>
          <w:b/>
          <w:bCs/>
          <w:color w:val="000000"/>
          <w:lang w:val="pt-BR"/>
        </w:rPr>
        <w:t>Polyzos SA</w:t>
      </w:r>
      <w:r w:rsidRPr="00861B73">
        <w:rPr>
          <w:rFonts w:ascii="Book Antiqua" w:eastAsia="Book Antiqua" w:hAnsi="Book Antiqua" w:cs="Book Antiqua"/>
          <w:color w:val="000000"/>
          <w:lang w:val="pt-BR"/>
        </w:rPr>
        <w:t xml:space="preserve">, Kountouras J, Mantzoros CS. </w:t>
      </w:r>
      <w:r w:rsidRPr="00861B73">
        <w:rPr>
          <w:rFonts w:ascii="Book Antiqua" w:eastAsia="Book Antiqua" w:hAnsi="Book Antiqua" w:cs="Book Antiqua"/>
          <w:color w:val="000000"/>
        </w:rPr>
        <w:t xml:space="preserve">Leptin in nonalcoholic fatty liver disease: a narrative review. </w:t>
      </w:r>
      <w:r w:rsidRPr="00861B73">
        <w:rPr>
          <w:rFonts w:ascii="Book Antiqua" w:eastAsia="Book Antiqua" w:hAnsi="Book Antiqua" w:cs="Book Antiqua"/>
          <w:i/>
          <w:iCs/>
          <w:color w:val="000000"/>
        </w:rPr>
        <w:t>Metabolism</w:t>
      </w:r>
      <w:r w:rsidRPr="00861B73">
        <w:rPr>
          <w:rFonts w:ascii="Book Antiqua" w:eastAsia="Book Antiqua" w:hAnsi="Book Antiqua" w:cs="Book Antiqua"/>
          <w:color w:val="000000"/>
        </w:rPr>
        <w:t xml:space="preserve"> 2015; </w:t>
      </w:r>
      <w:r w:rsidRPr="00861B73">
        <w:rPr>
          <w:rFonts w:ascii="Book Antiqua" w:eastAsia="Book Antiqua" w:hAnsi="Book Antiqua" w:cs="Book Antiqua"/>
          <w:b/>
          <w:bCs/>
          <w:color w:val="000000"/>
        </w:rPr>
        <w:t>64</w:t>
      </w:r>
      <w:r w:rsidRPr="00861B73">
        <w:rPr>
          <w:rFonts w:ascii="Book Antiqua" w:eastAsia="Book Antiqua" w:hAnsi="Book Antiqua" w:cs="Book Antiqua"/>
          <w:color w:val="000000"/>
        </w:rPr>
        <w:t>: 60-78 [PMID: 25456097 DOI: 10.1016/j.metabol.2014.10.012]</w:t>
      </w:r>
    </w:p>
    <w:p w14:paraId="0C06C0F0"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29 </w:t>
      </w:r>
      <w:r w:rsidRPr="00861B73">
        <w:rPr>
          <w:rFonts w:ascii="Book Antiqua" w:eastAsia="Book Antiqua" w:hAnsi="Book Antiqua" w:cs="Book Antiqua"/>
          <w:b/>
          <w:bCs/>
          <w:color w:val="000000"/>
        </w:rPr>
        <w:t>Polyzos SA</w:t>
      </w:r>
      <w:r w:rsidRPr="00861B73">
        <w:rPr>
          <w:rFonts w:ascii="Book Antiqua" w:eastAsia="Book Antiqua" w:hAnsi="Book Antiqua" w:cs="Book Antiqua"/>
          <w:color w:val="000000"/>
        </w:rPr>
        <w:t xml:space="preserve">, Kountouras J, Zavos C, Tsiaousi E. The role of adiponectin in the pathogenesis and treatment of non-alcoholic fatty liver disease. </w:t>
      </w:r>
      <w:r w:rsidRPr="00861B73">
        <w:rPr>
          <w:rFonts w:ascii="Book Antiqua" w:eastAsia="Book Antiqua" w:hAnsi="Book Antiqua" w:cs="Book Antiqua"/>
          <w:i/>
          <w:iCs/>
          <w:color w:val="000000"/>
        </w:rPr>
        <w:t>Diabetes Obes Metab</w:t>
      </w:r>
      <w:r w:rsidRPr="00861B73">
        <w:rPr>
          <w:rFonts w:ascii="Book Antiqua" w:eastAsia="Book Antiqua" w:hAnsi="Book Antiqua" w:cs="Book Antiqua"/>
          <w:color w:val="000000"/>
        </w:rPr>
        <w:t xml:space="preserve"> 2010; </w:t>
      </w:r>
      <w:r w:rsidRPr="00861B73">
        <w:rPr>
          <w:rFonts w:ascii="Book Antiqua" w:eastAsia="Book Antiqua" w:hAnsi="Book Antiqua" w:cs="Book Antiqua"/>
          <w:b/>
          <w:bCs/>
          <w:color w:val="000000"/>
        </w:rPr>
        <w:t>12</w:t>
      </w:r>
      <w:r w:rsidRPr="00861B73">
        <w:rPr>
          <w:rFonts w:ascii="Book Antiqua" w:eastAsia="Book Antiqua" w:hAnsi="Book Antiqua" w:cs="Book Antiqua"/>
          <w:color w:val="000000"/>
        </w:rPr>
        <w:t>: 365-383 [PMID: 20415685 DOI: 10.1111/j.1463-1326.2009.01176.x]</w:t>
      </w:r>
    </w:p>
    <w:p w14:paraId="7A247BAB"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30 </w:t>
      </w:r>
      <w:r w:rsidRPr="00861B73">
        <w:rPr>
          <w:rFonts w:ascii="Book Antiqua" w:eastAsia="Book Antiqua" w:hAnsi="Book Antiqua" w:cs="Book Antiqua"/>
          <w:b/>
          <w:bCs/>
          <w:color w:val="000000"/>
        </w:rPr>
        <w:t>Imajo K</w:t>
      </w:r>
      <w:r w:rsidRPr="00861B73">
        <w:rPr>
          <w:rFonts w:ascii="Book Antiqua" w:eastAsia="Book Antiqua" w:hAnsi="Book Antiqua" w:cs="Book Antiqua"/>
          <w:color w:val="000000"/>
        </w:rPr>
        <w:t xml:space="preserve">, Fujita K, Yoneda M, Nozaki Y, Ogawa Y, Shinohara Y, Kato S, Mawatari H, Shibata W, Kitani H, Ikejima K, Kirikoshi H, Nakajima N, Saito S, Maeyama S, Watanabe S, Wada K, Nakajima A. Hyperresponsivity to low-dose endotoxin during progression to nonalcoholic steatohepatitis is regulated by leptin-mediated signaling. </w:t>
      </w:r>
      <w:r w:rsidRPr="00861B73">
        <w:rPr>
          <w:rFonts w:ascii="Book Antiqua" w:eastAsia="Book Antiqua" w:hAnsi="Book Antiqua" w:cs="Book Antiqua"/>
          <w:i/>
          <w:iCs/>
          <w:color w:val="000000"/>
        </w:rPr>
        <w:t>Cell Metab</w:t>
      </w:r>
      <w:r w:rsidRPr="00861B73">
        <w:rPr>
          <w:rFonts w:ascii="Book Antiqua" w:eastAsia="Book Antiqua" w:hAnsi="Book Antiqua" w:cs="Book Antiqua"/>
          <w:color w:val="000000"/>
        </w:rPr>
        <w:t xml:space="preserve"> 2012; </w:t>
      </w:r>
      <w:r w:rsidRPr="00861B73">
        <w:rPr>
          <w:rFonts w:ascii="Book Antiqua" w:eastAsia="Book Antiqua" w:hAnsi="Book Antiqua" w:cs="Book Antiqua"/>
          <w:b/>
          <w:bCs/>
          <w:color w:val="000000"/>
        </w:rPr>
        <w:t>16</w:t>
      </w:r>
      <w:r w:rsidRPr="00861B73">
        <w:rPr>
          <w:rFonts w:ascii="Book Antiqua" w:eastAsia="Book Antiqua" w:hAnsi="Book Antiqua" w:cs="Book Antiqua"/>
          <w:color w:val="000000"/>
        </w:rPr>
        <w:t>: 44-54 [PMID: 22768838 DOI: 10.1016/j.cmet.2012.05.012]</w:t>
      </w:r>
    </w:p>
    <w:p w14:paraId="64A95012"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31 </w:t>
      </w:r>
      <w:r w:rsidRPr="00861B73">
        <w:rPr>
          <w:rFonts w:ascii="Book Antiqua" w:eastAsia="Book Antiqua" w:hAnsi="Book Antiqua" w:cs="Book Antiqua"/>
          <w:b/>
          <w:bCs/>
          <w:color w:val="000000"/>
        </w:rPr>
        <w:t>Silva-Veiga FM</w:t>
      </w:r>
      <w:r w:rsidRPr="00861B73">
        <w:rPr>
          <w:rFonts w:ascii="Book Antiqua" w:eastAsia="Book Antiqua" w:hAnsi="Book Antiqua" w:cs="Book Antiqua"/>
          <w:color w:val="000000"/>
        </w:rPr>
        <w:t xml:space="preserve">, Miranda CS, Martins FF, Daleprane JB, Mandarim-de-Lacerda CA, Souza-Mello V. Gut-liver axis modulation in fructose-fed mice: a role for PPAR-alpha and linagliptin. </w:t>
      </w:r>
      <w:r w:rsidRPr="00861B73">
        <w:rPr>
          <w:rFonts w:ascii="Book Antiqua" w:eastAsia="Book Antiqua" w:hAnsi="Book Antiqua" w:cs="Book Antiqua"/>
          <w:i/>
          <w:iCs/>
          <w:color w:val="000000"/>
        </w:rPr>
        <w:t>J Endocrinol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247</w:t>
      </w:r>
      <w:r w:rsidRPr="00861B73">
        <w:rPr>
          <w:rFonts w:ascii="Book Antiqua" w:eastAsia="Book Antiqua" w:hAnsi="Book Antiqua" w:cs="Book Antiqua"/>
          <w:color w:val="000000"/>
        </w:rPr>
        <w:t>: 11-24 [PMID: 32698143 DOI: 10.1530/JOE-20-0139]</w:t>
      </w:r>
    </w:p>
    <w:p w14:paraId="4E71B39B"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32 </w:t>
      </w:r>
      <w:r w:rsidRPr="00861B73">
        <w:rPr>
          <w:rFonts w:ascii="Book Antiqua" w:eastAsia="Book Antiqua" w:hAnsi="Book Antiqua" w:cs="Book Antiqua"/>
          <w:b/>
          <w:bCs/>
          <w:color w:val="000000"/>
        </w:rPr>
        <w:t>Turnbaugh PJ</w:t>
      </w:r>
      <w:r w:rsidRPr="00861B73">
        <w:rPr>
          <w:rFonts w:ascii="Book Antiqua" w:eastAsia="Book Antiqua" w:hAnsi="Book Antiqua" w:cs="Book Antiqua"/>
          <w:color w:val="000000"/>
        </w:rPr>
        <w:t xml:space="preserve">, Ley RE, Mahowald MA, Magrini V, Mardis ER, Gordon JI. An obesity-associated gut microbiome with increased capacity for energy harvest. </w:t>
      </w:r>
      <w:r w:rsidRPr="00861B73">
        <w:rPr>
          <w:rFonts w:ascii="Book Antiqua" w:eastAsia="Book Antiqua" w:hAnsi="Book Antiqua" w:cs="Book Antiqua"/>
          <w:i/>
          <w:iCs/>
          <w:color w:val="000000"/>
        </w:rPr>
        <w:t>Nature</w:t>
      </w:r>
      <w:r w:rsidRPr="00861B73">
        <w:rPr>
          <w:rFonts w:ascii="Book Antiqua" w:eastAsia="Book Antiqua" w:hAnsi="Book Antiqua" w:cs="Book Antiqua"/>
          <w:color w:val="000000"/>
        </w:rPr>
        <w:t xml:space="preserve"> 2006; </w:t>
      </w:r>
      <w:r w:rsidRPr="00861B73">
        <w:rPr>
          <w:rFonts w:ascii="Book Antiqua" w:eastAsia="Book Antiqua" w:hAnsi="Book Antiqua" w:cs="Book Antiqua"/>
          <w:b/>
          <w:bCs/>
          <w:color w:val="000000"/>
        </w:rPr>
        <w:t>444</w:t>
      </w:r>
      <w:r w:rsidRPr="00861B73">
        <w:rPr>
          <w:rFonts w:ascii="Book Antiqua" w:eastAsia="Book Antiqua" w:hAnsi="Book Antiqua" w:cs="Book Antiqua"/>
          <w:color w:val="000000"/>
        </w:rPr>
        <w:t>: 1027-1031 [PMID: 17183312 DOI: 10.1038/nature05414]</w:t>
      </w:r>
    </w:p>
    <w:p w14:paraId="7B041ED1"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33 </w:t>
      </w:r>
      <w:r w:rsidRPr="00861B73">
        <w:rPr>
          <w:rFonts w:ascii="Book Antiqua" w:eastAsia="Book Antiqua" w:hAnsi="Book Antiqua" w:cs="Book Antiqua"/>
          <w:b/>
          <w:bCs/>
          <w:color w:val="000000"/>
        </w:rPr>
        <w:t>Porras D</w:t>
      </w:r>
      <w:r w:rsidRPr="00861B73">
        <w:rPr>
          <w:rFonts w:ascii="Book Antiqua" w:eastAsia="Book Antiqua" w:hAnsi="Book Antiqua" w:cs="Book Antiqua"/>
          <w:color w:val="000000"/>
        </w:rPr>
        <w:t xml:space="preserve">, Nistal E, Martínez-Flórez S, González-Gallego J, García-Mediavilla MV, Sánchez-Campos S. Intestinal Microbiota Modulation in Obesity-Related Non-alcoholic Fatty Liver Disease. </w:t>
      </w:r>
      <w:r w:rsidRPr="00861B73">
        <w:rPr>
          <w:rFonts w:ascii="Book Antiqua" w:eastAsia="Book Antiqua" w:hAnsi="Book Antiqua" w:cs="Book Antiqua"/>
          <w:i/>
          <w:iCs/>
          <w:color w:val="000000"/>
        </w:rPr>
        <w:t>Front Physiol</w:t>
      </w:r>
      <w:r w:rsidRPr="00861B73">
        <w:rPr>
          <w:rFonts w:ascii="Book Antiqua" w:eastAsia="Book Antiqua" w:hAnsi="Book Antiqua" w:cs="Book Antiqua"/>
          <w:color w:val="000000"/>
        </w:rPr>
        <w:t xml:space="preserve"> 2018; </w:t>
      </w:r>
      <w:r w:rsidRPr="00861B73">
        <w:rPr>
          <w:rFonts w:ascii="Book Antiqua" w:eastAsia="Book Antiqua" w:hAnsi="Book Antiqua" w:cs="Book Antiqua"/>
          <w:b/>
          <w:bCs/>
          <w:color w:val="000000"/>
        </w:rPr>
        <w:t>9</w:t>
      </w:r>
      <w:r w:rsidRPr="00861B73">
        <w:rPr>
          <w:rFonts w:ascii="Book Antiqua" w:eastAsia="Book Antiqua" w:hAnsi="Book Antiqua" w:cs="Book Antiqua"/>
          <w:color w:val="000000"/>
        </w:rPr>
        <w:t>: 1813 [PMID: 30618824 DOI: 10.3389/fphys.2018.01813]</w:t>
      </w:r>
    </w:p>
    <w:p w14:paraId="681F2C23"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34 </w:t>
      </w:r>
      <w:r w:rsidRPr="00861B73">
        <w:rPr>
          <w:rFonts w:ascii="Book Antiqua" w:eastAsia="Book Antiqua" w:hAnsi="Book Antiqua" w:cs="Book Antiqua"/>
          <w:b/>
          <w:bCs/>
          <w:color w:val="000000"/>
        </w:rPr>
        <w:t>du Plessis J</w:t>
      </w:r>
      <w:r w:rsidRPr="00861B73">
        <w:rPr>
          <w:rFonts w:ascii="Book Antiqua" w:eastAsia="Book Antiqua" w:hAnsi="Book Antiqua" w:cs="Book Antiqua"/>
          <w:color w:val="000000"/>
        </w:rPr>
        <w:t xml:space="preserve">, van Pelt J, Korf H, Mathieu C, van der Schueren B, Lannoo M, Oyen T, Topal B, Fetter G, Nayler S, van der Merwe T, Windmolders P, Van Gaal L, Verrijken A, Hubens G, Gericke M, Cassiman D, Francque S, Nevens F, van der Merwe S. Association of Adipose Tissue Inflammation With Histologic Severity of Nonalcoholic Fatty Liver Disease. </w:t>
      </w:r>
      <w:r w:rsidRPr="00861B73">
        <w:rPr>
          <w:rFonts w:ascii="Book Antiqua" w:eastAsia="Book Antiqua" w:hAnsi="Book Antiqua" w:cs="Book Antiqua"/>
          <w:i/>
          <w:iCs/>
          <w:color w:val="000000"/>
        </w:rPr>
        <w:t>Gastroenterology</w:t>
      </w:r>
      <w:r w:rsidRPr="00861B73">
        <w:rPr>
          <w:rFonts w:ascii="Book Antiqua" w:eastAsia="Book Antiqua" w:hAnsi="Book Antiqua" w:cs="Book Antiqua"/>
          <w:color w:val="000000"/>
        </w:rPr>
        <w:t xml:space="preserve"> 2015; </w:t>
      </w:r>
      <w:r w:rsidRPr="00861B73">
        <w:rPr>
          <w:rFonts w:ascii="Book Antiqua" w:eastAsia="Book Antiqua" w:hAnsi="Book Antiqua" w:cs="Book Antiqua"/>
          <w:b/>
          <w:bCs/>
          <w:color w:val="000000"/>
        </w:rPr>
        <w:t>149</w:t>
      </w:r>
      <w:r w:rsidRPr="00861B73">
        <w:rPr>
          <w:rFonts w:ascii="Book Antiqua" w:eastAsia="Book Antiqua" w:hAnsi="Book Antiqua" w:cs="Book Antiqua"/>
          <w:color w:val="000000"/>
        </w:rPr>
        <w:t>: 635-48.e14 [PMID: 26028579 DOI: 10.1053/j.gastro.2015.05.044]</w:t>
      </w:r>
    </w:p>
    <w:p w14:paraId="0EED306E"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35 </w:t>
      </w:r>
      <w:r w:rsidRPr="00861B73">
        <w:rPr>
          <w:rFonts w:ascii="Book Antiqua" w:eastAsia="Book Antiqua" w:hAnsi="Book Antiqua" w:cs="Book Antiqua"/>
          <w:b/>
          <w:bCs/>
          <w:color w:val="000000"/>
        </w:rPr>
        <w:t>Lonardo A</w:t>
      </w:r>
      <w:r w:rsidRPr="00861B73">
        <w:rPr>
          <w:rFonts w:ascii="Book Antiqua" w:eastAsia="Book Antiqua" w:hAnsi="Book Antiqua" w:cs="Book Antiqua"/>
          <w:color w:val="000000"/>
        </w:rPr>
        <w:t xml:space="preserve">, Mantovani A, Lugari S, Targher G. Epidemiology and pathophysiology of the association between NAFLD and metabolically healthy or metabolically unhealthy obesity. </w:t>
      </w:r>
      <w:r w:rsidRPr="00861B73">
        <w:rPr>
          <w:rFonts w:ascii="Book Antiqua" w:eastAsia="Book Antiqua" w:hAnsi="Book Antiqua" w:cs="Book Antiqua"/>
          <w:i/>
          <w:iCs/>
          <w:color w:val="000000"/>
        </w:rPr>
        <w:t>Ann Hepatol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19</w:t>
      </w:r>
      <w:r w:rsidRPr="00861B73">
        <w:rPr>
          <w:rFonts w:ascii="Book Antiqua" w:eastAsia="Book Antiqua" w:hAnsi="Book Antiqua" w:cs="Book Antiqua"/>
          <w:color w:val="000000"/>
        </w:rPr>
        <w:t>: 359-366 [PMID: 32349939 DOI: 10.1016/j.aohep.2020.03.001]</w:t>
      </w:r>
    </w:p>
    <w:p w14:paraId="3C67AD26"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36 </w:t>
      </w:r>
      <w:r w:rsidRPr="00861B73">
        <w:rPr>
          <w:rFonts w:ascii="Book Antiqua" w:eastAsia="Book Antiqua" w:hAnsi="Book Antiqua" w:cs="Book Antiqua"/>
          <w:b/>
          <w:bCs/>
          <w:color w:val="000000"/>
        </w:rPr>
        <w:t>Romeo S</w:t>
      </w:r>
      <w:r w:rsidRPr="00861B73">
        <w:rPr>
          <w:rFonts w:ascii="Book Antiqua" w:eastAsia="Book Antiqua" w:hAnsi="Book Antiqua" w:cs="Book Antiqua"/>
          <w:color w:val="000000"/>
        </w:rPr>
        <w:t xml:space="preserve">, Kozlitina J, Xing C, Pertsemlidis A, Cox D, Pennacchio LA, Boerwinkle E, Cohen JC, Hobbs HH. Genetic variation in PNPLA3 confers susceptibility to nonalcoholic fatty liver disease. </w:t>
      </w:r>
      <w:r w:rsidRPr="00861B73">
        <w:rPr>
          <w:rFonts w:ascii="Book Antiqua" w:eastAsia="Book Antiqua" w:hAnsi="Book Antiqua" w:cs="Book Antiqua"/>
          <w:i/>
          <w:iCs/>
          <w:color w:val="000000"/>
        </w:rPr>
        <w:t>Nat Genet</w:t>
      </w:r>
      <w:r w:rsidRPr="00861B73">
        <w:rPr>
          <w:rFonts w:ascii="Book Antiqua" w:eastAsia="Book Antiqua" w:hAnsi="Book Antiqua" w:cs="Book Antiqua"/>
          <w:color w:val="000000"/>
        </w:rPr>
        <w:t xml:space="preserve"> 2008; </w:t>
      </w:r>
      <w:r w:rsidRPr="00861B73">
        <w:rPr>
          <w:rFonts w:ascii="Book Antiqua" w:eastAsia="Book Antiqua" w:hAnsi="Book Antiqua" w:cs="Book Antiqua"/>
          <w:b/>
          <w:bCs/>
          <w:color w:val="000000"/>
        </w:rPr>
        <w:t>40</w:t>
      </w:r>
      <w:r w:rsidRPr="00861B73">
        <w:rPr>
          <w:rFonts w:ascii="Book Antiqua" w:eastAsia="Book Antiqua" w:hAnsi="Book Antiqua" w:cs="Book Antiqua"/>
          <w:color w:val="000000"/>
        </w:rPr>
        <w:t>: 1461-1465 [PMID: 18820647 DOI: 10.1038/ng.257]</w:t>
      </w:r>
    </w:p>
    <w:p w14:paraId="706A65B1"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37 </w:t>
      </w:r>
      <w:r w:rsidRPr="00861B73">
        <w:rPr>
          <w:rFonts w:ascii="Book Antiqua" w:eastAsia="Book Antiqua" w:hAnsi="Book Antiqua" w:cs="Book Antiqua"/>
          <w:b/>
          <w:bCs/>
          <w:color w:val="000000"/>
        </w:rPr>
        <w:t>Lau LHS</w:t>
      </w:r>
      <w:r w:rsidRPr="00861B73">
        <w:rPr>
          <w:rFonts w:ascii="Book Antiqua" w:eastAsia="Book Antiqua" w:hAnsi="Book Antiqua" w:cs="Book Antiqua"/>
          <w:color w:val="000000"/>
        </w:rPr>
        <w:t xml:space="preserve">, Wong SH. Microbiota, Obesity and NAFLD. </w:t>
      </w:r>
      <w:r w:rsidRPr="00861B73">
        <w:rPr>
          <w:rFonts w:ascii="Book Antiqua" w:eastAsia="Book Antiqua" w:hAnsi="Book Antiqua" w:cs="Book Antiqua"/>
          <w:i/>
          <w:iCs/>
          <w:color w:val="000000"/>
        </w:rPr>
        <w:t>Adv Exp Med Biol</w:t>
      </w:r>
      <w:r w:rsidRPr="00861B73">
        <w:rPr>
          <w:rFonts w:ascii="Book Antiqua" w:eastAsia="Book Antiqua" w:hAnsi="Book Antiqua" w:cs="Book Antiqua"/>
          <w:color w:val="000000"/>
        </w:rPr>
        <w:t xml:space="preserve"> 2018; </w:t>
      </w:r>
      <w:r w:rsidRPr="00861B73">
        <w:rPr>
          <w:rFonts w:ascii="Book Antiqua" w:eastAsia="Book Antiqua" w:hAnsi="Book Antiqua" w:cs="Book Antiqua"/>
          <w:b/>
          <w:bCs/>
          <w:color w:val="000000"/>
        </w:rPr>
        <w:t>1061</w:t>
      </w:r>
      <w:r w:rsidRPr="00861B73">
        <w:rPr>
          <w:rFonts w:ascii="Book Antiqua" w:eastAsia="Book Antiqua" w:hAnsi="Book Antiqua" w:cs="Book Antiqua"/>
          <w:color w:val="000000"/>
        </w:rPr>
        <w:t>: 111-125 [PMID: 29956210 DOI: 10.1007/978-981-10-8684-7_9]</w:t>
      </w:r>
    </w:p>
    <w:p w14:paraId="3CCC1DCE"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38 </w:t>
      </w:r>
      <w:r w:rsidRPr="00861B73">
        <w:rPr>
          <w:rFonts w:ascii="Book Antiqua" w:eastAsia="Book Antiqua" w:hAnsi="Book Antiqua" w:cs="Book Antiqua"/>
          <w:b/>
          <w:bCs/>
          <w:color w:val="000000"/>
        </w:rPr>
        <w:t>Sharma P</w:t>
      </w:r>
      <w:r w:rsidRPr="00861B73">
        <w:rPr>
          <w:rFonts w:ascii="Book Antiqua" w:eastAsia="Book Antiqua" w:hAnsi="Book Antiqua" w:cs="Book Antiqua"/>
          <w:color w:val="000000"/>
        </w:rPr>
        <w:t xml:space="preserve">, Kumar A. Metabolic dysfunction associated fatty liver disease increases risk of severe Covid-19. </w:t>
      </w:r>
      <w:r w:rsidRPr="00861B73">
        <w:rPr>
          <w:rFonts w:ascii="Book Antiqua" w:eastAsia="Book Antiqua" w:hAnsi="Book Antiqua" w:cs="Book Antiqua"/>
          <w:i/>
          <w:iCs/>
          <w:color w:val="000000"/>
        </w:rPr>
        <w:t>Diabetes Metab Syndr</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14</w:t>
      </w:r>
      <w:r w:rsidRPr="00861B73">
        <w:rPr>
          <w:rFonts w:ascii="Book Antiqua" w:eastAsia="Book Antiqua" w:hAnsi="Book Antiqua" w:cs="Book Antiqua"/>
          <w:color w:val="000000"/>
        </w:rPr>
        <w:t>: 825-827 [PMID: 32540736 DOI: 10.1016/j.dsx.2020.06.013]</w:t>
      </w:r>
    </w:p>
    <w:p w14:paraId="7DA02DE4"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39 </w:t>
      </w:r>
      <w:r w:rsidRPr="00861B73">
        <w:rPr>
          <w:rFonts w:ascii="Book Antiqua" w:eastAsia="Book Antiqua" w:hAnsi="Book Antiqua" w:cs="Book Antiqua"/>
          <w:b/>
          <w:bCs/>
          <w:color w:val="000000"/>
        </w:rPr>
        <w:t>Huang R</w:t>
      </w:r>
      <w:r w:rsidRPr="00861B73">
        <w:rPr>
          <w:rFonts w:ascii="Book Antiqua" w:eastAsia="Book Antiqua" w:hAnsi="Book Antiqua" w:cs="Book Antiqua"/>
          <w:color w:val="000000"/>
        </w:rPr>
        <w:t xml:space="preserve">, Zhu L, Wang J, Xue L, Liu L, Yan X, Huang S, Li Y, Yan X, Zhang B, Xu T, Li C, Ji F, Ming F, Zhao Y, Cheng J, Wang Y, Zhao H, Hong S, Chen K, Zhao XA, Zou L, Sang D, Shao H, Guan X, Chen X, Chen Y, Wei J, Zhu C, Wu C. Clinical features of COVID-19 patients with non-alcoholic fatty liver disease. </w:t>
      </w:r>
      <w:r w:rsidRPr="00861B73">
        <w:rPr>
          <w:rFonts w:ascii="Book Antiqua" w:eastAsia="Book Antiqua" w:hAnsi="Book Antiqua" w:cs="Book Antiqua"/>
          <w:i/>
          <w:iCs/>
          <w:color w:val="000000"/>
        </w:rPr>
        <w:t>Hepatol Commun</w:t>
      </w:r>
      <w:r w:rsidRPr="00861B73">
        <w:rPr>
          <w:rFonts w:ascii="Book Antiqua" w:eastAsia="Book Antiqua" w:hAnsi="Book Antiqua" w:cs="Book Antiqua"/>
          <w:color w:val="000000"/>
        </w:rPr>
        <w:t xml:space="preserve"> 2020 [PMID: 32838108 DOI: 10.1002/hep4.1592]</w:t>
      </w:r>
    </w:p>
    <w:p w14:paraId="050D7DAA"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40 </w:t>
      </w:r>
      <w:r w:rsidRPr="00861B73">
        <w:rPr>
          <w:rFonts w:ascii="Book Antiqua" w:eastAsia="Book Antiqua" w:hAnsi="Book Antiqua" w:cs="Book Antiqua"/>
          <w:b/>
          <w:bCs/>
          <w:color w:val="000000"/>
        </w:rPr>
        <w:t>Lopez-Mendez I</w:t>
      </w:r>
      <w:r w:rsidRPr="00861B73">
        <w:rPr>
          <w:rFonts w:ascii="Book Antiqua" w:eastAsia="Book Antiqua" w:hAnsi="Book Antiqua" w:cs="Book Antiqua"/>
          <w:color w:val="000000"/>
        </w:rPr>
        <w:t xml:space="preserve">, Aquino-Matus J, Gall SM, Prieto-Nava JD, Juarez-Hernandez E, Uribe M, Castro-Narro G. Association of liver steatosis and fibrosis with clinical outcomes in patients with SARS-CoV-2 infection (COVID-19). </w:t>
      </w:r>
      <w:r w:rsidRPr="00861B73">
        <w:rPr>
          <w:rFonts w:ascii="Book Antiqua" w:eastAsia="Book Antiqua" w:hAnsi="Book Antiqua" w:cs="Book Antiqua"/>
          <w:i/>
          <w:iCs/>
          <w:color w:val="000000"/>
        </w:rPr>
        <w:t>Ann Hepatol</w:t>
      </w:r>
      <w:r w:rsidRPr="00861B73">
        <w:rPr>
          <w:rFonts w:ascii="Book Antiqua" w:eastAsia="Book Antiqua" w:hAnsi="Book Antiqua" w:cs="Book Antiqua"/>
          <w:color w:val="000000"/>
        </w:rPr>
        <w:t xml:space="preserve"> 2021; </w:t>
      </w:r>
      <w:r w:rsidRPr="00861B73">
        <w:rPr>
          <w:rFonts w:ascii="Book Antiqua" w:eastAsia="Book Antiqua" w:hAnsi="Book Antiqua" w:cs="Book Antiqua"/>
          <w:b/>
          <w:bCs/>
          <w:color w:val="000000"/>
        </w:rPr>
        <w:t>20</w:t>
      </w:r>
      <w:r w:rsidRPr="00861B73">
        <w:rPr>
          <w:rFonts w:ascii="Book Antiqua" w:eastAsia="Book Antiqua" w:hAnsi="Book Antiqua" w:cs="Book Antiqua"/>
          <w:color w:val="000000"/>
        </w:rPr>
        <w:t>: 100271 [PMID: 33099028 DOI: 10.1016/j.aohep.2020.09.015]</w:t>
      </w:r>
    </w:p>
    <w:p w14:paraId="719AA3B8"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41 </w:t>
      </w:r>
      <w:r w:rsidRPr="00861B73">
        <w:rPr>
          <w:rFonts w:ascii="Book Antiqua" w:eastAsia="Book Antiqua" w:hAnsi="Book Antiqua" w:cs="Book Antiqua"/>
          <w:b/>
          <w:bCs/>
          <w:color w:val="000000"/>
        </w:rPr>
        <w:t>Gu X</w:t>
      </w:r>
      <w:r w:rsidRPr="00861B73">
        <w:rPr>
          <w:rFonts w:ascii="Book Antiqua" w:eastAsia="Book Antiqua" w:hAnsi="Book Antiqua" w:cs="Book Antiqua"/>
          <w:color w:val="000000"/>
        </w:rPr>
        <w:t xml:space="preserve">, Li X, An X, Yang S, Wu S, Yang X, Wang H. Elevated serum aspartate aminotransferase level identifies patients with coronavirus disease 2019 and predicts the length of hospital stay. </w:t>
      </w:r>
      <w:r w:rsidRPr="00861B73">
        <w:rPr>
          <w:rFonts w:ascii="Book Antiqua" w:eastAsia="Book Antiqua" w:hAnsi="Book Antiqua" w:cs="Book Antiqua"/>
          <w:i/>
          <w:iCs/>
          <w:color w:val="000000"/>
        </w:rPr>
        <w:t>J Clin Lab Anal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34</w:t>
      </w:r>
      <w:r w:rsidRPr="00861B73">
        <w:rPr>
          <w:rFonts w:ascii="Book Antiqua" w:eastAsia="Book Antiqua" w:hAnsi="Book Antiqua" w:cs="Book Antiqua"/>
          <w:color w:val="000000"/>
        </w:rPr>
        <w:t>: e23391 [PMID: 32488888 DOI: 10.1002/jcla.23391]</w:t>
      </w:r>
    </w:p>
    <w:p w14:paraId="5487B630"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42 </w:t>
      </w:r>
      <w:r w:rsidRPr="00861B73">
        <w:rPr>
          <w:rFonts w:ascii="Book Antiqua" w:eastAsia="Book Antiqua" w:hAnsi="Book Antiqua" w:cs="Book Antiqua"/>
          <w:b/>
          <w:bCs/>
          <w:color w:val="000000"/>
        </w:rPr>
        <w:t>Schmit G</w:t>
      </w:r>
      <w:r w:rsidRPr="00861B73">
        <w:rPr>
          <w:rFonts w:ascii="Book Antiqua" w:eastAsia="Book Antiqua" w:hAnsi="Book Antiqua" w:cs="Book Antiqua"/>
          <w:color w:val="000000"/>
        </w:rPr>
        <w:t xml:space="preserve">, Lelotte J, Vanhaebost J, Horsmans Y, Van Bockstal M, Baldin P. The Liver in COVID-19-Related Death: Protagonist or Innocent Bystander? </w:t>
      </w:r>
      <w:r w:rsidRPr="00861B73">
        <w:rPr>
          <w:rFonts w:ascii="Book Antiqua" w:eastAsia="Book Antiqua" w:hAnsi="Book Antiqua" w:cs="Book Antiqua"/>
          <w:i/>
          <w:iCs/>
          <w:color w:val="000000"/>
        </w:rPr>
        <w:t>Pathobiology</w:t>
      </w:r>
      <w:r w:rsidRPr="00861B73">
        <w:rPr>
          <w:rFonts w:ascii="Book Antiqua" w:eastAsia="Book Antiqua" w:hAnsi="Book Antiqua" w:cs="Book Antiqua"/>
          <w:color w:val="000000"/>
        </w:rPr>
        <w:t xml:space="preserve"> 2021; </w:t>
      </w:r>
      <w:r w:rsidRPr="00861B73">
        <w:rPr>
          <w:rFonts w:ascii="Book Antiqua" w:eastAsia="Book Antiqua" w:hAnsi="Book Antiqua" w:cs="Book Antiqua"/>
          <w:b/>
          <w:bCs/>
          <w:color w:val="000000"/>
        </w:rPr>
        <w:t>88</w:t>
      </w:r>
      <w:r w:rsidRPr="00861B73">
        <w:rPr>
          <w:rFonts w:ascii="Book Antiqua" w:eastAsia="Book Antiqua" w:hAnsi="Book Antiqua" w:cs="Book Antiqua"/>
          <w:color w:val="000000"/>
        </w:rPr>
        <w:t>: 88-94 [PMID: 33108789 DOI: 10.1159/000512008]</w:t>
      </w:r>
    </w:p>
    <w:p w14:paraId="75654273"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43 </w:t>
      </w:r>
      <w:r w:rsidRPr="00861B73">
        <w:rPr>
          <w:rFonts w:ascii="Book Antiqua" w:eastAsia="Book Antiqua" w:hAnsi="Book Antiqua" w:cs="Book Antiqua"/>
          <w:b/>
          <w:bCs/>
          <w:color w:val="000000"/>
        </w:rPr>
        <w:t>Xu Z</w:t>
      </w:r>
      <w:r w:rsidRPr="00861B73">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sidRPr="00861B73">
        <w:rPr>
          <w:rFonts w:ascii="Book Antiqua" w:eastAsia="Book Antiqua" w:hAnsi="Book Antiqua" w:cs="Book Antiqua"/>
          <w:i/>
          <w:iCs/>
          <w:color w:val="000000"/>
        </w:rPr>
        <w:t>Lancet Respir Med</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8</w:t>
      </w:r>
      <w:r w:rsidRPr="00861B73">
        <w:rPr>
          <w:rFonts w:ascii="Book Antiqua" w:eastAsia="Book Antiqua" w:hAnsi="Book Antiqua" w:cs="Book Antiqua"/>
          <w:color w:val="000000"/>
        </w:rPr>
        <w:t>: 420-422 [PMID: 32085846 DOI: 10.1016/S2213-2600(20)30076-X]</w:t>
      </w:r>
    </w:p>
    <w:p w14:paraId="48B32F03"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44 </w:t>
      </w:r>
      <w:r w:rsidRPr="00861B73">
        <w:rPr>
          <w:rFonts w:ascii="Book Antiqua" w:eastAsia="Book Antiqua" w:hAnsi="Book Antiqua" w:cs="Book Antiqua"/>
          <w:b/>
          <w:bCs/>
          <w:color w:val="000000"/>
        </w:rPr>
        <w:t>Lagana SM</w:t>
      </w:r>
      <w:r w:rsidRPr="00861B73">
        <w:rPr>
          <w:rFonts w:ascii="Book Antiqua" w:eastAsia="Book Antiqua" w:hAnsi="Book Antiqua" w:cs="Book Antiqua"/>
          <w:color w:val="000000"/>
        </w:rPr>
        <w:t xml:space="preserve">, Kudose S, Iuga AC, Lee MJ, Fazlollahi L, Remotti HE, Del Portillo A, De Michele S, de Gonzalez AK, Saqi A, Khairallah P, Chong AM, Park H, Uhlemann AC, Lefkowitch JH, Verna EC. Hepatic pathology in patients dying of COVID-19: a series of 40 cases including clinical, histologic, and virologic data. </w:t>
      </w:r>
      <w:r w:rsidRPr="00861B73">
        <w:rPr>
          <w:rFonts w:ascii="Book Antiqua" w:eastAsia="Book Antiqua" w:hAnsi="Book Antiqua" w:cs="Book Antiqua"/>
          <w:i/>
          <w:iCs/>
          <w:color w:val="000000"/>
        </w:rPr>
        <w:t>Mod Pathol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33</w:t>
      </w:r>
      <w:r w:rsidRPr="00861B73">
        <w:rPr>
          <w:rFonts w:ascii="Book Antiqua" w:eastAsia="Book Antiqua" w:hAnsi="Book Antiqua" w:cs="Book Antiqua"/>
          <w:color w:val="000000"/>
        </w:rPr>
        <w:t>: 2147-2155 [PMID: 32792598 DOI: 10.1038/s41379-020-00649-x]</w:t>
      </w:r>
    </w:p>
    <w:p w14:paraId="1D1F5C09"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45 </w:t>
      </w:r>
      <w:r w:rsidRPr="00861B73">
        <w:rPr>
          <w:rFonts w:ascii="Book Antiqua" w:eastAsia="Book Antiqua" w:hAnsi="Book Antiqua" w:cs="Book Antiqua"/>
          <w:b/>
          <w:bCs/>
          <w:color w:val="000000"/>
        </w:rPr>
        <w:t>Ji D</w:t>
      </w:r>
      <w:r w:rsidRPr="00861B73">
        <w:rPr>
          <w:rFonts w:ascii="Book Antiqua" w:eastAsia="Book Antiqua" w:hAnsi="Book Antiqua" w:cs="Book Antiqua"/>
          <w:color w:val="000000"/>
        </w:rPr>
        <w:t xml:space="preserve">, Qin E, Xu J, Zhang D, Cheng G, Wang Y, Lau G. Non-alcoholic fatty liver diseases in patients with COVID-19: A retrospective study. </w:t>
      </w:r>
      <w:r w:rsidRPr="00861B73">
        <w:rPr>
          <w:rFonts w:ascii="Book Antiqua" w:eastAsia="Book Antiqua" w:hAnsi="Book Antiqua" w:cs="Book Antiqua"/>
          <w:i/>
          <w:iCs/>
          <w:color w:val="000000"/>
        </w:rPr>
        <w:t>J Hepatol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73</w:t>
      </w:r>
      <w:r w:rsidRPr="00861B73">
        <w:rPr>
          <w:rFonts w:ascii="Book Antiqua" w:eastAsia="Book Antiqua" w:hAnsi="Book Antiqua" w:cs="Book Antiqua"/>
          <w:color w:val="000000"/>
        </w:rPr>
        <w:t>: 451-453 [PMID: 32278005 DOI: 10.1016/j.jhep.2020.03.044]</w:t>
      </w:r>
    </w:p>
    <w:p w14:paraId="571A85DB" w14:textId="4D1E9430"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46 </w:t>
      </w:r>
      <w:r w:rsidRPr="00861B73">
        <w:rPr>
          <w:rFonts w:ascii="Book Antiqua" w:eastAsia="Book Antiqua" w:hAnsi="Book Antiqua" w:cs="Book Antiqua"/>
          <w:b/>
          <w:bCs/>
          <w:color w:val="000000"/>
        </w:rPr>
        <w:t>Sun J</w:t>
      </w:r>
      <w:r w:rsidRPr="00861B73">
        <w:rPr>
          <w:rFonts w:ascii="Book Antiqua" w:eastAsia="Book Antiqua" w:hAnsi="Book Antiqua" w:cs="Book Antiqua"/>
          <w:color w:val="000000"/>
        </w:rPr>
        <w:t xml:space="preserve">, Aghemo A, Forner A, Valenti L. COVID-19 and liver disease. </w:t>
      </w:r>
      <w:r w:rsidRPr="00861B73">
        <w:rPr>
          <w:rFonts w:ascii="Book Antiqua" w:eastAsia="Book Antiqua" w:hAnsi="Book Antiqua" w:cs="Book Antiqua"/>
          <w:i/>
          <w:iCs/>
          <w:color w:val="000000"/>
        </w:rPr>
        <w:t>Liver Int</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40</w:t>
      </w:r>
      <w:r w:rsidRPr="00861B73">
        <w:rPr>
          <w:rFonts w:ascii="Book Antiqua" w:eastAsia="Book Antiqua" w:hAnsi="Book Antiqua" w:cs="Book Antiqua"/>
          <w:color w:val="000000"/>
        </w:rPr>
        <w:t>: 1278-1281 [PMID: 32251539 DOI: 10.1111/</w:t>
      </w:r>
      <w:r w:rsidR="00D2620C" w:rsidRPr="00861B73">
        <w:rPr>
          <w:rFonts w:ascii="Book Antiqua" w:eastAsia="Book Antiqua" w:hAnsi="Book Antiqua" w:cs="Book Antiqua"/>
          <w:color w:val="000000"/>
        </w:rPr>
        <w:t>l</w:t>
      </w:r>
      <w:r w:rsidRPr="00861B73">
        <w:rPr>
          <w:rFonts w:ascii="Book Antiqua" w:eastAsia="Book Antiqua" w:hAnsi="Book Antiqua" w:cs="Book Antiqua"/>
          <w:color w:val="000000"/>
        </w:rPr>
        <w:t>iv.14470]</w:t>
      </w:r>
    </w:p>
    <w:p w14:paraId="2F8E126E"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47 </w:t>
      </w:r>
      <w:r w:rsidRPr="00861B73">
        <w:rPr>
          <w:rFonts w:ascii="Book Antiqua" w:eastAsia="Book Antiqua" w:hAnsi="Book Antiqua" w:cs="Book Antiqua"/>
          <w:b/>
          <w:bCs/>
          <w:color w:val="000000"/>
        </w:rPr>
        <w:t>Zhang P</w:t>
      </w:r>
      <w:r w:rsidRPr="00861B73">
        <w:rPr>
          <w:rFonts w:ascii="Book Antiqua" w:eastAsia="Book Antiqua" w:hAnsi="Book Antiqua" w:cs="Book Antiqua"/>
          <w:color w:val="000000"/>
        </w:rPr>
        <w:t xml:space="preserve">, Zhu L, Cai J, Lei F, Qin JJ, Xie J, Liu YM, Zhao YC, Huang X, Lin L, Xia M, Chen MM, Cheng X, Zhang X, Guo D, Peng Y, Ji YX, Chen J, She ZG, Wang Y, Xu Q, Tan R, Wang H, Lin J, Luo P, Fu S, Cai H, Ye P, Xiao B, Mao W, Liu L, Yan Y, Liu M, Chen M, Zhang XJ, Wang X, Touyz RM, Xia J, Zhang BH, Huang X, Yuan Y, Loomba R, Liu PP, Li H. Association of Inpatient Use of Angiotensin-Converting Enzyme Inhibitors and Angiotensin II Receptor Blockers With Mortality Among Patients With Hypertension Hospitalized With COVID-19. </w:t>
      </w:r>
      <w:r w:rsidRPr="00861B73">
        <w:rPr>
          <w:rFonts w:ascii="Book Antiqua" w:eastAsia="Book Antiqua" w:hAnsi="Book Antiqua" w:cs="Book Antiqua"/>
          <w:i/>
          <w:iCs/>
          <w:color w:val="000000"/>
        </w:rPr>
        <w:t>Circ Res</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126</w:t>
      </w:r>
      <w:r w:rsidRPr="00861B73">
        <w:rPr>
          <w:rFonts w:ascii="Book Antiqua" w:eastAsia="Book Antiqua" w:hAnsi="Book Antiqua" w:cs="Book Antiqua"/>
          <w:color w:val="000000"/>
        </w:rPr>
        <w:t>: 1671-1681 [PMID: 32302265 DOI: 10.1161/CIRCRESAHA.120.317134]</w:t>
      </w:r>
    </w:p>
    <w:p w14:paraId="7865C0B4"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48 </w:t>
      </w:r>
      <w:r w:rsidRPr="00861B73">
        <w:rPr>
          <w:rFonts w:ascii="Book Antiqua" w:eastAsia="Book Antiqua" w:hAnsi="Book Antiqua" w:cs="Book Antiqua"/>
          <w:b/>
          <w:bCs/>
          <w:color w:val="000000"/>
        </w:rPr>
        <w:t>Portincasa P</w:t>
      </w:r>
      <w:r w:rsidRPr="00861B73">
        <w:rPr>
          <w:rFonts w:ascii="Book Antiqua" w:eastAsia="Book Antiqua" w:hAnsi="Book Antiqua" w:cs="Book Antiqua"/>
          <w:color w:val="000000"/>
        </w:rPr>
        <w:t xml:space="preserve">, Krawczyk M, Machill A, Lammert F, Di Ciaula A. Hepatic consequences of COVID-19 infection. Lapping or biting? </w:t>
      </w:r>
      <w:r w:rsidRPr="00861B73">
        <w:rPr>
          <w:rFonts w:ascii="Book Antiqua" w:eastAsia="Book Antiqua" w:hAnsi="Book Antiqua" w:cs="Book Antiqua"/>
          <w:i/>
          <w:iCs/>
          <w:color w:val="000000"/>
        </w:rPr>
        <w:t>Eur J Intern Med</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77</w:t>
      </w:r>
      <w:r w:rsidRPr="00861B73">
        <w:rPr>
          <w:rFonts w:ascii="Book Antiqua" w:eastAsia="Book Antiqua" w:hAnsi="Book Antiqua" w:cs="Book Antiqua"/>
          <w:color w:val="000000"/>
        </w:rPr>
        <w:t>: 18-24 [PMID: 32507608 DOI: 10.1016/j.ejim.2020.05.035]</w:t>
      </w:r>
    </w:p>
    <w:p w14:paraId="729EA2D0"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49 </w:t>
      </w:r>
      <w:r w:rsidRPr="00861B73">
        <w:rPr>
          <w:rFonts w:ascii="Book Antiqua" w:eastAsia="Book Antiqua" w:hAnsi="Book Antiqua" w:cs="Book Antiqua"/>
          <w:b/>
          <w:bCs/>
          <w:color w:val="000000"/>
        </w:rPr>
        <w:t>Zhou YJ</w:t>
      </w:r>
      <w:r w:rsidRPr="00861B73">
        <w:rPr>
          <w:rFonts w:ascii="Book Antiqua" w:eastAsia="Book Antiqua" w:hAnsi="Book Antiqua" w:cs="Book Antiqua"/>
          <w:color w:val="000000"/>
        </w:rPr>
        <w:t xml:space="preserve">, Zheng KI, Wang XB, Yan HD, Sun QF, Pan KH, Wang TY, Ma HL, Chen YP, George J, Zheng MH. Younger patients with MAFLD are at increased risk of severe COVID-19 illness: A multicenter preliminary analysis. </w:t>
      </w:r>
      <w:r w:rsidRPr="00861B73">
        <w:rPr>
          <w:rFonts w:ascii="Book Antiqua" w:eastAsia="Book Antiqua" w:hAnsi="Book Antiqua" w:cs="Book Antiqua"/>
          <w:i/>
          <w:iCs/>
          <w:color w:val="000000"/>
        </w:rPr>
        <w:t>J Hepatol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73</w:t>
      </w:r>
      <w:r w:rsidRPr="00861B73">
        <w:rPr>
          <w:rFonts w:ascii="Book Antiqua" w:eastAsia="Book Antiqua" w:hAnsi="Book Antiqua" w:cs="Book Antiqua"/>
          <w:color w:val="000000"/>
        </w:rPr>
        <w:t>: 719-721 [PMID: 32348790 DOI: 10.1016/j.jhep.2020.04.027]</w:t>
      </w:r>
    </w:p>
    <w:p w14:paraId="4AD8F548"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50 </w:t>
      </w:r>
      <w:r w:rsidRPr="00861B73">
        <w:rPr>
          <w:rFonts w:ascii="Book Antiqua" w:eastAsia="Book Antiqua" w:hAnsi="Book Antiqua" w:cs="Book Antiqua"/>
          <w:b/>
          <w:bCs/>
          <w:color w:val="000000"/>
        </w:rPr>
        <w:t>Gao F</w:t>
      </w:r>
      <w:r w:rsidRPr="00861B73">
        <w:rPr>
          <w:rFonts w:ascii="Book Antiqua" w:eastAsia="Book Antiqua" w:hAnsi="Book Antiqua" w:cs="Book Antiqua"/>
          <w:color w:val="000000"/>
        </w:rPr>
        <w:t xml:space="preserve">, Zheng KI, Wang XB, Sun QF, Pan KH, Wang TY, Chen YP, Targher G, Byrne CD, George J, Zheng MH. Obesity Is a Risk Factor for Greater COVID-19 Severity. </w:t>
      </w:r>
      <w:r w:rsidRPr="00861B73">
        <w:rPr>
          <w:rFonts w:ascii="Book Antiqua" w:eastAsia="Book Antiqua" w:hAnsi="Book Antiqua" w:cs="Book Antiqua"/>
          <w:i/>
          <w:iCs/>
          <w:color w:val="000000"/>
        </w:rPr>
        <w:t>Diabetes Care</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43</w:t>
      </w:r>
      <w:r w:rsidRPr="00861B73">
        <w:rPr>
          <w:rFonts w:ascii="Book Antiqua" w:eastAsia="Book Antiqua" w:hAnsi="Book Antiqua" w:cs="Book Antiqua"/>
          <w:color w:val="000000"/>
        </w:rPr>
        <w:t>: e72-e74 [PMID: 32409499 DOI: 10.2337/dc20-0682]</w:t>
      </w:r>
    </w:p>
    <w:p w14:paraId="00469E68"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51 </w:t>
      </w:r>
      <w:r w:rsidRPr="00861B73">
        <w:rPr>
          <w:rFonts w:ascii="Book Antiqua" w:eastAsia="Book Antiqua" w:hAnsi="Book Antiqua" w:cs="Book Antiqua"/>
          <w:b/>
          <w:bCs/>
          <w:color w:val="000000"/>
        </w:rPr>
        <w:t>Zheng KI</w:t>
      </w:r>
      <w:r w:rsidRPr="00861B73">
        <w:rPr>
          <w:rFonts w:ascii="Book Antiqua" w:eastAsia="Book Antiqua" w:hAnsi="Book Antiqua" w:cs="Book Antiqua"/>
          <w:color w:val="000000"/>
        </w:rPr>
        <w:t xml:space="preserve">, Gao F, Wang XB, Sun QF, Pan KH, Wang TY, Ma HL, Chen YP, Liu WY, George J, Zheng MH. Letter to the Editor: Obesity as a risk factor for greater severity of COVID-19 in patients with metabolic associated fatty liver disease. </w:t>
      </w:r>
      <w:r w:rsidRPr="00861B73">
        <w:rPr>
          <w:rFonts w:ascii="Book Antiqua" w:eastAsia="Book Antiqua" w:hAnsi="Book Antiqua" w:cs="Book Antiqua"/>
          <w:i/>
          <w:iCs/>
          <w:color w:val="000000"/>
        </w:rPr>
        <w:t>Metabolism</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108</w:t>
      </w:r>
      <w:r w:rsidRPr="00861B73">
        <w:rPr>
          <w:rFonts w:ascii="Book Antiqua" w:eastAsia="Book Antiqua" w:hAnsi="Book Antiqua" w:cs="Book Antiqua"/>
          <w:color w:val="000000"/>
        </w:rPr>
        <w:t>: 154244 [PMID: 32320741 DOI: 10.1016/j.metabol.2020.154244]</w:t>
      </w:r>
    </w:p>
    <w:p w14:paraId="3037A7B1"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52 </w:t>
      </w:r>
      <w:r w:rsidRPr="00861B73">
        <w:rPr>
          <w:rFonts w:ascii="Book Antiqua" w:eastAsia="Book Antiqua" w:hAnsi="Book Antiqua" w:cs="Book Antiqua"/>
          <w:b/>
          <w:bCs/>
          <w:color w:val="000000"/>
        </w:rPr>
        <w:t>Bramante C</w:t>
      </w:r>
      <w:r w:rsidRPr="00861B73">
        <w:rPr>
          <w:rFonts w:ascii="Book Antiqua" w:eastAsia="Book Antiqua" w:hAnsi="Book Antiqua" w:cs="Book Antiqua"/>
          <w:color w:val="000000"/>
        </w:rPr>
        <w:t xml:space="preserve">, Tignanelli CJ, Dutta N, Jones E, Tamariz L, Clark JM, Usher M, Metlon-Meaux G, Ikramuddin S. Non-alcoholic fatty liver disease (NAFLD) and risk of hospitalization for Covid-19. </w:t>
      </w:r>
      <w:r w:rsidRPr="00861B73">
        <w:rPr>
          <w:rFonts w:ascii="Book Antiqua" w:eastAsia="Book Antiqua" w:hAnsi="Book Antiqua" w:cs="Book Antiqua"/>
          <w:i/>
          <w:iCs/>
          <w:color w:val="000000"/>
        </w:rPr>
        <w:t>medRxiv</w:t>
      </w:r>
      <w:r w:rsidRPr="00861B73">
        <w:rPr>
          <w:rFonts w:ascii="Book Antiqua" w:eastAsia="Book Antiqua" w:hAnsi="Book Antiqua" w:cs="Book Antiqua"/>
          <w:color w:val="000000"/>
        </w:rPr>
        <w:t xml:space="preserve"> 2020 [PMID: 32909011 DOI: 10.1101/2020.09.01.20185850]</w:t>
      </w:r>
    </w:p>
    <w:p w14:paraId="6228F5B6" w14:textId="140FDB5B" w:rsidR="00A77B3E" w:rsidRPr="00861B73" w:rsidRDefault="00AF38BA" w:rsidP="009A225C">
      <w:pPr>
        <w:snapToGrid w:val="0"/>
        <w:spacing w:line="360" w:lineRule="auto"/>
        <w:jc w:val="both"/>
        <w:rPr>
          <w:rFonts w:ascii="Book Antiqua" w:hAnsi="Book Antiqua"/>
          <w:lang w:val="pt-BR"/>
        </w:rPr>
      </w:pPr>
      <w:r w:rsidRPr="00861B73">
        <w:rPr>
          <w:rFonts w:ascii="Book Antiqua" w:eastAsia="Book Antiqua" w:hAnsi="Book Antiqua" w:cs="Book Antiqua"/>
          <w:color w:val="000000"/>
        </w:rPr>
        <w:t xml:space="preserve">53 </w:t>
      </w:r>
      <w:r w:rsidRPr="00861B73">
        <w:rPr>
          <w:rFonts w:ascii="Book Antiqua" w:eastAsia="Book Antiqua" w:hAnsi="Book Antiqua" w:cs="Book Antiqua"/>
          <w:b/>
          <w:bCs/>
          <w:color w:val="000000"/>
        </w:rPr>
        <w:t>Hashemi N</w:t>
      </w:r>
      <w:r w:rsidRPr="00861B73">
        <w:rPr>
          <w:rFonts w:ascii="Book Antiqua" w:eastAsia="Book Antiqua" w:hAnsi="Book Antiqua" w:cs="Book Antiqua"/>
          <w:color w:val="000000"/>
        </w:rPr>
        <w:t xml:space="preserve">, Viveiros K, Redd WD, Zhou JC, McCarty TR, Bazarbashi AN, Hathorn KE, Wong D, Njie C, Shen L, Chan WW. Impact of chronic liver disease on outcomes of hospitalized patients with COVID-19: A multicentre United States experience. </w:t>
      </w:r>
      <w:r w:rsidRPr="00861B73">
        <w:rPr>
          <w:rFonts w:ascii="Book Antiqua" w:eastAsia="Book Antiqua" w:hAnsi="Book Antiqua" w:cs="Book Antiqua"/>
          <w:i/>
          <w:iCs/>
          <w:color w:val="000000"/>
          <w:lang w:val="pt-BR"/>
        </w:rPr>
        <w:t>Liver Int</w:t>
      </w:r>
      <w:r w:rsidRPr="00861B73">
        <w:rPr>
          <w:rFonts w:ascii="Book Antiqua" w:eastAsia="Book Antiqua" w:hAnsi="Book Antiqua" w:cs="Book Antiqua"/>
          <w:color w:val="000000"/>
          <w:lang w:val="pt-BR"/>
        </w:rPr>
        <w:t xml:space="preserve"> 2020; </w:t>
      </w:r>
      <w:r w:rsidRPr="00861B73">
        <w:rPr>
          <w:rFonts w:ascii="Book Antiqua" w:eastAsia="Book Antiqua" w:hAnsi="Book Antiqua" w:cs="Book Antiqua"/>
          <w:b/>
          <w:bCs/>
          <w:color w:val="000000"/>
          <w:lang w:val="pt-BR"/>
        </w:rPr>
        <w:t>40</w:t>
      </w:r>
      <w:r w:rsidRPr="00861B73">
        <w:rPr>
          <w:rFonts w:ascii="Book Antiqua" w:eastAsia="Book Antiqua" w:hAnsi="Book Antiqua" w:cs="Book Antiqua"/>
          <w:color w:val="000000"/>
          <w:lang w:val="pt-BR"/>
        </w:rPr>
        <w:t>: 2515-2521 [PMID: 32585065 DOI: 10.1111/</w:t>
      </w:r>
      <w:r w:rsidR="00D2620C" w:rsidRPr="00861B73">
        <w:rPr>
          <w:rFonts w:ascii="Book Antiqua" w:eastAsia="Book Antiqua" w:hAnsi="Book Antiqua" w:cs="Book Antiqua"/>
          <w:color w:val="000000"/>
          <w:lang w:val="pt-BR"/>
        </w:rPr>
        <w:t>l</w:t>
      </w:r>
      <w:r w:rsidRPr="00861B73">
        <w:rPr>
          <w:rFonts w:ascii="Book Antiqua" w:eastAsia="Book Antiqua" w:hAnsi="Book Antiqua" w:cs="Book Antiqua"/>
          <w:color w:val="000000"/>
          <w:lang w:val="pt-BR"/>
        </w:rPr>
        <w:t>iv.14583]</w:t>
      </w:r>
    </w:p>
    <w:p w14:paraId="5867291F"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lang w:val="pt-BR"/>
        </w:rPr>
        <w:t xml:space="preserve">54 </w:t>
      </w:r>
      <w:r w:rsidRPr="00861B73">
        <w:rPr>
          <w:rFonts w:ascii="Book Antiqua" w:eastAsia="Book Antiqua" w:hAnsi="Book Antiqua" w:cs="Book Antiqua"/>
          <w:b/>
          <w:bCs/>
          <w:color w:val="000000"/>
          <w:lang w:val="pt-BR"/>
        </w:rPr>
        <w:t>Medeiros AK</w:t>
      </w:r>
      <w:r w:rsidRPr="00861B73">
        <w:rPr>
          <w:rFonts w:ascii="Book Antiqua" w:eastAsia="Book Antiqua" w:hAnsi="Book Antiqua" w:cs="Book Antiqua"/>
          <w:color w:val="000000"/>
          <w:lang w:val="pt-BR"/>
        </w:rPr>
        <w:t xml:space="preserve">, Barbisan CC, Cruz IR, de Araújo EM, Libânio BB, Albuquerque KS, Torres US. </w:t>
      </w:r>
      <w:r w:rsidRPr="00861B73">
        <w:rPr>
          <w:rFonts w:ascii="Book Antiqua" w:eastAsia="Book Antiqua" w:hAnsi="Book Antiqua" w:cs="Book Antiqua"/>
          <w:color w:val="000000"/>
        </w:rPr>
        <w:t xml:space="preserve">Higher frequency of hepatic steatosis at CT among COVID-19-positive patients. </w:t>
      </w:r>
      <w:r w:rsidRPr="00861B73">
        <w:rPr>
          <w:rFonts w:ascii="Book Antiqua" w:eastAsia="Book Antiqua" w:hAnsi="Book Antiqua" w:cs="Book Antiqua"/>
          <w:i/>
          <w:iCs/>
          <w:color w:val="000000"/>
        </w:rPr>
        <w:t>Abdom Radiol (NY)</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45</w:t>
      </w:r>
      <w:r w:rsidRPr="00861B73">
        <w:rPr>
          <w:rFonts w:ascii="Book Antiqua" w:eastAsia="Book Antiqua" w:hAnsi="Book Antiqua" w:cs="Book Antiqua"/>
          <w:color w:val="000000"/>
        </w:rPr>
        <w:t>: 2748-2754 [PMID: 32683613 DOI: 10.1007/s00261-020-02648-7]</w:t>
      </w:r>
    </w:p>
    <w:p w14:paraId="08A17A95"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55 </w:t>
      </w:r>
      <w:r w:rsidRPr="00861B73">
        <w:rPr>
          <w:rFonts w:ascii="Book Antiqua" w:eastAsia="Book Antiqua" w:hAnsi="Book Antiqua" w:cs="Book Antiqua"/>
          <w:b/>
          <w:bCs/>
          <w:color w:val="000000"/>
        </w:rPr>
        <w:t>Pan L</w:t>
      </w:r>
      <w:r w:rsidRPr="00861B73">
        <w:rPr>
          <w:rFonts w:ascii="Book Antiqua" w:eastAsia="Book Antiqua" w:hAnsi="Book Antiqua" w:cs="Book Antiqua"/>
          <w:color w:val="000000"/>
        </w:rPr>
        <w:t xml:space="preserve">, Huang P, Xie X, Xu J, Guo D, Jiang Y. Metabolic associated fatty liver disease increases the severity of COVID-19: A meta-analysis. </w:t>
      </w:r>
      <w:r w:rsidRPr="00861B73">
        <w:rPr>
          <w:rFonts w:ascii="Book Antiqua" w:eastAsia="Book Antiqua" w:hAnsi="Book Antiqua" w:cs="Book Antiqua"/>
          <w:i/>
          <w:iCs/>
          <w:color w:val="000000"/>
        </w:rPr>
        <w:t>Dig Liver Dis</w:t>
      </w:r>
      <w:r w:rsidRPr="00861B73">
        <w:rPr>
          <w:rFonts w:ascii="Book Antiqua" w:eastAsia="Book Antiqua" w:hAnsi="Book Antiqua" w:cs="Book Antiqua"/>
          <w:color w:val="000000"/>
        </w:rPr>
        <w:t xml:space="preserve"> 2021; </w:t>
      </w:r>
      <w:r w:rsidRPr="00861B73">
        <w:rPr>
          <w:rFonts w:ascii="Book Antiqua" w:eastAsia="Book Antiqua" w:hAnsi="Book Antiqua" w:cs="Book Antiqua"/>
          <w:b/>
          <w:bCs/>
          <w:color w:val="000000"/>
        </w:rPr>
        <w:t>53</w:t>
      </w:r>
      <w:r w:rsidRPr="00861B73">
        <w:rPr>
          <w:rFonts w:ascii="Book Antiqua" w:eastAsia="Book Antiqua" w:hAnsi="Book Antiqua" w:cs="Book Antiqua"/>
          <w:color w:val="000000"/>
        </w:rPr>
        <w:t>: 153-157 [PMID: 33011088 DOI: 10.1016/j.dld.2020.09.007]</w:t>
      </w:r>
    </w:p>
    <w:p w14:paraId="35E86452"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56 </w:t>
      </w:r>
      <w:r w:rsidRPr="00861B73">
        <w:rPr>
          <w:rFonts w:ascii="Book Antiqua" w:eastAsia="Book Antiqua" w:hAnsi="Book Antiqua" w:cs="Book Antiqua"/>
          <w:b/>
          <w:bCs/>
          <w:color w:val="000000"/>
        </w:rPr>
        <w:t>Ghoneim S</w:t>
      </w:r>
      <w:r w:rsidRPr="00861B73">
        <w:rPr>
          <w:rFonts w:ascii="Book Antiqua" w:eastAsia="Book Antiqua" w:hAnsi="Book Antiqua" w:cs="Book Antiqua"/>
          <w:color w:val="000000"/>
        </w:rPr>
        <w:t xml:space="preserve">, Butt MU, Hamid O, Shah A, Asaad I. The incidence of COVID-19 in patients with metabolic syndrome and non-alcoholic steatohepatitis: A population-based study. </w:t>
      </w:r>
      <w:r w:rsidRPr="00861B73">
        <w:rPr>
          <w:rFonts w:ascii="Book Antiqua" w:eastAsia="Book Antiqua" w:hAnsi="Book Antiqua" w:cs="Book Antiqua"/>
          <w:i/>
          <w:iCs/>
          <w:color w:val="000000"/>
        </w:rPr>
        <w:t>Metabol Open</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8</w:t>
      </w:r>
      <w:r w:rsidRPr="00861B73">
        <w:rPr>
          <w:rFonts w:ascii="Book Antiqua" w:eastAsia="Book Antiqua" w:hAnsi="Book Antiqua" w:cs="Book Antiqua"/>
          <w:color w:val="000000"/>
        </w:rPr>
        <w:t>: 100057 [PMID: 32924000 DOI: 10.1016/j.metop.2020.100057]</w:t>
      </w:r>
    </w:p>
    <w:p w14:paraId="2F5D6E7D"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57 </w:t>
      </w:r>
      <w:r w:rsidRPr="00861B73">
        <w:rPr>
          <w:rFonts w:ascii="Book Antiqua" w:eastAsia="Book Antiqua" w:hAnsi="Book Antiqua" w:cs="Book Antiqua"/>
          <w:b/>
          <w:bCs/>
          <w:color w:val="000000"/>
        </w:rPr>
        <w:t>Zhou J</w:t>
      </w:r>
      <w:r w:rsidRPr="00861B73">
        <w:rPr>
          <w:rFonts w:ascii="Book Antiqua" w:eastAsia="Book Antiqua" w:hAnsi="Book Antiqua" w:cs="Book Antiqua"/>
          <w:color w:val="000000"/>
        </w:rPr>
        <w:t xml:space="preserve">, Tan J. Diabetes patients with COVID-19 need better blood glucose management in Wuhan, China. </w:t>
      </w:r>
      <w:r w:rsidRPr="00861B73">
        <w:rPr>
          <w:rFonts w:ascii="Book Antiqua" w:eastAsia="Book Antiqua" w:hAnsi="Book Antiqua" w:cs="Book Antiqua"/>
          <w:i/>
          <w:iCs/>
          <w:color w:val="000000"/>
        </w:rPr>
        <w:t>Metabolism</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107</w:t>
      </w:r>
      <w:r w:rsidRPr="00861B73">
        <w:rPr>
          <w:rFonts w:ascii="Book Antiqua" w:eastAsia="Book Antiqua" w:hAnsi="Book Antiqua" w:cs="Book Antiqua"/>
          <w:color w:val="000000"/>
        </w:rPr>
        <w:t>: 154216 [PMID: 32220612 DOI: 10.1016/j.metabol.2020.154216]</w:t>
      </w:r>
    </w:p>
    <w:p w14:paraId="2E647CF0"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58 </w:t>
      </w:r>
      <w:r w:rsidRPr="00861B73">
        <w:rPr>
          <w:rFonts w:ascii="Book Antiqua" w:eastAsia="Book Antiqua" w:hAnsi="Book Antiqua" w:cs="Book Antiqua"/>
          <w:b/>
          <w:bCs/>
          <w:color w:val="000000"/>
        </w:rPr>
        <w:t>Wong GL</w:t>
      </w:r>
      <w:r w:rsidRPr="00861B73">
        <w:rPr>
          <w:rFonts w:ascii="Book Antiqua" w:eastAsia="Book Antiqua" w:hAnsi="Book Antiqua" w:cs="Book Antiqua"/>
          <w:color w:val="000000"/>
        </w:rPr>
        <w:t xml:space="preserve">, Wong VW, Thompson A, Jia J, Hou J, Lesmana CRA, Susilo A, Tanaka Y, Chan WK, Gane E, Ong-Go AK, Lim SG, Ahn SH, Yu ML, Piratvisuth T, Chan HL; Asia-Pacific Working Group for Liver Derangement during the COVID-19 Pandemic. Management of patients with liver derangement during the COVID-19 pandemic: an Asia-Pacific position statement. </w:t>
      </w:r>
      <w:r w:rsidRPr="00861B73">
        <w:rPr>
          <w:rFonts w:ascii="Book Antiqua" w:eastAsia="Book Antiqua" w:hAnsi="Book Antiqua" w:cs="Book Antiqua"/>
          <w:i/>
          <w:iCs/>
          <w:color w:val="000000"/>
        </w:rPr>
        <w:t>Lancet Gastroenterol Hepatol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5</w:t>
      </w:r>
      <w:r w:rsidRPr="00861B73">
        <w:rPr>
          <w:rFonts w:ascii="Book Antiqua" w:eastAsia="Book Antiqua" w:hAnsi="Book Antiqua" w:cs="Book Antiqua"/>
          <w:color w:val="000000"/>
        </w:rPr>
        <w:t>: 776-787 [PMID: 32585136 DOI: 10.1016/S2468-1253(20)30190-4]</w:t>
      </w:r>
    </w:p>
    <w:p w14:paraId="6019E09F"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59 </w:t>
      </w:r>
      <w:r w:rsidRPr="00861B73">
        <w:rPr>
          <w:rFonts w:ascii="Book Antiqua" w:eastAsia="Book Antiqua" w:hAnsi="Book Antiqua" w:cs="Book Antiqua"/>
          <w:b/>
          <w:bCs/>
          <w:color w:val="000000"/>
        </w:rPr>
        <w:t>Chen VL</w:t>
      </w:r>
      <w:r w:rsidRPr="00861B73">
        <w:rPr>
          <w:rFonts w:ascii="Book Antiqua" w:eastAsia="Book Antiqua" w:hAnsi="Book Antiqua" w:cs="Book Antiqua"/>
          <w:color w:val="000000"/>
        </w:rPr>
        <w:t xml:space="preserve">, Hawa F, Berinstein JA, Reddy CA, Kassab I, Platt KD, Hsu CY, Steiner CA, Louissaint J, Gunaratnam NT, Sharma P. Hepatic Steatosis Is Associated with Increased Disease Severity and Liver Injury in Coronavirus Disease-19. </w:t>
      </w:r>
      <w:r w:rsidRPr="00861B73">
        <w:rPr>
          <w:rFonts w:ascii="Book Antiqua" w:eastAsia="Book Antiqua" w:hAnsi="Book Antiqua" w:cs="Book Antiqua"/>
          <w:i/>
          <w:iCs/>
          <w:color w:val="000000"/>
        </w:rPr>
        <w:t>Dig Dis Sci</w:t>
      </w:r>
      <w:r w:rsidRPr="00861B73">
        <w:rPr>
          <w:rFonts w:ascii="Book Antiqua" w:eastAsia="Book Antiqua" w:hAnsi="Book Antiqua" w:cs="Book Antiqua"/>
          <w:color w:val="000000"/>
        </w:rPr>
        <w:t xml:space="preserve"> 2020 [PMID: 32980956 DOI: 10.1007/s10620-020-06618-3]</w:t>
      </w:r>
    </w:p>
    <w:p w14:paraId="5BCB2101"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60 </w:t>
      </w:r>
      <w:r w:rsidRPr="00861B73">
        <w:rPr>
          <w:rFonts w:ascii="Book Antiqua" w:eastAsia="Book Antiqua" w:hAnsi="Book Antiqua" w:cs="Book Antiqua"/>
          <w:b/>
          <w:bCs/>
          <w:color w:val="000000"/>
        </w:rPr>
        <w:t>Forlano R</w:t>
      </w:r>
      <w:r w:rsidRPr="00861B73">
        <w:rPr>
          <w:rFonts w:ascii="Book Antiqua" w:eastAsia="Book Antiqua" w:hAnsi="Book Antiqua" w:cs="Book Antiqua"/>
          <w:color w:val="000000"/>
        </w:rPr>
        <w:t xml:space="preserve">, Mullish BH, Mukherjee SK, Nathwani R, Harlow C, Crook P, Judge R, Soubieres A, Middleton P, Daunt A, Perez-Guzman P, Selvapatt N, Lemoine M, Dhar A, Thursz MR, Nayagam S, Manousou P. In-hospital mortality is associated with inflammatory response in NAFLD patients admitted for COVID-19. </w:t>
      </w:r>
      <w:r w:rsidRPr="00861B73">
        <w:rPr>
          <w:rFonts w:ascii="Book Antiqua" w:eastAsia="Book Antiqua" w:hAnsi="Book Antiqua" w:cs="Book Antiqua"/>
          <w:i/>
          <w:iCs/>
          <w:color w:val="000000"/>
        </w:rPr>
        <w:t>PLoS One</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15</w:t>
      </w:r>
      <w:r w:rsidRPr="00861B73">
        <w:rPr>
          <w:rFonts w:ascii="Book Antiqua" w:eastAsia="Book Antiqua" w:hAnsi="Book Antiqua" w:cs="Book Antiqua"/>
          <w:color w:val="000000"/>
        </w:rPr>
        <w:t>: e0240400 [PMID: 33031439 DOI: 10.1371/journal.pone.0240400]</w:t>
      </w:r>
    </w:p>
    <w:p w14:paraId="1ABE1D20"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61 </w:t>
      </w:r>
      <w:r w:rsidRPr="00861B73">
        <w:rPr>
          <w:rFonts w:ascii="Book Antiqua" w:eastAsia="Book Antiqua" w:hAnsi="Book Antiqua" w:cs="Book Antiqua"/>
          <w:b/>
          <w:bCs/>
          <w:color w:val="000000"/>
        </w:rPr>
        <w:t>Ji D</w:t>
      </w:r>
      <w:r w:rsidRPr="00861B73">
        <w:rPr>
          <w:rFonts w:ascii="Book Antiqua" w:eastAsia="Book Antiqua" w:hAnsi="Book Antiqua" w:cs="Book Antiqua"/>
          <w:color w:val="000000"/>
        </w:rPr>
        <w:t xml:space="preserve">, Zhang D, Yang T, Mu J, Zhao P, Xu J, Li C, Cheng G, Wang Y, Chen Z, Qin E, Lau G. Effect of COVID-19 on patients with compensated chronic liver diseases. </w:t>
      </w:r>
      <w:r w:rsidRPr="00861B73">
        <w:rPr>
          <w:rFonts w:ascii="Book Antiqua" w:eastAsia="Book Antiqua" w:hAnsi="Book Antiqua" w:cs="Book Antiqua"/>
          <w:i/>
          <w:iCs/>
          <w:color w:val="000000"/>
        </w:rPr>
        <w:t>Hepatol Int</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14</w:t>
      </w:r>
      <w:r w:rsidRPr="00861B73">
        <w:rPr>
          <w:rFonts w:ascii="Book Antiqua" w:eastAsia="Book Antiqua" w:hAnsi="Book Antiqua" w:cs="Book Antiqua"/>
          <w:color w:val="000000"/>
        </w:rPr>
        <w:t>: 701-710 [PMID: 32734407 DOI: 10.1007/s12072-020-10058-6]</w:t>
      </w:r>
    </w:p>
    <w:p w14:paraId="0A700E79"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62 </w:t>
      </w:r>
      <w:r w:rsidRPr="00861B73">
        <w:rPr>
          <w:rFonts w:ascii="Book Antiqua" w:eastAsia="Book Antiqua" w:hAnsi="Book Antiqua" w:cs="Book Antiqua"/>
          <w:b/>
          <w:bCs/>
          <w:color w:val="000000"/>
        </w:rPr>
        <w:t>Palomar-Lever A</w:t>
      </w:r>
      <w:r w:rsidRPr="00861B73">
        <w:rPr>
          <w:rFonts w:ascii="Book Antiqua" w:eastAsia="Book Antiqua" w:hAnsi="Book Antiqua" w:cs="Book Antiqua"/>
          <w:color w:val="000000"/>
        </w:rPr>
        <w:t xml:space="preserve">, Barraza G, Galicia-Alba J, Echeverri-Bolaños M, Escarria-Panesso R, Padua-Barrios J, Halabe-Cherem J, Hernandez-Molina G, Chargoy-Loustaunau TN, Kimura-Hayama E. Hepatic steatosis as an independent risk factor for severe disease in patients with COVID-19: A computed tomography study. </w:t>
      </w:r>
      <w:r w:rsidRPr="00861B73">
        <w:rPr>
          <w:rFonts w:ascii="Book Antiqua" w:eastAsia="Book Antiqua" w:hAnsi="Book Antiqua" w:cs="Book Antiqua"/>
          <w:i/>
          <w:iCs/>
          <w:color w:val="000000"/>
        </w:rPr>
        <w:t>JGH Open</w:t>
      </w:r>
      <w:r w:rsidRPr="00861B73">
        <w:rPr>
          <w:rFonts w:ascii="Book Antiqua" w:eastAsia="Book Antiqua" w:hAnsi="Book Antiqua" w:cs="Book Antiqua"/>
          <w:color w:val="000000"/>
        </w:rPr>
        <w:t xml:space="preserve"> 2020 [PMID: 32838045 DOI: 10.1002/jgh3.12395]</w:t>
      </w:r>
    </w:p>
    <w:p w14:paraId="07E7F421"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63 </w:t>
      </w:r>
      <w:r w:rsidRPr="00861B73">
        <w:rPr>
          <w:rFonts w:ascii="Book Antiqua" w:eastAsia="Book Antiqua" w:hAnsi="Book Antiqua" w:cs="Book Antiqua"/>
          <w:b/>
          <w:bCs/>
          <w:color w:val="000000"/>
        </w:rPr>
        <w:t>Sachdeva S</w:t>
      </w:r>
      <w:r w:rsidRPr="00861B73">
        <w:rPr>
          <w:rFonts w:ascii="Book Antiqua" w:eastAsia="Book Antiqua" w:hAnsi="Book Antiqua" w:cs="Book Antiqua"/>
          <w:color w:val="000000"/>
        </w:rPr>
        <w:t xml:space="preserve">, Khandait H, Kopel J, Aloysius MM, Desai R, Goyal H. NAFLD and COVID-19: a Pooled Analysis. </w:t>
      </w:r>
      <w:r w:rsidRPr="00861B73">
        <w:rPr>
          <w:rFonts w:ascii="Book Antiqua" w:eastAsia="Book Antiqua" w:hAnsi="Book Antiqua" w:cs="Book Antiqua"/>
          <w:i/>
          <w:iCs/>
          <w:color w:val="000000"/>
        </w:rPr>
        <w:t>SN Compr Clin Med</w:t>
      </w:r>
      <w:r w:rsidRPr="00861B73">
        <w:rPr>
          <w:rFonts w:ascii="Book Antiqua" w:eastAsia="Book Antiqua" w:hAnsi="Book Antiqua" w:cs="Book Antiqua"/>
          <w:color w:val="000000"/>
        </w:rPr>
        <w:t xml:space="preserve"> 2020: 1-4 [PMID: 33173850 DOI: 10.1007/s42399-020-00631-3]</w:t>
      </w:r>
    </w:p>
    <w:p w14:paraId="688D43FE"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64 </w:t>
      </w:r>
      <w:r w:rsidRPr="00861B73">
        <w:rPr>
          <w:rFonts w:ascii="Book Antiqua" w:eastAsia="Book Antiqua" w:hAnsi="Book Antiqua" w:cs="Book Antiqua"/>
          <w:b/>
          <w:bCs/>
          <w:color w:val="000000"/>
        </w:rPr>
        <w:t>Sarin SK</w:t>
      </w:r>
      <w:r w:rsidRPr="00861B73">
        <w:rPr>
          <w:rFonts w:ascii="Book Antiqua" w:eastAsia="Book Antiqua" w:hAnsi="Book Antiqua" w:cs="Book Antiqua"/>
          <w:color w:val="000000"/>
        </w:rPr>
        <w:t xml:space="preserve">, Choudhury A, Lau GK, Zheng MH, Ji D, Abd-Elsalam S, Hwang J, Qi X, Cua IH, Suh JI, Park JG, Putcharoen O, Kaewdech A, Piratvisuth T, Treeprasertsuk S, Park S, Wejnaruemarn S, Payawal DA, Baatarkhuu O, Ahn SH, Yeo CD, Alonzo UR, Chinbayar T, Loho IM, Yokosuka O, Jafri W, Tan S, Soo LI, Tanwandee T, Gani R, Anand L, Esmail ES, Khalaf M, Alam S, Lin CY, Chuang WL, Soin AS, Garg HK, Kalista K, Batsukh B, Purnomo HD, Dara VP, Rathi P, Al Mahtab M, Shukla A, Sharma MK, Omata M; APASL COVID Task Force, APASL COVID Liver Injury Spectrum Study (APCOLIS Study-NCT 04345640). Pre-existing liver disease is associated with poor outcome in patients with SARS CoV2 infection; The APCOLIS Study (APASL COVID-19 Liver Injury Spectrum Study). </w:t>
      </w:r>
      <w:r w:rsidRPr="00861B73">
        <w:rPr>
          <w:rFonts w:ascii="Book Antiqua" w:eastAsia="Book Antiqua" w:hAnsi="Book Antiqua" w:cs="Book Antiqua"/>
          <w:i/>
          <w:iCs/>
          <w:color w:val="000000"/>
        </w:rPr>
        <w:t>Hepatol Int</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14</w:t>
      </w:r>
      <w:r w:rsidRPr="00861B73">
        <w:rPr>
          <w:rFonts w:ascii="Book Antiqua" w:eastAsia="Book Antiqua" w:hAnsi="Book Antiqua" w:cs="Book Antiqua"/>
          <w:color w:val="000000"/>
        </w:rPr>
        <w:t>: 690-700 [PMID: 32623632 DOI: 10.1007/s12072-020-10072-8]</w:t>
      </w:r>
    </w:p>
    <w:p w14:paraId="0E765559"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65 </w:t>
      </w:r>
      <w:r w:rsidRPr="00861B73">
        <w:rPr>
          <w:rFonts w:ascii="Book Antiqua" w:eastAsia="Book Antiqua" w:hAnsi="Book Antiqua" w:cs="Book Antiqua"/>
          <w:b/>
          <w:bCs/>
          <w:color w:val="000000"/>
        </w:rPr>
        <w:t>Shalimar</w:t>
      </w:r>
      <w:r w:rsidRPr="00861B73">
        <w:rPr>
          <w:rFonts w:ascii="Book Antiqua" w:eastAsia="Book Antiqua" w:hAnsi="Book Antiqua" w:cs="Book Antiqua"/>
          <w:color w:val="000000"/>
        </w:rPr>
        <w:t xml:space="preserve">, Elhence A, Vaishnav M, Kumar R, Pathak P, Soni KD, Aggarwal R, Soneja M, Jorwal P, Kumar A, Khanna P, Singh AK, Biswas A, Nischal N, Dar L, Choudhary A, Rangarajan K, Mohan A, Acharya P, Nayak B, Gunjan D, Saraya A, Mahapatra S, Makharia G, Trikha A, Garg P. Poor outcomes in patients with cirrhosis and Corona Virus Disease-19. </w:t>
      </w:r>
      <w:r w:rsidRPr="00861B73">
        <w:rPr>
          <w:rFonts w:ascii="Book Antiqua" w:eastAsia="Book Antiqua" w:hAnsi="Book Antiqua" w:cs="Book Antiqua"/>
          <w:i/>
          <w:iCs/>
          <w:color w:val="000000"/>
        </w:rPr>
        <w:t>Indian J Gastroenterol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39</w:t>
      </w:r>
      <w:r w:rsidRPr="00861B73">
        <w:rPr>
          <w:rFonts w:ascii="Book Antiqua" w:eastAsia="Book Antiqua" w:hAnsi="Book Antiqua" w:cs="Book Antiqua"/>
          <w:color w:val="000000"/>
        </w:rPr>
        <w:t>: 285-291 [PMID: 32803716 DOI: 10.1007/s12664-020-01074-3]</w:t>
      </w:r>
    </w:p>
    <w:p w14:paraId="6CB4E449"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66 </w:t>
      </w:r>
      <w:r w:rsidRPr="00861B73">
        <w:rPr>
          <w:rFonts w:ascii="Book Antiqua" w:eastAsia="Book Antiqua" w:hAnsi="Book Antiqua" w:cs="Book Antiqua"/>
          <w:b/>
          <w:bCs/>
          <w:color w:val="000000"/>
        </w:rPr>
        <w:t>Li J</w:t>
      </w:r>
      <w:r w:rsidRPr="00861B73">
        <w:rPr>
          <w:rFonts w:ascii="Book Antiqua" w:eastAsia="Book Antiqua" w:hAnsi="Book Antiqua" w:cs="Book Antiqua"/>
          <w:color w:val="000000"/>
        </w:rPr>
        <w:t xml:space="preserve">, Fan JG. Characteristics and Mechanism of Liver Injury in 2019 Coronavirus Disease. </w:t>
      </w:r>
      <w:r w:rsidRPr="00861B73">
        <w:rPr>
          <w:rFonts w:ascii="Book Antiqua" w:eastAsia="Book Antiqua" w:hAnsi="Book Antiqua" w:cs="Book Antiqua"/>
          <w:i/>
          <w:iCs/>
          <w:color w:val="000000"/>
        </w:rPr>
        <w:t>J Clin Transl Hepatol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8</w:t>
      </w:r>
      <w:r w:rsidRPr="00861B73">
        <w:rPr>
          <w:rFonts w:ascii="Book Antiqua" w:eastAsia="Book Antiqua" w:hAnsi="Book Antiqua" w:cs="Book Antiqua"/>
          <w:color w:val="000000"/>
        </w:rPr>
        <w:t>: 13-17 [PMID: 32274341 DOI: 10.14218/JCTH.2020.00019]</w:t>
      </w:r>
    </w:p>
    <w:p w14:paraId="72A6C41F"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67 </w:t>
      </w:r>
      <w:r w:rsidRPr="00861B73">
        <w:rPr>
          <w:rFonts w:ascii="Book Antiqua" w:eastAsia="Book Antiqua" w:hAnsi="Book Antiqua" w:cs="Book Antiqua"/>
          <w:b/>
          <w:bCs/>
          <w:color w:val="000000"/>
        </w:rPr>
        <w:t>Conti P</w:t>
      </w:r>
      <w:r w:rsidRPr="00861B73">
        <w:rPr>
          <w:rFonts w:ascii="Book Antiqua" w:eastAsia="Book Antiqua" w:hAnsi="Book Antiqua" w:cs="Book Antiqua"/>
          <w:color w:val="000000"/>
        </w:rPr>
        <w:t xml:space="preserve">, Ronconi G, Caraffa A, Gallenga CE, Ross R, Frydas I, Kritas SK. Induction of pro-inflammatory cytokines (IL-1 and IL-6) and lung inflammation by Coronavirus-19 (COVI-19 or SARS-CoV-2): anti-inflammatory strategies. </w:t>
      </w:r>
      <w:r w:rsidRPr="00861B73">
        <w:rPr>
          <w:rFonts w:ascii="Book Antiqua" w:eastAsia="Book Antiqua" w:hAnsi="Book Antiqua" w:cs="Book Antiqua"/>
          <w:i/>
          <w:iCs/>
          <w:color w:val="000000"/>
        </w:rPr>
        <w:t>J Biol Regul Homeost Agents</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34</w:t>
      </w:r>
      <w:r w:rsidRPr="00861B73">
        <w:rPr>
          <w:rFonts w:ascii="Book Antiqua" w:eastAsia="Book Antiqua" w:hAnsi="Book Antiqua" w:cs="Book Antiqua"/>
          <w:color w:val="000000"/>
        </w:rPr>
        <w:t>: 327-331 [PMID: 32171193 DOI: 10.23812/CONTI-E]</w:t>
      </w:r>
    </w:p>
    <w:p w14:paraId="02BEBFFE"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68 </w:t>
      </w:r>
      <w:r w:rsidRPr="00861B73">
        <w:rPr>
          <w:rFonts w:ascii="Book Antiqua" w:eastAsia="Book Antiqua" w:hAnsi="Book Antiqua" w:cs="Book Antiqua"/>
          <w:b/>
          <w:bCs/>
          <w:color w:val="000000"/>
        </w:rPr>
        <w:t>Tisoncik JR</w:t>
      </w:r>
      <w:r w:rsidRPr="00861B73">
        <w:rPr>
          <w:rFonts w:ascii="Book Antiqua" w:eastAsia="Book Antiqua" w:hAnsi="Book Antiqua" w:cs="Book Antiqua"/>
          <w:color w:val="000000"/>
        </w:rPr>
        <w:t xml:space="preserve">, Korth MJ, Simmons CP, Farrar J, Martin TR, Katze MG. Into the eye of the cytokine storm. </w:t>
      </w:r>
      <w:r w:rsidRPr="00861B73">
        <w:rPr>
          <w:rFonts w:ascii="Book Antiqua" w:eastAsia="Book Antiqua" w:hAnsi="Book Antiqua" w:cs="Book Antiqua"/>
          <w:i/>
          <w:iCs/>
          <w:color w:val="000000"/>
        </w:rPr>
        <w:t>Microbiol Mol Biol Rev</w:t>
      </w:r>
      <w:r w:rsidRPr="00861B73">
        <w:rPr>
          <w:rFonts w:ascii="Book Antiqua" w:eastAsia="Book Antiqua" w:hAnsi="Book Antiqua" w:cs="Book Antiqua"/>
          <w:color w:val="000000"/>
        </w:rPr>
        <w:t xml:space="preserve"> 2012; </w:t>
      </w:r>
      <w:r w:rsidRPr="00861B73">
        <w:rPr>
          <w:rFonts w:ascii="Book Antiqua" w:eastAsia="Book Antiqua" w:hAnsi="Book Antiqua" w:cs="Book Antiqua"/>
          <w:b/>
          <w:bCs/>
          <w:color w:val="000000"/>
        </w:rPr>
        <w:t>76</w:t>
      </w:r>
      <w:r w:rsidRPr="00861B73">
        <w:rPr>
          <w:rFonts w:ascii="Book Antiqua" w:eastAsia="Book Antiqua" w:hAnsi="Book Antiqua" w:cs="Book Antiqua"/>
          <w:color w:val="000000"/>
        </w:rPr>
        <w:t>: 16-32 [PMID: 22390970 DOI: 10.1128/MMBR.05015-11]</w:t>
      </w:r>
    </w:p>
    <w:p w14:paraId="6AD827F2" w14:textId="77777777" w:rsidR="00A77B3E" w:rsidRPr="00861B73" w:rsidRDefault="00AF38BA" w:rsidP="009A225C">
      <w:pPr>
        <w:snapToGrid w:val="0"/>
        <w:spacing w:line="360" w:lineRule="auto"/>
        <w:jc w:val="both"/>
        <w:rPr>
          <w:rFonts w:ascii="Book Antiqua" w:hAnsi="Book Antiqua"/>
          <w:lang w:val="pt-BR"/>
        </w:rPr>
      </w:pPr>
      <w:r w:rsidRPr="00861B73">
        <w:rPr>
          <w:rFonts w:ascii="Book Antiqua" w:eastAsia="Book Antiqua" w:hAnsi="Book Antiqua" w:cs="Book Antiqua"/>
          <w:color w:val="000000"/>
        </w:rPr>
        <w:t xml:space="preserve">69 </w:t>
      </w:r>
      <w:r w:rsidRPr="00861B73">
        <w:rPr>
          <w:rFonts w:ascii="Book Antiqua" w:eastAsia="Book Antiqua" w:hAnsi="Book Antiqua" w:cs="Book Antiqua"/>
          <w:b/>
          <w:bCs/>
          <w:color w:val="000000"/>
        </w:rPr>
        <w:t>Schmidt-Arras D</w:t>
      </w:r>
      <w:r w:rsidRPr="00861B73">
        <w:rPr>
          <w:rFonts w:ascii="Book Antiqua" w:eastAsia="Book Antiqua" w:hAnsi="Book Antiqua" w:cs="Book Antiqua"/>
          <w:color w:val="000000"/>
        </w:rPr>
        <w:t xml:space="preserve">, Rose-John S. IL-6 pathway in the liver: From physiopathology to therapy. </w:t>
      </w:r>
      <w:r w:rsidRPr="00861B73">
        <w:rPr>
          <w:rFonts w:ascii="Book Antiqua" w:eastAsia="Book Antiqua" w:hAnsi="Book Antiqua" w:cs="Book Antiqua"/>
          <w:i/>
          <w:iCs/>
          <w:color w:val="000000"/>
          <w:lang w:val="pt-BR"/>
        </w:rPr>
        <w:t>J Hepatol</w:t>
      </w:r>
      <w:r w:rsidRPr="00861B73">
        <w:rPr>
          <w:rFonts w:ascii="Book Antiqua" w:eastAsia="Book Antiqua" w:hAnsi="Book Antiqua" w:cs="Book Antiqua"/>
          <w:color w:val="000000"/>
          <w:lang w:val="pt-BR"/>
        </w:rPr>
        <w:t xml:space="preserve"> 2016; </w:t>
      </w:r>
      <w:r w:rsidRPr="00861B73">
        <w:rPr>
          <w:rFonts w:ascii="Book Antiqua" w:eastAsia="Book Antiqua" w:hAnsi="Book Antiqua" w:cs="Book Antiqua"/>
          <w:b/>
          <w:bCs/>
          <w:color w:val="000000"/>
          <w:lang w:val="pt-BR"/>
        </w:rPr>
        <w:t>64</w:t>
      </w:r>
      <w:r w:rsidRPr="00861B73">
        <w:rPr>
          <w:rFonts w:ascii="Book Antiqua" w:eastAsia="Book Antiqua" w:hAnsi="Book Antiqua" w:cs="Book Antiqua"/>
          <w:color w:val="000000"/>
          <w:lang w:val="pt-BR"/>
        </w:rPr>
        <w:t>: 1403-1415 [PMID: 26867490 DOI: 10.1016/j.jhep.2016.02.004]</w:t>
      </w:r>
    </w:p>
    <w:p w14:paraId="0181635C"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lang w:val="pt-BR"/>
        </w:rPr>
        <w:t xml:space="preserve">70 </w:t>
      </w:r>
      <w:r w:rsidRPr="00861B73">
        <w:rPr>
          <w:rFonts w:ascii="Book Antiqua" w:eastAsia="Book Antiqua" w:hAnsi="Book Antiqua" w:cs="Book Antiqua"/>
          <w:b/>
          <w:bCs/>
          <w:color w:val="000000"/>
          <w:lang w:val="pt-BR"/>
        </w:rPr>
        <w:t>López-Reyes A</w:t>
      </w:r>
      <w:r w:rsidRPr="00861B73">
        <w:rPr>
          <w:rFonts w:ascii="Book Antiqua" w:eastAsia="Book Antiqua" w:hAnsi="Book Antiqua" w:cs="Book Antiqua"/>
          <w:color w:val="000000"/>
          <w:lang w:val="pt-BR"/>
        </w:rPr>
        <w:t xml:space="preserve">, Martinez-Armenta C, Espinosa-Velázquez R, Vázquez-Cárdenas P, Cruz-Ramos M, Palacios-Gonzalez B, Gomez-Quiroz LE, Martínez-Nava GA. </w:t>
      </w:r>
      <w:r w:rsidRPr="00861B73">
        <w:rPr>
          <w:rFonts w:ascii="Book Antiqua" w:eastAsia="Book Antiqua" w:hAnsi="Book Antiqua" w:cs="Book Antiqua"/>
          <w:color w:val="000000"/>
        </w:rPr>
        <w:t xml:space="preserve">NLRP3 Inflammasome: The Stormy Link Between Obesity and COVID-19. </w:t>
      </w:r>
      <w:r w:rsidRPr="00861B73">
        <w:rPr>
          <w:rFonts w:ascii="Book Antiqua" w:eastAsia="Book Antiqua" w:hAnsi="Book Antiqua" w:cs="Book Antiqua"/>
          <w:i/>
          <w:iCs/>
          <w:color w:val="000000"/>
        </w:rPr>
        <w:t>Front Immunol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11</w:t>
      </w:r>
      <w:r w:rsidRPr="00861B73">
        <w:rPr>
          <w:rFonts w:ascii="Book Antiqua" w:eastAsia="Book Antiqua" w:hAnsi="Book Antiqua" w:cs="Book Antiqua"/>
          <w:color w:val="000000"/>
        </w:rPr>
        <w:t>: 570251 [PMID: 33193349 DOI: 10.3389/fimmu.2020.570251]</w:t>
      </w:r>
    </w:p>
    <w:p w14:paraId="5BCD6EF3"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71 </w:t>
      </w:r>
      <w:r w:rsidRPr="00861B73">
        <w:rPr>
          <w:rFonts w:ascii="Book Antiqua" w:eastAsia="Book Antiqua" w:hAnsi="Book Antiqua" w:cs="Book Antiqua"/>
          <w:b/>
          <w:bCs/>
          <w:color w:val="000000"/>
        </w:rPr>
        <w:t>Swanson KV</w:t>
      </w:r>
      <w:r w:rsidRPr="00861B73">
        <w:rPr>
          <w:rFonts w:ascii="Book Antiqua" w:eastAsia="Book Antiqua" w:hAnsi="Book Antiqua" w:cs="Book Antiqua"/>
          <w:color w:val="000000"/>
        </w:rPr>
        <w:t xml:space="preserve">, Deng M, Ting JP. The NLRP3 inflammasome: molecular activation and regulation to therapeutics. </w:t>
      </w:r>
      <w:r w:rsidRPr="00861B73">
        <w:rPr>
          <w:rFonts w:ascii="Book Antiqua" w:eastAsia="Book Antiqua" w:hAnsi="Book Antiqua" w:cs="Book Antiqua"/>
          <w:i/>
          <w:iCs/>
          <w:color w:val="000000"/>
        </w:rPr>
        <w:t>Nat Rev Immunol</w:t>
      </w:r>
      <w:r w:rsidRPr="00861B73">
        <w:rPr>
          <w:rFonts w:ascii="Book Antiqua" w:eastAsia="Book Antiqua" w:hAnsi="Book Antiqua" w:cs="Book Antiqua"/>
          <w:color w:val="000000"/>
        </w:rPr>
        <w:t xml:space="preserve"> 2019; </w:t>
      </w:r>
      <w:r w:rsidRPr="00861B73">
        <w:rPr>
          <w:rFonts w:ascii="Book Antiqua" w:eastAsia="Book Antiqua" w:hAnsi="Book Antiqua" w:cs="Book Antiqua"/>
          <w:b/>
          <w:bCs/>
          <w:color w:val="000000"/>
        </w:rPr>
        <w:t>19</w:t>
      </w:r>
      <w:r w:rsidRPr="00861B73">
        <w:rPr>
          <w:rFonts w:ascii="Book Antiqua" w:eastAsia="Book Antiqua" w:hAnsi="Book Antiqua" w:cs="Book Antiqua"/>
          <w:color w:val="000000"/>
        </w:rPr>
        <w:t>: 477-489 [PMID: 31036962 DOI: 10.1038/s41577-019-0165-0]</w:t>
      </w:r>
    </w:p>
    <w:p w14:paraId="732658C3"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72 </w:t>
      </w:r>
      <w:r w:rsidRPr="00861B73">
        <w:rPr>
          <w:rFonts w:ascii="Book Antiqua" w:eastAsia="Book Antiqua" w:hAnsi="Book Antiqua" w:cs="Book Antiqua"/>
          <w:b/>
          <w:bCs/>
          <w:color w:val="000000"/>
        </w:rPr>
        <w:t>Lefere S</w:t>
      </w:r>
      <w:r w:rsidRPr="00861B73">
        <w:rPr>
          <w:rFonts w:ascii="Book Antiqua" w:eastAsia="Book Antiqua" w:hAnsi="Book Antiqua" w:cs="Book Antiqua"/>
          <w:color w:val="000000"/>
        </w:rPr>
        <w:t xml:space="preserve">, Tacke F. Macrophages in obesity and non-alcoholic fatty liver disease: Crosstalk with metabolism. </w:t>
      </w:r>
      <w:r w:rsidRPr="00861B73">
        <w:rPr>
          <w:rFonts w:ascii="Book Antiqua" w:eastAsia="Book Antiqua" w:hAnsi="Book Antiqua" w:cs="Book Antiqua"/>
          <w:i/>
          <w:iCs/>
          <w:color w:val="000000"/>
        </w:rPr>
        <w:t>JHEP Rep</w:t>
      </w:r>
      <w:r w:rsidRPr="00861B73">
        <w:rPr>
          <w:rFonts w:ascii="Book Antiqua" w:eastAsia="Book Antiqua" w:hAnsi="Book Antiqua" w:cs="Book Antiqua"/>
          <w:color w:val="000000"/>
        </w:rPr>
        <w:t xml:space="preserve"> 2019; </w:t>
      </w:r>
      <w:r w:rsidRPr="00861B73">
        <w:rPr>
          <w:rFonts w:ascii="Book Antiqua" w:eastAsia="Book Antiqua" w:hAnsi="Book Antiqua" w:cs="Book Antiqua"/>
          <w:b/>
          <w:bCs/>
          <w:color w:val="000000"/>
        </w:rPr>
        <w:t>1</w:t>
      </w:r>
      <w:r w:rsidRPr="00861B73">
        <w:rPr>
          <w:rFonts w:ascii="Book Antiqua" w:eastAsia="Book Antiqua" w:hAnsi="Book Antiqua" w:cs="Book Antiqua"/>
          <w:color w:val="000000"/>
        </w:rPr>
        <w:t>: 30-43 [PMID: 32149275 DOI: 10.1016/j.jhepr.2019.02.004]</w:t>
      </w:r>
    </w:p>
    <w:p w14:paraId="21281924"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73 </w:t>
      </w:r>
      <w:r w:rsidRPr="00861B73">
        <w:rPr>
          <w:rFonts w:ascii="Book Antiqua" w:eastAsia="Book Antiqua" w:hAnsi="Book Antiqua" w:cs="Book Antiqua"/>
          <w:b/>
          <w:bCs/>
          <w:color w:val="000000"/>
        </w:rPr>
        <w:t>Rheinheimer J</w:t>
      </w:r>
      <w:r w:rsidRPr="00861B73">
        <w:rPr>
          <w:rFonts w:ascii="Book Antiqua" w:eastAsia="Book Antiqua" w:hAnsi="Book Antiqua" w:cs="Book Antiqua"/>
          <w:color w:val="000000"/>
        </w:rPr>
        <w:t xml:space="preserve">, de Souza BM, Cardoso NS, Bauer AC, Crispim D. Current role of the NLRP3 inflammasome on obesity and insulin resistance: A systematic review. </w:t>
      </w:r>
      <w:r w:rsidRPr="00861B73">
        <w:rPr>
          <w:rFonts w:ascii="Book Antiqua" w:eastAsia="Book Antiqua" w:hAnsi="Book Antiqua" w:cs="Book Antiqua"/>
          <w:i/>
          <w:iCs/>
          <w:color w:val="000000"/>
        </w:rPr>
        <w:t>Metabolism</w:t>
      </w:r>
      <w:r w:rsidRPr="00861B73">
        <w:rPr>
          <w:rFonts w:ascii="Book Antiqua" w:eastAsia="Book Antiqua" w:hAnsi="Book Antiqua" w:cs="Book Antiqua"/>
          <w:color w:val="000000"/>
        </w:rPr>
        <w:t xml:space="preserve"> 2017; </w:t>
      </w:r>
      <w:r w:rsidRPr="00861B73">
        <w:rPr>
          <w:rFonts w:ascii="Book Antiqua" w:eastAsia="Book Antiqua" w:hAnsi="Book Antiqua" w:cs="Book Antiqua"/>
          <w:b/>
          <w:bCs/>
          <w:color w:val="000000"/>
        </w:rPr>
        <w:t>74</w:t>
      </w:r>
      <w:r w:rsidRPr="00861B73">
        <w:rPr>
          <w:rFonts w:ascii="Book Antiqua" w:eastAsia="Book Antiqua" w:hAnsi="Book Antiqua" w:cs="Book Antiqua"/>
          <w:color w:val="000000"/>
        </w:rPr>
        <w:t>: 1-9 [PMID: 28764843 DOI: 10.1016/j.metabol.2017.06.002]</w:t>
      </w:r>
    </w:p>
    <w:p w14:paraId="1A594DED"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74 </w:t>
      </w:r>
      <w:r w:rsidRPr="00861B73">
        <w:rPr>
          <w:rFonts w:ascii="Book Antiqua" w:eastAsia="Book Antiqua" w:hAnsi="Book Antiqua" w:cs="Book Antiqua"/>
          <w:b/>
          <w:bCs/>
          <w:color w:val="000000"/>
        </w:rPr>
        <w:t>Vandanmagsar B</w:t>
      </w:r>
      <w:r w:rsidRPr="00861B73">
        <w:rPr>
          <w:rFonts w:ascii="Book Antiqua" w:eastAsia="Book Antiqua" w:hAnsi="Book Antiqua" w:cs="Book Antiqua"/>
          <w:color w:val="000000"/>
        </w:rPr>
        <w:t xml:space="preserve">, Youm YH, Ravussin A, Galgani JE, Stadler K, Mynatt RL, Ravussin E, Stephens JM, Dixit VD. The NLRP3 inflammasome instigates obesity-induced inflammation and insulin resistance. </w:t>
      </w:r>
      <w:r w:rsidRPr="00861B73">
        <w:rPr>
          <w:rFonts w:ascii="Book Antiqua" w:eastAsia="Book Antiqua" w:hAnsi="Book Antiqua" w:cs="Book Antiqua"/>
          <w:i/>
          <w:iCs/>
          <w:color w:val="000000"/>
        </w:rPr>
        <w:t>Nat Med</w:t>
      </w:r>
      <w:r w:rsidRPr="00861B73">
        <w:rPr>
          <w:rFonts w:ascii="Book Antiqua" w:eastAsia="Book Antiqua" w:hAnsi="Book Antiqua" w:cs="Book Antiqua"/>
          <w:color w:val="000000"/>
        </w:rPr>
        <w:t xml:space="preserve"> 2011; </w:t>
      </w:r>
      <w:r w:rsidRPr="00861B73">
        <w:rPr>
          <w:rFonts w:ascii="Book Antiqua" w:eastAsia="Book Antiqua" w:hAnsi="Book Antiqua" w:cs="Book Antiqua"/>
          <w:b/>
          <w:bCs/>
          <w:color w:val="000000"/>
        </w:rPr>
        <w:t>17</w:t>
      </w:r>
      <w:r w:rsidRPr="00861B73">
        <w:rPr>
          <w:rFonts w:ascii="Book Antiqua" w:eastAsia="Book Antiqua" w:hAnsi="Book Antiqua" w:cs="Book Antiqua"/>
          <w:color w:val="000000"/>
        </w:rPr>
        <w:t>: 179-188 [PMID: 21217695 DOI: 10.1038/nm.2279]</w:t>
      </w:r>
    </w:p>
    <w:p w14:paraId="6F0F3A63"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75 </w:t>
      </w:r>
      <w:r w:rsidRPr="00861B73">
        <w:rPr>
          <w:rFonts w:ascii="Book Antiqua" w:eastAsia="Book Antiqua" w:hAnsi="Book Antiqua" w:cs="Book Antiqua"/>
          <w:b/>
          <w:bCs/>
          <w:color w:val="000000"/>
        </w:rPr>
        <w:t>Luo W</w:t>
      </w:r>
      <w:r w:rsidRPr="00861B73">
        <w:rPr>
          <w:rFonts w:ascii="Book Antiqua" w:eastAsia="Book Antiqua" w:hAnsi="Book Antiqua" w:cs="Book Antiqua"/>
          <w:color w:val="000000"/>
        </w:rPr>
        <w:t xml:space="preserve">, Xu Q, Wang Q, Wu H, Hua J. Effect of modulation of PPAR-γ activity on Kupffer cells M1/M2 polarization in the development of non-alcoholic fatty liver disease. </w:t>
      </w:r>
      <w:r w:rsidRPr="00861B73">
        <w:rPr>
          <w:rFonts w:ascii="Book Antiqua" w:eastAsia="Book Antiqua" w:hAnsi="Book Antiqua" w:cs="Book Antiqua"/>
          <w:i/>
          <w:iCs/>
          <w:color w:val="000000"/>
        </w:rPr>
        <w:t>Sci Rep</w:t>
      </w:r>
      <w:r w:rsidRPr="00861B73">
        <w:rPr>
          <w:rFonts w:ascii="Book Antiqua" w:eastAsia="Book Antiqua" w:hAnsi="Book Antiqua" w:cs="Book Antiqua"/>
          <w:color w:val="000000"/>
        </w:rPr>
        <w:t xml:space="preserve"> 2017; </w:t>
      </w:r>
      <w:r w:rsidRPr="00861B73">
        <w:rPr>
          <w:rFonts w:ascii="Book Antiqua" w:eastAsia="Book Antiqua" w:hAnsi="Book Antiqua" w:cs="Book Antiqua"/>
          <w:b/>
          <w:bCs/>
          <w:color w:val="000000"/>
        </w:rPr>
        <w:t>7</w:t>
      </w:r>
      <w:r w:rsidRPr="00861B73">
        <w:rPr>
          <w:rFonts w:ascii="Book Antiqua" w:eastAsia="Book Antiqua" w:hAnsi="Book Antiqua" w:cs="Book Antiqua"/>
          <w:color w:val="000000"/>
        </w:rPr>
        <w:t>: 44612 [PMID: 28300213 DOI: 10.1038/srep44612]</w:t>
      </w:r>
    </w:p>
    <w:p w14:paraId="363FD822"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76 </w:t>
      </w:r>
      <w:r w:rsidRPr="00861B73">
        <w:rPr>
          <w:rFonts w:ascii="Book Antiqua" w:eastAsia="Book Antiqua" w:hAnsi="Book Antiqua" w:cs="Book Antiqua"/>
          <w:b/>
          <w:bCs/>
          <w:color w:val="000000"/>
        </w:rPr>
        <w:t>Feng G</w:t>
      </w:r>
      <w:r w:rsidRPr="00861B73">
        <w:rPr>
          <w:rFonts w:ascii="Book Antiqua" w:eastAsia="Book Antiqua" w:hAnsi="Book Antiqua" w:cs="Book Antiqua"/>
          <w:color w:val="000000"/>
        </w:rPr>
        <w:t xml:space="preserve">, Zheng KI, Yan QQ, Rios RS, Targher G, Byrne CD, Poucke SV, Liu WY, Zheng MH. COVID-19 and Liver Dysfunction: Current Insights and Emergent Therapeutic Strategies. </w:t>
      </w:r>
      <w:r w:rsidRPr="00861B73">
        <w:rPr>
          <w:rFonts w:ascii="Book Antiqua" w:eastAsia="Book Antiqua" w:hAnsi="Book Antiqua" w:cs="Book Antiqua"/>
          <w:i/>
          <w:iCs/>
          <w:color w:val="000000"/>
        </w:rPr>
        <w:t>J Clin Transl Hepatol</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8</w:t>
      </w:r>
      <w:r w:rsidRPr="00861B73">
        <w:rPr>
          <w:rFonts w:ascii="Book Antiqua" w:eastAsia="Book Antiqua" w:hAnsi="Book Antiqua" w:cs="Book Antiqua"/>
          <w:color w:val="000000"/>
        </w:rPr>
        <w:t>: 18-24 [PMID: 32274342 DOI: 10.14218/JCTH.2020.00018]</w:t>
      </w:r>
    </w:p>
    <w:p w14:paraId="4A53670B"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77 </w:t>
      </w:r>
      <w:r w:rsidRPr="00861B73">
        <w:rPr>
          <w:rFonts w:ascii="Book Antiqua" w:eastAsia="Book Antiqua" w:hAnsi="Book Antiqua" w:cs="Book Antiqua"/>
          <w:b/>
          <w:bCs/>
          <w:color w:val="000000"/>
        </w:rPr>
        <w:t>Simon TG</w:t>
      </w:r>
      <w:r w:rsidRPr="00861B73">
        <w:rPr>
          <w:rFonts w:ascii="Book Antiqua" w:eastAsia="Book Antiqua" w:hAnsi="Book Antiqua" w:cs="Book Antiqua"/>
          <w:color w:val="000000"/>
        </w:rPr>
        <w:t xml:space="preserve">, Trejo MEP, McClelland R, Bradley R, Blaha MJ, Zeb I, Corey KE, Budoff MJ, Chung RT. Circulating Interleukin-6 is a biomarker for coronary atherosclerosis in nonalcoholic fatty liver disease: Results from the Multi-Ethnic Study of Atherosclerosis. </w:t>
      </w:r>
      <w:r w:rsidRPr="00861B73">
        <w:rPr>
          <w:rFonts w:ascii="Book Antiqua" w:eastAsia="Book Antiqua" w:hAnsi="Book Antiqua" w:cs="Book Antiqua"/>
          <w:i/>
          <w:iCs/>
          <w:color w:val="000000"/>
        </w:rPr>
        <w:t>Int J Cardiol</w:t>
      </w:r>
      <w:r w:rsidRPr="00861B73">
        <w:rPr>
          <w:rFonts w:ascii="Book Antiqua" w:eastAsia="Book Antiqua" w:hAnsi="Book Antiqua" w:cs="Book Antiqua"/>
          <w:color w:val="000000"/>
        </w:rPr>
        <w:t xml:space="preserve"> 2018; </w:t>
      </w:r>
      <w:r w:rsidRPr="00861B73">
        <w:rPr>
          <w:rFonts w:ascii="Book Antiqua" w:eastAsia="Book Antiqua" w:hAnsi="Book Antiqua" w:cs="Book Antiqua"/>
          <w:b/>
          <w:bCs/>
          <w:color w:val="000000"/>
        </w:rPr>
        <w:t>259</w:t>
      </w:r>
      <w:r w:rsidRPr="00861B73">
        <w:rPr>
          <w:rFonts w:ascii="Book Antiqua" w:eastAsia="Book Antiqua" w:hAnsi="Book Antiqua" w:cs="Book Antiqua"/>
          <w:color w:val="000000"/>
        </w:rPr>
        <w:t>: 198-204 [PMID: 29579601 DOI: 10.1016/j.ijcard.2018.01.046]</w:t>
      </w:r>
    </w:p>
    <w:p w14:paraId="7CA4F0E7"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78 </w:t>
      </w:r>
      <w:r w:rsidRPr="00861B73">
        <w:rPr>
          <w:rFonts w:ascii="Book Antiqua" w:eastAsia="Book Antiqua" w:hAnsi="Book Antiqua" w:cs="Book Antiqua"/>
          <w:b/>
          <w:bCs/>
          <w:color w:val="000000"/>
        </w:rPr>
        <w:t>Shi CS</w:t>
      </w:r>
      <w:r w:rsidRPr="00861B73">
        <w:rPr>
          <w:rFonts w:ascii="Book Antiqua" w:eastAsia="Book Antiqua" w:hAnsi="Book Antiqua" w:cs="Book Antiqua"/>
          <w:color w:val="000000"/>
        </w:rPr>
        <w:t xml:space="preserve">, Nabar NR, Huang NN, Kehrl JH. SARS-Coronavirus Open Reading Frame-8b triggers intracellular stress pathways and activates NLRP3 inflammasomes. </w:t>
      </w:r>
      <w:r w:rsidRPr="00861B73">
        <w:rPr>
          <w:rFonts w:ascii="Book Antiqua" w:eastAsia="Book Antiqua" w:hAnsi="Book Antiqua" w:cs="Book Antiqua"/>
          <w:i/>
          <w:iCs/>
          <w:color w:val="000000"/>
        </w:rPr>
        <w:t>Cell Death Discov</w:t>
      </w:r>
      <w:r w:rsidRPr="00861B73">
        <w:rPr>
          <w:rFonts w:ascii="Book Antiqua" w:eastAsia="Book Antiqua" w:hAnsi="Book Antiqua" w:cs="Book Antiqua"/>
          <w:color w:val="000000"/>
        </w:rPr>
        <w:t xml:space="preserve"> 2019; </w:t>
      </w:r>
      <w:r w:rsidRPr="00861B73">
        <w:rPr>
          <w:rFonts w:ascii="Book Antiqua" w:eastAsia="Book Antiqua" w:hAnsi="Book Antiqua" w:cs="Book Antiqua"/>
          <w:b/>
          <w:bCs/>
          <w:color w:val="000000"/>
        </w:rPr>
        <w:t>5</w:t>
      </w:r>
      <w:r w:rsidRPr="00861B73">
        <w:rPr>
          <w:rFonts w:ascii="Book Antiqua" w:eastAsia="Book Antiqua" w:hAnsi="Book Antiqua" w:cs="Book Antiqua"/>
          <w:color w:val="000000"/>
        </w:rPr>
        <w:t>: 101 [PMID: 31231549 DOI: 10.1038/s41420-019-0181-7]</w:t>
      </w:r>
    </w:p>
    <w:p w14:paraId="5EBABAF0"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79 </w:t>
      </w:r>
      <w:r w:rsidRPr="00861B73">
        <w:rPr>
          <w:rFonts w:ascii="Book Antiqua" w:eastAsia="Book Antiqua" w:hAnsi="Book Antiqua" w:cs="Book Antiqua"/>
          <w:b/>
          <w:bCs/>
          <w:color w:val="000000"/>
        </w:rPr>
        <w:t>Chen IY</w:t>
      </w:r>
      <w:r w:rsidRPr="00861B73">
        <w:rPr>
          <w:rFonts w:ascii="Book Antiqua" w:eastAsia="Book Antiqua" w:hAnsi="Book Antiqua" w:cs="Book Antiqua"/>
          <w:color w:val="000000"/>
        </w:rPr>
        <w:t xml:space="preserve">, Moriyama M, Chang MF, Ichinohe T. Severe Acute Respiratory Syndrome Coronavirus Viroporin 3a Activates the NLRP3 Inflammasome. </w:t>
      </w:r>
      <w:r w:rsidRPr="00861B73">
        <w:rPr>
          <w:rFonts w:ascii="Book Antiqua" w:eastAsia="Book Antiqua" w:hAnsi="Book Antiqua" w:cs="Book Antiqua"/>
          <w:i/>
          <w:iCs/>
          <w:color w:val="000000"/>
        </w:rPr>
        <w:t>Front Microbiol</w:t>
      </w:r>
      <w:r w:rsidRPr="00861B73">
        <w:rPr>
          <w:rFonts w:ascii="Book Antiqua" w:eastAsia="Book Antiqua" w:hAnsi="Book Antiqua" w:cs="Book Antiqua"/>
          <w:color w:val="000000"/>
        </w:rPr>
        <w:t xml:space="preserve"> 2019; </w:t>
      </w:r>
      <w:r w:rsidRPr="00861B73">
        <w:rPr>
          <w:rFonts w:ascii="Book Antiqua" w:eastAsia="Book Antiqua" w:hAnsi="Book Antiqua" w:cs="Book Antiqua"/>
          <w:b/>
          <w:bCs/>
          <w:color w:val="000000"/>
        </w:rPr>
        <w:t>10</w:t>
      </w:r>
      <w:r w:rsidRPr="00861B73">
        <w:rPr>
          <w:rFonts w:ascii="Book Antiqua" w:eastAsia="Book Antiqua" w:hAnsi="Book Antiqua" w:cs="Book Antiqua"/>
          <w:color w:val="000000"/>
        </w:rPr>
        <w:t>: 50 [PMID: 30761102 DOI: 10.3389/fmicb.2019.00050]</w:t>
      </w:r>
    </w:p>
    <w:p w14:paraId="3CA26E1E"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80 </w:t>
      </w:r>
      <w:r w:rsidRPr="00861B73">
        <w:rPr>
          <w:rFonts w:ascii="Book Antiqua" w:eastAsia="Book Antiqua" w:hAnsi="Book Antiqua" w:cs="Book Antiqua"/>
          <w:b/>
          <w:bCs/>
          <w:color w:val="000000"/>
        </w:rPr>
        <w:t>Peters U</w:t>
      </w:r>
      <w:r w:rsidRPr="00861B73">
        <w:rPr>
          <w:rFonts w:ascii="Book Antiqua" w:eastAsia="Book Antiqua" w:hAnsi="Book Antiqua" w:cs="Book Antiqua"/>
          <w:color w:val="000000"/>
        </w:rPr>
        <w:t xml:space="preserve">, Suratt BT, Bates JHT, Dixon AE. Beyond BMI: Obesity and Lung Disease. </w:t>
      </w:r>
      <w:r w:rsidRPr="00861B73">
        <w:rPr>
          <w:rFonts w:ascii="Book Antiqua" w:eastAsia="Book Antiqua" w:hAnsi="Book Antiqua" w:cs="Book Antiqua"/>
          <w:i/>
          <w:iCs/>
          <w:color w:val="000000"/>
        </w:rPr>
        <w:t>Chest</w:t>
      </w:r>
      <w:r w:rsidRPr="00861B73">
        <w:rPr>
          <w:rFonts w:ascii="Book Antiqua" w:eastAsia="Book Antiqua" w:hAnsi="Book Antiqua" w:cs="Book Antiqua"/>
          <w:color w:val="000000"/>
        </w:rPr>
        <w:t xml:space="preserve"> 2018; </w:t>
      </w:r>
      <w:r w:rsidRPr="00861B73">
        <w:rPr>
          <w:rFonts w:ascii="Book Antiqua" w:eastAsia="Book Antiqua" w:hAnsi="Book Antiqua" w:cs="Book Antiqua"/>
          <w:b/>
          <w:bCs/>
          <w:color w:val="000000"/>
        </w:rPr>
        <w:t>153</w:t>
      </w:r>
      <w:r w:rsidRPr="00861B73">
        <w:rPr>
          <w:rFonts w:ascii="Book Antiqua" w:eastAsia="Book Antiqua" w:hAnsi="Book Antiqua" w:cs="Book Antiqua"/>
          <w:color w:val="000000"/>
        </w:rPr>
        <w:t>: 702-709 [PMID: 28728934 DOI: 10.1016/j.chest.2017.07.010]</w:t>
      </w:r>
    </w:p>
    <w:p w14:paraId="3E674213" w14:textId="77777777" w:rsidR="00A77B3E" w:rsidRPr="00861B73"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81 </w:t>
      </w:r>
      <w:r w:rsidRPr="00861B73">
        <w:rPr>
          <w:rFonts w:ascii="Book Antiqua" w:eastAsia="Book Antiqua" w:hAnsi="Book Antiqua" w:cs="Book Antiqua"/>
          <w:b/>
          <w:bCs/>
          <w:color w:val="000000"/>
        </w:rPr>
        <w:t>Paizis G</w:t>
      </w:r>
      <w:r w:rsidRPr="00861B73">
        <w:rPr>
          <w:rFonts w:ascii="Book Antiqua" w:eastAsia="Book Antiqua" w:hAnsi="Book Antiqua" w:cs="Book Antiqua"/>
          <w:color w:val="000000"/>
        </w:rPr>
        <w:t xml:space="preserve">, Tikellis C, Cooper ME, Schembri JM, Lew RA, Smith AI, Shaw T, Warner FJ, Zuilli A, Burrell LM, Angus PW. Chronic liver injury in rats and humans upregulates the novel enzyme angiotensin converting enzyme 2. </w:t>
      </w:r>
      <w:r w:rsidRPr="00861B73">
        <w:rPr>
          <w:rFonts w:ascii="Book Antiqua" w:eastAsia="Book Antiqua" w:hAnsi="Book Antiqua" w:cs="Book Antiqua"/>
          <w:i/>
          <w:iCs/>
          <w:color w:val="000000"/>
        </w:rPr>
        <w:t>Gut</w:t>
      </w:r>
      <w:r w:rsidRPr="00861B73">
        <w:rPr>
          <w:rFonts w:ascii="Book Antiqua" w:eastAsia="Book Antiqua" w:hAnsi="Book Antiqua" w:cs="Book Antiqua"/>
          <w:color w:val="000000"/>
        </w:rPr>
        <w:t xml:space="preserve"> 2005; </w:t>
      </w:r>
      <w:r w:rsidRPr="00861B73">
        <w:rPr>
          <w:rFonts w:ascii="Book Antiqua" w:eastAsia="Book Antiqua" w:hAnsi="Book Antiqua" w:cs="Book Antiqua"/>
          <w:b/>
          <w:bCs/>
          <w:color w:val="000000"/>
        </w:rPr>
        <w:t>54</w:t>
      </w:r>
      <w:r w:rsidRPr="00861B73">
        <w:rPr>
          <w:rFonts w:ascii="Book Antiqua" w:eastAsia="Book Antiqua" w:hAnsi="Book Antiqua" w:cs="Book Antiqua"/>
          <w:color w:val="000000"/>
        </w:rPr>
        <w:t>: 1790-1796 [PMID: 16166274 DOI: 10.1136/gut.2004.062398]</w:t>
      </w:r>
    </w:p>
    <w:p w14:paraId="1A5EB031" w14:textId="77777777" w:rsidR="00A77B3E" w:rsidRPr="00861B73" w:rsidRDefault="00AF38BA" w:rsidP="009A225C">
      <w:pPr>
        <w:snapToGrid w:val="0"/>
        <w:spacing w:line="360" w:lineRule="auto"/>
        <w:jc w:val="both"/>
        <w:rPr>
          <w:rFonts w:ascii="Book Antiqua" w:hAnsi="Book Antiqua"/>
          <w:lang w:val="pt-BR"/>
        </w:rPr>
      </w:pPr>
      <w:r w:rsidRPr="00861B73">
        <w:rPr>
          <w:rFonts w:ascii="Book Antiqua" w:eastAsia="Book Antiqua" w:hAnsi="Book Antiqua" w:cs="Book Antiqua"/>
          <w:color w:val="000000"/>
        </w:rPr>
        <w:t xml:space="preserve">82 </w:t>
      </w:r>
      <w:r w:rsidRPr="00861B73">
        <w:rPr>
          <w:rFonts w:ascii="Book Antiqua" w:eastAsia="Book Antiqua" w:hAnsi="Book Antiqua" w:cs="Book Antiqua"/>
          <w:b/>
          <w:bCs/>
          <w:color w:val="000000"/>
        </w:rPr>
        <w:t>Chen J</w:t>
      </w:r>
      <w:r w:rsidRPr="00861B73">
        <w:rPr>
          <w:rFonts w:ascii="Book Antiqua" w:eastAsia="Book Antiqua" w:hAnsi="Book Antiqua" w:cs="Book Antiqua"/>
          <w:color w:val="000000"/>
        </w:rPr>
        <w:t xml:space="preserve">, Chen J, Fu H, Li Y, Wang L, Luo S, Lu H. Hypoxia exacerbates nonalcoholic fatty liver disease </w:t>
      </w:r>
      <w:r w:rsidRPr="00861B73">
        <w:rPr>
          <w:rFonts w:ascii="Book Antiqua" w:eastAsia="Book Antiqua" w:hAnsi="Book Antiqua" w:cs="Book Antiqua"/>
          <w:i/>
          <w:iCs/>
          <w:color w:val="000000"/>
        </w:rPr>
        <w:t>via</w:t>
      </w:r>
      <w:r w:rsidRPr="00861B73">
        <w:rPr>
          <w:rFonts w:ascii="Book Antiqua" w:eastAsia="Book Antiqua" w:hAnsi="Book Antiqua" w:cs="Book Antiqua"/>
          <w:color w:val="000000"/>
        </w:rPr>
        <w:t xml:space="preserve"> the HIF-2α/PPARα pathway. </w:t>
      </w:r>
      <w:r w:rsidRPr="00861B73">
        <w:rPr>
          <w:rFonts w:ascii="Book Antiqua" w:eastAsia="Book Antiqua" w:hAnsi="Book Antiqua" w:cs="Book Antiqua"/>
          <w:i/>
          <w:iCs/>
          <w:color w:val="000000"/>
          <w:lang w:val="pt-BR"/>
        </w:rPr>
        <w:t>Am J Physiol Endocrinol Metab</w:t>
      </w:r>
      <w:r w:rsidRPr="00861B73">
        <w:rPr>
          <w:rFonts w:ascii="Book Antiqua" w:eastAsia="Book Antiqua" w:hAnsi="Book Antiqua" w:cs="Book Antiqua"/>
          <w:color w:val="000000"/>
          <w:lang w:val="pt-BR"/>
        </w:rPr>
        <w:t xml:space="preserve"> 2019; </w:t>
      </w:r>
      <w:r w:rsidRPr="00861B73">
        <w:rPr>
          <w:rFonts w:ascii="Book Antiqua" w:eastAsia="Book Antiqua" w:hAnsi="Book Antiqua" w:cs="Book Antiqua"/>
          <w:b/>
          <w:bCs/>
          <w:color w:val="000000"/>
          <w:lang w:val="pt-BR"/>
        </w:rPr>
        <w:t>317</w:t>
      </w:r>
      <w:r w:rsidRPr="00861B73">
        <w:rPr>
          <w:rFonts w:ascii="Book Antiqua" w:eastAsia="Book Antiqua" w:hAnsi="Book Antiqua" w:cs="Book Antiqua"/>
          <w:color w:val="000000"/>
          <w:lang w:val="pt-BR"/>
        </w:rPr>
        <w:t>: E710-E722 [PMID: 31430204 DOI: 10.1152/ajpendo.00052.2019]</w:t>
      </w:r>
    </w:p>
    <w:p w14:paraId="3D9A00BF" w14:textId="77777777" w:rsidR="00A77B3E" w:rsidRPr="009A225C" w:rsidRDefault="00AF38BA" w:rsidP="009A225C">
      <w:pPr>
        <w:snapToGrid w:val="0"/>
        <w:spacing w:line="360" w:lineRule="auto"/>
        <w:jc w:val="both"/>
        <w:rPr>
          <w:rFonts w:ascii="Book Antiqua" w:hAnsi="Book Antiqua"/>
        </w:rPr>
      </w:pPr>
      <w:r w:rsidRPr="00861B73">
        <w:rPr>
          <w:rFonts w:ascii="Book Antiqua" w:eastAsia="Book Antiqua" w:hAnsi="Book Antiqua" w:cs="Book Antiqua"/>
          <w:color w:val="000000"/>
        </w:rPr>
        <w:t xml:space="preserve">83 </w:t>
      </w:r>
      <w:r w:rsidRPr="00861B73">
        <w:rPr>
          <w:rFonts w:ascii="Book Antiqua" w:eastAsia="Book Antiqua" w:hAnsi="Book Antiqua" w:cs="Book Antiqua"/>
          <w:b/>
          <w:bCs/>
          <w:color w:val="000000"/>
        </w:rPr>
        <w:t>Hernández A</w:t>
      </w:r>
      <w:r w:rsidRPr="00861B73">
        <w:rPr>
          <w:rFonts w:ascii="Book Antiqua" w:eastAsia="Book Antiqua" w:hAnsi="Book Antiqua" w:cs="Book Antiqua"/>
          <w:color w:val="000000"/>
        </w:rPr>
        <w:t xml:space="preserve">, Reyes D, Geng Y, Arab JP, Cabrera D, Sepulveda R, Solis N, Buist-Homan M, Arrese M, Moshage H. Extracellular vesicles derived from fat-laden hepatocytes undergoing chemical hypoxia promote a pro-fibrotic phenotype in hepatic stellate cells. </w:t>
      </w:r>
      <w:r w:rsidRPr="00861B73">
        <w:rPr>
          <w:rFonts w:ascii="Book Antiqua" w:eastAsia="Book Antiqua" w:hAnsi="Book Antiqua" w:cs="Book Antiqua"/>
          <w:i/>
          <w:iCs/>
          <w:color w:val="000000"/>
        </w:rPr>
        <w:t>Biochim Biophys Acta Mol Basis Dis</w:t>
      </w:r>
      <w:r w:rsidRPr="00861B73">
        <w:rPr>
          <w:rFonts w:ascii="Book Antiqua" w:eastAsia="Book Antiqua" w:hAnsi="Book Antiqua" w:cs="Book Antiqua"/>
          <w:color w:val="000000"/>
        </w:rPr>
        <w:t xml:space="preserve"> 2020; </w:t>
      </w:r>
      <w:r w:rsidRPr="00861B73">
        <w:rPr>
          <w:rFonts w:ascii="Book Antiqua" w:eastAsia="Book Antiqua" w:hAnsi="Book Antiqua" w:cs="Book Antiqua"/>
          <w:b/>
          <w:bCs/>
          <w:color w:val="000000"/>
        </w:rPr>
        <w:t>1866</w:t>
      </w:r>
      <w:r w:rsidRPr="00861B73">
        <w:rPr>
          <w:rFonts w:ascii="Book Antiqua" w:eastAsia="Book Antiqua" w:hAnsi="Book Antiqua" w:cs="Book Antiqua"/>
          <w:color w:val="000000"/>
        </w:rPr>
        <w:t>: 165857 [PMID: 32512191 DOI: 10.1016/j.bbadis.2020.165857]</w:t>
      </w:r>
    </w:p>
    <w:bookmarkEnd w:id="15"/>
    <w:bookmarkEnd w:id="16"/>
    <w:bookmarkEnd w:id="18"/>
    <w:bookmarkEnd w:id="19"/>
    <w:p w14:paraId="581B7B06" w14:textId="77777777" w:rsidR="00A77B3E" w:rsidRPr="009A225C" w:rsidRDefault="00A77B3E" w:rsidP="009A225C">
      <w:pPr>
        <w:snapToGrid w:val="0"/>
        <w:spacing w:line="360" w:lineRule="auto"/>
        <w:jc w:val="both"/>
        <w:rPr>
          <w:rFonts w:ascii="Book Antiqua" w:hAnsi="Book Antiqua"/>
        </w:rPr>
        <w:sectPr w:rsidR="00A77B3E" w:rsidRPr="009A225C" w:rsidSect="00D57154">
          <w:pgSz w:w="12240" w:h="15840"/>
          <w:pgMar w:top="1440" w:right="1800" w:bottom="1440" w:left="1800" w:header="720" w:footer="720" w:gutter="0"/>
          <w:cols w:space="720"/>
          <w:docGrid w:linePitch="360"/>
        </w:sectPr>
      </w:pPr>
    </w:p>
    <w:p w14:paraId="314B74A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Footnotes</w:t>
      </w:r>
    </w:p>
    <w:p w14:paraId="36C67ACA"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Conflict-of-interest statement: </w:t>
      </w:r>
      <w:bookmarkStart w:id="20" w:name="OLE_LINK14"/>
      <w:bookmarkStart w:id="21" w:name="OLE_LINK15"/>
      <w:r w:rsidRPr="009A225C">
        <w:rPr>
          <w:rFonts w:ascii="Book Antiqua" w:eastAsia="Book Antiqua" w:hAnsi="Book Antiqua" w:cs="Book Antiqua"/>
          <w:color w:val="000000"/>
        </w:rPr>
        <w:t>The authors have nothing to disclose.</w:t>
      </w:r>
    </w:p>
    <w:bookmarkEnd w:id="20"/>
    <w:bookmarkEnd w:id="21"/>
    <w:p w14:paraId="77616E99" w14:textId="77777777" w:rsidR="00A77B3E" w:rsidRPr="009A225C" w:rsidRDefault="00A77B3E" w:rsidP="009A225C">
      <w:pPr>
        <w:snapToGrid w:val="0"/>
        <w:spacing w:line="360" w:lineRule="auto"/>
        <w:jc w:val="both"/>
        <w:rPr>
          <w:rFonts w:ascii="Book Antiqua" w:hAnsi="Book Antiqua"/>
        </w:rPr>
      </w:pPr>
    </w:p>
    <w:p w14:paraId="6FDCCDE7"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Open-Access: </w:t>
      </w:r>
      <w:bookmarkStart w:id="22" w:name="OLE_LINK4"/>
      <w:r w:rsidRPr="009A225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p w14:paraId="04D40D89" w14:textId="77777777" w:rsidR="00A77B3E" w:rsidRPr="009A225C" w:rsidRDefault="00A77B3E" w:rsidP="009A225C">
      <w:pPr>
        <w:snapToGrid w:val="0"/>
        <w:spacing w:line="360" w:lineRule="auto"/>
        <w:jc w:val="both"/>
        <w:rPr>
          <w:rFonts w:ascii="Book Antiqua" w:hAnsi="Book Antiqua"/>
        </w:rPr>
      </w:pPr>
    </w:p>
    <w:p w14:paraId="5617E290" w14:textId="668684A3"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Manuscript source: </w:t>
      </w:r>
      <w:r w:rsidRPr="009A225C">
        <w:rPr>
          <w:rFonts w:ascii="Book Antiqua" w:eastAsia="Book Antiqua" w:hAnsi="Book Antiqua" w:cs="Book Antiqua"/>
          <w:color w:val="000000"/>
        </w:rPr>
        <w:t xml:space="preserve">Invited </w:t>
      </w:r>
      <w:r w:rsidR="00387AEE" w:rsidRPr="009A225C">
        <w:rPr>
          <w:rFonts w:ascii="Book Antiqua" w:eastAsia="Book Antiqua" w:hAnsi="Book Antiqua" w:cs="Book Antiqua"/>
          <w:color w:val="000000"/>
        </w:rPr>
        <w:t>manuscript</w:t>
      </w:r>
    </w:p>
    <w:p w14:paraId="6D5B8514" w14:textId="77777777" w:rsidR="00A77B3E" w:rsidRPr="009A225C" w:rsidRDefault="00A77B3E" w:rsidP="009A225C">
      <w:pPr>
        <w:snapToGrid w:val="0"/>
        <w:spacing w:line="360" w:lineRule="auto"/>
        <w:jc w:val="both"/>
        <w:rPr>
          <w:rFonts w:ascii="Book Antiqua" w:hAnsi="Book Antiqua"/>
        </w:rPr>
      </w:pPr>
    </w:p>
    <w:p w14:paraId="6B0D372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Peer-review started: </w:t>
      </w:r>
      <w:r w:rsidRPr="009A225C">
        <w:rPr>
          <w:rFonts w:ascii="Book Antiqua" w:eastAsia="Book Antiqua" w:hAnsi="Book Antiqua" w:cs="Book Antiqua"/>
          <w:color w:val="000000"/>
        </w:rPr>
        <w:t>January 10, 2021</w:t>
      </w:r>
    </w:p>
    <w:p w14:paraId="7509490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First decision: </w:t>
      </w:r>
      <w:r w:rsidRPr="009A225C">
        <w:rPr>
          <w:rFonts w:ascii="Book Antiqua" w:eastAsia="Book Antiqua" w:hAnsi="Book Antiqua" w:cs="Book Antiqua"/>
          <w:color w:val="000000"/>
        </w:rPr>
        <w:t>February 11, 2021</w:t>
      </w:r>
    </w:p>
    <w:p w14:paraId="00446400" w14:textId="1AA30D98"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Article in press: </w:t>
      </w:r>
      <w:r w:rsidR="00201890" w:rsidRPr="00261D20">
        <w:rPr>
          <w:rFonts w:ascii="Book Antiqua" w:eastAsia="Book Antiqua" w:hAnsi="Book Antiqua" w:cs="Book Antiqua"/>
          <w:color w:val="000000"/>
        </w:rPr>
        <w:t>March 22, 2021</w:t>
      </w:r>
    </w:p>
    <w:p w14:paraId="5ABCF33E" w14:textId="77777777" w:rsidR="00A77B3E" w:rsidRPr="009A225C" w:rsidRDefault="00A77B3E" w:rsidP="009A225C">
      <w:pPr>
        <w:snapToGrid w:val="0"/>
        <w:spacing w:line="360" w:lineRule="auto"/>
        <w:jc w:val="both"/>
        <w:rPr>
          <w:rFonts w:ascii="Book Antiqua" w:hAnsi="Book Antiqua"/>
        </w:rPr>
      </w:pPr>
    </w:p>
    <w:p w14:paraId="1DCC87EA" w14:textId="32F42376"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Specialty type: </w:t>
      </w:r>
      <w:r w:rsidRPr="009A225C">
        <w:rPr>
          <w:rFonts w:ascii="Book Antiqua" w:eastAsia="Book Antiqua" w:hAnsi="Book Antiqua" w:cs="Book Antiqua"/>
          <w:color w:val="000000"/>
        </w:rPr>
        <w:t xml:space="preserve">Gastroenterology and </w:t>
      </w:r>
      <w:r w:rsidR="00485C63" w:rsidRPr="009A225C">
        <w:rPr>
          <w:rFonts w:ascii="Book Antiqua" w:eastAsia="Book Antiqua" w:hAnsi="Book Antiqua" w:cs="Book Antiqua"/>
          <w:color w:val="000000"/>
        </w:rPr>
        <w:t>hepatology</w:t>
      </w:r>
    </w:p>
    <w:p w14:paraId="4A86DD92"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Country/Territory of origin: </w:t>
      </w:r>
      <w:r w:rsidRPr="009A225C">
        <w:rPr>
          <w:rFonts w:ascii="Book Antiqua" w:eastAsia="Book Antiqua" w:hAnsi="Book Antiqua" w:cs="Book Antiqua"/>
          <w:color w:val="000000"/>
        </w:rPr>
        <w:t>Brazil</w:t>
      </w:r>
    </w:p>
    <w:p w14:paraId="32EF016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Peer-review report’s scientific quality classification</w:t>
      </w:r>
    </w:p>
    <w:p w14:paraId="1615C4A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A (Excellent): 0</w:t>
      </w:r>
    </w:p>
    <w:p w14:paraId="5C270F2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B (Very good): B</w:t>
      </w:r>
    </w:p>
    <w:p w14:paraId="617CC04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C (Good): 0</w:t>
      </w:r>
    </w:p>
    <w:p w14:paraId="09EA3D37"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D (Fair): 0</w:t>
      </w:r>
    </w:p>
    <w:p w14:paraId="7A3B286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E (Poor): 0</w:t>
      </w:r>
    </w:p>
    <w:p w14:paraId="4A89741F" w14:textId="77777777" w:rsidR="00A77B3E" w:rsidRPr="009A225C" w:rsidRDefault="00A77B3E" w:rsidP="009A225C">
      <w:pPr>
        <w:snapToGrid w:val="0"/>
        <w:spacing w:line="360" w:lineRule="auto"/>
        <w:jc w:val="both"/>
        <w:rPr>
          <w:rFonts w:ascii="Book Antiqua" w:hAnsi="Book Antiqua"/>
        </w:rPr>
      </w:pPr>
    </w:p>
    <w:p w14:paraId="1638A367" w14:textId="336F4500" w:rsidR="00A77B3E" w:rsidRPr="00201890" w:rsidRDefault="00AF38BA" w:rsidP="009A225C">
      <w:pPr>
        <w:snapToGrid w:val="0"/>
        <w:spacing w:line="360" w:lineRule="auto"/>
        <w:jc w:val="both"/>
        <w:rPr>
          <w:rFonts w:ascii="Book Antiqua" w:hAnsi="Book Antiqua" w:cs="Book Antiqua"/>
          <w:b/>
          <w:color w:val="000000"/>
          <w:lang w:eastAsia="zh-CN"/>
        </w:rPr>
      </w:pPr>
      <w:r w:rsidRPr="009A225C">
        <w:rPr>
          <w:rFonts w:ascii="Book Antiqua" w:eastAsia="Book Antiqua" w:hAnsi="Book Antiqua" w:cs="Book Antiqua"/>
          <w:b/>
          <w:color w:val="000000"/>
        </w:rPr>
        <w:t xml:space="preserve">P-Reviewer: </w:t>
      </w:r>
      <w:r w:rsidRPr="009A225C">
        <w:rPr>
          <w:rFonts w:ascii="Book Antiqua" w:eastAsia="Book Antiqua" w:hAnsi="Book Antiqua" w:cs="Book Antiqua"/>
          <w:color w:val="000000"/>
        </w:rPr>
        <w:t>Ma J</w:t>
      </w:r>
      <w:r w:rsidRPr="009A225C">
        <w:rPr>
          <w:rFonts w:ascii="Book Antiqua" w:eastAsia="Book Antiqua" w:hAnsi="Book Antiqua" w:cs="Book Antiqua"/>
          <w:b/>
          <w:color w:val="000000"/>
        </w:rPr>
        <w:t xml:space="preserve"> S-Editor: </w:t>
      </w:r>
      <w:r w:rsidRPr="009A225C">
        <w:rPr>
          <w:rFonts w:ascii="Book Antiqua" w:eastAsia="Book Antiqua" w:hAnsi="Book Antiqua" w:cs="Book Antiqua"/>
          <w:color w:val="000000"/>
        </w:rPr>
        <w:t>Zhang L</w:t>
      </w:r>
      <w:r w:rsidR="008556ED" w:rsidRPr="009A225C">
        <w:rPr>
          <w:rFonts w:ascii="Book Antiqua" w:eastAsia="Book Antiqua" w:hAnsi="Book Antiqua" w:cs="Book Antiqua"/>
          <w:b/>
          <w:color w:val="000000"/>
        </w:rPr>
        <w:t xml:space="preserve"> L-Editor: </w:t>
      </w:r>
      <w:r w:rsidR="00A841E3">
        <w:rPr>
          <w:rFonts w:ascii="Book Antiqua" w:eastAsia="Book Antiqua" w:hAnsi="Book Antiqua" w:cs="Book Antiqua"/>
          <w:bCs/>
          <w:color w:val="000000"/>
        </w:rPr>
        <w:t xml:space="preserve">Filipodia </w:t>
      </w:r>
      <w:r w:rsidRPr="009A225C">
        <w:rPr>
          <w:rFonts w:ascii="Book Antiqua" w:eastAsia="Book Antiqua" w:hAnsi="Book Antiqua" w:cs="Book Antiqua"/>
          <w:b/>
          <w:color w:val="000000"/>
        </w:rPr>
        <w:t xml:space="preserve">P-Editor: </w:t>
      </w:r>
      <w:r w:rsidR="00201890" w:rsidRPr="00201890">
        <w:rPr>
          <w:rFonts w:ascii="Book Antiqua" w:hAnsi="Book Antiqua" w:cs="Book Antiqua" w:hint="eastAsia"/>
          <w:color w:val="000000"/>
          <w:lang w:eastAsia="zh-CN"/>
        </w:rPr>
        <w:t>Liu JH</w:t>
      </w:r>
    </w:p>
    <w:p w14:paraId="7C4D3BA2" w14:textId="77777777" w:rsidR="00201890" w:rsidRPr="00201890" w:rsidRDefault="00201890" w:rsidP="009A225C">
      <w:pPr>
        <w:snapToGrid w:val="0"/>
        <w:spacing w:line="360" w:lineRule="auto"/>
        <w:jc w:val="both"/>
        <w:rPr>
          <w:rFonts w:ascii="Book Antiqua" w:hAnsi="Book Antiqua" w:cs="Book Antiqua"/>
          <w:b/>
          <w:color w:val="000000"/>
          <w:lang w:eastAsia="zh-CN"/>
        </w:rPr>
      </w:pPr>
    </w:p>
    <w:p w14:paraId="5B012C86" w14:textId="77777777" w:rsidR="00485C63" w:rsidRPr="009A225C" w:rsidRDefault="00485C63" w:rsidP="009A225C">
      <w:pPr>
        <w:snapToGrid w:val="0"/>
        <w:spacing w:line="360" w:lineRule="auto"/>
        <w:jc w:val="both"/>
        <w:rPr>
          <w:rFonts w:ascii="Book Antiqua" w:hAnsi="Book Antiqua"/>
        </w:rPr>
        <w:sectPr w:rsidR="00485C63" w:rsidRPr="009A225C" w:rsidSect="00D57154">
          <w:pgSz w:w="12240" w:h="15840"/>
          <w:pgMar w:top="1440" w:right="1800" w:bottom="1440" w:left="1800" w:header="720" w:footer="720" w:gutter="0"/>
          <w:cols w:space="720"/>
          <w:docGrid w:linePitch="360"/>
        </w:sectPr>
      </w:pPr>
    </w:p>
    <w:p w14:paraId="15E16D9A" w14:textId="1D84218E" w:rsidR="00A77B3E" w:rsidRPr="009A225C" w:rsidRDefault="00AF38BA" w:rsidP="009A225C">
      <w:pPr>
        <w:snapToGrid w:val="0"/>
        <w:spacing w:line="360" w:lineRule="auto"/>
        <w:jc w:val="both"/>
        <w:rPr>
          <w:rFonts w:ascii="Book Antiqua" w:eastAsia="Book Antiqua" w:hAnsi="Book Antiqua" w:cs="Book Antiqua"/>
          <w:b/>
          <w:color w:val="000000"/>
        </w:rPr>
      </w:pPr>
      <w:r w:rsidRPr="009A225C">
        <w:rPr>
          <w:rFonts w:ascii="Book Antiqua" w:eastAsia="Book Antiqua" w:hAnsi="Book Antiqua" w:cs="Book Antiqua"/>
          <w:b/>
          <w:color w:val="000000"/>
        </w:rPr>
        <w:t>Figure Legends</w:t>
      </w:r>
    </w:p>
    <w:p w14:paraId="11897268" w14:textId="77777777" w:rsidR="008556ED" w:rsidRPr="009A225C" w:rsidRDefault="008556ED" w:rsidP="009A225C">
      <w:pPr>
        <w:snapToGrid w:val="0"/>
        <w:spacing w:line="360" w:lineRule="auto"/>
        <w:jc w:val="both"/>
        <w:rPr>
          <w:rFonts w:ascii="Book Antiqua" w:hAnsi="Book Antiqua"/>
        </w:rPr>
      </w:pPr>
      <w:r w:rsidRPr="009A225C">
        <w:rPr>
          <w:rFonts w:ascii="Book Antiqua" w:hAnsi="Book Antiqua"/>
          <w:noProof/>
          <w:lang w:eastAsia="zh-CN"/>
        </w:rPr>
        <w:drawing>
          <wp:anchor distT="0" distB="0" distL="114300" distR="114300" simplePos="0" relativeHeight="251665920" behindDoc="0" locked="0" layoutInCell="1" allowOverlap="1" wp14:anchorId="4440C63C" wp14:editId="0401C471">
            <wp:simplePos x="0" y="0"/>
            <wp:positionH relativeFrom="column">
              <wp:posOffset>0</wp:posOffset>
            </wp:positionH>
            <wp:positionV relativeFrom="paragraph">
              <wp:posOffset>281940</wp:posOffset>
            </wp:positionV>
            <wp:extent cx="5943600" cy="276796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14:sizeRelH relativeFrom="page">
              <wp14:pctWidth>0</wp14:pctWidth>
            </wp14:sizeRelH>
            <wp14:sizeRelV relativeFrom="page">
              <wp14:pctHeight>0</wp14:pctHeight>
            </wp14:sizeRelV>
          </wp:anchor>
        </w:drawing>
      </w:r>
      <w:bookmarkStart w:id="23" w:name="OLE_LINK16"/>
      <w:bookmarkStart w:id="24" w:name="OLE_LINK17"/>
    </w:p>
    <w:p w14:paraId="043675DB" w14:textId="22F7AD2D" w:rsidR="00A77B3E" w:rsidRDefault="00AF38BA" w:rsidP="009A225C">
      <w:pPr>
        <w:snapToGrid w:val="0"/>
        <w:spacing w:line="360" w:lineRule="auto"/>
        <w:jc w:val="both"/>
        <w:rPr>
          <w:rFonts w:ascii="Book Antiqua" w:eastAsia="Book Antiqua" w:hAnsi="Book Antiqua" w:cs="Book Antiqua"/>
          <w:color w:val="000000"/>
        </w:rPr>
      </w:pPr>
      <w:r w:rsidRPr="009A225C">
        <w:rPr>
          <w:rFonts w:ascii="Book Antiqua" w:eastAsia="Book Antiqua" w:hAnsi="Book Antiqua" w:cs="Book Antiqua"/>
          <w:b/>
          <w:bCs/>
          <w:color w:val="000000"/>
        </w:rPr>
        <w:t>Figure 1</w:t>
      </w:r>
      <w:r w:rsidR="00387AEE" w:rsidRPr="009A225C">
        <w:rPr>
          <w:rFonts w:ascii="Book Antiqua" w:eastAsia="Book Antiqua" w:hAnsi="Book Antiqua" w:cs="Book Antiqua"/>
          <w:b/>
          <w:bCs/>
          <w:color w:val="000000"/>
        </w:rPr>
        <w:t xml:space="preserve"> </w:t>
      </w:r>
      <w:r w:rsidRPr="009A225C">
        <w:rPr>
          <w:rFonts w:ascii="Book Antiqua" w:eastAsia="Book Antiqua" w:hAnsi="Book Antiqua" w:cs="Book Antiqua"/>
          <w:b/>
          <w:bCs/>
          <w:color w:val="000000"/>
        </w:rPr>
        <w:t xml:space="preserve">Most common infection and propagation pathways of </w:t>
      </w:r>
      <w:r w:rsidR="00387AEE" w:rsidRPr="009A225C">
        <w:rPr>
          <w:rFonts w:ascii="Book Antiqua" w:eastAsia="Book Antiqua" w:hAnsi="Book Antiqua" w:cs="Book Antiqua"/>
          <w:b/>
          <w:bCs/>
          <w:color w:val="000000"/>
        </w:rPr>
        <w:t>severe acute respiratory syndrome coronavirus 2</w:t>
      </w:r>
      <w:r w:rsidRPr="009A225C">
        <w:rPr>
          <w:rFonts w:ascii="Book Antiqua" w:eastAsia="Book Antiqua" w:hAnsi="Book Antiqua" w:cs="Book Antiqua"/>
          <w:b/>
          <w:bCs/>
          <w:color w:val="000000"/>
        </w:rPr>
        <w:t xml:space="preserve"> in the human body. </w:t>
      </w:r>
      <w:r w:rsidR="00A656E7" w:rsidRPr="009A225C">
        <w:rPr>
          <w:rFonts w:ascii="Book Antiqua" w:eastAsia="Book Antiqua" w:hAnsi="Book Antiqua" w:cs="Book Antiqua"/>
          <w:color w:val="000000"/>
        </w:rPr>
        <w:t>SARS-CoV-2: Severe acute respiratory syndrome coronavirus 2; ACE2: Angiotensin-converting enzyme 2.</w:t>
      </w:r>
    </w:p>
    <w:p w14:paraId="12BB5744" w14:textId="1E82F137" w:rsidR="003D0326" w:rsidRDefault="003D0326" w:rsidP="009A225C">
      <w:pPr>
        <w:snapToGrid w:val="0"/>
        <w:spacing w:line="360" w:lineRule="auto"/>
        <w:jc w:val="both"/>
        <w:rPr>
          <w:rFonts w:ascii="Book Antiqua" w:eastAsia="Book Antiqua" w:hAnsi="Book Antiqua" w:cs="Book Antiqua"/>
          <w:color w:val="000000"/>
        </w:rPr>
      </w:pPr>
    </w:p>
    <w:p w14:paraId="206C90D1" w14:textId="198EDDB7" w:rsidR="003D0326" w:rsidRDefault="003D0326" w:rsidP="009A225C">
      <w:pPr>
        <w:snapToGrid w:val="0"/>
        <w:spacing w:line="360" w:lineRule="auto"/>
        <w:jc w:val="both"/>
        <w:rPr>
          <w:rFonts w:ascii="Book Antiqua" w:eastAsia="Book Antiqua" w:hAnsi="Book Antiqua" w:cs="Book Antiqua"/>
          <w:color w:val="000000"/>
        </w:rPr>
      </w:pPr>
    </w:p>
    <w:p w14:paraId="18DC7C5E" w14:textId="64889CB4" w:rsidR="003D0326" w:rsidRDefault="003D0326" w:rsidP="009A225C">
      <w:pPr>
        <w:snapToGrid w:val="0"/>
        <w:spacing w:line="360" w:lineRule="auto"/>
        <w:jc w:val="both"/>
        <w:rPr>
          <w:rFonts w:ascii="Book Antiqua" w:eastAsia="Book Antiqua" w:hAnsi="Book Antiqua" w:cs="Book Antiqua"/>
          <w:color w:val="000000"/>
        </w:rPr>
      </w:pPr>
    </w:p>
    <w:p w14:paraId="67F092B5" w14:textId="3C684479" w:rsidR="003D0326" w:rsidRDefault="003D0326" w:rsidP="009A225C">
      <w:pPr>
        <w:snapToGrid w:val="0"/>
        <w:spacing w:line="360" w:lineRule="auto"/>
        <w:jc w:val="both"/>
        <w:rPr>
          <w:rFonts w:ascii="Book Antiqua" w:eastAsia="Book Antiqua" w:hAnsi="Book Antiqua" w:cs="Book Antiqua"/>
          <w:color w:val="000000"/>
        </w:rPr>
      </w:pPr>
    </w:p>
    <w:p w14:paraId="0717A6CF" w14:textId="64597240" w:rsidR="003D0326" w:rsidRDefault="003D0326" w:rsidP="009A225C">
      <w:pPr>
        <w:snapToGrid w:val="0"/>
        <w:spacing w:line="360" w:lineRule="auto"/>
        <w:jc w:val="both"/>
        <w:rPr>
          <w:rFonts w:ascii="Book Antiqua" w:eastAsia="Book Antiqua" w:hAnsi="Book Antiqua" w:cs="Book Antiqua"/>
          <w:color w:val="000000"/>
        </w:rPr>
      </w:pPr>
    </w:p>
    <w:p w14:paraId="46A4BBFB" w14:textId="77777777" w:rsidR="003D0326" w:rsidRPr="009A225C" w:rsidRDefault="003D0326" w:rsidP="009A225C">
      <w:pPr>
        <w:snapToGrid w:val="0"/>
        <w:spacing w:line="360" w:lineRule="auto"/>
        <w:jc w:val="both"/>
        <w:rPr>
          <w:rFonts w:ascii="Book Antiqua" w:hAnsi="Book Antiqua"/>
        </w:rPr>
      </w:pPr>
    </w:p>
    <w:bookmarkEnd w:id="23"/>
    <w:bookmarkEnd w:id="24"/>
    <w:p w14:paraId="751067C2" w14:textId="5DBE41B3" w:rsidR="00B874B6" w:rsidRDefault="00C74458" w:rsidP="009A225C">
      <w:pPr>
        <w:snapToGrid w:val="0"/>
        <w:spacing w:line="360" w:lineRule="auto"/>
        <w:jc w:val="both"/>
        <w:rPr>
          <w:rFonts w:ascii="Book Antiqua" w:eastAsia="Book Antiqua" w:hAnsi="Book Antiqua" w:cs="Book Antiqua"/>
          <w:color w:val="000000"/>
        </w:rPr>
      </w:pPr>
      <w:r w:rsidRPr="009A225C">
        <w:rPr>
          <w:rFonts w:ascii="Book Antiqua" w:hAnsi="Book Antiqua"/>
          <w:b/>
          <w:bCs/>
        </w:rPr>
        <w:br w:type="page"/>
      </w:r>
      <w:r w:rsidRPr="009A225C">
        <w:rPr>
          <w:rFonts w:ascii="Book Antiqua" w:hAnsi="Book Antiqua"/>
          <w:b/>
          <w:bCs/>
          <w:noProof/>
          <w:lang w:eastAsia="zh-CN"/>
        </w:rPr>
        <w:drawing>
          <wp:anchor distT="0" distB="0" distL="114300" distR="114300" simplePos="0" relativeHeight="251653632" behindDoc="0" locked="0" layoutInCell="1" allowOverlap="1" wp14:anchorId="189229AE" wp14:editId="732740CA">
            <wp:simplePos x="0" y="0"/>
            <wp:positionH relativeFrom="column">
              <wp:posOffset>0</wp:posOffset>
            </wp:positionH>
            <wp:positionV relativeFrom="paragraph">
              <wp:posOffset>0</wp:posOffset>
            </wp:positionV>
            <wp:extent cx="5943600" cy="212852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28520"/>
                    </a:xfrm>
                    <a:prstGeom prst="rect">
                      <a:avLst/>
                    </a:prstGeom>
                  </pic:spPr>
                </pic:pic>
              </a:graphicData>
            </a:graphic>
            <wp14:sizeRelH relativeFrom="page">
              <wp14:pctWidth>0</wp14:pctWidth>
            </wp14:sizeRelH>
            <wp14:sizeRelV relativeFrom="page">
              <wp14:pctHeight>0</wp14:pctHeight>
            </wp14:sizeRelV>
          </wp:anchor>
        </w:drawing>
      </w:r>
      <w:r w:rsidR="00AF38BA" w:rsidRPr="009A225C">
        <w:rPr>
          <w:rFonts w:ascii="Book Antiqua" w:eastAsia="Book Antiqua" w:hAnsi="Book Antiqua" w:cs="Book Antiqua"/>
          <w:b/>
          <w:bCs/>
          <w:color w:val="000000"/>
        </w:rPr>
        <w:t>Figure 2</w:t>
      </w:r>
      <w:r w:rsidR="00387AEE"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b/>
          <w:bCs/>
          <w:color w:val="000000"/>
        </w:rPr>
        <w:t xml:space="preserve">Clinical features and hepatological changes due to </w:t>
      </w:r>
      <w:r w:rsidR="00387AEE" w:rsidRPr="009A225C">
        <w:rPr>
          <w:rFonts w:ascii="Book Antiqua" w:eastAsia="Book Antiqua" w:hAnsi="Book Antiqua" w:cs="Book Antiqua"/>
          <w:b/>
          <w:bCs/>
          <w:color w:val="000000"/>
        </w:rPr>
        <w:t>severe acute respiratory syndrome coronavirus 2</w:t>
      </w:r>
      <w:r w:rsidR="00AF38BA" w:rsidRPr="009A225C">
        <w:rPr>
          <w:rFonts w:ascii="Book Antiqua" w:eastAsia="Book Antiqua" w:hAnsi="Book Antiqua" w:cs="Book Antiqua"/>
          <w:b/>
          <w:bCs/>
          <w:color w:val="000000"/>
        </w:rPr>
        <w:t xml:space="preserve"> infection (upper panel) and hepatotoxic effects of some drugs used as an attempt to treat </w:t>
      </w:r>
      <w:bookmarkStart w:id="25" w:name="_Hlk66892367"/>
      <w:r w:rsidR="00387AEE" w:rsidRPr="009A225C">
        <w:rPr>
          <w:rFonts w:ascii="Book Antiqua" w:eastAsia="Book Antiqua" w:hAnsi="Book Antiqua" w:cs="Book Antiqua"/>
          <w:b/>
          <w:bCs/>
          <w:color w:val="000000"/>
        </w:rPr>
        <w:t>coronavirus disease 2019</w:t>
      </w:r>
      <w:bookmarkEnd w:id="25"/>
      <w:r w:rsidR="00387AEE"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b/>
          <w:bCs/>
          <w:color w:val="000000"/>
        </w:rPr>
        <w:t>(lower panel).</w:t>
      </w:r>
      <w:r w:rsidR="00B874B6" w:rsidRPr="009A225C">
        <w:rPr>
          <w:rFonts w:ascii="Book Antiqua" w:eastAsia="Book Antiqua" w:hAnsi="Book Antiqua" w:cs="Book Antiqua"/>
          <w:color w:val="000000"/>
        </w:rPr>
        <w:t xml:space="preserve"> SARS-CoV-2: Severe acute respiratory syndrome coronavirus 2; AST:</w:t>
      </w:r>
      <w:r w:rsidR="00B874B6" w:rsidRPr="009A225C">
        <w:rPr>
          <w:rFonts w:ascii="Book Antiqua" w:hAnsi="Book Antiqua"/>
        </w:rPr>
        <w:t xml:space="preserve"> </w:t>
      </w:r>
      <w:r w:rsidR="00B874B6" w:rsidRPr="009A225C">
        <w:rPr>
          <w:rFonts w:ascii="Book Antiqua" w:eastAsia="Book Antiqua" w:hAnsi="Book Antiqua" w:cs="Book Antiqua"/>
          <w:color w:val="000000"/>
        </w:rPr>
        <w:t>Aspartate aminotransferase.</w:t>
      </w:r>
    </w:p>
    <w:p w14:paraId="486924BE" w14:textId="04B36A50" w:rsidR="003D0326" w:rsidRDefault="003D0326" w:rsidP="009A225C">
      <w:pPr>
        <w:snapToGrid w:val="0"/>
        <w:spacing w:line="360" w:lineRule="auto"/>
        <w:jc w:val="both"/>
        <w:rPr>
          <w:rFonts w:ascii="Book Antiqua" w:eastAsia="Book Antiqua" w:hAnsi="Book Antiqua" w:cs="Book Antiqua"/>
          <w:color w:val="000000"/>
        </w:rPr>
      </w:pPr>
    </w:p>
    <w:p w14:paraId="72023801" w14:textId="5A2B805D" w:rsidR="003D0326" w:rsidRDefault="003D0326" w:rsidP="009A225C">
      <w:pPr>
        <w:snapToGrid w:val="0"/>
        <w:spacing w:line="360" w:lineRule="auto"/>
        <w:jc w:val="both"/>
        <w:rPr>
          <w:rFonts w:ascii="Book Antiqua" w:eastAsia="Book Antiqua" w:hAnsi="Book Antiqua" w:cs="Book Antiqua"/>
          <w:color w:val="000000"/>
        </w:rPr>
      </w:pPr>
    </w:p>
    <w:p w14:paraId="51E84F51" w14:textId="5837C6F8" w:rsidR="003D0326" w:rsidRDefault="003D0326" w:rsidP="009A225C">
      <w:pPr>
        <w:snapToGrid w:val="0"/>
        <w:spacing w:line="360" w:lineRule="auto"/>
        <w:jc w:val="both"/>
        <w:rPr>
          <w:rFonts w:ascii="Book Antiqua" w:eastAsia="Book Antiqua" w:hAnsi="Book Antiqua" w:cs="Book Antiqua"/>
          <w:color w:val="000000"/>
        </w:rPr>
      </w:pPr>
    </w:p>
    <w:p w14:paraId="6ED8EB30" w14:textId="12C37B23" w:rsidR="003D0326" w:rsidRDefault="003D0326" w:rsidP="009A225C">
      <w:pPr>
        <w:snapToGrid w:val="0"/>
        <w:spacing w:line="360" w:lineRule="auto"/>
        <w:jc w:val="both"/>
        <w:rPr>
          <w:rFonts w:ascii="Book Antiqua" w:eastAsia="Book Antiqua" w:hAnsi="Book Antiqua" w:cs="Book Antiqua"/>
          <w:color w:val="000000"/>
        </w:rPr>
      </w:pPr>
    </w:p>
    <w:p w14:paraId="7057BA5D" w14:textId="70957B04" w:rsidR="003D0326" w:rsidRDefault="003D0326" w:rsidP="009A225C">
      <w:pPr>
        <w:snapToGrid w:val="0"/>
        <w:spacing w:line="360" w:lineRule="auto"/>
        <w:jc w:val="both"/>
        <w:rPr>
          <w:rFonts w:ascii="Book Antiqua" w:eastAsia="Book Antiqua" w:hAnsi="Book Antiqua" w:cs="Book Antiqua"/>
          <w:color w:val="000000"/>
        </w:rPr>
      </w:pPr>
    </w:p>
    <w:p w14:paraId="319D44C3" w14:textId="7963AD80" w:rsidR="003D0326" w:rsidRDefault="003D0326" w:rsidP="009A225C">
      <w:pPr>
        <w:snapToGrid w:val="0"/>
        <w:spacing w:line="360" w:lineRule="auto"/>
        <w:jc w:val="both"/>
        <w:rPr>
          <w:rFonts w:ascii="Book Antiqua" w:eastAsia="Book Antiqua" w:hAnsi="Book Antiqua" w:cs="Book Antiqua"/>
          <w:color w:val="000000"/>
        </w:rPr>
      </w:pPr>
    </w:p>
    <w:p w14:paraId="0003FE57" w14:textId="77777777" w:rsidR="003D0326" w:rsidRPr="009A225C" w:rsidRDefault="003D0326" w:rsidP="009A225C">
      <w:pPr>
        <w:snapToGrid w:val="0"/>
        <w:spacing w:line="360" w:lineRule="auto"/>
        <w:jc w:val="both"/>
        <w:rPr>
          <w:rFonts w:ascii="Book Antiqua" w:eastAsia="Book Antiqua" w:hAnsi="Book Antiqua" w:cs="Book Antiqua"/>
          <w:b/>
          <w:bCs/>
          <w:color w:val="000000"/>
        </w:rPr>
      </w:pPr>
    </w:p>
    <w:p w14:paraId="3853FBEB" w14:textId="1169815B" w:rsidR="00A77B3E" w:rsidRPr="009A225C" w:rsidRDefault="00A77B3E" w:rsidP="009A225C">
      <w:pPr>
        <w:snapToGrid w:val="0"/>
        <w:spacing w:line="360" w:lineRule="auto"/>
        <w:jc w:val="both"/>
        <w:rPr>
          <w:rFonts w:ascii="Book Antiqua" w:eastAsia="Book Antiqua" w:hAnsi="Book Antiqua" w:cs="Book Antiqua"/>
          <w:b/>
          <w:bCs/>
          <w:color w:val="000000"/>
        </w:rPr>
      </w:pPr>
    </w:p>
    <w:p w14:paraId="08F44A67" w14:textId="66EB4811" w:rsidR="00A77B3E" w:rsidRDefault="00C74458" w:rsidP="009A225C">
      <w:pPr>
        <w:snapToGrid w:val="0"/>
        <w:spacing w:line="360" w:lineRule="auto"/>
        <w:jc w:val="both"/>
        <w:rPr>
          <w:rFonts w:ascii="Book Antiqua" w:eastAsia="Book Antiqua" w:hAnsi="Book Antiqua" w:cs="Book Antiqua"/>
          <w:color w:val="000000"/>
        </w:rPr>
      </w:pPr>
      <w:r w:rsidRPr="009A225C">
        <w:rPr>
          <w:rFonts w:ascii="Book Antiqua" w:hAnsi="Book Antiqua"/>
          <w:b/>
          <w:bCs/>
        </w:rPr>
        <w:br w:type="page"/>
      </w:r>
      <w:r w:rsidR="00C95478" w:rsidRPr="009A225C">
        <w:rPr>
          <w:rFonts w:ascii="Book Antiqua" w:hAnsi="Book Antiqua"/>
          <w:b/>
          <w:bCs/>
          <w:noProof/>
          <w:lang w:eastAsia="zh-CN"/>
        </w:rPr>
        <w:drawing>
          <wp:anchor distT="0" distB="0" distL="114300" distR="114300" simplePos="0" relativeHeight="251657728" behindDoc="0" locked="0" layoutInCell="1" allowOverlap="1" wp14:anchorId="71982293" wp14:editId="217233AE">
            <wp:simplePos x="0" y="0"/>
            <wp:positionH relativeFrom="column">
              <wp:posOffset>0</wp:posOffset>
            </wp:positionH>
            <wp:positionV relativeFrom="paragraph">
              <wp:posOffset>0</wp:posOffset>
            </wp:positionV>
            <wp:extent cx="5943600" cy="282702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14:sizeRelH relativeFrom="page">
              <wp14:pctWidth>0</wp14:pctWidth>
            </wp14:sizeRelH>
            <wp14:sizeRelV relativeFrom="page">
              <wp14:pctHeight>0</wp14:pctHeight>
            </wp14:sizeRelV>
          </wp:anchor>
        </w:drawing>
      </w:r>
      <w:r w:rsidR="00AF38BA" w:rsidRPr="009A225C">
        <w:rPr>
          <w:rFonts w:ascii="Book Antiqua" w:eastAsia="Book Antiqua" w:hAnsi="Book Antiqua" w:cs="Book Antiqua"/>
          <w:b/>
          <w:bCs/>
          <w:color w:val="000000"/>
        </w:rPr>
        <w:t>Figure 3</w:t>
      </w:r>
      <w:r w:rsidR="00387AEE"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b/>
          <w:bCs/>
          <w:color w:val="000000"/>
        </w:rPr>
        <w:t xml:space="preserve">Mild symptoms, inflammatory markers, and serious developments of </w:t>
      </w:r>
      <w:r w:rsidR="00C95478" w:rsidRPr="009A225C">
        <w:rPr>
          <w:rFonts w:ascii="Book Antiqua" w:eastAsia="Book Antiqua" w:hAnsi="Book Antiqua" w:cs="Book Antiqua"/>
          <w:b/>
          <w:bCs/>
          <w:color w:val="000000"/>
        </w:rPr>
        <w:t>coronavirus disease 2019</w:t>
      </w:r>
      <w:r w:rsidR="00AF38BA"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color w:val="000000"/>
        </w:rPr>
        <w:t>A</w:t>
      </w:r>
      <w:r w:rsidR="00C95478" w:rsidRPr="009A225C">
        <w:rPr>
          <w:rFonts w:ascii="Book Antiqua" w:eastAsia="Book Antiqua" w:hAnsi="Book Antiqua" w:cs="Book Antiqua"/>
          <w:color w:val="000000"/>
        </w:rPr>
        <w:t>LT</w:t>
      </w:r>
      <w:r w:rsidR="00AF38BA" w:rsidRPr="009A225C">
        <w:rPr>
          <w:rFonts w:ascii="Book Antiqua" w:eastAsia="Book Antiqua" w:hAnsi="Book Antiqua" w:cs="Book Antiqua"/>
          <w:color w:val="000000"/>
        </w:rPr>
        <w:t xml:space="preserve">: alanine aminotransferase; </w:t>
      </w:r>
      <w:r w:rsidR="005C76E2" w:rsidRPr="009A225C">
        <w:rPr>
          <w:rFonts w:ascii="Book Antiqua" w:eastAsia="Book Antiqua" w:hAnsi="Book Antiqua" w:cs="Book Antiqua"/>
          <w:color w:val="000000"/>
        </w:rPr>
        <w:t xml:space="preserve">CRP: </w:t>
      </w:r>
      <w:r w:rsidR="00AF38BA" w:rsidRPr="009A225C">
        <w:rPr>
          <w:rFonts w:ascii="Book Antiqua" w:eastAsia="Book Antiqua" w:hAnsi="Book Antiqua" w:cs="Book Antiqua"/>
          <w:color w:val="000000"/>
        </w:rPr>
        <w:t xml:space="preserve">C reactive protein; </w:t>
      </w:r>
      <w:r w:rsidR="00B874B6" w:rsidRPr="009A225C">
        <w:rPr>
          <w:rFonts w:ascii="Book Antiqua" w:eastAsia="Book Antiqua" w:hAnsi="Book Antiqua" w:cs="Book Antiqua"/>
          <w:color w:val="000000"/>
        </w:rPr>
        <w:t>ICU:</w:t>
      </w:r>
      <w:r w:rsidR="00B874B6" w:rsidRPr="009A225C">
        <w:rPr>
          <w:rFonts w:ascii="Book Antiqua" w:hAnsi="Book Antiqua"/>
        </w:rPr>
        <w:t xml:space="preserve"> </w:t>
      </w:r>
      <w:r w:rsidR="00B874B6" w:rsidRPr="009A225C">
        <w:rPr>
          <w:rFonts w:ascii="Book Antiqua" w:eastAsia="Book Antiqua" w:hAnsi="Book Antiqua" w:cs="Book Antiqua"/>
          <w:color w:val="000000"/>
        </w:rPr>
        <w:t>Intensive care unit.</w:t>
      </w:r>
      <w:r w:rsidR="00485C63" w:rsidRPr="009A225C">
        <w:rPr>
          <w:rFonts w:ascii="Book Antiqua" w:eastAsia="Book Antiqua" w:hAnsi="Book Antiqua" w:cs="Book Antiqua"/>
          <w:color w:val="000000"/>
        </w:rPr>
        <w:t xml:space="preserve"> </w:t>
      </w:r>
    </w:p>
    <w:p w14:paraId="440553CB" w14:textId="1B6C7B93" w:rsidR="003D0326" w:rsidRDefault="003D0326" w:rsidP="009A225C">
      <w:pPr>
        <w:snapToGrid w:val="0"/>
        <w:spacing w:line="360" w:lineRule="auto"/>
        <w:jc w:val="both"/>
        <w:rPr>
          <w:rFonts w:ascii="Book Antiqua" w:eastAsia="Book Antiqua" w:hAnsi="Book Antiqua" w:cs="Book Antiqua"/>
          <w:color w:val="000000"/>
        </w:rPr>
      </w:pPr>
    </w:p>
    <w:p w14:paraId="2BCD6E4D" w14:textId="030D46C9" w:rsidR="003D0326" w:rsidRDefault="003D0326" w:rsidP="009A225C">
      <w:pPr>
        <w:snapToGrid w:val="0"/>
        <w:spacing w:line="360" w:lineRule="auto"/>
        <w:jc w:val="both"/>
        <w:rPr>
          <w:rFonts w:ascii="Book Antiqua" w:eastAsia="Book Antiqua" w:hAnsi="Book Antiqua" w:cs="Book Antiqua"/>
          <w:color w:val="000000"/>
        </w:rPr>
      </w:pPr>
    </w:p>
    <w:p w14:paraId="2F613316" w14:textId="3EF190F6" w:rsidR="003D0326" w:rsidRDefault="003D0326" w:rsidP="009A225C">
      <w:pPr>
        <w:snapToGrid w:val="0"/>
        <w:spacing w:line="360" w:lineRule="auto"/>
        <w:jc w:val="both"/>
        <w:rPr>
          <w:rFonts w:ascii="Book Antiqua" w:eastAsia="Book Antiqua" w:hAnsi="Book Antiqua" w:cs="Book Antiqua"/>
          <w:color w:val="000000"/>
        </w:rPr>
      </w:pPr>
    </w:p>
    <w:p w14:paraId="54530029" w14:textId="0F3A1A16" w:rsidR="003D0326" w:rsidRDefault="003D0326" w:rsidP="009A225C">
      <w:pPr>
        <w:snapToGrid w:val="0"/>
        <w:spacing w:line="360" w:lineRule="auto"/>
        <w:jc w:val="both"/>
        <w:rPr>
          <w:rFonts w:ascii="Book Antiqua" w:eastAsia="Book Antiqua" w:hAnsi="Book Antiqua" w:cs="Book Antiqua"/>
          <w:color w:val="000000"/>
        </w:rPr>
      </w:pPr>
    </w:p>
    <w:p w14:paraId="430774C4" w14:textId="77777777" w:rsidR="003D0326" w:rsidRPr="009A225C" w:rsidRDefault="003D0326" w:rsidP="009A225C">
      <w:pPr>
        <w:snapToGrid w:val="0"/>
        <w:spacing w:line="360" w:lineRule="auto"/>
        <w:jc w:val="both"/>
        <w:rPr>
          <w:rFonts w:ascii="Book Antiqua" w:eastAsia="Book Antiqua" w:hAnsi="Book Antiqua" w:cs="Book Antiqua"/>
          <w:color w:val="000000"/>
        </w:rPr>
      </w:pPr>
    </w:p>
    <w:p w14:paraId="1ED717B4" w14:textId="6F1E090A" w:rsidR="00612CCE" w:rsidRDefault="00F33537" w:rsidP="009A225C">
      <w:pPr>
        <w:snapToGrid w:val="0"/>
        <w:spacing w:line="360" w:lineRule="auto"/>
        <w:jc w:val="both"/>
        <w:rPr>
          <w:rFonts w:ascii="Book Antiqua" w:eastAsia="Book Antiqua" w:hAnsi="Book Antiqua" w:cs="Book Antiqua"/>
          <w:color w:val="000000"/>
        </w:rPr>
      </w:pPr>
      <w:r w:rsidRPr="009A225C">
        <w:rPr>
          <w:rFonts w:ascii="Book Antiqua" w:hAnsi="Book Antiqua"/>
          <w:b/>
          <w:bCs/>
        </w:rPr>
        <w:br w:type="page"/>
      </w:r>
      <w:r w:rsidRPr="009A225C">
        <w:rPr>
          <w:rFonts w:ascii="Book Antiqua" w:hAnsi="Book Antiqua"/>
          <w:b/>
          <w:bCs/>
          <w:noProof/>
          <w:lang w:eastAsia="zh-CN"/>
        </w:rPr>
        <w:drawing>
          <wp:anchor distT="0" distB="0" distL="114300" distR="114300" simplePos="0" relativeHeight="251661824" behindDoc="0" locked="0" layoutInCell="1" allowOverlap="1" wp14:anchorId="54002F2E" wp14:editId="0C89B802">
            <wp:simplePos x="0" y="0"/>
            <wp:positionH relativeFrom="column">
              <wp:posOffset>0</wp:posOffset>
            </wp:positionH>
            <wp:positionV relativeFrom="paragraph">
              <wp:posOffset>0</wp:posOffset>
            </wp:positionV>
            <wp:extent cx="5943600" cy="349631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14:sizeRelH relativeFrom="page">
              <wp14:pctWidth>0</wp14:pctWidth>
            </wp14:sizeRelH>
            <wp14:sizeRelV relativeFrom="page">
              <wp14:pctHeight>0</wp14:pctHeight>
            </wp14:sizeRelV>
          </wp:anchor>
        </w:drawing>
      </w:r>
      <w:r w:rsidR="00AF38BA" w:rsidRPr="009A225C">
        <w:rPr>
          <w:rFonts w:ascii="Book Antiqua" w:eastAsia="Book Antiqua" w:hAnsi="Book Antiqua" w:cs="Book Antiqua"/>
          <w:b/>
          <w:bCs/>
          <w:color w:val="000000"/>
        </w:rPr>
        <w:t>Figure 4</w:t>
      </w:r>
      <w:r w:rsidR="00387AEE"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b/>
          <w:bCs/>
          <w:color w:val="000000"/>
        </w:rPr>
        <w:t xml:space="preserve">Graphical abstract. </w:t>
      </w:r>
      <w:r w:rsidR="00387AEE" w:rsidRPr="009A225C">
        <w:rPr>
          <w:rFonts w:ascii="Book Antiqua" w:eastAsia="Book Antiqua" w:hAnsi="Book Antiqua" w:cs="Book Antiqua"/>
          <w:color w:val="000000"/>
        </w:rPr>
        <w:t>Metabolic dysfunction-associated fatty liver disease (MAFLD)</w:t>
      </w:r>
      <w:r w:rsidR="00AF38BA" w:rsidRPr="009A225C">
        <w:rPr>
          <w:rFonts w:ascii="Book Antiqua" w:eastAsia="Book Antiqua" w:hAnsi="Book Antiqua" w:cs="Book Antiqua"/>
          <w:color w:val="000000"/>
        </w:rPr>
        <w:t xml:space="preserve"> patients usually show a constellation of metabolic impairments that include altered adipokine profile, glucolipotoxicity with ectopic lipid accumulation, and gut dysbiosis, besides a genetic background that favors these hepatic alterations and pre-existing mechanical lung dysfunction when obese. These clinical conditions before </w:t>
      </w:r>
      <w:bookmarkStart w:id="26" w:name="_Hlk66909478"/>
      <w:r w:rsidR="00387AEE" w:rsidRPr="009A225C">
        <w:rPr>
          <w:rFonts w:ascii="Book Antiqua" w:eastAsia="Book Antiqua" w:hAnsi="Book Antiqua" w:cs="Book Antiqua"/>
          <w:color w:val="000000"/>
        </w:rPr>
        <w:t>coronavirus disease 2019</w:t>
      </w:r>
      <w:bookmarkEnd w:id="26"/>
      <w:r w:rsidR="00387AEE" w:rsidRPr="009A225C">
        <w:rPr>
          <w:rFonts w:ascii="Book Antiqua" w:eastAsia="Book Antiqua" w:hAnsi="Book Antiqua" w:cs="Book Antiqua"/>
          <w:color w:val="000000"/>
        </w:rPr>
        <w:t xml:space="preserve"> (</w:t>
      </w:r>
      <w:r w:rsidR="00AF38BA" w:rsidRPr="009A225C">
        <w:rPr>
          <w:rFonts w:ascii="Book Antiqua" w:eastAsia="Book Antiqua" w:hAnsi="Book Antiqua" w:cs="Book Antiqua"/>
          <w:color w:val="000000"/>
        </w:rPr>
        <w:t>COVID-19</w:t>
      </w:r>
      <w:r w:rsidR="00387AEE" w:rsidRPr="009A225C">
        <w:rPr>
          <w:rFonts w:ascii="Book Antiqua" w:eastAsia="Book Antiqua" w:hAnsi="Book Antiqua" w:cs="Book Antiqua"/>
          <w:color w:val="000000"/>
        </w:rPr>
        <w:t>)</w:t>
      </w:r>
      <w:r w:rsidR="00AF38BA" w:rsidRPr="009A225C">
        <w:rPr>
          <w:rFonts w:ascii="Book Antiqua" w:eastAsia="Book Antiqua" w:hAnsi="Book Antiqua" w:cs="Book Antiqua"/>
          <w:color w:val="000000"/>
        </w:rPr>
        <w:t xml:space="preserve"> infection can aggravate the cytokine storm syndrome, with activation of macrophages that reside in the liver (Kupffer cells), resulting in inflammasome activation and cell death by pyroptosis. MAFLD patients are at high risk of complications and severe COVID-19 clinical course, with frequent mechanical ventilation, prolonged hospitalizations, and extended viral shedding. Upon survival, COVID-19 may act as a surrogate for MAFLD-</w:t>
      </w:r>
      <w:r w:rsidR="00387AEE" w:rsidRPr="009A225C">
        <w:rPr>
          <w:rFonts w:ascii="Book Antiqua" w:eastAsia="Book Antiqua" w:hAnsi="Book Antiqua" w:cs="Book Antiqua"/>
          <w:color w:val="000000"/>
        </w:rPr>
        <w:t>non-alcoholic steatohepatitis</w:t>
      </w:r>
      <w:r w:rsidR="00AF38BA" w:rsidRPr="009A225C">
        <w:rPr>
          <w:rFonts w:ascii="Book Antiqua" w:eastAsia="Book Antiqua" w:hAnsi="Book Antiqua" w:cs="Book Antiqua"/>
          <w:color w:val="000000"/>
        </w:rPr>
        <w:t xml:space="preserve"> progression, and hepatocellular hypoxia seems to underlie this process. </w:t>
      </w:r>
      <w:r w:rsidR="00C95478" w:rsidRPr="009A225C">
        <w:rPr>
          <w:rFonts w:ascii="Book Antiqua" w:eastAsia="Book Antiqua" w:hAnsi="Book Antiqua" w:cs="Book Antiqua"/>
          <w:color w:val="000000"/>
        </w:rPr>
        <w:t>ACE2: Angiotensin-converting enzyme 2;</w:t>
      </w:r>
      <w:r w:rsidR="00AF38BA" w:rsidRPr="009A225C">
        <w:rPr>
          <w:rFonts w:ascii="Book Antiqua" w:eastAsia="Book Antiqua" w:hAnsi="Book Antiqua" w:cs="Book Antiqua"/>
          <w:color w:val="000000"/>
        </w:rPr>
        <w:t xml:space="preserve"> </w:t>
      </w:r>
      <w:r w:rsidR="00C95478" w:rsidRPr="009A225C">
        <w:rPr>
          <w:rFonts w:ascii="Book Antiqua" w:eastAsia="Book Antiqua" w:hAnsi="Book Antiqua" w:cs="Book Antiqua"/>
          <w:color w:val="000000"/>
        </w:rPr>
        <w:t>FFA:</w:t>
      </w:r>
      <w:r w:rsidR="00C95478" w:rsidRPr="009A225C">
        <w:rPr>
          <w:rFonts w:ascii="Book Antiqua" w:hAnsi="Book Antiqua"/>
        </w:rPr>
        <w:t xml:space="preserve"> </w:t>
      </w:r>
      <w:r w:rsidR="00C95478" w:rsidRPr="009A225C">
        <w:rPr>
          <w:rFonts w:ascii="Book Antiqua" w:eastAsia="Book Antiqua" w:hAnsi="Book Antiqua" w:cs="Book Antiqua"/>
          <w:color w:val="000000"/>
        </w:rPr>
        <w:t>Free Fatty Acid;</w:t>
      </w:r>
      <w:r w:rsidR="00AF38BA" w:rsidRPr="009A225C">
        <w:rPr>
          <w:rFonts w:ascii="Book Antiqua" w:eastAsia="Book Antiqua" w:hAnsi="Book Antiqua" w:cs="Book Antiqua"/>
          <w:color w:val="000000"/>
        </w:rPr>
        <w:t xml:space="preserve"> </w:t>
      </w:r>
      <w:r w:rsidR="00C95478" w:rsidRPr="009A225C">
        <w:rPr>
          <w:rFonts w:ascii="Book Antiqua" w:eastAsia="Book Antiqua" w:hAnsi="Book Antiqua" w:cs="Book Antiqua"/>
          <w:color w:val="000000"/>
        </w:rPr>
        <w:t>IL: Interleukin</w:t>
      </w:r>
      <w:r w:rsidR="00AF38BA" w:rsidRPr="009A225C">
        <w:rPr>
          <w:rFonts w:ascii="Book Antiqua" w:eastAsia="Book Antiqua" w:hAnsi="Book Antiqua" w:cs="Book Antiqua"/>
          <w:color w:val="000000"/>
        </w:rPr>
        <w:t>;</w:t>
      </w:r>
      <w:r w:rsidR="00387AEE" w:rsidRPr="009A225C">
        <w:rPr>
          <w:rFonts w:ascii="Book Antiqua" w:eastAsia="Book Antiqua" w:hAnsi="Book Antiqua" w:cs="Book Antiqua"/>
          <w:color w:val="000000"/>
        </w:rPr>
        <w:t xml:space="preserve"> </w:t>
      </w:r>
      <w:r w:rsidR="00C95478" w:rsidRPr="009A225C">
        <w:rPr>
          <w:rFonts w:ascii="Book Antiqua" w:eastAsia="Book Antiqua" w:hAnsi="Book Antiqua" w:cs="Book Antiqua"/>
          <w:color w:val="000000"/>
        </w:rPr>
        <w:t>MAFLD: Metabolic dysfunction-associated fatty liver disease; MCP1:</w:t>
      </w:r>
      <w:r w:rsidR="00C95478" w:rsidRPr="009A225C">
        <w:rPr>
          <w:rFonts w:ascii="Book Antiqua" w:hAnsi="Book Antiqua"/>
        </w:rPr>
        <w:t xml:space="preserve"> Monocyte chemoattractant protein</w:t>
      </w:r>
      <w:r w:rsidR="00C95478" w:rsidRPr="009A225C">
        <w:rPr>
          <w:rFonts w:ascii="Book Antiqua" w:hAnsi="Book Antiqua" w:cs="Book Antiqua"/>
          <w:color w:val="000000"/>
          <w:lang w:eastAsia="zh-CN"/>
        </w:rPr>
        <w:t xml:space="preserve"> 1</w:t>
      </w:r>
      <w:r w:rsidR="00AF38BA" w:rsidRPr="009A225C">
        <w:rPr>
          <w:rFonts w:ascii="Book Antiqua" w:eastAsia="Book Antiqua" w:hAnsi="Book Antiqua" w:cs="Book Antiqua"/>
          <w:color w:val="000000"/>
        </w:rPr>
        <w:t xml:space="preserve">; </w:t>
      </w:r>
      <w:r w:rsidR="00C95478" w:rsidRPr="009A225C">
        <w:rPr>
          <w:rFonts w:ascii="Book Antiqua" w:eastAsia="Book Antiqua" w:hAnsi="Book Antiqua" w:cs="Book Antiqua"/>
          <w:color w:val="000000"/>
        </w:rPr>
        <w:t xml:space="preserve">NASH: </w:t>
      </w:r>
      <w:r w:rsidR="00B66556" w:rsidRPr="009A225C">
        <w:rPr>
          <w:rFonts w:ascii="Book Antiqua" w:eastAsia="Book Antiqua" w:hAnsi="Book Antiqua" w:cs="Book Antiqua"/>
          <w:color w:val="000000"/>
        </w:rPr>
        <w:t>N</w:t>
      </w:r>
      <w:r w:rsidR="00C95478" w:rsidRPr="009A225C">
        <w:rPr>
          <w:rFonts w:ascii="Book Antiqua" w:eastAsia="Book Antiqua" w:hAnsi="Book Antiqua" w:cs="Book Antiqua"/>
          <w:color w:val="000000"/>
        </w:rPr>
        <w:t>on-alcoholic steatohepatitis;</w:t>
      </w:r>
      <w:r w:rsidR="00AF38BA" w:rsidRPr="009A225C">
        <w:rPr>
          <w:rFonts w:ascii="Book Antiqua" w:eastAsia="Book Antiqua" w:hAnsi="Book Antiqua" w:cs="Book Antiqua"/>
          <w:color w:val="000000"/>
        </w:rPr>
        <w:t xml:space="preserve"> </w:t>
      </w:r>
      <w:r w:rsidR="00B66556" w:rsidRPr="009A225C">
        <w:rPr>
          <w:rFonts w:ascii="Book Antiqua" w:eastAsia="Book Antiqua" w:hAnsi="Book Antiqua" w:cs="Book Antiqua"/>
          <w:color w:val="000000"/>
        </w:rPr>
        <w:t>NEFAs: N</w:t>
      </w:r>
      <w:r w:rsidR="00AF38BA" w:rsidRPr="009A225C">
        <w:rPr>
          <w:rFonts w:ascii="Book Antiqua" w:eastAsia="Book Antiqua" w:hAnsi="Book Antiqua" w:cs="Book Antiqua"/>
          <w:color w:val="000000"/>
        </w:rPr>
        <w:t xml:space="preserve">on-esterified fatty acids; </w:t>
      </w:r>
      <w:r w:rsidR="00B66556" w:rsidRPr="009A225C">
        <w:rPr>
          <w:rFonts w:ascii="Book Antiqua" w:hAnsi="Book Antiqua" w:cs="Book Antiqua"/>
          <w:color w:val="000000"/>
          <w:lang w:eastAsia="zh-CN"/>
        </w:rPr>
        <w:t>NLRP:</w:t>
      </w:r>
      <w:r w:rsidR="00B66556" w:rsidRPr="009A225C">
        <w:rPr>
          <w:rFonts w:ascii="Book Antiqua" w:eastAsia="Book Antiqua" w:hAnsi="Book Antiqua" w:cs="Book Antiqua"/>
          <w:color w:val="000000"/>
        </w:rPr>
        <w:t xml:space="preserve"> NLR family pyrin domain</w:t>
      </w:r>
      <w:r w:rsidR="00AC3BB8" w:rsidRPr="009A225C">
        <w:rPr>
          <w:rFonts w:ascii="Book Antiqua" w:eastAsia="Book Antiqua" w:hAnsi="Book Antiqua" w:cs="Book Antiqua"/>
          <w:color w:val="000000"/>
        </w:rPr>
        <w:t>-</w:t>
      </w:r>
      <w:r w:rsidR="00B66556" w:rsidRPr="009A225C">
        <w:rPr>
          <w:rFonts w:ascii="Book Antiqua" w:eastAsia="Book Antiqua" w:hAnsi="Book Antiqua" w:cs="Book Antiqua"/>
          <w:color w:val="000000"/>
        </w:rPr>
        <w:t>containing;</w:t>
      </w:r>
      <w:r w:rsidR="00AF38BA" w:rsidRPr="009A225C">
        <w:rPr>
          <w:rFonts w:ascii="Book Antiqua" w:eastAsia="Book Antiqua" w:hAnsi="Book Antiqua" w:cs="Book Antiqua"/>
          <w:color w:val="000000"/>
        </w:rPr>
        <w:t xml:space="preserve"> </w:t>
      </w:r>
      <w:r w:rsidR="00B66556" w:rsidRPr="009A225C">
        <w:rPr>
          <w:rFonts w:ascii="Book Antiqua" w:eastAsia="Book Antiqua" w:hAnsi="Book Antiqua" w:cs="Book Antiqua"/>
          <w:color w:val="000000"/>
        </w:rPr>
        <w:t>SARS-CoV-2: Severe acute respiratory syndrome coronavirus 2;</w:t>
      </w:r>
      <w:r w:rsidR="00AF38BA" w:rsidRPr="009A225C">
        <w:rPr>
          <w:rFonts w:ascii="Book Antiqua" w:eastAsia="Book Antiqua" w:hAnsi="Book Antiqua" w:cs="Book Antiqua"/>
          <w:color w:val="000000"/>
        </w:rPr>
        <w:t xml:space="preserve"> </w:t>
      </w:r>
      <w:r w:rsidR="00B66556" w:rsidRPr="009A225C">
        <w:rPr>
          <w:rFonts w:ascii="Book Antiqua" w:eastAsia="Book Antiqua" w:hAnsi="Book Antiqua" w:cs="Book Antiqua"/>
          <w:color w:val="000000"/>
        </w:rPr>
        <w:t>SCFA:</w:t>
      </w:r>
      <w:r w:rsidR="00B66556" w:rsidRPr="009A225C">
        <w:rPr>
          <w:rFonts w:ascii="Book Antiqua" w:hAnsi="Book Antiqua"/>
        </w:rPr>
        <w:t xml:space="preserve"> </w:t>
      </w:r>
      <w:r w:rsidR="00B66556" w:rsidRPr="009A225C">
        <w:rPr>
          <w:rFonts w:ascii="Book Antiqua" w:eastAsia="Book Antiqua" w:hAnsi="Book Antiqua" w:cs="Book Antiqua"/>
          <w:color w:val="000000"/>
        </w:rPr>
        <w:t>Short-chain fatty acid;</w:t>
      </w:r>
      <w:r w:rsidR="00AF38BA" w:rsidRPr="009A225C">
        <w:rPr>
          <w:rFonts w:ascii="Book Antiqua" w:eastAsia="Book Antiqua" w:hAnsi="Book Antiqua" w:cs="Book Antiqua"/>
          <w:color w:val="000000"/>
        </w:rPr>
        <w:t xml:space="preserve"> </w:t>
      </w:r>
      <w:r w:rsidR="00992035" w:rsidRPr="009A225C">
        <w:rPr>
          <w:rFonts w:ascii="Book Antiqua" w:eastAsia="Book Antiqua" w:hAnsi="Book Antiqua" w:cs="Book Antiqua"/>
          <w:color w:val="000000"/>
        </w:rPr>
        <w:t xml:space="preserve">TNF-α: </w:t>
      </w:r>
      <w:r w:rsidR="00BA50D9" w:rsidRPr="009A225C">
        <w:rPr>
          <w:rFonts w:ascii="Book Antiqua" w:eastAsia="Book Antiqua" w:hAnsi="Book Antiqua" w:cs="Book Antiqua"/>
          <w:color w:val="000000"/>
        </w:rPr>
        <w:t>T</w:t>
      </w:r>
      <w:r w:rsidR="00992035" w:rsidRPr="009A225C">
        <w:rPr>
          <w:rFonts w:ascii="Book Antiqua" w:eastAsia="Book Antiqua" w:hAnsi="Book Antiqua" w:cs="Book Antiqua"/>
          <w:color w:val="000000"/>
        </w:rPr>
        <w:t>umor necrosis factor</w:t>
      </w:r>
      <w:r w:rsidR="0063040F" w:rsidRPr="009A225C">
        <w:rPr>
          <w:rFonts w:ascii="Book Antiqua" w:eastAsia="Book Antiqua" w:hAnsi="Book Antiqua" w:cs="Book Antiqua"/>
          <w:color w:val="000000"/>
        </w:rPr>
        <w:t>.</w:t>
      </w:r>
    </w:p>
    <w:p w14:paraId="6E4DC9C7" w14:textId="77777777" w:rsidR="00612CCE" w:rsidRDefault="00612CCE">
      <w:pPr>
        <w:rPr>
          <w:rFonts w:ascii="Book Antiqua" w:eastAsia="Book Antiqua" w:hAnsi="Book Antiqua" w:cs="Book Antiqua"/>
          <w:color w:val="000000"/>
        </w:rPr>
      </w:pPr>
      <w:r>
        <w:rPr>
          <w:rFonts w:ascii="Book Antiqua" w:eastAsia="Book Antiqua" w:hAnsi="Book Antiqua" w:cs="Book Antiqua"/>
          <w:color w:val="000000"/>
        </w:rPr>
        <w:br w:type="page"/>
      </w:r>
    </w:p>
    <w:p w14:paraId="3942CEF4" w14:textId="77777777" w:rsidR="00612CCE" w:rsidRDefault="00612CCE" w:rsidP="00612CCE">
      <w:pPr>
        <w:jc w:val="center"/>
        <w:rPr>
          <w:rFonts w:ascii="Book Antiqua" w:hAnsi="Book Antiqua"/>
          <w:lang w:eastAsia="zh-CN"/>
        </w:rPr>
      </w:pPr>
    </w:p>
    <w:p w14:paraId="530A43A0" w14:textId="77777777" w:rsidR="00612CCE" w:rsidRDefault="00612CCE" w:rsidP="00612CCE">
      <w:pPr>
        <w:jc w:val="center"/>
        <w:rPr>
          <w:rFonts w:ascii="Book Antiqua" w:hAnsi="Book Antiqua"/>
          <w:lang w:eastAsia="zh-CN"/>
        </w:rPr>
      </w:pPr>
    </w:p>
    <w:p w14:paraId="4BD13AEC" w14:textId="77777777" w:rsidR="00612CCE" w:rsidRDefault="00612CCE" w:rsidP="00612CCE">
      <w:pPr>
        <w:jc w:val="center"/>
        <w:rPr>
          <w:rFonts w:ascii="Book Antiqua" w:hAnsi="Book Antiqua"/>
          <w:lang w:eastAsia="zh-CN"/>
        </w:rPr>
      </w:pPr>
    </w:p>
    <w:p w14:paraId="34CE5BDB" w14:textId="77777777" w:rsidR="00612CCE" w:rsidRDefault="00612CCE" w:rsidP="00612CCE">
      <w:pPr>
        <w:jc w:val="center"/>
        <w:rPr>
          <w:rFonts w:ascii="Book Antiqua" w:hAnsi="Book Antiqua"/>
          <w:lang w:eastAsia="zh-CN"/>
        </w:rPr>
      </w:pPr>
    </w:p>
    <w:p w14:paraId="6BA6BE84" w14:textId="77777777" w:rsidR="00612CCE" w:rsidRDefault="00612CCE" w:rsidP="00612CCE">
      <w:pPr>
        <w:jc w:val="center"/>
        <w:rPr>
          <w:rFonts w:ascii="Book Antiqua" w:hAnsi="Book Antiqua"/>
          <w:lang w:eastAsia="zh-CN"/>
        </w:rPr>
      </w:pPr>
    </w:p>
    <w:p w14:paraId="76E7C59C" w14:textId="77777777" w:rsidR="00612CCE" w:rsidRDefault="00612CCE" w:rsidP="00612CCE">
      <w:pPr>
        <w:jc w:val="center"/>
        <w:rPr>
          <w:rFonts w:ascii="Book Antiqua" w:hAnsi="Book Antiqua"/>
          <w:lang w:eastAsia="zh-CN"/>
        </w:rPr>
      </w:pPr>
      <w:r>
        <w:rPr>
          <w:rFonts w:ascii="Book Antiqua" w:hAnsi="Book Antiqua"/>
          <w:noProof/>
          <w:lang w:eastAsia="zh-CN"/>
        </w:rPr>
        <w:drawing>
          <wp:inline distT="0" distB="0" distL="0" distR="0" wp14:anchorId="2926A91E" wp14:editId="4B32A22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494F506" w14:textId="77777777" w:rsidR="00612CCE" w:rsidRDefault="00612CCE" w:rsidP="00612CCE">
      <w:pPr>
        <w:jc w:val="center"/>
        <w:rPr>
          <w:rFonts w:ascii="Book Antiqua" w:hAnsi="Book Antiqua"/>
          <w:lang w:eastAsia="zh-CN"/>
        </w:rPr>
      </w:pPr>
    </w:p>
    <w:p w14:paraId="5188AAB0" w14:textId="77777777" w:rsidR="00612CCE" w:rsidRPr="00763D22" w:rsidRDefault="00612CCE" w:rsidP="00612C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3091508" w14:textId="77777777" w:rsidR="00612CCE" w:rsidRPr="00763D22" w:rsidRDefault="00612CCE" w:rsidP="00612C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E788763" w14:textId="77777777" w:rsidR="00612CCE" w:rsidRPr="00763D22" w:rsidRDefault="00612CCE" w:rsidP="00612C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0EE8C47" w14:textId="77777777" w:rsidR="00612CCE" w:rsidRPr="00763D22" w:rsidRDefault="00612CCE" w:rsidP="00612C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A8849D3" w14:textId="77777777" w:rsidR="00612CCE" w:rsidRPr="00763D22" w:rsidRDefault="00612CCE" w:rsidP="00612C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984E8CF" w14:textId="77777777" w:rsidR="00612CCE" w:rsidRPr="00763D22" w:rsidRDefault="00612CCE" w:rsidP="00612CC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AE44023" w14:textId="77777777" w:rsidR="00612CCE" w:rsidRDefault="00612CCE" w:rsidP="00612CCE">
      <w:pPr>
        <w:jc w:val="center"/>
        <w:rPr>
          <w:rFonts w:ascii="Book Antiqua" w:hAnsi="Book Antiqua"/>
          <w:lang w:eastAsia="zh-CN"/>
        </w:rPr>
      </w:pPr>
    </w:p>
    <w:p w14:paraId="217D70FC" w14:textId="77777777" w:rsidR="00612CCE" w:rsidRDefault="00612CCE" w:rsidP="00612CCE">
      <w:pPr>
        <w:jc w:val="center"/>
        <w:rPr>
          <w:rFonts w:ascii="Book Antiqua" w:hAnsi="Book Antiqua"/>
          <w:lang w:eastAsia="zh-CN"/>
        </w:rPr>
      </w:pPr>
    </w:p>
    <w:p w14:paraId="6464272C" w14:textId="77777777" w:rsidR="00612CCE" w:rsidRDefault="00612CCE" w:rsidP="00612CCE">
      <w:pPr>
        <w:jc w:val="center"/>
        <w:rPr>
          <w:rFonts w:ascii="Book Antiqua" w:hAnsi="Book Antiqua"/>
          <w:lang w:eastAsia="zh-CN"/>
        </w:rPr>
      </w:pPr>
    </w:p>
    <w:p w14:paraId="713FA297" w14:textId="77777777" w:rsidR="00612CCE" w:rsidRDefault="00612CCE" w:rsidP="00612CCE">
      <w:pPr>
        <w:jc w:val="center"/>
        <w:rPr>
          <w:rFonts w:ascii="Book Antiqua" w:hAnsi="Book Antiqua"/>
          <w:lang w:eastAsia="zh-CN"/>
        </w:rPr>
      </w:pPr>
      <w:r>
        <w:rPr>
          <w:rFonts w:ascii="Book Antiqua" w:hAnsi="Book Antiqua"/>
          <w:noProof/>
          <w:lang w:eastAsia="zh-CN"/>
        </w:rPr>
        <w:drawing>
          <wp:inline distT="0" distB="0" distL="0" distR="0" wp14:anchorId="7083FCEC" wp14:editId="128AD78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4D725E" w14:textId="77777777" w:rsidR="00612CCE" w:rsidRDefault="00612CCE" w:rsidP="00612CCE">
      <w:pPr>
        <w:jc w:val="center"/>
        <w:rPr>
          <w:rFonts w:ascii="Book Antiqua" w:hAnsi="Book Antiqua"/>
          <w:lang w:eastAsia="zh-CN"/>
        </w:rPr>
      </w:pPr>
    </w:p>
    <w:p w14:paraId="03294F34" w14:textId="77777777" w:rsidR="00612CCE" w:rsidRDefault="00612CCE" w:rsidP="00612CCE">
      <w:pPr>
        <w:jc w:val="center"/>
        <w:rPr>
          <w:rFonts w:ascii="Book Antiqua" w:hAnsi="Book Antiqua"/>
          <w:lang w:eastAsia="zh-CN"/>
        </w:rPr>
      </w:pPr>
    </w:p>
    <w:p w14:paraId="62D02334" w14:textId="77777777" w:rsidR="00612CCE" w:rsidRDefault="00612CCE" w:rsidP="00612CCE">
      <w:pPr>
        <w:jc w:val="center"/>
        <w:rPr>
          <w:rFonts w:ascii="Book Antiqua" w:hAnsi="Book Antiqua"/>
          <w:lang w:eastAsia="zh-CN"/>
        </w:rPr>
      </w:pPr>
    </w:p>
    <w:p w14:paraId="65E36D43" w14:textId="77777777" w:rsidR="00612CCE" w:rsidRDefault="00612CCE" w:rsidP="00612CCE">
      <w:pPr>
        <w:jc w:val="center"/>
        <w:rPr>
          <w:rFonts w:ascii="Book Antiqua" w:hAnsi="Book Antiqua"/>
          <w:lang w:eastAsia="zh-CN"/>
        </w:rPr>
      </w:pPr>
    </w:p>
    <w:p w14:paraId="60E39F58" w14:textId="77777777" w:rsidR="00612CCE" w:rsidRDefault="00612CCE" w:rsidP="00612CCE">
      <w:pPr>
        <w:jc w:val="center"/>
        <w:rPr>
          <w:rFonts w:ascii="Book Antiqua" w:hAnsi="Book Antiqua"/>
          <w:lang w:eastAsia="zh-CN"/>
        </w:rPr>
      </w:pPr>
    </w:p>
    <w:p w14:paraId="1764E46A" w14:textId="77777777" w:rsidR="00612CCE" w:rsidRDefault="00612CCE" w:rsidP="00612CCE">
      <w:pPr>
        <w:jc w:val="center"/>
        <w:rPr>
          <w:rFonts w:ascii="Book Antiqua" w:hAnsi="Book Antiqua"/>
          <w:lang w:eastAsia="zh-CN"/>
        </w:rPr>
      </w:pPr>
    </w:p>
    <w:p w14:paraId="149B6A23" w14:textId="77777777" w:rsidR="00612CCE" w:rsidRDefault="00612CCE" w:rsidP="00612CCE">
      <w:pPr>
        <w:jc w:val="center"/>
        <w:rPr>
          <w:rFonts w:ascii="Book Antiqua" w:hAnsi="Book Antiqua"/>
          <w:lang w:eastAsia="zh-CN"/>
        </w:rPr>
      </w:pPr>
    </w:p>
    <w:p w14:paraId="294379F6" w14:textId="77777777" w:rsidR="00612CCE" w:rsidRDefault="00612CCE" w:rsidP="00612CCE">
      <w:pPr>
        <w:jc w:val="center"/>
        <w:rPr>
          <w:rFonts w:ascii="Book Antiqua" w:hAnsi="Book Antiqua"/>
          <w:lang w:eastAsia="zh-CN"/>
        </w:rPr>
      </w:pPr>
    </w:p>
    <w:p w14:paraId="1CAAA384" w14:textId="77777777" w:rsidR="00612CCE" w:rsidRDefault="00612CCE" w:rsidP="00612CCE">
      <w:pPr>
        <w:jc w:val="center"/>
        <w:rPr>
          <w:rFonts w:ascii="Book Antiqua" w:hAnsi="Book Antiqua"/>
          <w:lang w:eastAsia="zh-CN"/>
        </w:rPr>
      </w:pPr>
    </w:p>
    <w:p w14:paraId="594FCDED" w14:textId="77777777" w:rsidR="00612CCE" w:rsidRPr="00763D22" w:rsidRDefault="00612CCE" w:rsidP="00612CCE">
      <w:pPr>
        <w:jc w:val="right"/>
        <w:rPr>
          <w:rFonts w:ascii="Book Antiqua" w:hAnsi="Book Antiqua"/>
          <w:color w:val="000000" w:themeColor="text1"/>
          <w:lang w:eastAsia="zh-CN"/>
        </w:rPr>
      </w:pPr>
    </w:p>
    <w:p w14:paraId="659BE82B" w14:textId="77777777" w:rsidR="00612CCE" w:rsidRPr="00763D22" w:rsidRDefault="00612CCE" w:rsidP="00612CC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C91C422" w14:textId="77777777" w:rsidR="00A77B3E" w:rsidRPr="00612CCE" w:rsidRDefault="00A77B3E" w:rsidP="009A225C">
      <w:pPr>
        <w:snapToGrid w:val="0"/>
        <w:spacing w:line="360" w:lineRule="auto"/>
        <w:jc w:val="both"/>
        <w:rPr>
          <w:rFonts w:ascii="Book Antiqua" w:hAnsi="Book Antiqua" w:cs="Book Antiqua"/>
          <w:b/>
          <w:bCs/>
          <w:color w:val="000000"/>
          <w:lang w:eastAsia="zh-CN"/>
        </w:rPr>
      </w:pPr>
      <w:bookmarkStart w:id="27" w:name="_GoBack"/>
      <w:bookmarkEnd w:id="27"/>
    </w:p>
    <w:sectPr w:rsidR="00A77B3E" w:rsidRPr="00612CCE" w:rsidSect="00D5715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796E8" w14:textId="77777777" w:rsidR="003E259C" w:rsidRDefault="003E259C" w:rsidP="0063040F">
      <w:r>
        <w:separator/>
      </w:r>
    </w:p>
  </w:endnote>
  <w:endnote w:type="continuationSeparator" w:id="0">
    <w:p w14:paraId="29B6D4C4" w14:textId="77777777" w:rsidR="003E259C" w:rsidRDefault="003E259C" w:rsidP="0063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118173234"/>
      <w:docPartObj>
        <w:docPartGallery w:val="Page Numbers (Bottom of Page)"/>
        <w:docPartUnique/>
      </w:docPartObj>
    </w:sdtPr>
    <w:sdtEndPr>
      <w:rPr>
        <w:noProof/>
      </w:rPr>
    </w:sdtEndPr>
    <w:sdtContent>
      <w:p w14:paraId="52EB8B92" w14:textId="34866EB9" w:rsidR="009F74C9" w:rsidRPr="00390076" w:rsidRDefault="009F74C9">
        <w:pPr>
          <w:pStyle w:val="a4"/>
          <w:jc w:val="right"/>
          <w:rPr>
            <w:rFonts w:ascii="Book Antiqua" w:hAnsi="Book Antiqua"/>
            <w:sz w:val="24"/>
            <w:szCs w:val="24"/>
          </w:rPr>
        </w:pPr>
        <w:r w:rsidRPr="00390076">
          <w:rPr>
            <w:rFonts w:ascii="Book Antiqua" w:hAnsi="Book Antiqua"/>
            <w:sz w:val="24"/>
            <w:szCs w:val="24"/>
          </w:rPr>
          <w:fldChar w:fldCharType="begin"/>
        </w:r>
        <w:r w:rsidRPr="00390076">
          <w:rPr>
            <w:rFonts w:ascii="Book Antiqua" w:hAnsi="Book Antiqua"/>
            <w:sz w:val="24"/>
            <w:szCs w:val="24"/>
          </w:rPr>
          <w:instrText xml:space="preserve"> PAGE   \* MERGEFORMAT </w:instrText>
        </w:r>
        <w:r w:rsidRPr="00390076">
          <w:rPr>
            <w:rFonts w:ascii="Book Antiqua" w:hAnsi="Book Antiqua"/>
            <w:sz w:val="24"/>
            <w:szCs w:val="24"/>
          </w:rPr>
          <w:fldChar w:fldCharType="separate"/>
        </w:r>
        <w:r w:rsidR="003E259C">
          <w:rPr>
            <w:rFonts w:ascii="Book Antiqua" w:hAnsi="Book Antiqua"/>
            <w:noProof/>
            <w:sz w:val="24"/>
            <w:szCs w:val="24"/>
          </w:rPr>
          <w:t>1</w:t>
        </w:r>
        <w:r w:rsidRPr="00390076">
          <w:rPr>
            <w:rFonts w:ascii="Book Antiqua" w:hAnsi="Book Antiqua"/>
            <w:noProof/>
            <w:sz w:val="24"/>
            <w:szCs w:val="24"/>
          </w:rPr>
          <w:fldChar w:fldCharType="end"/>
        </w:r>
        <w:r w:rsidRPr="00390076">
          <w:rPr>
            <w:rFonts w:ascii="Book Antiqua" w:hAnsi="Book Antiqua"/>
            <w:noProof/>
            <w:sz w:val="24"/>
            <w:szCs w:val="24"/>
          </w:rPr>
          <w:t xml:space="preserve"> / 3</w:t>
        </w:r>
        <w:r w:rsidR="003D0326">
          <w:rPr>
            <w:rFonts w:ascii="Book Antiqua" w:hAnsi="Book Antiqua"/>
            <w:noProof/>
            <w:sz w:val="24"/>
            <w:szCs w:val="24"/>
          </w:rPr>
          <w:t>3</w:t>
        </w:r>
      </w:p>
    </w:sdtContent>
  </w:sdt>
  <w:p w14:paraId="095C6DA0" w14:textId="77777777" w:rsidR="0063040F" w:rsidRDefault="0063040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B1A17" w14:textId="77777777" w:rsidR="003E259C" w:rsidRDefault="003E259C" w:rsidP="0063040F">
      <w:r>
        <w:separator/>
      </w:r>
    </w:p>
  </w:footnote>
  <w:footnote w:type="continuationSeparator" w:id="0">
    <w:p w14:paraId="1B7A0A41" w14:textId="77777777" w:rsidR="003E259C" w:rsidRDefault="003E259C" w:rsidP="006304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71E7F"/>
    <w:multiLevelType w:val="multilevel"/>
    <w:tmpl w:val="2CFA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749"/>
    <w:rsid w:val="00015561"/>
    <w:rsid w:val="00082A60"/>
    <w:rsid w:val="000B0ED0"/>
    <w:rsid w:val="000B68A6"/>
    <w:rsid w:val="001017AF"/>
    <w:rsid w:val="00121E7A"/>
    <w:rsid w:val="00163031"/>
    <w:rsid w:val="00172E50"/>
    <w:rsid w:val="001A0370"/>
    <w:rsid w:val="001E78FC"/>
    <w:rsid w:val="00201890"/>
    <w:rsid w:val="00234828"/>
    <w:rsid w:val="0024008A"/>
    <w:rsid w:val="00261D20"/>
    <w:rsid w:val="00267D4C"/>
    <w:rsid w:val="002D47AC"/>
    <w:rsid w:val="002F3918"/>
    <w:rsid w:val="00312A33"/>
    <w:rsid w:val="003750BF"/>
    <w:rsid w:val="00376DCC"/>
    <w:rsid w:val="00387AEE"/>
    <w:rsid w:val="00390076"/>
    <w:rsid w:val="003D0326"/>
    <w:rsid w:val="003E259C"/>
    <w:rsid w:val="0044655B"/>
    <w:rsid w:val="00485C63"/>
    <w:rsid w:val="00497FDC"/>
    <w:rsid w:val="00502327"/>
    <w:rsid w:val="0053777C"/>
    <w:rsid w:val="00545247"/>
    <w:rsid w:val="00597086"/>
    <w:rsid w:val="005C76E2"/>
    <w:rsid w:val="0060271F"/>
    <w:rsid w:val="00612CCE"/>
    <w:rsid w:val="00621FEB"/>
    <w:rsid w:val="0063040F"/>
    <w:rsid w:val="006E3F0D"/>
    <w:rsid w:val="00740355"/>
    <w:rsid w:val="00753710"/>
    <w:rsid w:val="00794B55"/>
    <w:rsid w:val="007B60D1"/>
    <w:rsid w:val="007F75CE"/>
    <w:rsid w:val="008230D6"/>
    <w:rsid w:val="00834D25"/>
    <w:rsid w:val="008556ED"/>
    <w:rsid w:val="00861B73"/>
    <w:rsid w:val="008A0F76"/>
    <w:rsid w:val="00961605"/>
    <w:rsid w:val="00992035"/>
    <w:rsid w:val="009A225C"/>
    <w:rsid w:val="009A3C5D"/>
    <w:rsid w:val="009F1EF9"/>
    <w:rsid w:val="009F74C9"/>
    <w:rsid w:val="00A00C80"/>
    <w:rsid w:val="00A250D7"/>
    <w:rsid w:val="00A50D5E"/>
    <w:rsid w:val="00A51597"/>
    <w:rsid w:val="00A61BEF"/>
    <w:rsid w:val="00A656E7"/>
    <w:rsid w:val="00A70E6D"/>
    <w:rsid w:val="00A77B3E"/>
    <w:rsid w:val="00A841E3"/>
    <w:rsid w:val="00AC3BB8"/>
    <w:rsid w:val="00AF38BA"/>
    <w:rsid w:val="00B6550D"/>
    <w:rsid w:val="00B66556"/>
    <w:rsid w:val="00B772CA"/>
    <w:rsid w:val="00B874B6"/>
    <w:rsid w:val="00BA50D9"/>
    <w:rsid w:val="00C002FD"/>
    <w:rsid w:val="00C10E48"/>
    <w:rsid w:val="00C15A08"/>
    <w:rsid w:val="00C74458"/>
    <w:rsid w:val="00C95478"/>
    <w:rsid w:val="00CA2A55"/>
    <w:rsid w:val="00CE62FE"/>
    <w:rsid w:val="00D2620C"/>
    <w:rsid w:val="00D57154"/>
    <w:rsid w:val="00D60D2F"/>
    <w:rsid w:val="00D76F1B"/>
    <w:rsid w:val="00D85BED"/>
    <w:rsid w:val="00E164D7"/>
    <w:rsid w:val="00E6242D"/>
    <w:rsid w:val="00E9353B"/>
    <w:rsid w:val="00EB4020"/>
    <w:rsid w:val="00EF17CE"/>
    <w:rsid w:val="00F33537"/>
    <w:rsid w:val="00F367F0"/>
    <w:rsid w:val="00F67ECB"/>
    <w:rsid w:val="00F86E41"/>
    <w:rsid w:val="00FA7754"/>
    <w:rsid w:val="00FB26E8"/>
    <w:rsid w:val="00FC3061"/>
    <w:rsid w:val="00FD16DB"/>
    <w:rsid w:val="00FD264E"/>
    <w:rsid w:val="00FD56B9"/>
    <w:rsid w:val="00FE7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29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304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3040F"/>
    <w:rPr>
      <w:sz w:val="18"/>
      <w:szCs w:val="18"/>
    </w:rPr>
  </w:style>
  <w:style w:type="paragraph" w:styleId="a4">
    <w:name w:val="footer"/>
    <w:basedOn w:val="a"/>
    <w:link w:val="Char0"/>
    <w:uiPriority w:val="99"/>
    <w:unhideWhenUsed/>
    <w:rsid w:val="0063040F"/>
    <w:pPr>
      <w:tabs>
        <w:tab w:val="center" w:pos="4153"/>
        <w:tab w:val="right" w:pos="8306"/>
      </w:tabs>
      <w:snapToGrid w:val="0"/>
    </w:pPr>
    <w:rPr>
      <w:sz w:val="18"/>
      <w:szCs w:val="18"/>
    </w:rPr>
  </w:style>
  <w:style w:type="character" w:customStyle="1" w:styleId="Char0">
    <w:name w:val="页脚 Char"/>
    <w:basedOn w:val="a0"/>
    <w:link w:val="a4"/>
    <w:uiPriority w:val="99"/>
    <w:rsid w:val="0063040F"/>
    <w:rPr>
      <w:sz w:val="18"/>
      <w:szCs w:val="18"/>
    </w:rPr>
  </w:style>
  <w:style w:type="character" w:styleId="a5">
    <w:name w:val="annotation reference"/>
    <w:basedOn w:val="a0"/>
    <w:semiHidden/>
    <w:unhideWhenUsed/>
    <w:rsid w:val="00FE7238"/>
    <w:rPr>
      <w:sz w:val="21"/>
      <w:szCs w:val="21"/>
    </w:rPr>
  </w:style>
  <w:style w:type="paragraph" w:styleId="a6">
    <w:name w:val="annotation text"/>
    <w:basedOn w:val="a"/>
    <w:link w:val="Char1"/>
    <w:semiHidden/>
    <w:unhideWhenUsed/>
    <w:rsid w:val="00FE7238"/>
  </w:style>
  <w:style w:type="character" w:customStyle="1" w:styleId="Char1">
    <w:name w:val="批注文字 Char"/>
    <w:basedOn w:val="a0"/>
    <w:link w:val="a6"/>
    <w:semiHidden/>
    <w:rsid w:val="00FE7238"/>
    <w:rPr>
      <w:sz w:val="24"/>
      <w:szCs w:val="24"/>
    </w:rPr>
  </w:style>
  <w:style w:type="paragraph" w:styleId="a7">
    <w:name w:val="annotation subject"/>
    <w:basedOn w:val="a6"/>
    <w:next w:val="a6"/>
    <w:link w:val="Char2"/>
    <w:semiHidden/>
    <w:unhideWhenUsed/>
    <w:rsid w:val="00FE7238"/>
    <w:rPr>
      <w:b/>
      <w:bCs/>
    </w:rPr>
  </w:style>
  <w:style w:type="character" w:customStyle="1" w:styleId="Char2">
    <w:name w:val="批注主题 Char"/>
    <w:basedOn w:val="Char1"/>
    <w:link w:val="a7"/>
    <w:semiHidden/>
    <w:rsid w:val="00FE7238"/>
    <w:rPr>
      <w:b/>
      <w:bCs/>
      <w:sz w:val="24"/>
      <w:szCs w:val="24"/>
    </w:rPr>
  </w:style>
  <w:style w:type="paragraph" w:styleId="a8">
    <w:name w:val="Balloon Text"/>
    <w:basedOn w:val="a"/>
    <w:link w:val="Char3"/>
    <w:rsid w:val="00FE7238"/>
    <w:rPr>
      <w:sz w:val="18"/>
      <w:szCs w:val="18"/>
    </w:rPr>
  </w:style>
  <w:style w:type="character" w:customStyle="1" w:styleId="Char3">
    <w:name w:val="批注框文本 Char"/>
    <w:basedOn w:val="a0"/>
    <w:link w:val="a8"/>
    <w:rsid w:val="00FE72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304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3040F"/>
    <w:rPr>
      <w:sz w:val="18"/>
      <w:szCs w:val="18"/>
    </w:rPr>
  </w:style>
  <w:style w:type="paragraph" w:styleId="a4">
    <w:name w:val="footer"/>
    <w:basedOn w:val="a"/>
    <w:link w:val="Char0"/>
    <w:uiPriority w:val="99"/>
    <w:unhideWhenUsed/>
    <w:rsid w:val="0063040F"/>
    <w:pPr>
      <w:tabs>
        <w:tab w:val="center" w:pos="4153"/>
        <w:tab w:val="right" w:pos="8306"/>
      </w:tabs>
      <w:snapToGrid w:val="0"/>
    </w:pPr>
    <w:rPr>
      <w:sz w:val="18"/>
      <w:szCs w:val="18"/>
    </w:rPr>
  </w:style>
  <w:style w:type="character" w:customStyle="1" w:styleId="Char0">
    <w:name w:val="页脚 Char"/>
    <w:basedOn w:val="a0"/>
    <w:link w:val="a4"/>
    <w:uiPriority w:val="99"/>
    <w:rsid w:val="0063040F"/>
    <w:rPr>
      <w:sz w:val="18"/>
      <w:szCs w:val="18"/>
    </w:rPr>
  </w:style>
  <w:style w:type="character" w:styleId="a5">
    <w:name w:val="annotation reference"/>
    <w:basedOn w:val="a0"/>
    <w:semiHidden/>
    <w:unhideWhenUsed/>
    <w:rsid w:val="00FE7238"/>
    <w:rPr>
      <w:sz w:val="21"/>
      <w:szCs w:val="21"/>
    </w:rPr>
  </w:style>
  <w:style w:type="paragraph" w:styleId="a6">
    <w:name w:val="annotation text"/>
    <w:basedOn w:val="a"/>
    <w:link w:val="Char1"/>
    <w:semiHidden/>
    <w:unhideWhenUsed/>
    <w:rsid w:val="00FE7238"/>
  </w:style>
  <w:style w:type="character" w:customStyle="1" w:styleId="Char1">
    <w:name w:val="批注文字 Char"/>
    <w:basedOn w:val="a0"/>
    <w:link w:val="a6"/>
    <w:semiHidden/>
    <w:rsid w:val="00FE7238"/>
    <w:rPr>
      <w:sz w:val="24"/>
      <w:szCs w:val="24"/>
    </w:rPr>
  </w:style>
  <w:style w:type="paragraph" w:styleId="a7">
    <w:name w:val="annotation subject"/>
    <w:basedOn w:val="a6"/>
    <w:next w:val="a6"/>
    <w:link w:val="Char2"/>
    <w:semiHidden/>
    <w:unhideWhenUsed/>
    <w:rsid w:val="00FE7238"/>
    <w:rPr>
      <w:b/>
      <w:bCs/>
    </w:rPr>
  </w:style>
  <w:style w:type="character" w:customStyle="1" w:styleId="Char2">
    <w:name w:val="批注主题 Char"/>
    <w:basedOn w:val="Char1"/>
    <w:link w:val="a7"/>
    <w:semiHidden/>
    <w:rsid w:val="00FE7238"/>
    <w:rPr>
      <w:b/>
      <w:bCs/>
      <w:sz w:val="24"/>
      <w:szCs w:val="24"/>
    </w:rPr>
  </w:style>
  <w:style w:type="paragraph" w:styleId="a8">
    <w:name w:val="Balloon Text"/>
    <w:basedOn w:val="a"/>
    <w:link w:val="Char3"/>
    <w:rsid w:val="00FE7238"/>
    <w:rPr>
      <w:sz w:val="18"/>
      <w:szCs w:val="18"/>
    </w:rPr>
  </w:style>
  <w:style w:type="character" w:customStyle="1" w:styleId="Char3">
    <w:name w:val="批注框文本 Char"/>
    <w:basedOn w:val="a0"/>
    <w:link w:val="a8"/>
    <w:rsid w:val="00FE72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716991">
      <w:bodyDiv w:val="1"/>
      <w:marLeft w:val="0"/>
      <w:marRight w:val="0"/>
      <w:marTop w:val="0"/>
      <w:marBottom w:val="0"/>
      <w:divBdr>
        <w:top w:val="none" w:sz="0" w:space="0" w:color="auto"/>
        <w:left w:val="none" w:sz="0" w:space="0" w:color="auto"/>
        <w:bottom w:val="none" w:sz="0" w:space="0" w:color="auto"/>
        <w:right w:val="none" w:sz="0" w:space="0" w:color="auto"/>
      </w:divBdr>
    </w:div>
    <w:div w:id="123754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7925</Words>
  <Characters>45178</Characters>
  <Application>Microsoft Office Word</Application>
  <DocSecurity>0</DocSecurity>
  <Lines>376</Lines>
  <Paragraphs>105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liujihong2008@qq.con</cp:lastModifiedBy>
  <cp:revision>11</cp:revision>
  <dcterms:created xsi:type="dcterms:W3CDTF">2021-03-27T16:26:00Z</dcterms:created>
  <dcterms:modified xsi:type="dcterms:W3CDTF">2021-04-20T06:48:00Z</dcterms:modified>
</cp:coreProperties>
</file>