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AFB94" w14:textId="77777777" w:rsidR="00A77B3E" w:rsidRDefault="009A09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C22D64" w14:textId="77777777" w:rsidR="00A77B3E" w:rsidRDefault="009A09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62521</w:t>
      </w:r>
    </w:p>
    <w:p w14:paraId="305419E4" w14:textId="77777777" w:rsidR="00A77B3E" w:rsidRDefault="009A0937">
      <w:pPr>
        <w:spacing w:line="360" w:lineRule="auto"/>
        <w:jc w:val="both"/>
      </w:pPr>
      <w:r>
        <w:rPr>
          <w:rFonts w:ascii="Book Antiqua" w:eastAsia="Book Antiqua" w:hAnsi="Book Antiqua" w:cs="Book Antiqua"/>
          <w:b/>
          <w:color w:val="000000"/>
        </w:rPr>
        <w:t xml:space="preserve">Manuscript Type: </w:t>
      </w:r>
      <w:bookmarkStart w:id="0" w:name="OLE_LINK71"/>
      <w:bookmarkStart w:id="1" w:name="OLE_LINK72"/>
      <w:r>
        <w:rPr>
          <w:rFonts w:ascii="Book Antiqua" w:eastAsia="Book Antiqua" w:hAnsi="Book Antiqua" w:cs="Book Antiqua"/>
          <w:color w:val="000000"/>
        </w:rPr>
        <w:t>CASE REPORT</w:t>
      </w:r>
      <w:bookmarkEnd w:id="0"/>
      <w:bookmarkEnd w:id="1"/>
    </w:p>
    <w:p w14:paraId="2571FB06" w14:textId="77777777" w:rsidR="00A77B3E" w:rsidRDefault="00A77B3E">
      <w:pPr>
        <w:spacing w:line="360" w:lineRule="auto"/>
        <w:jc w:val="both"/>
      </w:pPr>
    </w:p>
    <w:p w14:paraId="20B7DBB0" w14:textId="7131C16D" w:rsidR="00A77B3E" w:rsidRPr="00031536" w:rsidRDefault="009A0937">
      <w:pPr>
        <w:spacing w:line="360" w:lineRule="auto"/>
        <w:jc w:val="both"/>
        <w:rPr>
          <w:lang w:eastAsia="zh-CN"/>
        </w:rPr>
      </w:pPr>
      <w:bookmarkStart w:id="2" w:name="OLE_LINK61"/>
      <w:bookmarkStart w:id="3" w:name="OLE_LINK62"/>
      <w:bookmarkStart w:id="4" w:name="OLE_LINK63"/>
      <w:bookmarkStart w:id="5" w:name="OLE_LINK83"/>
      <w:r>
        <w:rPr>
          <w:rFonts w:ascii="Book Antiqua" w:eastAsia="Book Antiqua" w:hAnsi="Book Antiqua" w:cs="Book Antiqua"/>
          <w:b/>
          <w:color w:val="000000"/>
        </w:rPr>
        <w:t xml:space="preserve">Pyogenic </w:t>
      </w:r>
      <w:r w:rsidR="00031536">
        <w:rPr>
          <w:rFonts w:ascii="Book Antiqua" w:eastAsia="Book Antiqua" w:hAnsi="Book Antiqua" w:cs="Book Antiqua"/>
          <w:b/>
          <w:color w:val="000000"/>
        </w:rPr>
        <w:t>arthritis, pyoderma gangrenosum, and acne</w:t>
      </w:r>
      <w:r>
        <w:rPr>
          <w:rFonts w:ascii="Book Antiqua" w:eastAsia="Book Antiqua" w:hAnsi="Book Antiqua" w:cs="Book Antiqua"/>
          <w:b/>
          <w:color w:val="000000"/>
        </w:rPr>
        <w:t xml:space="preserve"> </w:t>
      </w:r>
      <w:bookmarkStart w:id="6" w:name="OLE_LINK3"/>
      <w:bookmarkStart w:id="7" w:name="OLE_LINK4"/>
      <w:r w:rsidR="00031536">
        <w:rPr>
          <w:rFonts w:ascii="Book Antiqua" w:eastAsia="Book Antiqua" w:hAnsi="Book Antiqua" w:cs="Book Antiqua"/>
          <w:b/>
          <w:color w:val="000000"/>
        </w:rPr>
        <w:t xml:space="preserve">syndrome </w:t>
      </w:r>
      <w:r>
        <w:rPr>
          <w:rFonts w:ascii="Book Antiqua" w:eastAsia="Book Antiqua" w:hAnsi="Book Antiqua" w:cs="Book Antiqua"/>
          <w:b/>
          <w:color w:val="000000"/>
        </w:rPr>
        <w:t xml:space="preserve">in a Chinese </w:t>
      </w:r>
      <w:r w:rsidR="00031536">
        <w:rPr>
          <w:rFonts w:ascii="Book Antiqua" w:eastAsia="Book Antiqua" w:hAnsi="Book Antiqua" w:cs="Book Antiqua"/>
          <w:b/>
          <w:color w:val="000000"/>
        </w:rPr>
        <w:t>family</w:t>
      </w:r>
      <w:bookmarkEnd w:id="6"/>
      <w:bookmarkEnd w:id="7"/>
      <w:r>
        <w:rPr>
          <w:rFonts w:ascii="Book Antiqua" w:eastAsia="Book Antiqua" w:hAnsi="Book Antiqua" w:cs="Book Antiqua"/>
          <w:b/>
          <w:color w:val="000000"/>
        </w:rPr>
        <w:t xml:space="preserve">: A </w:t>
      </w:r>
      <w:r w:rsidR="00031536">
        <w:rPr>
          <w:rFonts w:ascii="Book Antiqua" w:eastAsia="Book Antiqua" w:hAnsi="Book Antiqua" w:cs="Book Antiqua"/>
          <w:b/>
          <w:color w:val="000000"/>
        </w:rPr>
        <w:t xml:space="preserve">case report and review </w:t>
      </w:r>
      <w:r w:rsidR="00031536" w:rsidRPr="00031536">
        <w:rPr>
          <w:rFonts w:ascii="Book Antiqua" w:hAnsi="Book Antiqua" w:cs="Book Antiqua"/>
          <w:b/>
          <w:color w:val="000000"/>
          <w:lang w:eastAsia="zh-CN"/>
        </w:rPr>
        <w:t>of</w:t>
      </w:r>
      <w:r w:rsidR="00031536">
        <w:rPr>
          <w:rFonts w:asciiTheme="minorEastAsia" w:hAnsiTheme="minorEastAsia" w:cs="Book Antiqua" w:hint="eastAsia"/>
          <w:b/>
          <w:color w:val="000000"/>
          <w:lang w:eastAsia="zh-CN"/>
        </w:rPr>
        <w:t xml:space="preserve"> </w:t>
      </w:r>
      <w:r w:rsidR="00031536">
        <w:rPr>
          <w:rFonts w:ascii="Book Antiqua" w:eastAsia="Book Antiqua" w:hAnsi="Book Antiqua" w:cs="Book Antiqua"/>
          <w:b/>
          <w:color w:val="000000"/>
        </w:rPr>
        <w:t>literature</w:t>
      </w:r>
    </w:p>
    <w:bookmarkEnd w:id="2"/>
    <w:bookmarkEnd w:id="3"/>
    <w:bookmarkEnd w:id="4"/>
    <w:bookmarkEnd w:id="5"/>
    <w:p w14:paraId="4873C5DB" w14:textId="77777777" w:rsidR="00A77B3E" w:rsidRDefault="00A77B3E">
      <w:pPr>
        <w:spacing w:line="360" w:lineRule="auto"/>
        <w:jc w:val="both"/>
      </w:pPr>
    </w:p>
    <w:p w14:paraId="1C7A3103" w14:textId="77777777" w:rsidR="00A77B3E" w:rsidRPr="002A4406" w:rsidRDefault="002A4406">
      <w:pPr>
        <w:spacing w:line="360" w:lineRule="auto"/>
        <w:jc w:val="both"/>
        <w:rPr>
          <w:lang w:eastAsia="zh-CN"/>
        </w:rPr>
      </w:pPr>
      <w:r>
        <w:rPr>
          <w:rFonts w:ascii="Book Antiqua" w:eastAsia="Book Antiqua" w:hAnsi="Book Antiqua" w:cs="Book Antiqua"/>
          <w:color w:val="000000"/>
        </w:rPr>
        <w:t>Lu</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 xml:space="preserve">LY </w:t>
      </w:r>
      <w:r w:rsidRPr="002A4406">
        <w:rPr>
          <w:rFonts w:ascii="Book Antiqua" w:hAnsi="Book Antiqua" w:cs="Book Antiqua" w:hint="eastAsia"/>
          <w:i/>
          <w:color w:val="000000"/>
          <w:szCs w:val="20"/>
          <w:lang w:eastAsia="zh-CN"/>
        </w:rPr>
        <w:t>et al</w:t>
      </w:r>
      <w:r>
        <w:rPr>
          <w:rFonts w:ascii="Book Antiqua" w:hAnsi="Book Antiqua" w:cs="Book Antiqua" w:hint="eastAsia"/>
          <w:color w:val="000000"/>
          <w:szCs w:val="20"/>
          <w:lang w:eastAsia="zh-CN"/>
        </w:rPr>
        <w:t>.</w:t>
      </w:r>
      <w:bookmarkStart w:id="8" w:name="OLE_LINK84"/>
      <w:bookmarkStart w:id="9" w:name="OLE_LINK85"/>
      <w:r>
        <w:rPr>
          <w:rFonts w:ascii="Book Antiqua" w:hAnsi="Book Antiqua" w:cs="Book Antiqua" w:hint="eastAsia"/>
          <w:color w:val="000000"/>
          <w:szCs w:val="20"/>
          <w:lang w:eastAsia="zh-CN"/>
        </w:rPr>
        <w:t xml:space="preserve"> </w:t>
      </w:r>
      <w:bookmarkStart w:id="10" w:name="OLE_LINK30"/>
      <w:bookmarkStart w:id="11" w:name="OLE_LINK31"/>
      <w:bookmarkStart w:id="12" w:name="OLE_LINK32"/>
      <w:r>
        <w:rPr>
          <w:rFonts w:ascii="Book Antiqua" w:eastAsia="Book Antiqua" w:hAnsi="Book Antiqua" w:cs="Book Antiqua"/>
          <w:color w:val="000000"/>
          <w:szCs w:val="20"/>
        </w:rPr>
        <w:t>PAPA</w:t>
      </w:r>
      <w:r>
        <w:rPr>
          <w:rFonts w:ascii="Book Antiqua" w:hAnsi="Book Antiqua" w:cs="Book Antiqua" w:hint="eastAsia"/>
          <w:color w:val="000000"/>
          <w:szCs w:val="20"/>
          <w:lang w:eastAsia="zh-CN"/>
        </w:rPr>
        <w:t xml:space="preserve"> </w:t>
      </w:r>
      <w:r w:rsidRPr="002A4406">
        <w:rPr>
          <w:rFonts w:ascii="Book Antiqua" w:hAnsi="Book Antiqua" w:cs="Book Antiqua"/>
          <w:color w:val="000000"/>
          <w:szCs w:val="20"/>
          <w:lang w:eastAsia="zh-CN"/>
        </w:rPr>
        <w:t>syndrome in a Chinese family</w:t>
      </w:r>
      <w:bookmarkEnd w:id="10"/>
      <w:bookmarkEnd w:id="11"/>
      <w:bookmarkEnd w:id="12"/>
    </w:p>
    <w:bookmarkEnd w:id="8"/>
    <w:bookmarkEnd w:id="9"/>
    <w:p w14:paraId="16B6FA63" w14:textId="77777777" w:rsidR="00A77B3E" w:rsidRDefault="00A77B3E">
      <w:pPr>
        <w:spacing w:line="360" w:lineRule="auto"/>
        <w:jc w:val="both"/>
      </w:pPr>
    </w:p>
    <w:p w14:paraId="04B06795" w14:textId="77777777" w:rsidR="00A77B3E" w:rsidRDefault="00F47D02">
      <w:pPr>
        <w:spacing w:line="360" w:lineRule="auto"/>
        <w:jc w:val="both"/>
      </w:pPr>
      <w:r>
        <w:rPr>
          <w:rFonts w:ascii="Book Antiqua" w:eastAsia="Book Antiqua" w:hAnsi="Book Antiqua" w:cs="Book Antiqua"/>
          <w:color w:val="000000"/>
        </w:rPr>
        <w:t>Ling</w:t>
      </w:r>
      <w:r>
        <w:rPr>
          <w:rFonts w:ascii="Book Antiqua" w:hAnsi="Book Antiqua" w:cs="Book Antiqua" w:hint="eastAsia"/>
          <w:color w:val="000000"/>
          <w:lang w:eastAsia="zh-CN"/>
        </w:rPr>
        <w:t>-Y</w:t>
      </w:r>
      <w:r w:rsidR="009A0937">
        <w:rPr>
          <w:rFonts w:ascii="Book Antiqua" w:eastAsia="Book Antiqua" w:hAnsi="Book Antiqua" w:cs="Book Antiqua"/>
          <w:color w:val="000000"/>
        </w:rPr>
        <w:t xml:space="preserve">un </w:t>
      </w:r>
      <w:bookmarkStart w:id="13" w:name="OLE_LINK5"/>
      <w:bookmarkStart w:id="14" w:name="OLE_LINK6"/>
      <w:bookmarkStart w:id="15" w:name="OLE_LINK13"/>
      <w:r w:rsidR="009A0937">
        <w:rPr>
          <w:rFonts w:ascii="Book Antiqua" w:eastAsia="Book Antiqua" w:hAnsi="Book Antiqua" w:cs="Book Antiqua"/>
          <w:color w:val="000000"/>
        </w:rPr>
        <w:t>Lu</w:t>
      </w:r>
      <w:bookmarkEnd w:id="13"/>
      <w:bookmarkEnd w:id="14"/>
      <w:bookmarkEnd w:id="15"/>
      <w:r>
        <w:rPr>
          <w:rFonts w:ascii="Book Antiqua" w:eastAsia="Book Antiqua" w:hAnsi="Book Antiqua" w:cs="Book Antiqua"/>
          <w:color w:val="000000"/>
        </w:rPr>
        <w:t>, Xue</w:t>
      </w:r>
      <w:r>
        <w:rPr>
          <w:rFonts w:ascii="Book Antiqua" w:hAnsi="Book Antiqua" w:cs="Book Antiqua" w:hint="eastAsia"/>
          <w:color w:val="000000"/>
          <w:lang w:eastAsia="zh-CN"/>
        </w:rPr>
        <w:t>-Y</w:t>
      </w:r>
      <w:r>
        <w:rPr>
          <w:rFonts w:ascii="Book Antiqua" w:eastAsia="Book Antiqua" w:hAnsi="Book Antiqua" w:cs="Book Antiqua"/>
          <w:color w:val="000000"/>
        </w:rPr>
        <w:t xml:space="preserve">ang </w:t>
      </w:r>
      <w:bookmarkStart w:id="16" w:name="OLE_LINK14"/>
      <w:bookmarkStart w:id="17" w:name="OLE_LINK15"/>
      <w:r>
        <w:rPr>
          <w:rFonts w:ascii="Book Antiqua" w:eastAsia="Book Antiqua" w:hAnsi="Book Antiqua" w:cs="Book Antiqua"/>
          <w:color w:val="000000"/>
        </w:rPr>
        <w:t>Tang</w:t>
      </w:r>
      <w:bookmarkEnd w:id="16"/>
      <w:bookmarkEnd w:id="17"/>
      <w:r>
        <w:rPr>
          <w:rFonts w:ascii="Book Antiqua" w:eastAsia="Book Antiqua" w:hAnsi="Book Antiqua" w:cs="Book Antiqua"/>
          <w:color w:val="000000"/>
        </w:rPr>
        <w:t>, Guo</w:t>
      </w:r>
      <w:r>
        <w:rPr>
          <w:rFonts w:ascii="Book Antiqua" w:hAnsi="Book Antiqua" w:cs="Book Antiqua" w:hint="eastAsia"/>
          <w:color w:val="000000"/>
          <w:lang w:eastAsia="zh-CN"/>
        </w:rPr>
        <w:t>-J</w:t>
      </w:r>
      <w:r>
        <w:rPr>
          <w:rFonts w:ascii="Book Antiqua" w:eastAsia="Book Antiqua" w:hAnsi="Book Antiqua" w:cs="Book Antiqua"/>
          <w:color w:val="000000"/>
        </w:rPr>
        <w:t xml:space="preserve">ing </w:t>
      </w:r>
      <w:bookmarkStart w:id="18" w:name="OLE_LINK16"/>
      <w:bookmarkStart w:id="19" w:name="OLE_LINK17"/>
      <w:r>
        <w:rPr>
          <w:rFonts w:ascii="Book Antiqua" w:eastAsia="Book Antiqua" w:hAnsi="Book Antiqua" w:cs="Book Antiqua"/>
          <w:color w:val="000000"/>
        </w:rPr>
        <w:t>Luo</w:t>
      </w:r>
      <w:bookmarkEnd w:id="18"/>
      <w:bookmarkEnd w:id="19"/>
      <w:r>
        <w:rPr>
          <w:rFonts w:ascii="Book Antiqua" w:eastAsia="Book Antiqua" w:hAnsi="Book Antiqua" w:cs="Book Antiqua"/>
          <w:color w:val="000000"/>
        </w:rPr>
        <w:t>, Meng</w:t>
      </w:r>
      <w:r>
        <w:rPr>
          <w:rFonts w:ascii="Book Antiqua" w:hAnsi="Book Antiqua" w:cs="Book Antiqua" w:hint="eastAsia"/>
          <w:color w:val="000000"/>
          <w:lang w:eastAsia="zh-CN"/>
        </w:rPr>
        <w:t>-J</w:t>
      </w:r>
      <w:r>
        <w:rPr>
          <w:rFonts w:ascii="Book Antiqua" w:eastAsia="Book Antiqua" w:hAnsi="Book Antiqua" w:cs="Book Antiqua"/>
          <w:color w:val="000000"/>
        </w:rPr>
        <w:t xml:space="preserve">ia </w:t>
      </w:r>
      <w:bookmarkStart w:id="20" w:name="OLE_LINK25"/>
      <w:bookmarkStart w:id="21" w:name="OLE_LINK26"/>
      <w:r>
        <w:rPr>
          <w:rFonts w:ascii="Book Antiqua" w:eastAsia="Book Antiqua" w:hAnsi="Book Antiqua" w:cs="Book Antiqua"/>
          <w:color w:val="000000"/>
        </w:rPr>
        <w:t>Tang</w:t>
      </w:r>
      <w:bookmarkEnd w:id="20"/>
      <w:bookmarkEnd w:id="21"/>
      <w:r>
        <w:rPr>
          <w:rFonts w:ascii="Book Antiqua" w:eastAsia="Book Antiqua" w:hAnsi="Book Antiqua" w:cs="Book Antiqua"/>
          <w:color w:val="000000"/>
        </w:rPr>
        <w:t xml:space="preserve">, Yi </w:t>
      </w:r>
      <w:bookmarkStart w:id="22" w:name="OLE_LINK27"/>
      <w:bookmarkStart w:id="23" w:name="OLE_LINK28"/>
      <w:r>
        <w:rPr>
          <w:rFonts w:ascii="Book Antiqua" w:eastAsia="Book Antiqua" w:hAnsi="Book Antiqua" w:cs="Book Antiqua"/>
          <w:color w:val="000000"/>
        </w:rPr>
        <w:t>Liu</w:t>
      </w:r>
      <w:bookmarkEnd w:id="22"/>
      <w:bookmarkEnd w:id="23"/>
      <w:r>
        <w:rPr>
          <w:rFonts w:ascii="Book Antiqua" w:eastAsia="Book Antiqua" w:hAnsi="Book Antiqua" w:cs="Book Antiqua"/>
          <w:color w:val="000000"/>
        </w:rPr>
        <w:t>, Xi</w:t>
      </w:r>
      <w:r>
        <w:rPr>
          <w:rFonts w:ascii="Book Antiqua" w:hAnsi="Book Antiqua" w:cs="Book Antiqua" w:hint="eastAsia"/>
          <w:color w:val="000000"/>
          <w:lang w:eastAsia="zh-CN"/>
        </w:rPr>
        <w:t>-J</w:t>
      </w:r>
      <w:r w:rsidR="009A0937">
        <w:rPr>
          <w:rFonts w:ascii="Book Antiqua" w:eastAsia="Book Antiqua" w:hAnsi="Book Antiqua" w:cs="Book Antiqua"/>
          <w:color w:val="000000"/>
        </w:rPr>
        <w:t xml:space="preserve">ie </w:t>
      </w:r>
      <w:bookmarkStart w:id="24" w:name="OLE_LINK22"/>
      <w:bookmarkStart w:id="25" w:name="OLE_LINK23"/>
      <w:bookmarkStart w:id="26" w:name="OLE_LINK24"/>
      <w:r w:rsidR="009A0937">
        <w:rPr>
          <w:rFonts w:ascii="Book Antiqua" w:eastAsia="Book Antiqua" w:hAnsi="Book Antiqua" w:cs="Book Antiqua"/>
          <w:color w:val="000000"/>
        </w:rPr>
        <w:t>Yu</w:t>
      </w:r>
      <w:bookmarkEnd w:id="24"/>
      <w:bookmarkEnd w:id="25"/>
      <w:bookmarkEnd w:id="26"/>
    </w:p>
    <w:p w14:paraId="7E827AC5" w14:textId="77777777" w:rsidR="00A77B3E" w:rsidRDefault="00A77B3E">
      <w:pPr>
        <w:spacing w:line="360" w:lineRule="auto"/>
        <w:jc w:val="both"/>
      </w:pPr>
    </w:p>
    <w:p w14:paraId="6EACC7E2" w14:textId="77777777" w:rsidR="00A77B3E" w:rsidRDefault="00F47D02">
      <w:pPr>
        <w:spacing w:line="360" w:lineRule="auto"/>
        <w:jc w:val="both"/>
      </w:pPr>
      <w:r>
        <w:rPr>
          <w:rFonts w:ascii="Book Antiqua" w:eastAsia="Book Antiqua" w:hAnsi="Book Antiqua" w:cs="Book Antiqua"/>
          <w:b/>
          <w:bCs/>
          <w:color w:val="000000"/>
        </w:rPr>
        <w:t>Ling</w:t>
      </w:r>
      <w:r>
        <w:rPr>
          <w:rFonts w:ascii="Book Antiqua" w:hAnsi="Book Antiqua" w:cs="Book Antiqua" w:hint="eastAsia"/>
          <w:b/>
          <w:bCs/>
          <w:color w:val="000000"/>
          <w:lang w:eastAsia="zh-CN"/>
        </w:rPr>
        <w:t>-Y</w:t>
      </w:r>
      <w:r>
        <w:rPr>
          <w:rFonts w:ascii="Book Antiqua" w:eastAsia="Book Antiqua" w:hAnsi="Book Antiqua" w:cs="Book Antiqua"/>
          <w:b/>
          <w:bCs/>
          <w:color w:val="000000"/>
        </w:rPr>
        <w:t>un Lu, Meng</w:t>
      </w:r>
      <w:r>
        <w:rPr>
          <w:rFonts w:ascii="Book Antiqua" w:hAnsi="Book Antiqua" w:cs="Book Antiqua" w:hint="eastAsia"/>
          <w:b/>
          <w:bCs/>
          <w:color w:val="000000"/>
          <w:lang w:eastAsia="zh-CN"/>
        </w:rPr>
        <w:t>-J</w:t>
      </w:r>
      <w:r>
        <w:rPr>
          <w:rFonts w:ascii="Book Antiqua" w:eastAsia="Book Antiqua" w:hAnsi="Book Antiqua" w:cs="Book Antiqua"/>
          <w:b/>
          <w:bCs/>
          <w:color w:val="000000"/>
        </w:rPr>
        <w:t>ia Tang, Xi</w:t>
      </w:r>
      <w:r>
        <w:rPr>
          <w:rFonts w:ascii="Book Antiqua" w:hAnsi="Book Antiqua" w:cs="Book Antiqua" w:hint="eastAsia"/>
          <w:b/>
          <w:bCs/>
          <w:color w:val="000000"/>
          <w:lang w:eastAsia="zh-CN"/>
        </w:rPr>
        <w:t>-J</w:t>
      </w:r>
      <w:r w:rsidR="009A0937">
        <w:rPr>
          <w:rFonts w:ascii="Book Antiqua" w:eastAsia="Book Antiqua" w:hAnsi="Book Antiqua" w:cs="Book Antiqua"/>
          <w:b/>
          <w:bCs/>
          <w:color w:val="000000"/>
        </w:rPr>
        <w:t xml:space="preserve">ie Yu, </w:t>
      </w:r>
      <w:r w:rsidR="009A0937">
        <w:rPr>
          <w:rFonts w:ascii="Book Antiqua" w:eastAsia="Book Antiqua" w:hAnsi="Book Antiqua" w:cs="Book Antiqua"/>
          <w:color w:val="000000"/>
        </w:rPr>
        <w:t>Department of Endocrinology, Laboratory of Endocrinology and Metabolism, West China Hospital, Sichuan University, Chengdu 610041, Sichuan</w:t>
      </w:r>
      <w:r w:rsidR="0023366A">
        <w:rPr>
          <w:rFonts w:ascii="Book Antiqua" w:hAnsi="Book Antiqua" w:cs="Book Antiqua" w:hint="eastAsia"/>
          <w:color w:val="000000"/>
          <w:lang w:eastAsia="zh-CN"/>
        </w:rPr>
        <w:t xml:space="preserve"> </w:t>
      </w:r>
      <w:bookmarkStart w:id="27" w:name="OLE_LINK7"/>
      <w:bookmarkStart w:id="28" w:name="OLE_LINK8"/>
      <w:r w:rsidR="0023366A">
        <w:rPr>
          <w:rFonts w:ascii="Book Antiqua" w:hAnsi="Book Antiqua" w:cs="Book Antiqua" w:hint="eastAsia"/>
          <w:color w:val="000000"/>
          <w:lang w:eastAsia="zh-CN"/>
        </w:rPr>
        <w:t>Province</w:t>
      </w:r>
      <w:bookmarkEnd w:id="27"/>
      <w:bookmarkEnd w:id="28"/>
      <w:r w:rsidR="009A0937">
        <w:rPr>
          <w:rFonts w:ascii="Book Antiqua" w:eastAsia="Book Antiqua" w:hAnsi="Book Antiqua" w:cs="Book Antiqua"/>
          <w:color w:val="000000"/>
        </w:rPr>
        <w:t xml:space="preserve">, </w:t>
      </w:r>
      <w:bookmarkStart w:id="29" w:name="OLE_LINK64"/>
      <w:bookmarkStart w:id="30" w:name="OLE_LINK65"/>
      <w:r w:rsidR="009A0937">
        <w:rPr>
          <w:rFonts w:ascii="Book Antiqua" w:eastAsia="Book Antiqua" w:hAnsi="Book Antiqua" w:cs="Book Antiqua"/>
          <w:color w:val="000000"/>
        </w:rPr>
        <w:t>China</w:t>
      </w:r>
      <w:bookmarkEnd w:id="29"/>
      <w:bookmarkEnd w:id="30"/>
    </w:p>
    <w:p w14:paraId="757D0DBA" w14:textId="77777777" w:rsidR="00A77B3E" w:rsidRDefault="00A77B3E">
      <w:pPr>
        <w:spacing w:line="360" w:lineRule="auto"/>
        <w:jc w:val="both"/>
      </w:pPr>
    </w:p>
    <w:p w14:paraId="598496AC" w14:textId="77777777" w:rsidR="00A77B3E" w:rsidRDefault="00F47D02">
      <w:pPr>
        <w:spacing w:line="360" w:lineRule="auto"/>
        <w:jc w:val="both"/>
      </w:pPr>
      <w:r>
        <w:rPr>
          <w:rFonts w:ascii="Book Antiqua" w:eastAsia="Book Antiqua" w:hAnsi="Book Antiqua" w:cs="Book Antiqua"/>
          <w:b/>
          <w:bCs/>
          <w:color w:val="000000"/>
        </w:rPr>
        <w:t>Ling</w:t>
      </w:r>
      <w:r>
        <w:rPr>
          <w:rFonts w:ascii="Book Antiqua" w:hAnsi="Book Antiqua" w:cs="Book Antiqua" w:hint="eastAsia"/>
          <w:b/>
          <w:bCs/>
          <w:color w:val="000000"/>
          <w:lang w:eastAsia="zh-CN"/>
        </w:rPr>
        <w:t>-Y</w:t>
      </w:r>
      <w:r w:rsidR="009A0937">
        <w:rPr>
          <w:rFonts w:ascii="Book Antiqua" w:eastAsia="Book Antiqua" w:hAnsi="Book Antiqua" w:cs="Book Antiqua"/>
          <w:b/>
          <w:bCs/>
          <w:color w:val="000000"/>
        </w:rPr>
        <w:t xml:space="preserve">un Lu, </w:t>
      </w:r>
      <w:r w:rsidR="009A0937">
        <w:rPr>
          <w:rFonts w:ascii="Book Antiqua" w:eastAsia="Book Antiqua" w:hAnsi="Book Antiqua" w:cs="Book Antiqua"/>
          <w:color w:val="000000"/>
        </w:rPr>
        <w:t>Department of Integrated Tradition</w:t>
      </w:r>
      <w:r w:rsidR="002F53AD">
        <w:rPr>
          <w:rFonts w:ascii="Book Antiqua" w:eastAsia="Book Antiqua" w:hAnsi="Book Antiqua" w:cs="Book Antiqua"/>
          <w:color w:val="000000"/>
        </w:rPr>
        <w:t>al Chinese and Western Medicine</w:t>
      </w:r>
      <w:r w:rsidR="009A0937">
        <w:rPr>
          <w:rFonts w:ascii="Book Antiqua" w:eastAsia="Book Antiqua" w:hAnsi="Book Antiqua" w:cs="Book Antiqua"/>
          <w:color w:val="000000"/>
        </w:rPr>
        <w:t>, West China Hospital, Sichuan University, Chengdu 610041, Sichuan</w:t>
      </w:r>
      <w:r w:rsidR="002F53AD">
        <w:rPr>
          <w:rFonts w:ascii="Book Antiqua" w:hAnsi="Book Antiqua" w:cs="Book Antiqua" w:hint="eastAsia"/>
          <w:color w:val="000000"/>
          <w:lang w:eastAsia="zh-CN"/>
        </w:rPr>
        <w:t xml:space="preserve"> Province</w:t>
      </w:r>
      <w:r w:rsidR="009A0937">
        <w:rPr>
          <w:rFonts w:ascii="Book Antiqua" w:eastAsia="Book Antiqua" w:hAnsi="Book Antiqua" w:cs="Book Antiqua"/>
          <w:color w:val="000000"/>
        </w:rPr>
        <w:t>, China</w:t>
      </w:r>
    </w:p>
    <w:p w14:paraId="4E95394C" w14:textId="77777777" w:rsidR="00A77B3E" w:rsidRDefault="00A77B3E">
      <w:pPr>
        <w:spacing w:line="360" w:lineRule="auto"/>
        <w:jc w:val="both"/>
      </w:pPr>
    </w:p>
    <w:p w14:paraId="4DC3F944" w14:textId="77777777" w:rsidR="00A77B3E" w:rsidRDefault="00F47D02">
      <w:pPr>
        <w:spacing w:line="360" w:lineRule="auto"/>
        <w:jc w:val="both"/>
      </w:pPr>
      <w:r>
        <w:rPr>
          <w:rFonts w:ascii="Book Antiqua" w:eastAsia="Book Antiqua" w:hAnsi="Book Antiqua" w:cs="Book Antiqua"/>
          <w:b/>
          <w:bCs/>
          <w:color w:val="000000"/>
        </w:rPr>
        <w:t>Xue</w:t>
      </w:r>
      <w:r>
        <w:rPr>
          <w:rFonts w:ascii="Book Antiqua" w:hAnsi="Book Antiqua" w:cs="Book Antiqua" w:hint="eastAsia"/>
          <w:b/>
          <w:bCs/>
          <w:color w:val="000000"/>
          <w:lang w:eastAsia="zh-CN"/>
        </w:rPr>
        <w:t>-Y</w:t>
      </w:r>
      <w:r w:rsidR="009A0937">
        <w:rPr>
          <w:rFonts w:ascii="Book Antiqua" w:eastAsia="Book Antiqua" w:hAnsi="Book Antiqua" w:cs="Book Antiqua"/>
          <w:b/>
          <w:bCs/>
          <w:color w:val="000000"/>
        </w:rPr>
        <w:t xml:space="preserve">ang Tang, </w:t>
      </w:r>
      <w:r w:rsidR="009A0937">
        <w:rPr>
          <w:rFonts w:ascii="Book Antiqua" w:eastAsia="Book Antiqua" w:hAnsi="Book Antiqua" w:cs="Book Antiqua"/>
          <w:color w:val="000000"/>
        </w:rPr>
        <w:t>Department of Pediatric Surgery, West China Hospital, Sichuan University, Chengdu 610041, Sichuan</w:t>
      </w:r>
      <w:r w:rsidR="00663D00">
        <w:rPr>
          <w:rFonts w:ascii="Book Antiqua" w:hAnsi="Book Antiqua" w:cs="Book Antiqua" w:hint="eastAsia"/>
          <w:color w:val="000000"/>
          <w:lang w:eastAsia="zh-CN"/>
        </w:rPr>
        <w:t xml:space="preserve"> Province</w:t>
      </w:r>
      <w:r w:rsidR="009A0937">
        <w:rPr>
          <w:rFonts w:ascii="Book Antiqua" w:eastAsia="Book Antiqua" w:hAnsi="Book Antiqua" w:cs="Book Antiqua"/>
          <w:color w:val="000000"/>
        </w:rPr>
        <w:t xml:space="preserve">, </w:t>
      </w:r>
      <w:bookmarkStart w:id="31" w:name="OLE_LINK9"/>
      <w:bookmarkStart w:id="32" w:name="OLE_LINK10"/>
      <w:r w:rsidR="009A0937">
        <w:rPr>
          <w:rFonts w:ascii="Book Antiqua" w:eastAsia="Book Antiqua" w:hAnsi="Book Antiqua" w:cs="Book Antiqua"/>
          <w:color w:val="000000"/>
        </w:rPr>
        <w:t>China</w:t>
      </w:r>
      <w:bookmarkEnd w:id="31"/>
      <w:bookmarkEnd w:id="32"/>
    </w:p>
    <w:p w14:paraId="723E8BAE" w14:textId="77777777" w:rsidR="00A77B3E" w:rsidRDefault="00A77B3E">
      <w:pPr>
        <w:spacing w:line="360" w:lineRule="auto"/>
        <w:jc w:val="both"/>
      </w:pPr>
    </w:p>
    <w:p w14:paraId="64817437" w14:textId="77777777" w:rsidR="00A77B3E" w:rsidRDefault="00F47D02">
      <w:pPr>
        <w:spacing w:line="360" w:lineRule="auto"/>
        <w:jc w:val="both"/>
      </w:pPr>
      <w:r>
        <w:rPr>
          <w:rFonts w:ascii="Book Antiqua" w:eastAsia="Book Antiqua" w:hAnsi="Book Antiqua" w:cs="Book Antiqua"/>
          <w:b/>
          <w:bCs/>
          <w:color w:val="000000"/>
        </w:rPr>
        <w:t>Guo</w:t>
      </w:r>
      <w:r>
        <w:rPr>
          <w:rFonts w:ascii="Book Antiqua" w:hAnsi="Book Antiqua" w:cs="Book Antiqua" w:hint="eastAsia"/>
          <w:b/>
          <w:bCs/>
          <w:color w:val="000000"/>
          <w:lang w:eastAsia="zh-CN"/>
        </w:rPr>
        <w:t>-J</w:t>
      </w:r>
      <w:r w:rsidR="009A0937">
        <w:rPr>
          <w:rFonts w:ascii="Book Antiqua" w:eastAsia="Book Antiqua" w:hAnsi="Book Antiqua" w:cs="Book Antiqua"/>
          <w:b/>
          <w:bCs/>
          <w:color w:val="000000"/>
        </w:rPr>
        <w:t xml:space="preserve">ing Luo, </w:t>
      </w:r>
      <w:r w:rsidR="009A0937">
        <w:rPr>
          <w:rFonts w:ascii="Book Antiqua" w:eastAsia="Book Antiqua" w:hAnsi="Book Antiqua" w:cs="Book Antiqua"/>
          <w:color w:val="000000"/>
        </w:rPr>
        <w:t xml:space="preserve">Department of Endocrinology, Zhuhai People's Hospital, </w:t>
      </w:r>
      <w:bookmarkStart w:id="33" w:name="OLE_LINK66"/>
      <w:bookmarkStart w:id="34" w:name="OLE_LINK67"/>
      <w:r w:rsidR="009A0937">
        <w:rPr>
          <w:rFonts w:ascii="Book Antiqua" w:eastAsia="Book Antiqua" w:hAnsi="Book Antiqua" w:cs="Book Antiqua"/>
          <w:color w:val="000000"/>
        </w:rPr>
        <w:t xml:space="preserve">Zhuhai </w:t>
      </w:r>
      <w:r w:rsidR="00663D00">
        <w:rPr>
          <w:rFonts w:ascii="Book Antiqua" w:eastAsia="Book Antiqua" w:hAnsi="Book Antiqua" w:cs="Book Antiqua"/>
          <w:color w:val="000000"/>
        </w:rPr>
        <w:t>Hospital Affilia</w:t>
      </w:r>
      <w:r w:rsidR="009A0937">
        <w:rPr>
          <w:rFonts w:ascii="Book Antiqua" w:eastAsia="Book Antiqua" w:hAnsi="Book Antiqua" w:cs="Book Antiqua"/>
          <w:color w:val="000000"/>
        </w:rPr>
        <w:t>ted with Jinan University</w:t>
      </w:r>
      <w:bookmarkEnd w:id="33"/>
      <w:bookmarkEnd w:id="34"/>
      <w:r w:rsidR="009A0937">
        <w:rPr>
          <w:rFonts w:ascii="Book Antiqua" w:eastAsia="Book Antiqua" w:hAnsi="Book Antiqua" w:cs="Book Antiqua"/>
          <w:color w:val="000000"/>
        </w:rPr>
        <w:t>, Zhuhai 519000, Guangdong</w:t>
      </w:r>
      <w:r w:rsidR="00663D00">
        <w:rPr>
          <w:rFonts w:ascii="Book Antiqua" w:hAnsi="Book Antiqua" w:cs="Book Antiqua" w:hint="eastAsia"/>
          <w:color w:val="000000"/>
          <w:lang w:eastAsia="zh-CN"/>
        </w:rPr>
        <w:t xml:space="preserve"> </w:t>
      </w:r>
      <w:bookmarkStart w:id="35" w:name="OLE_LINK11"/>
      <w:bookmarkStart w:id="36" w:name="OLE_LINK12"/>
      <w:bookmarkStart w:id="37" w:name="OLE_LINK29"/>
      <w:r w:rsidR="00663D00">
        <w:rPr>
          <w:rFonts w:ascii="Book Antiqua" w:hAnsi="Book Antiqua" w:cs="Book Antiqua"/>
          <w:color w:val="000000"/>
          <w:lang w:eastAsia="zh-CN"/>
        </w:rPr>
        <w:t>Province</w:t>
      </w:r>
      <w:bookmarkEnd w:id="35"/>
      <w:bookmarkEnd w:id="36"/>
      <w:bookmarkEnd w:id="37"/>
      <w:r w:rsidR="009A0937">
        <w:rPr>
          <w:rFonts w:ascii="Book Antiqua" w:eastAsia="Book Antiqua" w:hAnsi="Book Antiqua" w:cs="Book Antiqua"/>
          <w:color w:val="000000"/>
        </w:rPr>
        <w:t xml:space="preserve">, </w:t>
      </w:r>
      <w:r w:rsidR="00663D00">
        <w:rPr>
          <w:rFonts w:ascii="Book Antiqua" w:eastAsia="Book Antiqua" w:hAnsi="Book Antiqua" w:cs="Book Antiqua"/>
          <w:color w:val="000000"/>
        </w:rPr>
        <w:t>China</w:t>
      </w:r>
    </w:p>
    <w:p w14:paraId="5554524C" w14:textId="77777777" w:rsidR="00A77B3E" w:rsidRDefault="00A77B3E">
      <w:pPr>
        <w:spacing w:line="360" w:lineRule="auto"/>
        <w:jc w:val="both"/>
      </w:pPr>
    </w:p>
    <w:p w14:paraId="1EE6122A" w14:textId="77777777" w:rsidR="00A77B3E" w:rsidRDefault="009A0937">
      <w:pPr>
        <w:spacing w:line="360" w:lineRule="auto"/>
        <w:jc w:val="both"/>
      </w:pPr>
      <w:r>
        <w:rPr>
          <w:rFonts w:ascii="Book Antiqua" w:eastAsia="Book Antiqua" w:hAnsi="Book Antiqua" w:cs="Book Antiqua"/>
          <w:b/>
          <w:bCs/>
          <w:color w:val="000000"/>
        </w:rPr>
        <w:t xml:space="preserve">Yi Liu, </w:t>
      </w:r>
      <w:r>
        <w:rPr>
          <w:rFonts w:ascii="Book Antiqua" w:eastAsia="Book Antiqua" w:hAnsi="Book Antiqua" w:cs="Book Antiqua"/>
          <w:color w:val="000000"/>
        </w:rPr>
        <w:t>Department of Rhe</w:t>
      </w:r>
      <w:r w:rsidR="00663D00">
        <w:rPr>
          <w:rFonts w:ascii="Book Antiqua" w:eastAsia="Book Antiqua" w:hAnsi="Book Antiqua" w:cs="Book Antiqua"/>
          <w:color w:val="000000"/>
        </w:rPr>
        <w:t xml:space="preserve">umatology and Immunology, Rare </w:t>
      </w:r>
      <w:r w:rsidR="00663D00">
        <w:rPr>
          <w:rFonts w:ascii="Book Antiqua" w:hAnsi="Book Antiqua" w:cs="Book Antiqua" w:hint="eastAsia"/>
          <w:color w:val="000000"/>
          <w:lang w:eastAsia="zh-CN"/>
        </w:rPr>
        <w:t>D</w:t>
      </w:r>
      <w:r>
        <w:rPr>
          <w:rFonts w:ascii="Book Antiqua" w:eastAsia="Book Antiqua" w:hAnsi="Book Antiqua" w:cs="Book Antiqua"/>
          <w:color w:val="000000"/>
        </w:rPr>
        <w:t>isease Center, West China Hospital, Sichuan University, Chengdu 610041, Sichuan</w:t>
      </w:r>
      <w:r w:rsidR="00663D00">
        <w:rPr>
          <w:rFonts w:ascii="Book Antiqua" w:hAnsi="Book Antiqua" w:cs="Book Antiqua" w:hint="eastAsia"/>
          <w:color w:val="000000"/>
          <w:lang w:eastAsia="zh-CN"/>
        </w:rPr>
        <w:t xml:space="preserve"> </w:t>
      </w:r>
      <w:r w:rsidR="00663D00">
        <w:rPr>
          <w:rFonts w:ascii="Book Antiqua" w:hAnsi="Book Antiqua" w:cs="Book Antiqua"/>
          <w:color w:val="000000"/>
          <w:lang w:eastAsia="zh-CN"/>
        </w:rPr>
        <w:t>Province</w:t>
      </w:r>
      <w:r>
        <w:rPr>
          <w:rFonts w:ascii="Book Antiqua" w:eastAsia="Book Antiqua" w:hAnsi="Book Antiqua" w:cs="Book Antiqua"/>
          <w:color w:val="000000"/>
        </w:rPr>
        <w:t>, China</w:t>
      </w:r>
    </w:p>
    <w:p w14:paraId="7B53A5F4" w14:textId="77777777" w:rsidR="00A77B3E" w:rsidRDefault="00A77B3E">
      <w:pPr>
        <w:spacing w:line="360" w:lineRule="auto"/>
        <w:jc w:val="both"/>
      </w:pPr>
    </w:p>
    <w:p w14:paraId="53127388" w14:textId="77777777" w:rsidR="00A77B3E" w:rsidRDefault="009A0937">
      <w:pPr>
        <w:spacing w:line="360" w:lineRule="auto"/>
        <w:jc w:val="both"/>
      </w:pPr>
      <w:r>
        <w:rPr>
          <w:rFonts w:ascii="Book Antiqua" w:eastAsia="Book Antiqua" w:hAnsi="Book Antiqua" w:cs="Book Antiqua"/>
          <w:b/>
          <w:bCs/>
          <w:color w:val="000000"/>
          <w:szCs w:val="18"/>
        </w:rPr>
        <w:t xml:space="preserve">Author contributions: </w:t>
      </w:r>
      <w:bookmarkStart w:id="38" w:name="OLE_LINK18"/>
      <w:bookmarkStart w:id="39" w:name="OLE_LINK19"/>
      <w:bookmarkStart w:id="40" w:name="OLE_LINK86"/>
      <w:bookmarkStart w:id="41" w:name="OLE_LINK87"/>
      <w:r w:rsidR="00752A89">
        <w:rPr>
          <w:rFonts w:ascii="Book Antiqua" w:eastAsia="Book Antiqua" w:hAnsi="Book Antiqua" w:cs="Book Antiqua"/>
          <w:color w:val="000000"/>
        </w:rPr>
        <w:t>Lu</w:t>
      </w:r>
      <w:r w:rsidR="00752A89">
        <w:rPr>
          <w:rFonts w:ascii="Book Antiqua" w:hAnsi="Book Antiqua" w:cs="Book Antiqua" w:hint="eastAsia"/>
          <w:color w:val="000000"/>
          <w:lang w:eastAsia="zh-CN"/>
        </w:rPr>
        <w:t xml:space="preserve"> LY</w:t>
      </w:r>
      <w:bookmarkEnd w:id="38"/>
      <w:bookmarkEnd w:id="39"/>
      <w:r>
        <w:rPr>
          <w:rFonts w:ascii="Book Antiqua" w:eastAsia="Book Antiqua" w:hAnsi="Book Antiqua" w:cs="Book Antiqua"/>
          <w:color w:val="000000"/>
          <w:szCs w:val="20"/>
        </w:rPr>
        <w:t xml:space="preserve">, </w:t>
      </w:r>
      <w:bookmarkStart w:id="42" w:name="OLE_LINK20"/>
      <w:bookmarkStart w:id="43" w:name="OLE_LINK21"/>
      <w:r w:rsidR="00752A89">
        <w:rPr>
          <w:rFonts w:ascii="Book Antiqua" w:eastAsia="Book Antiqua" w:hAnsi="Book Antiqua" w:cs="Book Antiqua"/>
          <w:color w:val="000000"/>
        </w:rPr>
        <w:t>Tang</w:t>
      </w:r>
      <w:r w:rsidR="00752A89">
        <w:rPr>
          <w:rFonts w:ascii="Book Antiqua" w:hAnsi="Book Antiqua" w:cs="Book Antiqua" w:hint="eastAsia"/>
          <w:color w:val="000000"/>
          <w:lang w:eastAsia="zh-CN"/>
        </w:rPr>
        <w:t xml:space="preserve"> XY</w:t>
      </w:r>
      <w:bookmarkEnd w:id="42"/>
      <w:bookmarkEnd w:id="43"/>
      <w:r>
        <w:rPr>
          <w:rFonts w:ascii="Book Antiqua" w:eastAsia="Book Antiqua" w:hAnsi="Book Antiqua" w:cs="Book Antiqua"/>
          <w:color w:val="000000"/>
          <w:szCs w:val="20"/>
        </w:rPr>
        <w:t xml:space="preserve"> and </w:t>
      </w:r>
      <w:r w:rsidR="00752A89">
        <w:rPr>
          <w:rFonts w:ascii="Book Antiqua" w:eastAsia="Book Antiqua" w:hAnsi="Book Antiqua" w:cs="Book Antiqua"/>
          <w:color w:val="000000"/>
        </w:rPr>
        <w:t>Luo</w:t>
      </w:r>
      <w:r w:rsidR="00752A89">
        <w:rPr>
          <w:rFonts w:ascii="Book Antiqua" w:hAnsi="Book Antiqua" w:cs="Book Antiqua" w:hint="eastAsia"/>
          <w:color w:val="000000"/>
          <w:lang w:eastAsia="zh-CN"/>
        </w:rPr>
        <w:t xml:space="preserve"> GJ</w:t>
      </w:r>
      <w:r>
        <w:rPr>
          <w:rFonts w:ascii="Book Antiqua" w:eastAsia="Book Antiqua" w:hAnsi="Book Antiqua" w:cs="Book Antiqua"/>
          <w:color w:val="000000"/>
          <w:szCs w:val="20"/>
        </w:rPr>
        <w:t xml:space="preserve"> reviewed the literature and analyzed the examinations; </w:t>
      </w:r>
      <w:r w:rsidR="00752A89">
        <w:rPr>
          <w:rFonts w:ascii="Book Antiqua" w:eastAsia="Book Antiqua" w:hAnsi="Book Antiqua" w:cs="Book Antiqua"/>
          <w:color w:val="000000"/>
        </w:rPr>
        <w:t>Lu</w:t>
      </w:r>
      <w:r w:rsidR="00752A89">
        <w:rPr>
          <w:rFonts w:ascii="Book Antiqua" w:hAnsi="Book Antiqua" w:cs="Book Antiqua"/>
          <w:color w:val="000000"/>
          <w:lang w:eastAsia="zh-CN"/>
        </w:rPr>
        <w:t xml:space="preserve"> LY</w:t>
      </w:r>
      <w:r>
        <w:rPr>
          <w:rFonts w:ascii="Book Antiqua" w:eastAsia="Book Antiqua" w:hAnsi="Book Antiqua" w:cs="Book Antiqua"/>
          <w:color w:val="000000"/>
          <w:szCs w:val="20"/>
        </w:rPr>
        <w:t xml:space="preserve"> and </w:t>
      </w:r>
      <w:r w:rsidR="00752A89">
        <w:rPr>
          <w:rFonts w:ascii="Book Antiqua" w:eastAsia="Book Antiqua" w:hAnsi="Book Antiqua" w:cs="Book Antiqua"/>
          <w:color w:val="000000"/>
        </w:rPr>
        <w:t>Tang</w:t>
      </w:r>
      <w:r w:rsidR="00752A89">
        <w:rPr>
          <w:rFonts w:ascii="Book Antiqua" w:hAnsi="Book Antiqua" w:cs="Book Antiqua"/>
          <w:color w:val="000000"/>
          <w:lang w:eastAsia="zh-CN"/>
        </w:rPr>
        <w:t xml:space="preserve"> XY</w:t>
      </w:r>
      <w:r>
        <w:rPr>
          <w:rFonts w:ascii="Book Antiqua" w:eastAsia="Book Antiqua" w:hAnsi="Book Antiqua" w:cs="Book Antiqua"/>
          <w:color w:val="000000"/>
          <w:szCs w:val="20"/>
        </w:rPr>
        <w:t xml:space="preserve"> contributed to manuscript drafting; </w:t>
      </w:r>
      <w:r w:rsidR="00752A89">
        <w:rPr>
          <w:rFonts w:ascii="Book Antiqua" w:eastAsia="Book Antiqua" w:hAnsi="Book Antiqua" w:cs="Book Antiqua"/>
          <w:color w:val="000000"/>
        </w:rPr>
        <w:t>Tang</w:t>
      </w:r>
      <w:r w:rsidR="00752A89">
        <w:rPr>
          <w:rFonts w:ascii="Book Antiqua" w:hAnsi="Book Antiqua" w:cs="Book Antiqua" w:hint="eastAsia"/>
          <w:color w:val="000000"/>
          <w:lang w:eastAsia="zh-CN"/>
        </w:rPr>
        <w:t xml:space="preserve"> MJ</w:t>
      </w:r>
      <w:r>
        <w:rPr>
          <w:rFonts w:ascii="Book Antiqua" w:eastAsia="Book Antiqua" w:hAnsi="Book Antiqua" w:cs="Book Antiqua"/>
          <w:color w:val="000000"/>
          <w:szCs w:val="20"/>
        </w:rPr>
        <w:t xml:space="preserve"> was </w:t>
      </w:r>
      <w:r>
        <w:rPr>
          <w:rFonts w:ascii="Book Antiqua" w:eastAsia="Book Antiqua" w:hAnsi="Book Antiqua" w:cs="Book Antiqua"/>
          <w:color w:val="000000"/>
          <w:szCs w:val="20"/>
        </w:rPr>
        <w:lastRenderedPageBreak/>
        <w:t xml:space="preserve">responsible for the patient follow-up; </w:t>
      </w:r>
      <w:r w:rsidR="00752A89">
        <w:rPr>
          <w:rFonts w:ascii="Book Antiqua" w:eastAsia="Book Antiqua" w:hAnsi="Book Antiqua" w:cs="Book Antiqua"/>
          <w:color w:val="000000"/>
        </w:rPr>
        <w:t>Yu</w:t>
      </w:r>
      <w:r w:rsidR="00752A89">
        <w:rPr>
          <w:rFonts w:ascii="Book Antiqua" w:hAnsi="Book Antiqua" w:cs="Book Antiqua" w:hint="eastAsia"/>
          <w:color w:val="000000"/>
          <w:lang w:eastAsia="zh-CN"/>
        </w:rPr>
        <w:t xml:space="preserve"> XJ</w:t>
      </w:r>
      <w:r>
        <w:rPr>
          <w:rFonts w:ascii="Book Antiqua" w:eastAsia="Book Antiqua" w:hAnsi="Book Antiqua" w:cs="Book Antiqua"/>
          <w:color w:val="000000"/>
          <w:szCs w:val="20"/>
        </w:rPr>
        <w:t xml:space="preserve"> and </w:t>
      </w:r>
      <w:r w:rsidR="00752A89">
        <w:rPr>
          <w:rFonts w:ascii="Book Antiqua" w:eastAsia="Book Antiqua" w:hAnsi="Book Antiqua" w:cs="Book Antiqua"/>
          <w:color w:val="000000"/>
        </w:rPr>
        <w:t>Liu</w:t>
      </w:r>
      <w:r w:rsidR="00752A89">
        <w:rPr>
          <w:rFonts w:ascii="Book Antiqua" w:hAnsi="Book Antiqua" w:cs="Book Antiqua" w:hint="eastAsia"/>
          <w:color w:val="000000"/>
          <w:lang w:eastAsia="zh-CN"/>
        </w:rPr>
        <w:t xml:space="preserve"> Y</w:t>
      </w:r>
      <w:r>
        <w:rPr>
          <w:rFonts w:ascii="Book Antiqua" w:eastAsia="Book Antiqua" w:hAnsi="Book Antiqua" w:cs="Book Antiqua"/>
          <w:color w:val="000000"/>
          <w:szCs w:val="20"/>
        </w:rPr>
        <w:t xml:space="preserve"> were responsible for the r</w:t>
      </w:r>
      <w:r w:rsidR="00752A89">
        <w:rPr>
          <w:rFonts w:ascii="Book Antiqua" w:eastAsia="Book Antiqua" w:hAnsi="Book Antiqua" w:cs="Book Antiqua"/>
          <w:color w:val="000000"/>
          <w:szCs w:val="20"/>
        </w:rPr>
        <w:t>evision of the manuscript; all</w:t>
      </w:r>
      <w:r>
        <w:rPr>
          <w:rFonts w:ascii="Book Antiqua" w:eastAsia="Book Antiqua" w:hAnsi="Book Antiqua" w:cs="Book Antiqua"/>
          <w:color w:val="000000"/>
          <w:szCs w:val="20"/>
        </w:rPr>
        <w:t xml:space="preserve"> authors issued final approval for the version to be submitted.</w:t>
      </w:r>
    </w:p>
    <w:bookmarkEnd w:id="40"/>
    <w:bookmarkEnd w:id="41"/>
    <w:p w14:paraId="05E705D8" w14:textId="77777777" w:rsidR="00A77B3E" w:rsidRDefault="00A77B3E">
      <w:pPr>
        <w:spacing w:line="360" w:lineRule="auto"/>
        <w:jc w:val="both"/>
      </w:pPr>
    </w:p>
    <w:p w14:paraId="0AD7F65B" w14:textId="729844BB" w:rsidR="00A77B3E" w:rsidRDefault="009A0937">
      <w:pPr>
        <w:spacing w:line="360" w:lineRule="auto"/>
        <w:jc w:val="both"/>
      </w:pPr>
      <w:r>
        <w:rPr>
          <w:rFonts w:ascii="Book Antiqua" w:eastAsia="Book Antiqua" w:hAnsi="Book Antiqua" w:cs="Book Antiqua"/>
          <w:b/>
          <w:bCs/>
          <w:color w:val="000000"/>
          <w:szCs w:val="18"/>
        </w:rPr>
        <w:t xml:space="preserve">Supported by </w:t>
      </w:r>
      <w:bookmarkStart w:id="44" w:name="OLE_LINK88"/>
      <w:bookmarkStart w:id="45" w:name="OLE_LINK89"/>
      <w:r>
        <w:rPr>
          <w:rFonts w:ascii="Book Antiqua" w:eastAsia="Book Antiqua" w:hAnsi="Book Antiqua" w:cs="Book Antiqua"/>
          <w:color w:val="000000"/>
          <w:szCs w:val="20"/>
        </w:rPr>
        <w:t>the National Natur</w:t>
      </w:r>
      <w:r w:rsidR="003D2663">
        <w:rPr>
          <w:rFonts w:ascii="Book Antiqua" w:eastAsia="Book Antiqua" w:hAnsi="Book Antiqua" w:cs="Book Antiqua"/>
          <w:color w:val="000000"/>
          <w:szCs w:val="20"/>
        </w:rPr>
        <w:t>al Science Foundation of China</w:t>
      </w:r>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3D2663">
        <w:rPr>
          <w:rFonts w:ascii="Book Antiqua" w:hAnsi="Book Antiqua" w:cs="Book Antiqua" w:hint="eastAsia"/>
          <w:color w:val="000000"/>
          <w:szCs w:val="20"/>
          <w:lang w:eastAsia="zh-CN"/>
        </w:rPr>
        <w:t xml:space="preserve"> </w:t>
      </w:r>
      <w:r w:rsidR="003D2663">
        <w:rPr>
          <w:rFonts w:ascii="Book Antiqua" w:eastAsia="Book Antiqua" w:hAnsi="Book Antiqua" w:cs="Book Antiqua"/>
          <w:color w:val="000000"/>
          <w:szCs w:val="20"/>
        </w:rPr>
        <w:t>81770875</w:t>
      </w:r>
      <w:r w:rsidR="003D266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Post-Doctor Research Project, West Chin</w:t>
      </w:r>
      <w:r w:rsidR="003D2663">
        <w:rPr>
          <w:rFonts w:ascii="Book Antiqua" w:eastAsia="Book Antiqua" w:hAnsi="Book Antiqua" w:cs="Book Antiqua"/>
          <w:color w:val="000000"/>
          <w:szCs w:val="20"/>
        </w:rPr>
        <w:t>a Hospital, Sichuan University</w:t>
      </w:r>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No. 19HXBH053</w:t>
      </w:r>
      <w:r>
        <w:rPr>
          <w:rFonts w:ascii="Book Antiqua" w:eastAsia="Book Antiqua" w:hAnsi="Book Antiqua" w:cs="Book Antiqua"/>
          <w:color w:val="000000"/>
          <w:szCs w:val="20"/>
        </w:rPr>
        <w:t xml:space="preserve">; the Health and Family Planning </w:t>
      </w:r>
      <w:r w:rsidR="003D2663">
        <w:rPr>
          <w:rFonts w:ascii="Book Antiqua" w:eastAsia="Book Antiqua" w:hAnsi="Book Antiqua" w:cs="Book Antiqua"/>
          <w:color w:val="000000"/>
          <w:szCs w:val="20"/>
        </w:rPr>
        <w:t>Commission of Sichuan Province</w:t>
      </w:r>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No. 19PJ096</w:t>
      </w:r>
      <w:r w:rsidR="003D266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and the </w:t>
      </w:r>
      <w:bookmarkStart w:id="46" w:name="OLE_LINK68"/>
      <w:bookmarkStart w:id="47" w:name="OLE_LINK69"/>
      <w:r>
        <w:rPr>
          <w:rFonts w:ascii="Book Antiqua" w:eastAsia="Book Antiqua" w:hAnsi="Book Antiqua" w:cs="Book Antiqua"/>
          <w:color w:val="000000"/>
          <w:szCs w:val="20"/>
        </w:rPr>
        <w:t xml:space="preserve">1.3.5 </w:t>
      </w:r>
      <w:r w:rsidR="003D2663">
        <w:rPr>
          <w:rFonts w:ascii="Book Antiqua" w:eastAsia="Book Antiqua" w:hAnsi="Book Antiqua" w:cs="Book Antiqua"/>
          <w:color w:val="000000"/>
          <w:szCs w:val="20"/>
        </w:rPr>
        <w:t>Project</w:t>
      </w:r>
      <w:r>
        <w:rPr>
          <w:rFonts w:ascii="Book Antiqua" w:eastAsia="Book Antiqua" w:hAnsi="Book Antiqua" w:cs="Book Antiqua"/>
          <w:color w:val="000000"/>
          <w:szCs w:val="20"/>
        </w:rPr>
        <w:t xml:space="preserve"> for </w:t>
      </w:r>
      <w:r w:rsidR="003D2663">
        <w:rPr>
          <w:rFonts w:ascii="Book Antiqua" w:eastAsia="Book Antiqua" w:hAnsi="Book Antiqua" w:cs="Book Antiqua"/>
          <w:color w:val="000000"/>
          <w:szCs w:val="20"/>
        </w:rPr>
        <w:t xml:space="preserve">Disciplines </w:t>
      </w:r>
      <w:r>
        <w:rPr>
          <w:rFonts w:ascii="Book Antiqua" w:eastAsia="Book Antiqua" w:hAnsi="Book Antiqua" w:cs="Book Antiqua"/>
          <w:color w:val="000000"/>
          <w:szCs w:val="20"/>
        </w:rPr>
        <w:t xml:space="preserve">of </w:t>
      </w:r>
      <w:r w:rsidR="003D2663">
        <w:rPr>
          <w:rFonts w:ascii="Book Antiqua" w:eastAsia="Book Antiqua" w:hAnsi="Book Antiqua" w:cs="Book Antiqua"/>
          <w:color w:val="000000"/>
          <w:szCs w:val="20"/>
        </w:rPr>
        <w:t>Excellence</w:t>
      </w:r>
      <w:r>
        <w:rPr>
          <w:rFonts w:ascii="Book Antiqua" w:eastAsia="Book Antiqua" w:hAnsi="Book Antiqua" w:cs="Book Antiqua"/>
          <w:color w:val="000000"/>
          <w:szCs w:val="20"/>
        </w:rPr>
        <w:t>, West Chin</w:t>
      </w:r>
      <w:r w:rsidR="003D2663">
        <w:rPr>
          <w:rFonts w:ascii="Book Antiqua" w:eastAsia="Book Antiqua" w:hAnsi="Book Antiqua" w:cs="Book Antiqua"/>
          <w:color w:val="000000"/>
          <w:szCs w:val="20"/>
        </w:rPr>
        <w:t>a Hospital, Sichuan University</w:t>
      </w:r>
      <w:bookmarkEnd w:id="46"/>
      <w:bookmarkEnd w:id="47"/>
      <w:r w:rsidR="003D2663">
        <w:rPr>
          <w:rFonts w:ascii="Book Antiqua" w:hAnsi="Book Antiqua" w:cs="Book Antiqua" w:hint="eastAsia"/>
          <w:color w:val="000000"/>
          <w:szCs w:val="20"/>
          <w:lang w:eastAsia="zh-CN"/>
        </w:rPr>
        <w:t>,</w:t>
      </w:r>
      <w:r w:rsidR="003D2663">
        <w:rPr>
          <w:rFonts w:ascii="Book Antiqua" w:eastAsia="Book Antiqua" w:hAnsi="Book Antiqua" w:cs="Book Antiqua"/>
          <w:color w:val="000000"/>
          <w:szCs w:val="20"/>
        </w:rPr>
        <w:t xml:space="preserve"> </w:t>
      </w:r>
      <w:r w:rsidR="003D2663">
        <w:rPr>
          <w:rFonts w:ascii="Book Antiqua" w:hAnsi="Book Antiqua" w:cs="Book Antiqua" w:hint="eastAsia"/>
          <w:color w:val="000000"/>
          <w:szCs w:val="20"/>
          <w:lang w:eastAsia="zh-CN"/>
        </w:rPr>
        <w:t xml:space="preserve">No. </w:t>
      </w:r>
      <w:r w:rsidR="003D2663">
        <w:rPr>
          <w:rFonts w:ascii="Book Antiqua" w:eastAsia="Book Antiqua" w:hAnsi="Book Antiqua" w:cs="Book Antiqua"/>
          <w:color w:val="000000"/>
          <w:szCs w:val="20"/>
        </w:rPr>
        <w:t>2020HXFH008</w:t>
      </w:r>
      <w:r w:rsidR="003D2663">
        <w:rPr>
          <w:rFonts w:ascii="Book Antiqua" w:hAnsi="Book Antiqua" w:cs="Book Antiqua" w:hint="eastAsia"/>
          <w:color w:val="000000"/>
          <w:szCs w:val="20"/>
          <w:lang w:eastAsia="zh-CN"/>
        </w:rPr>
        <w:t xml:space="preserve"> and</w:t>
      </w:r>
      <w:r w:rsidR="003D2663">
        <w:rPr>
          <w:rFonts w:ascii="Book Antiqua" w:eastAsia="Book Antiqua" w:hAnsi="Book Antiqua" w:cs="Book Antiqua"/>
          <w:color w:val="000000"/>
          <w:szCs w:val="20"/>
        </w:rPr>
        <w:t xml:space="preserve"> </w:t>
      </w:r>
      <w:bookmarkStart w:id="48" w:name="OLE_LINK70"/>
      <w:r w:rsidR="00FD1C0F">
        <w:rPr>
          <w:rFonts w:ascii="Book Antiqua" w:eastAsia="Book Antiqua" w:hAnsi="Book Antiqua" w:cs="Book Antiqua"/>
          <w:color w:val="000000"/>
          <w:szCs w:val="20"/>
        </w:rPr>
        <w:t xml:space="preserve">No. </w:t>
      </w:r>
      <w:r w:rsidR="003D2663">
        <w:rPr>
          <w:rFonts w:ascii="Book Antiqua" w:eastAsia="Book Antiqua" w:hAnsi="Book Antiqua" w:cs="Book Antiqua"/>
          <w:color w:val="000000"/>
          <w:szCs w:val="20"/>
        </w:rPr>
        <w:t>ZYJC18003</w:t>
      </w:r>
      <w:bookmarkEnd w:id="48"/>
      <w:r>
        <w:rPr>
          <w:rFonts w:ascii="Book Antiqua" w:eastAsia="Book Antiqua" w:hAnsi="Book Antiqua" w:cs="Book Antiqua"/>
          <w:color w:val="000000"/>
          <w:szCs w:val="20"/>
        </w:rPr>
        <w:t>.</w:t>
      </w:r>
    </w:p>
    <w:bookmarkEnd w:id="44"/>
    <w:bookmarkEnd w:id="45"/>
    <w:p w14:paraId="1A12AE18" w14:textId="77777777" w:rsidR="00A77B3E" w:rsidRDefault="00A77B3E">
      <w:pPr>
        <w:spacing w:line="360" w:lineRule="auto"/>
        <w:jc w:val="both"/>
      </w:pPr>
    </w:p>
    <w:p w14:paraId="59AD8890" w14:textId="77777777" w:rsidR="00A77B3E" w:rsidRDefault="00EB7EA3">
      <w:pPr>
        <w:spacing w:line="360" w:lineRule="auto"/>
        <w:jc w:val="both"/>
      </w:pPr>
      <w:r>
        <w:rPr>
          <w:rFonts w:ascii="Book Antiqua" w:eastAsia="Book Antiqua" w:hAnsi="Book Antiqua" w:cs="Book Antiqua"/>
          <w:b/>
          <w:bCs/>
          <w:color w:val="000000"/>
        </w:rPr>
        <w:t>Corresponding author: Xi</w:t>
      </w:r>
      <w:r>
        <w:rPr>
          <w:rFonts w:ascii="Book Antiqua" w:hAnsi="Book Antiqua" w:cs="Book Antiqua" w:hint="eastAsia"/>
          <w:b/>
          <w:bCs/>
          <w:color w:val="000000"/>
          <w:lang w:eastAsia="zh-CN"/>
        </w:rPr>
        <w:t>-J</w:t>
      </w:r>
      <w:r w:rsidR="009A0937">
        <w:rPr>
          <w:rFonts w:ascii="Book Antiqua" w:eastAsia="Book Antiqua" w:hAnsi="Book Antiqua" w:cs="Book Antiqua"/>
          <w:b/>
          <w:bCs/>
          <w:color w:val="000000"/>
        </w:rPr>
        <w:t xml:space="preserve">ie Yu, MD, PhD, Professor, </w:t>
      </w:r>
      <w:r w:rsidR="009A0937">
        <w:rPr>
          <w:rFonts w:ascii="Book Antiqua" w:eastAsia="Book Antiqua" w:hAnsi="Book Antiqua" w:cs="Book Antiqua"/>
          <w:color w:val="000000"/>
        </w:rPr>
        <w:t>Department of Endocrinology, Laboratory of Endocrinology and Metabolism, West China Hospital, Sichuan University, No. 37 Guoxue Xiang, Chengdu 610041, Sichuan</w:t>
      </w:r>
      <w:r w:rsidRPr="00EB7EA3">
        <w:rPr>
          <w:rFonts w:ascii="Book Antiqua" w:hAnsi="Book Antiqua" w:cs="Book Antiqua"/>
          <w:color w:val="000000"/>
          <w:lang w:eastAsia="zh-CN"/>
        </w:rPr>
        <w:t xml:space="preserve"> </w:t>
      </w:r>
      <w:r>
        <w:rPr>
          <w:rFonts w:ascii="Book Antiqua" w:hAnsi="Book Antiqua" w:cs="Book Antiqua"/>
          <w:color w:val="000000"/>
          <w:lang w:eastAsia="zh-CN"/>
        </w:rPr>
        <w:t>Province</w:t>
      </w:r>
      <w:r w:rsidR="009A0937">
        <w:rPr>
          <w:rFonts w:ascii="Book Antiqua" w:eastAsia="Book Antiqua" w:hAnsi="Book Antiqua" w:cs="Book Antiqua"/>
          <w:color w:val="000000"/>
        </w:rPr>
        <w:t>, China. xijieyu@hotmail.com</w:t>
      </w:r>
    </w:p>
    <w:p w14:paraId="715CDED7" w14:textId="77777777" w:rsidR="00A77B3E" w:rsidRDefault="00A77B3E">
      <w:pPr>
        <w:spacing w:line="360" w:lineRule="auto"/>
        <w:jc w:val="both"/>
      </w:pPr>
    </w:p>
    <w:p w14:paraId="12DDD8D7" w14:textId="77777777" w:rsidR="00A77B3E" w:rsidRDefault="009A09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2021</w:t>
      </w:r>
    </w:p>
    <w:p w14:paraId="63D477F6" w14:textId="77777777" w:rsidR="00A77B3E" w:rsidRPr="00993E34" w:rsidRDefault="009A0937">
      <w:pPr>
        <w:spacing w:line="360" w:lineRule="auto"/>
        <w:jc w:val="both"/>
        <w:rPr>
          <w:lang w:eastAsia="zh-CN"/>
        </w:rPr>
      </w:pPr>
      <w:r>
        <w:rPr>
          <w:rFonts w:ascii="Book Antiqua" w:eastAsia="Book Antiqua" w:hAnsi="Book Antiqua" w:cs="Book Antiqua"/>
          <w:b/>
          <w:bCs/>
          <w:color w:val="000000"/>
        </w:rPr>
        <w:t xml:space="preserve">Revised: </w:t>
      </w:r>
      <w:r w:rsidR="00993E34" w:rsidRPr="00993E34">
        <w:rPr>
          <w:rFonts w:ascii="Book Antiqua" w:hAnsi="Book Antiqua" w:cs="Book Antiqua" w:hint="eastAsia"/>
          <w:bCs/>
          <w:color w:val="000000"/>
          <w:lang w:eastAsia="zh-CN"/>
        </w:rPr>
        <w:t>April 7, 2021</w:t>
      </w:r>
    </w:p>
    <w:p w14:paraId="690AF99F" w14:textId="1E4C62EF" w:rsidR="00A77B3E" w:rsidRDefault="009A0937">
      <w:pPr>
        <w:spacing w:line="360" w:lineRule="auto"/>
        <w:jc w:val="both"/>
      </w:pPr>
      <w:r>
        <w:rPr>
          <w:rFonts w:ascii="Book Antiqua" w:eastAsia="Book Antiqua" w:hAnsi="Book Antiqua" w:cs="Book Antiqua"/>
          <w:b/>
          <w:bCs/>
          <w:color w:val="000000"/>
        </w:rPr>
        <w:t xml:space="preserve">Accepted: </w:t>
      </w:r>
      <w:r w:rsidR="00CF7B4A" w:rsidRPr="00CF7B4A">
        <w:rPr>
          <w:rFonts w:ascii="Book Antiqua" w:eastAsia="Book Antiqua" w:hAnsi="Book Antiqua" w:cs="Book Antiqua"/>
          <w:color w:val="000000"/>
        </w:rPr>
        <w:t>May 8, 2021</w:t>
      </w:r>
    </w:p>
    <w:p w14:paraId="6517401F" w14:textId="77777777" w:rsidR="00A77B3E" w:rsidRDefault="009A0937">
      <w:pPr>
        <w:spacing w:line="360" w:lineRule="auto"/>
        <w:jc w:val="both"/>
      </w:pPr>
      <w:r>
        <w:rPr>
          <w:rFonts w:ascii="Book Antiqua" w:eastAsia="Book Antiqua" w:hAnsi="Book Antiqua" w:cs="Book Antiqua"/>
          <w:b/>
          <w:bCs/>
          <w:color w:val="000000"/>
        </w:rPr>
        <w:t xml:space="preserve">Published online: </w:t>
      </w:r>
    </w:p>
    <w:p w14:paraId="4803CCA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4CF62B5" w14:textId="77777777" w:rsidR="00A77B3E" w:rsidRDefault="009A0937">
      <w:pPr>
        <w:spacing w:line="360" w:lineRule="auto"/>
        <w:jc w:val="both"/>
      </w:pPr>
      <w:r>
        <w:rPr>
          <w:rFonts w:ascii="Book Antiqua" w:eastAsia="Book Antiqua" w:hAnsi="Book Antiqua" w:cs="Book Antiqua"/>
          <w:b/>
          <w:color w:val="000000"/>
        </w:rPr>
        <w:lastRenderedPageBreak/>
        <w:t>Abstract</w:t>
      </w:r>
    </w:p>
    <w:p w14:paraId="330AA880" w14:textId="77777777" w:rsidR="00A77B3E" w:rsidRDefault="009A0937">
      <w:pPr>
        <w:spacing w:line="360" w:lineRule="auto"/>
        <w:jc w:val="both"/>
      </w:pPr>
      <w:r>
        <w:rPr>
          <w:rFonts w:ascii="Book Antiqua" w:eastAsia="Book Antiqua" w:hAnsi="Book Antiqua" w:cs="Book Antiqua"/>
          <w:color w:val="000000"/>
        </w:rPr>
        <w:t>BACKGROUND</w:t>
      </w:r>
    </w:p>
    <w:p w14:paraId="3AEEFBCF" w14:textId="63E402B0" w:rsidR="00A77B3E" w:rsidRDefault="009A0937">
      <w:pPr>
        <w:spacing w:line="360" w:lineRule="auto"/>
        <w:jc w:val="both"/>
      </w:pPr>
      <w:bookmarkStart w:id="49" w:name="OLE_LINK55"/>
      <w:bookmarkStart w:id="50" w:name="OLE_LINK56"/>
      <w:bookmarkStart w:id="51" w:name="OLE_LINK90"/>
      <w:bookmarkStart w:id="52" w:name="OLE_LINK91"/>
      <w:r>
        <w:rPr>
          <w:rFonts w:ascii="Book Antiqua" w:eastAsia="Book Antiqua" w:hAnsi="Book Antiqua" w:cs="Book Antiqua"/>
          <w:color w:val="000000"/>
          <w:szCs w:val="20"/>
        </w:rPr>
        <w:t>Pyogenic arthritis, pyoderma gangrenosum, and acne</w:t>
      </w:r>
      <w:bookmarkEnd w:id="49"/>
      <w:bookmarkEnd w:id="50"/>
      <w:r>
        <w:rPr>
          <w:rFonts w:ascii="Book Antiqua" w:eastAsia="Book Antiqua" w:hAnsi="Book Antiqua" w:cs="Book Antiqua"/>
          <w:color w:val="000000"/>
          <w:szCs w:val="20"/>
        </w:rPr>
        <w:t xml:space="preserve"> (</w:t>
      </w:r>
      <w:bookmarkStart w:id="53" w:name="OLE_LINK1"/>
      <w:bookmarkStart w:id="54" w:name="OLE_LINK2"/>
      <w:r>
        <w:rPr>
          <w:rFonts w:ascii="Book Antiqua" w:eastAsia="Book Antiqua" w:hAnsi="Book Antiqua" w:cs="Book Antiqua"/>
          <w:color w:val="000000"/>
          <w:szCs w:val="20"/>
        </w:rPr>
        <w:t>PAPA</w:t>
      </w:r>
      <w:bookmarkEnd w:id="53"/>
      <w:bookmarkEnd w:id="54"/>
      <w:r>
        <w:rPr>
          <w:rFonts w:ascii="Book Antiqua" w:eastAsia="Book Antiqua" w:hAnsi="Book Antiqua" w:cs="Book Antiqua"/>
          <w:color w:val="000000"/>
          <w:szCs w:val="20"/>
        </w:rPr>
        <w:t xml:space="preserve">) syndrome is a rare autosomal dominant genetic disease characterized by severe autoimmune inflammation, caused by mutations in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Due to PAPA heterogeneous clinical manifestation, misdiagnosis or delayed </w:t>
      </w:r>
      <w:r w:rsidR="002140FE">
        <w:rPr>
          <w:rFonts w:ascii="Book Antiqua" w:eastAsia="Book Antiqua" w:hAnsi="Book Antiqua" w:cs="Book Antiqua"/>
          <w:color w:val="000000"/>
          <w:szCs w:val="20"/>
        </w:rPr>
        <w:t>diagnoses are</w:t>
      </w:r>
      <w:r>
        <w:rPr>
          <w:rFonts w:ascii="Book Antiqua" w:eastAsia="Book Antiqua" w:hAnsi="Book Antiqua" w:cs="Book Antiqua"/>
          <w:color w:val="000000"/>
          <w:szCs w:val="20"/>
        </w:rPr>
        <w:t xml:space="preserve"> difficult to avoid. With the use of whole-exome sequencing, we identified a missense mutation in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in a Chinese family. To the best of our knowledge, this is the first case of PAPA reported in China.</w:t>
      </w:r>
    </w:p>
    <w:bookmarkEnd w:id="51"/>
    <w:bookmarkEnd w:id="52"/>
    <w:p w14:paraId="7D3F0EB6" w14:textId="77777777" w:rsidR="00A77B3E" w:rsidRDefault="00A77B3E">
      <w:pPr>
        <w:spacing w:line="360" w:lineRule="auto"/>
        <w:jc w:val="both"/>
      </w:pPr>
    </w:p>
    <w:p w14:paraId="77244623" w14:textId="77777777" w:rsidR="00A77B3E" w:rsidRDefault="009A0937">
      <w:pPr>
        <w:spacing w:line="360" w:lineRule="auto"/>
        <w:jc w:val="both"/>
      </w:pPr>
      <w:r>
        <w:rPr>
          <w:rFonts w:ascii="Book Antiqua" w:eastAsia="Book Antiqua" w:hAnsi="Book Antiqua" w:cs="Book Antiqua"/>
          <w:color w:val="000000"/>
        </w:rPr>
        <w:t>CASE SUMMARY</w:t>
      </w:r>
    </w:p>
    <w:p w14:paraId="45A3ADD1" w14:textId="486449ED" w:rsidR="00A77B3E" w:rsidRPr="000E5721" w:rsidRDefault="009A0937">
      <w:pPr>
        <w:spacing w:line="360" w:lineRule="auto"/>
        <w:jc w:val="both"/>
        <w:rPr>
          <w:lang w:eastAsia="zh-CN"/>
        </w:rPr>
      </w:pPr>
      <w:bookmarkStart w:id="55" w:name="OLE_LINK92"/>
      <w:bookmarkStart w:id="56" w:name="OLE_LINK93"/>
      <w:r>
        <w:rPr>
          <w:rFonts w:ascii="Book Antiqua" w:eastAsia="Book Antiqua" w:hAnsi="Book Antiqua" w:cs="Book Antiqua"/>
          <w:color w:val="000000"/>
          <w:szCs w:val="20"/>
        </w:rPr>
        <w:t xml:space="preserve">A 9-year-old boy suffered from recurrent aseptic pyogenic arthritis triggered by minor trauma or few obvious predisposing causes for more than 3 years. Pyogenic arthritis occurred every </w:t>
      </w:r>
      <w:r w:rsidR="006B43F5">
        <w:rPr>
          <w:rFonts w:ascii="Book Antiqua" w:eastAsia="Book Antiqua" w:hAnsi="Book Antiqua" w:cs="Book Antiqua"/>
          <w:color w:val="000000"/>
          <w:szCs w:val="20"/>
        </w:rPr>
        <w:t>3-5 mo</w:t>
      </w:r>
      <w:r>
        <w:rPr>
          <w:rFonts w:ascii="Book Antiqua" w:eastAsia="Book Antiqua" w:hAnsi="Book Antiqua" w:cs="Book Antiqua"/>
          <w:color w:val="000000"/>
          <w:szCs w:val="20"/>
        </w:rPr>
        <w:t>, affecting his knees, elbows, and ankle joints. Treatments, such as glucocorticoids, antibiotics, even surgeries could alleviate joints pain and swelling to some extent but could not inhibit the recurrence of arthritis. Similar symptoms were present in his younger brother but not in his parents. According to the whole-exome sequencing, a missense mutation in exon 11 of the</w:t>
      </w:r>
      <w:r>
        <w:rPr>
          <w:rFonts w:ascii="Book Antiqua" w:eastAsia="Book Antiqua" w:hAnsi="Book Antiqua" w:cs="Book Antiqua"/>
          <w:i/>
          <w:iCs/>
          <w:color w:val="000000"/>
          <w:szCs w:val="20"/>
        </w:rPr>
        <w:t xml:space="preserve"> PSTPIP1</w:t>
      </w:r>
      <w:r>
        <w:rPr>
          <w:rFonts w:ascii="Book Antiqua" w:eastAsia="Book Antiqua" w:hAnsi="Book Antiqua" w:cs="Book Antiqua"/>
          <w:color w:val="000000"/>
          <w:szCs w:val="20"/>
        </w:rPr>
        <w:t xml:space="preserve"> gene (c.748G</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 p.E250Q) was detected in the boy, his younger brother and his father. Taking into account the similar phenotypic features with PAPA syndrome reported </w:t>
      </w:r>
      <w:r w:rsidR="006B43F5">
        <w:rPr>
          <w:rFonts w:ascii="Book Antiqua" w:eastAsia="Book Antiqua" w:hAnsi="Book Antiqua" w:cs="Book Antiqua"/>
          <w:color w:val="000000"/>
          <w:szCs w:val="20"/>
        </w:rPr>
        <w:t>previously</w:t>
      </w:r>
      <w:r>
        <w:rPr>
          <w:rFonts w:ascii="Book Antiqua" w:eastAsia="Book Antiqua" w:hAnsi="Book Antiqua" w:cs="Book Antiqua"/>
          <w:color w:val="000000"/>
          <w:szCs w:val="20"/>
        </w:rPr>
        <w:t>, we confirmed a diagnosis of PAPA syndrome for the family.</w:t>
      </w:r>
    </w:p>
    <w:bookmarkEnd w:id="55"/>
    <w:bookmarkEnd w:id="56"/>
    <w:p w14:paraId="33500391" w14:textId="77777777" w:rsidR="00A77B3E" w:rsidRDefault="00A77B3E">
      <w:pPr>
        <w:spacing w:line="360" w:lineRule="auto"/>
        <w:jc w:val="both"/>
      </w:pPr>
    </w:p>
    <w:p w14:paraId="1FA5A6F2" w14:textId="77777777" w:rsidR="00A77B3E" w:rsidRDefault="009A0937">
      <w:pPr>
        <w:spacing w:line="360" w:lineRule="auto"/>
        <w:jc w:val="both"/>
      </w:pPr>
      <w:r>
        <w:rPr>
          <w:rFonts w:ascii="Book Antiqua" w:eastAsia="Book Antiqua" w:hAnsi="Book Antiqua" w:cs="Book Antiqua"/>
          <w:color w:val="000000"/>
        </w:rPr>
        <w:t>CONCLUSION</w:t>
      </w:r>
    </w:p>
    <w:p w14:paraId="31026084" w14:textId="412FCEEC" w:rsidR="00A77B3E" w:rsidRDefault="009A0937">
      <w:pPr>
        <w:spacing w:line="360" w:lineRule="auto"/>
        <w:jc w:val="both"/>
      </w:pPr>
      <w:bookmarkStart w:id="57" w:name="OLE_LINK94"/>
      <w:bookmarkStart w:id="58" w:name="OLE_LINK95"/>
      <w:r>
        <w:rPr>
          <w:rFonts w:ascii="Book Antiqua" w:eastAsia="Book Antiqua" w:hAnsi="Book Antiqua" w:cs="Book Antiqua"/>
          <w:color w:val="000000"/>
          <w:szCs w:val="20"/>
        </w:rPr>
        <w:t>In this case, a missense mutation (c.748G</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6B43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 p.E250Q) in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was identified in a Chinese family with PAPA syndrome. Previous studies emphasize the fact that PAPA syndrome is hard to diagnose just through the clinical manifestations owing to its heterogeneous expression. Genetic testing is an effectual auxiliary diagnostic method, especially in the early stages of pyogenic arthritis. Only if we have a deep understanding and rich experience of this rare disease can we make a prompt diagnosis, develop the best clinical treatment plan, and give good fertility guidance.</w:t>
      </w:r>
    </w:p>
    <w:bookmarkEnd w:id="57"/>
    <w:bookmarkEnd w:id="58"/>
    <w:p w14:paraId="433D702F" w14:textId="77777777" w:rsidR="00A77B3E" w:rsidRDefault="00A77B3E">
      <w:pPr>
        <w:spacing w:line="360" w:lineRule="auto"/>
        <w:jc w:val="both"/>
      </w:pPr>
    </w:p>
    <w:p w14:paraId="270598D0" w14:textId="77777777" w:rsidR="00A77B3E" w:rsidRDefault="009A0937">
      <w:pPr>
        <w:spacing w:line="360" w:lineRule="auto"/>
        <w:jc w:val="both"/>
      </w:pPr>
      <w:r>
        <w:rPr>
          <w:rFonts w:ascii="Book Antiqua" w:eastAsia="Book Antiqua" w:hAnsi="Book Antiqua" w:cs="Book Antiqua"/>
          <w:b/>
          <w:bCs/>
          <w:color w:val="000000"/>
        </w:rPr>
        <w:t xml:space="preserve">Key Words: </w:t>
      </w:r>
      <w:bookmarkStart w:id="59" w:name="OLE_LINK73"/>
      <w:bookmarkStart w:id="60" w:name="OLE_LINK74"/>
      <w:bookmarkStart w:id="61" w:name="OLE_LINK80"/>
      <w:bookmarkStart w:id="62" w:name="OLE_LINK81"/>
      <w:bookmarkStart w:id="63" w:name="OLE_LINK82"/>
      <w:r w:rsidR="00411F05">
        <w:rPr>
          <w:rFonts w:ascii="Book Antiqua" w:hAnsi="Book Antiqua" w:cs="Book Antiqua" w:hint="eastAsia"/>
          <w:color w:val="000000"/>
          <w:lang w:eastAsia="zh-CN"/>
        </w:rPr>
        <w:t>P</w:t>
      </w:r>
      <w:r>
        <w:rPr>
          <w:rFonts w:ascii="Book Antiqua" w:eastAsia="Book Antiqua" w:hAnsi="Book Antiqua" w:cs="Book Antiqua"/>
          <w:color w:val="000000"/>
        </w:rPr>
        <w:t xml:space="preserve">yogenic arthritis, pyoderma gangrenosum, and acne syndrome; </w:t>
      </w:r>
      <w:r w:rsidRPr="00411F05">
        <w:rPr>
          <w:rFonts w:ascii="Book Antiqua" w:eastAsia="Book Antiqua" w:hAnsi="Book Antiqua" w:cs="Book Antiqua"/>
          <w:i/>
          <w:color w:val="000000"/>
        </w:rPr>
        <w:t>PSTPIP1</w:t>
      </w:r>
      <w:r w:rsidR="00411F05">
        <w:rPr>
          <w:rFonts w:ascii="Book Antiqua" w:eastAsia="Book Antiqua" w:hAnsi="Book Antiqua" w:cs="Book Antiqua"/>
          <w:color w:val="000000"/>
        </w:rPr>
        <w:t xml:space="preserve">; </w:t>
      </w:r>
      <w:r w:rsidR="00411F05">
        <w:rPr>
          <w:rFonts w:ascii="Book Antiqua" w:hAnsi="Book Antiqua" w:cs="Book Antiqua" w:hint="eastAsia"/>
          <w:color w:val="000000"/>
          <w:lang w:eastAsia="zh-CN"/>
        </w:rPr>
        <w:t>A</w:t>
      </w:r>
      <w:r w:rsidR="00411F05">
        <w:rPr>
          <w:rFonts w:ascii="Book Antiqua" w:eastAsia="Book Antiqua" w:hAnsi="Book Antiqua" w:cs="Book Antiqua"/>
          <w:color w:val="000000"/>
        </w:rPr>
        <w:t xml:space="preserve">utoinflammatory disease; </w:t>
      </w:r>
      <w:r w:rsidR="00411F05">
        <w:rPr>
          <w:rFonts w:ascii="Book Antiqua" w:hAnsi="Book Antiqua" w:cs="Book Antiqua" w:hint="eastAsia"/>
          <w:color w:val="000000"/>
          <w:lang w:eastAsia="zh-CN"/>
        </w:rPr>
        <w:t>R</w:t>
      </w:r>
      <w:r w:rsidR="00411F05">
        <w:rPr>
          <w:rFonts w:ascii="Book Antiqua" w:eastAsia="Book Antiqua" w:hAnsi="Book Antiqua" w:cs="Book Antiqua"/>
          <w:color w:val="000000"/>
        </w:rPr>
        <w:t xml:space="preserve">are disease; </w:t>
      </w:r>
      <w:r w:rsidR="00411F05">
        <w:rPr>
          <w:rFonts w:ascii="Book Antiqua" w:hAnsi="Book Antiqua" w:cs="Book Antiqua" w:hint="eastAsia"/>
          <w:color w:val="000000"/>
          <w:lang w:eastAsia="zh-CN"/>
        </w:rPr>
        <w:t>C</w:t>
      </w:r>
      <w:r>
        <w:rPr>
          <w:rFonts w:ascii="Book Antiqua" w:eastAsia="Book Antiqua" w:hAnsi="Book Antiqua" w:cs="Book Antiqua"/>
          <w:color w:val="000000"/>
        </w:rPr>
        <w:t>ase report</w:t>
      </w:r>
    </w:p>
    <w:bookmarkEnd w:id="59"/>
    <w:bookmarkEnd w:id="60"/>
    <w:bookmarkEnd w:id="61"/>
    <w:bookmarkEnd w:id="62"/>
    <w:bookmarkEnd w:id="63"/>
    <w:p w14:paraId="1CC41FF5" w14:textId="77777777" w:rsidR="00A77B3E" w:rsidRDefault="00A77B3E">
      <w:pPr>
        <w:spacing w:line="360" w:lineRule="auto"/>
        <w:jc w:val="both"/>
      </w:pPr>
    </w:p>
    <w:p w14:paraId="2B0ABCEB" w14:textId="1D60C7EE" w:rsidR="00A77B3E" w:rsidRDefault="009A0937">
      <w:pPr>
        <w:spacing w:line="360" w:lineRule="auto"/>
        <w:jc w:val="both"/>
      </w:pPr>
      <w:bookmarkStart w:id="64" w:name="OLE_LINK75"/>
      <w:bookmarkStart w:id="65" w:name="OLE_LINK76"/>
      <w:r>
        <w:rPr>
          <w:rFonts w:ascii="Book Antiqua" w:eastAsia="Book Antiqua" w:hAnsi="Book Antiqua" w:cs="Book Antiqua"/>
          <w:color w:val="000000"/>
        </w:rPr>
        <w:t>Lu L</w:t>
      </w:r>
      <w:r w:rsidR="00E32A24">
        <w:rPr>
          <w:rFonts w:ascii="Book Antiqua" w:hAnsi="Book Antiqua" w:cs="Book Antiqua" w:hint="eastAsia"/>
          <w:color w:val="000000"/>
          <w:lang w:eastAsia="zh-CN"/>
        </w:rPr>
        <w:t>Y</w:t>
      </w:r>
      <w:r>
        <w:rPr>
          <w:rFonts w:ascii="Book Antiqua" w:eastAsia="Book Antiqua" w:hAnsi="Book Antiqua" w:cs="Book Antiqua"/>
          <w:color w:val="000000"/>
        </w:rPr>
        <w:t>, Tang X</w:t>
      </w:r>
      <w:r w:rsidR="00E32A24">
        <w:rPr>
          <w:rFonts w:ascii="Book Antiqua" w:hAnsi="Book Antiqua" w:cs="Book Antiqua" w:hint="eastAsia"/>
          <w:color w:val="000000"/>
          <w:lang w:eastAsia="zh-CN"/>
        </w:rPr>
        <w:t>Y</w:t>
      </w:r>
      <w:r>
        <w:rPr>
          <w:rFonts w:ascii="Book Antiqua" w:eastAsia="Book Antiqua" w:hAnsi="Book Antiqua" w:cs="Book Antiqua"/>
          <w:color w:val="000000"/>
        </w:rPr>
        <w:t>, Luo G</w:t>
      </w:r>
      <w:r w:rsidR="00E32A24">
        <w:rPr>
          <w:rFonts w:ascii="Book Antiqua" w:hAnsi="Book Antiqua" w:cs="Book Antiqua" w:hint="eastAsia"/>
          <w:color w:val="000000"/>
          <w:lang w:eastAsia="zh-CN"/>
        </w:rPr>
        <w:t>J</w:t>
      </w:r>
      <w:r>
        <w:rPr>
          <w:rFonts w:ascii="Book Antiqua" w:eastAsia="Book Antiqua" w:hAnsi="Book Antiqua" w:cs="Book Antiqua"/>
          <w:color w:val="000000"/>
        </w:rPr>
        <w:t>, Tang M</w:t>
      </w:r>
      <w:r w:rsidR="00E32A24">
        <w:rPr>
          <w:rFonts w:ascii="Book Antiqua" w:hAnsi="Book Antiqua" w:cs="Book Antiqua" w:hint="eastAsia"/>
          <w:color w:val="000000"/>
          <w:lang w:eastAsia="zh-CN"/>
        </w:rPr>
        <w:t>J</w:t>
      </w:r>
      <w:r>
        <w:rPr>
          <w:rFonts w:ascii="Book Antiqua" w:eastAsia="Book Antiqua" w:hAnsi="Book Antiqua" w:cs="Book Antiqua"/>
          <w:color w:val="000000"/>
        </w:rPr>
        <w:t>, Liu Y, Yu X</w:t>
      </w:r>
      <w:r w:rsidR="00E32A24">
        <w:rPr>
          <w:rFonts w:ascii="Book Antiqua" w:hAnsi="Book Antiqua" w:cs="Book Antiqua" w:hint="eastAsia"/>
          <w:color w:val="000000"/>
          <w:lang w:eastAsia="zh-CN"/>
        </w:rPr>
        <w:t>J</w:t>
      </w:r>
      <w:r>
        <w:rPr>
          <w:rFonts w:ascii="Book Antiqua" w:eastAsia="Book Antiqua" w:hAnsi="Book Antiqua" w:cs="Book Antiqua"/>
          <w:color w:val="000000"/>
        </w:rPr>
        <w:t>. Pyogenic</w:t>
      </w:r>
      <w:r w:rsidR="00F957FD">
        <w:rPr>
          <w:rFonts w:ascii="Book Antiqua" w:eastAsia="Book Antiqua" w:hAnsi="Book Antiqua" w:cs="Book Antiqua"/>
          <w:color w:val="000000"/>
        </w:rPr>
        <w:t xml:space="preserve"> arthritis, pyoderma gangrenosum, and acne syndrome in a</w:t>
      </w:r>
      <w:r>
        <w:rPr>
          <w:rFonts w:ascii="Book Antiqua" w:eastAsia="Book Antiqua" w:hAnsi="Book Antiqua" w:cs="Book Antiqua"/>
          <w:color w:val="000000"/>
        </w:rPr>
        <w:t xml:space="preserve"> Chinese </w:t>
      </w:r>
      <w:r w:rsidR="00F957FD">
        <w:rPr>
          <w:rFonts w:ascii="Book Antiqua" w:eastAsia="Book Antiqua" w:hAnsi="Book Antiqua" w:cs="Book Antiqua"/>
          <w:color w:val="000000"/>
        </w:rPr>
        <w:t>family</w:t>
      </w:r>
      <w:r>
        <w:rPr>
          <w:rFonts w:ascii="Book Antiqua" w:eastAsia="Book Antiqua" w:hAnsi="Book Antiqua" w:cs="Book Antiqua"/>
          <w:color w:val="000000"/>
        </w:rPr>
        <w:t xml:space="preserve">: A </w:t>
      </w:r>
      <w:r w:rsidR="00F957FD">
        <w:rPr>
          <w:rFonts w:ascii="Book Antiqua" w:eastAsia="Book Antiqua" w:hAnsi="Book Antiqua" w:cs="Book Antiqua"/>
          <w:color w:val="000000"/>
        </w:rPr>
        <w:t xml:space="preserve">case report and </w:t>
      </w:r>
      <w:r w:rsidR="00FD1C0F">
        <w:rPr>
          <w:rFonts w:ascii="Book Antiqua" w:eastAsia="Book Antiqua" w:hAnsi="Book Antiqua" w:cs="Book Antiqua"/>
          <w:color w:val="000000"/>
        </w:rPr>
        <w:t xml:space="preserve">review of </w:t>
      </w:r>
      <w:r w:rsidR="00F957FD">
        <w:rPr>
          <w:rFonts w:ascii="Book Antiqua" w:eastAsia="Book Antiqua" w:hAnsi="Book Antiqua" w:cs="Book Antiqua"/>
          <w:color w:val="000000"/>
        </w:rPr>
        <w:t>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64"/>
    <w:bookmarkEnd w:id="65"/>
    <w:p w14:paraId="55FE3EB7" w14:textId="77777777" w:rsidR="00A77B3E" w:rsidRDefault="00A77B3E">
      <w:pPr>
        <w:spacing w:line="360" w:lineRule="auto"/>
        <w:jc w:val="both"/>
      </w:pPr>
    </w:p>
    <w:p w14:paraId="15B8C6ED" w14:textId="144EA762" w:rsidR="00A77B3E" w:rsidRDefault="009A0937">
      <w:pPr>
        <w:spacing w:line="360" w:lineRule="auto"/>
        <w:jc w:val="both"/>
      </w:pPr>
      <w:r>
        <w:rPr>
          <w:rFonts w:ascii="Book Antiqua" w:eastAsia="Book Antiqua" w:hAnsi="Book Antiqua" w:cs="Book Antiqua"/>
          <w:b/>
          <w:bCs/>
          <w:color w:val="000000"/>
        </w:rPr>
        <w:t xml:space="preserve">Core Tip: </w:t>
      </w:r>
      <w:bookmarkStart w:id="66" w:name="OLE_LINK77"/>
      <w:bookmarkStart w:id="67" w:name="OLE_LINK78"/>
      <w:bookmarkStart w:id="68" w:name="OLE_LINK79"/>
      <w:r>
        <w:rPr>
          <w:rFonts w:ascii="Book Antiqua" w:eastAsia="Book Antiqua" w:hAnsi="Book Antiqua" w:cs="Book Antiqua"/>
          <w:color w:val="000000"/>
        </w:rPr>
        <w:t xml:space="preserve">Pyogenic arthritis, pyoderma gangrenosum, and acne (PAPA) syndrome (OMIM 604416) is a rare autosomal dominant genetic disease characterized by severe autoimmune inflammation. Herein, we reported a case of a Chinese boy diagnosed with PAPA syndrome due to an E250Q mutation in the </w:t>
      </w:r>
      <w:r w:rsidRPr="007C7909">
        <w:rPr>
          <w:rFonts w:ascii="Book Antiqua" w:eastAsia="Book Antiqua" w:hAnsi="Book Antiqua" w:cs="Book Antiqua"/>
          <w:i/>
          <w:color w:val="000000"/>
        </w:rPr>
        <w:t>PSTPIP1</w:t>
      </w:r>
      <w:r>
        <w:rPr>
          <w:rFonts w:ascii="Book Antiqua" w:eastAsia="Book Antiqua" w:hAnsi="Book Antiqua" w:cs="Book Antiqua"/>
          <w:color w:val="000000"/>
        </w:rPr>
        <w:t xml:space="preserve"> gene and summarized the clinical characteristics, potential mechanisms</w:t>
      </w:r>
      <w:r w:rsidR="006B43F5">
        <w:rPr>
          <w:rFonts w:ascii="Book Antiqua" w:eastAsia="Book Antiqua" w:hAnsi="Book Antiqua" w:cs="Book Antiqua"/>
          <w:color w:val="000000"/>
        </w:rPr>
        <w:t>,</w:t>
      </w:r>
      <w:r>
        <w:rPr>
          <w:rFonts w:ascii="Book Antiqua" w:eastAsia="Book Antiqua" w:hAnsi="Book Antiqua" w:cs="Book Antiqua"/>
          <w:color w:val="000000"/>
        </w:rPr>
        <w:t xml:space="preserve"> and relatively effective treatments from previous literature in order to provide some useful information for a comprehensive understanding of this rare disease.</w:t>
      </w:r>
    </w:p>
    <w:bookmarkEnd w:id="66"/>
    <w:bookmarkEnd w:id="67"/>
    <w:bookmarkEnd w:id="68"/>
    <w:p w14:paraId="6CB440C5" w14:textId="77777777" w:rsidR="00A77B3E" w:rsidRDefault="00D7778A">
      <w:pPr>
        <w:spacing w:line="360" w:lineRule="auto"/>
        <w:jc w:val="both"/>
      </w:pPr>
      <w:r>
        <w:rPr>
          <w:rFonts w:ascii="Book Antiqua" w:eastAsia="Book Antiqua" w:hAnsi="Book Antiqua" w:cs="Book Antiqua"/>
          <w:b/>
          <w:caps/>
          <w:color w:val="000000"/>
          <w:u w:val="single"/>
        </w:rPr>
        <w:br w:type="page"/>
      </w:r>
      <w:r w:rsidR="009A0937">
        <w:rPr>
          <w:rFonts w:ascii="Book Antiqua" w:eastAsia="Book Antiqua" w:hAnsi="Book Antiqua" w:cs="Book Antiqua"/>
          <w:b/>
          <w:caps/>
          <w:color w:val="000000"/>
          <w:u w:val="single"/>
        </w:rPr>
        <w:lastRenderedPageBreak/>
        <w:t>INTRODUCTION</w:t>
      </w:r>
    </w:p>
    <w:p w14:paraId="5A25BB21" w14:textId="46F87013" w:rsidR="00A77B3E" w:rsidRDefault="009A0937">
      <w:pPr>
        <w:spacing w:line="360" w:lineRule="auto"/>
        <w:jc w:val="both"/>
      </w:pPr>
      <w:bookmarkStart w:id="69" w:name="OLE_LINK96"/>
      <w:bookmarkStart w:id="70" w:name="OLE_LINK97"/>
      <w:bookmarkStart w:id="71" w:name="OLE_LINK98"/>
      <w:bookmarkStart w:id="72" w:name="OLE_LINK99"/>
      <w:r>
        <w:rPr>
          <w:rFonts w:ascii="Book Antiqua" w:eastAsia="Book Antiqua" w:hAnsi="Book Antiqua" w:cs="Book Antiqua"/>
          <w:color w:val="000000"/>
          <w:szCs w:val="20"/>
        </w:rPr>
        <w:t>Pyogenic arthritis, pyoderma gangrenosum, and acne (PAPA) syndrome (OMIM 604416) is a rare autosomal dominant genetic disease characterized by severe autoimmune inflammation</w:t>
      </w:r>
      <w:r w:rsidR="006B43F5">
        <w:rPr>
          <w:rFonts w:ascii="Book Antiqua" w:eastAsia="Book Antiqua" w:hAnsi="Book Antiqua" w:cs="Book Antiqua"/>
          <w:color w:val="000000"/>
          <w:szCs w:val="20"/>
        </w:rPr>
        <w:t xml:space="preserve"> and</w:t>
      </w:r>
      <w:r>
        <w:rPr>
          <w:rFonts w:ascii="Book Antiqua" w:eastAsia="Book Antiqua" w:hAnsi="Book Antiqua" w:cs="Book Antiqua"/>
          <w:color w:val="000000"/>
          <w:szCs w:val="20"/>
        </w:rPr>
        <w:t xml:space="preserve"> was named in 1997</w:t>
      </w:r>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 The main symptoms of PAPA are recurrent episodes of aseptic pyogenic arthritis before puberty and skin lesions, such as severe cystic acne and refractory aseptic ulcers or even pyoderma gangrenosum during or after puberty</w:t>
      </w:r>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xml:space="preserve">. So far, 14 </w:t>
      </w:r>
      <w:r w:rsidR="006B43F5">
        <w:rPr>
          <w:rFonts w:ascii="Book Antiqua" w:eastAsia="Book Antiqua" w:hAnsi="Book Antiqua" w:cs="Book Antiqua"/>
          <w:color w:val="000000"/>
          <w:szCs w:val="20"/>
        </w:rPr>
        <w:t xml:space="preserve">familial </w:t>
      </w:r>
      <w:r>
        <w:rPr>
          <w:rFonts w:ascii="Book Antiqua" w:eastAsia="Book Antiqua" w:hAnsi="Book Antiqua" w:cs="Book Antiqua"/>
          <w:color w:val="000000"/>
          <w:szCs w:val="20"/>
        </w:rPr>
        <w:t>and 18 sporadic cases with the disease have been reported worldwide, and none of them were from China. Herein, we report a case of Chinese brothers with PAPA and review previous case reports to gain a further understanding of the disease.</w:t>
      </w:r>
    </w:p>
    <w:bookmarkEnd w:id="69"/>
    <w:bookmarkEnd w:id="70"/>
    <w:bookmarkEnd w:id="71"/>
    <w:bookmarkEnd w:id="72"/>
    <w:p w14:paraId="7488BAAD" w14:textId="77777777" w:rsidR="00A77B3E" w:rsidRDefault="00A77B3E">
      <w:pPr>
        <w:spacing w:line="360" w:lineRule="auto"/>
        <w:jc w:val="both"/>
      </w:pPr>
    </w:p>
    <w:p w14:paraId="3C6E68F2" w14:textId="77777777" w:rsidR="00A77B3E" w:rsidRDefault="009A0937">
      <w:pPr>
        <w:spacing w:line="360" w:lineRule="auto"/>
        <w:jc w:val="both"/>
      </w:pPr>
      <w:r>
        <w:rPr>
          <w:rFonts w:ascii="Book Antiqua" w:eastAsia="Book Antiqua" w:hAnsi="Book Antiqua" w:cs="Book Antiqua"/>
          <w:b/>
          <w:caps/>
          <w:color w:val="000000"/>
          <w:u w:val="single"/>
        </w:rPr>
        <w:t>CASE PRESENTATION</w:t>
      </w:r>
    </w:p>
    <w:p w14:paraId="72BCED8B" w14:textId="77777777" w:rsidR="00A77B3E" w:rsidRDefault="009A0937">
      <w:pPr>
        <w:spacing w:line="360" w:lineRule="auto"/>
        <w:jc w:val="both"/>
      </w:pPr>
      <w:r>
        <w:rPr>
          <w:rFonts w:ascii="Book Antiqua" w:eastAsia="Book Antiqua" w:hAnsi="Book Antiqua" w:cs="Book Antiqua"/>
          <w:b/>
          <w:i/>
          <w:color w:val="000000"/>
        </w:rPr>
        <w:t>Chief complaints</w:t>
      </w:r>
    </w:p>
    <w:p w14:paraId="54F1E156" w14:textId="77777777" w:rsidR="00A77B3E" w:rsidRDefault="009A0937">
      <w:pPr>
        <w:spacing w:line="360" w:lineRule="auto"/>
        <w:jc w:val="both"/>
      </w:pPr>
      <w:bookmarkStart w:id="73" w:name="OLE_LINK100"/>
      <w:bookmarkStart w:id="74" w:name="OLE_LINK101"/>
      <w:r>
        <w:rPr>
          <w:rFonts w:ascii="Book Antiqua" w:eastAsia="Book Antiqua" w:hAnsi="Book Antiqua" w:cs="Book Antiqua"/>
          <w:color w:val="000000"/>
          <w:szCs w:val="20"/>
        </w:rPr>
        <w:t>A 9-year-old boy who suffered from recurrent aseptic pyogenic arthritis triggered by minor trauma or few obvious predisposing causes for more than 3 years.</w:t>
      </w:r>
    </w:p>
    <w:bookmarkEnd w:id="73"/>
    <w:bookmarkEnd w:id="74"/>
    <w:p w14:paraId="5E5E7330" w14:textId="77777777" w:rsidR="00A77B3E" w:rsidRDefault="00A77B3E">
      <w:pPr>
        <w:spacing w:line="360" w:lineRule="auto"/>
        <w:jc w:val="both"/>
      </w:pPr>
    </w:p>
    <w:p w14:paraId="6875D532" w14:textId="77777777" w:rsidR="00A77B3E" w:rsidRDefault="009A0937">
      <w:pPr>
        <w:spacing w:line="360" w:lineRule="auto"/>
        <w:jc w:val="both"/>
      </w:pPr>
      <w:r>
        <w:rPr>
          <w:rFonts w:ascii="Book Antiqua" w:eastAsia="Book Antiqua" w:hAnsi="Book Antiqua" w:cs="Book Antiqua"/>
          <w:b/>
          <w:i/>
          <w:color w:val="000000"/>
        </w:rPr>
        <w:t>History of present illness</w:t>
      </w:r>
    </w:p>
    <w:p w14:paraId="0B80DA6D" w14:textId="69A7ED7C" w:rsidR="00A77B3E" w:rsidRDefault="009A0937">
      <w:pPr>
        <w:spacing w:line="360" w:lineRule="auto"/>
        <w:jc w:val="both"/>
      </w:pPr>
      <w:bookmarkStart w:id="75" w:name="OLE_LINK102"/>
      <w:bookmarkStart w:id="76" w:name="OLE_LINK103"/>
      <w:r>
        <w:rPr>
          <w:rFonts w:ascii="Book Antiqua" w:eastAsia="Book Antiqua" w:hAnsi="Book Antiqua" w:cs="Book Antiqua"/>
          <w:color w:val="000000"/>
          <w:szCs w:val="20"/>
        </w:rPr>
        <w:t>At the age of six, the patient developed pain in his right knee joint after</w:t>
      </w:r>
      <w:r w:rsidR="00CA7A31">
        <w:rPr>
          <w:rFonts w:ascii="Book Antiqua" w:eastAsia="Book Antiqua" w:hAnsi="Book Antiqua" w:cs="Book Antiqua"/>
          <w:color w:val="000000"/>
          <w:szCs w:val="20"/>
        </w:rPr>
        <w:t xml:space="preserve"> a fall, which lasted for 5 d</w:t>
      </w:r>
      <w:r>
        <w:rPr>
          <w:rFonts w:ascii="Book Antiqua" w:eastAsia="Book Antiqua" w:hAnsi="Book Antiqua" w:cs="Book Antiqua"/>
          <w:color w:val="000000"/>
          <w:szCs w:val="20"/>
        </w:rPr>
        <w:t xml:space="preserve"> without remission. He was admitted to our hospital for further treatment. His right knee was markedly swollen with movement limitation. A large number of neutrophils and red blood cells were found through joint cavity paracentesis. However, repeated bacterial </w:t>
      </w:r>
      <w:r w:rsidR="002140FE">
        <w:rPr>
          <w:rFonts w:ascii="Book Antiqua" w:eastAsia="Book Antiqua" w:hAnsi="Book Antiqua" w:cs="Book Antiqua"/>
          <w:color w:val="000000"/>
          <w:szCs w:val="20"/>
        </w:rPr>
        <w:t>cultures of synovial fluid were</w:t>
      </w:r>
      <w:r>
        <w:rPr>
          <w:rFonts w:ascii="Book Antiqua" w:eastAsia="Book Antiqua" w:hAnsi="Book Antiqua" w:cs="Book Antiqua"/>
          <w:color w:val="000000"/>
          <w:szCs w:val="20"/>
        </w:rPr>
        <w:t xml:space="preserve"> negative. Inflammatory indices, such as serum C-reactive protein, erythrocyte sedimentation rate, and procalcitonin, increased significantly. Immune-related examinations, such as </w:t>
      </w:r>
      <w:r w:rsidR="006A405A" w:rsidRPr="006A405A">
        <w:rPr>
          <w:rFonts w:ascii="Book Antiqua" w:eastAsia="Book Antiqua" w:hAnsi="Book Antiqua" w:cs="Book Antiqua"/>
          <w:color w:val="000000"/>
          <w:szCs w:val="20"/>
        </w:rPr>
        <w:t>antistreptolysin O</w:t>
      </w:r>
      <w:r>
        <w:rPr>
          <w:rFonts w:ascii="Book Antiqua" w:eastAsia="Book Antiqua" w:hAnsi="Book Antiqua" w:cs="Book Antiqua"/>
          <w:color w:val="000000"/>
          <w:szCs w:val="20"/>
        </w:rPr>
        <w:t xml:space="preserve">, </w:t>
      </w:r>
      <w:r w:rsidR="006A405A" w:rsidRPr="006A405A">
        <w:rPr>
          <w:rFonts w:ascii="Book Antiqua" w:eastAsia="Book Antiqua" w:hAnsi="Book Antiqua" w:cs="Book Antiqua"/>
          <w:color w:val="000000"/>
          <w:szCs w:val="20"/>
        </w:rPr>
        <w:t>anti-neutrophil cytoplasmic antibodies</w:t>
      </w:r>
      <w:r>
        <w:rPr>
          <w:rFonts w:ascii="Book Antiqua" w:eastAsia="Book Antiqua" w:hAnsi="Book Antiqua" w:cs="Book Antiqua"/>
          <w:color w:val="000000"/>
          <w:szCs w:val="20"/>
        </w:rPr>
        <w:t xml:space="preserve">, </w:t>
      </w:r>
      <w:bookmarkStart w:id="77" w:name="OLE_LINK33"/>
      <w:bookmarkStart w:id="78" w:name="OLE_LINK34"/>
      <w:r w:rsidR="006A405A" w:rsidRPr="006A405A">
        <w:rPr>
          <w:rFonts w:ascii="Book Antiqua" w:eastAsia="Book Antiqua" w:hAnsi="Book Antiqua" w:cs="Book Antiqua"/>
          <w:color w:val="000000"/>
          <w:szCs w:val="20"/>
        </w:rPr>
        <w:t>human leukocyte antigen</w:t>
      </w:r>
      <w:r>
        <w:rPr>
          <w:rFonts w:ascii="Book Antiqua" w:eastAsia="Book Antiqua" w:hAnsi="Book Antiqua" w:cs="Book Antiqua"/>
          <w:color w:val="000000"/>
          <w:szCs w:val="20"/>
        </w:rPr>
        <w:t>-B27</w:t>
      </w:r>
      <w:bookmarkEnd w:id="77"/>
      <w:bookmarkEnd w:id="78"/>
      <w:r>
        <w:rPr>
          <w:rFonts w:ascii="Book Antiqua" w:eastAsia="Book Antiqua" w:hAnsi="Book Antiqua" w:cs="Book Antiqua"/>
          <w:color w:val="000000"/>
          <w:szCs w:val="20"/>
        </w:rPr>
        <w:t xml:space="preserve">, and </w:t>
      </w:r>
      <w:r w:rsidR="006A405A" w:rsidRPr="006A405A">
        <w:rPr>
          <w:rFonts w:ascii="Book Antiqua" w:eastAsia="Book Antiqua" w:hAnsi="Book Antiqua" w:cs="Book Antiqua"/>
          <w:color w:val="000000"/>
          <w:szCs w:val="20"/>
        </w:rPr>
        <w:t>anticardiolipin antibodies</w:t>
      </w:r>
      <w:r>
        <w:rPr>
          <w:rFonts w:ascii="Book Antiqua" w:eastAsia="Book Antiqua" w:hAnsi="Book Antiqua" w:cs="Book Antiqua"/>
          <w:color w:val="000000"/>
          <w:szCs w:val="20"/>
        </w:rPr>
        <w:t>, were normal. The incision and drainage of the absc</w:t>
      </w:r>
      <w:r w:rsidR="002A3232">
        <w:rPr>
          <w:rFonts w:ascii="Book Antiqua" w:eastAsia="Book Antiqua" w:hAnsi="Book Antiqua" w:cs="Book Antiqua"/>
          <w:color w:val="000000"/>
          <w:szCs w:val="20"/>
        </w:rPr>
        <w:t>ess was performed. With a 20-d</w:t>
      </w:r>
      <w:r>
        <w:rPr>
          <w:rFonts w:ascii="Book Antiqua" w:eastAsia="Book Antiqua" w:hAnsi="Book Antiqua" w:cs="Book Antiqua"/>
          <w:color w:val="000000"/>
          <w:szCs w:val="20"/>
        </w:rPr>
        <w:t xml:space="preserve"> treatment of anti-infection and joint cavity irrigation after the surgery, the symptoms were relieved. However, the arthritis flared up again about 6 mo later. Over the next </w:t>
      </w:r>
      <w:r w:rsidR="006B43F5">
        <w:rPr>
          <w:rFonts w:ascii="Book Antiqua" w:eastAsia="Book Antiqua" w:hAnsi="Book Antiqua" w:cs="Book Antiqua"/>
          <w:color w:val="000000"/>
          <w:szCs w:val="20"/>
        </w:rPr>
        <w:t>2</w:t>
      </w:r>
      <w:r>
        <w:rPr>
          <w:rFonts w:ascii="Book Antiqua" w:eastAsia="Book Antiqua" w:hAnsi="Book Antiqua" w:cs="Book Antiqua"/>
          <w:color w:val="000000"/>
          <w:szCs w:val="20"/>
        </w:rPr>
        <w:t xml:space="preserve"> years, pyogenic arthritis occurred every </w:t>
      </w:r>
      <w:r w:rsidR="006B43F5">
        <w:rPr>
          <w:rFonts w:ascii="Book Antiqua" w:eastAsia="Book Antiqua" w:hAnsi="Book Antiqua" w:cs="Book Antiqua"/>
          <w:color w:val="000000"/>
          <w:szCs w:val="20"/>
        </w:rPr>
        <w:t>3-5 mo</w:t>
      </w:r>
      <w:r>
        <w:rPr>
          <w:rFonts w:ascii="Book Antiqua" w:eastAsia="Book Antiqua" w:hAnsi="Book Antiqua" w:cs="Book Antiqua"/>
          <w:color w:val="000000"/>
          <w:szCs w:val="20"/>
        </w:rPr>
        <w:t>, affecting his knees, elbows, and ankle joints.</w:t>
      </w:r>
    </w:p>
    <w:bookmarkEnd w:id="75"/>
    <w:bookmarkEnd w:id="76"/>
    <w:p w14:paraId="6948335B" w14:textId="77777777" w:rsidR="00A77B3E" w:rsidRDefault="00A77B3E">
      <w:pPr>
        <w:spacing w:line="360" w:lineRule="auto"/>
        <w:jc w:val="both"/>
      </w:pPr>
    </w:p>
    <w:p w14:paraId="11E706E6" w14:textId="77777777" w:rsidR="00A77B3E" w:rsidRDefault="009A0937">
      <w:pPr>
        <w:spacing w:line="360" w:lineRule="auto"/>
        <w:jc w:val="both"/>
      </w:pPr>
      <w:r>
        <w:rPr>
          <w:rFonts w:ascii="Book Antiqua" w:eastAsia="Book Antiqua" w:hAnsi="Book Antiqua" w:cs="Book Antiqua"/>
          <w:b/>
          <w:i/>
          <w:color w:val="000000"/>
        </w:rPr>
        <w:t>History of past illness</w:t>
      </w:r>
    </w:p>
    <w:p w14:paraId="67005B0D" w14:textId="77777777" w:rsidR="00A77B3E" w:rsidRDefault="009A0937">
      <w:pPr>
        <w:spacing w:line="360" w:lineRule="auto"/>
        <w:jc w:val="both"/>
      </w:pPr>
      <w:bookmarkStart w:id="79" w:name="OLE_LINK104"/>
      <w:bookmarkStart w:id="80" w:name="OLE_LINK105"/>
      <w:r>
        <w:rPr>
          <w:rFonts w:ascii="Book Antiqua" w:eastAsia="Book Antiqua" w:hAnsi="Book Antiqua" w:cs="Book Antiqua"/>
          <w:color w:val="000000"/>
          <w:szCs w:val="20"/>
        </w:rPr>
        <w:t>The patient had a nonspecific previous medical history.</w:t>
      </w:r>
    </w:p>
    <w:bookmarkEnd w:id="79"/>
    <w:bookmarkEnd w:id="80"/>
    <w:p w14:paraId="13B1F617" w14:textId="77777777" w:rsidR="00A77B3E" w:rsidRDefault="00A77B3E">
      <w:pPr>
        <w:spacing w:line="360" w:lineRule="auto"/>
        <w:jc w:val="both"/>
      </w:pPr>
    </w:p>
    <w:p w14:paraId="2D3A8734" w14:textId="77777777" w:rsidR="00A77B3E" w:rsidRDefault="009A0937">
      <w:pPr>
        <w:spacing w:line="360" w:lineRule="auto"/>
        <w:jc w:val="both"/>
      </w:pPr>
      <w:r>
        <w:rPr>
          <w:rFonts w:ascii="Book Antiqua" w:eastAsia="Book Antiqua" w:hAnsi="Book Antiqua" w:cs="Book Antiqua"/>
          <w:b/>
          <w:i/>
          <w:color w:val="000000"/>
        </w:rPr>
        <w:t>Personal and family history</w:t>
      </w:r>
    </w:p>
    <w:p w14:paraId="3961AE3B" w14:textId="6B9BA308" w:rsidR="00A77B3E" w:rsidRDefault="009A0937">
      <w:pPr>
        <w:spacing w:line="360" w:lineRule="auto"/>
        <w:jc w:val="both"/>
      </w:pPr>
      <w:bookmarkStart w:id="81" w:name="OLE_LINK106"/>
      <w:bookmarkStart w:id="82" w:name="OLE_LINK107"/>
      <w:r>
        <w:rPr>
          <w:rFonts w:ascii="Book Antiqua" w:eastAsia="Book Antiqua" w:hAnsi="Book Antiqua" w:cs="Book Antiqua"/>
          <w:color w:val="000000"/>
          <w:szCs w:val="20"/>
        </w:rPr>
        <w:t>Similar symptoms were present in his younger brother but not his parents. As his father recalled, his grandfather might also have similar symptoms (Figure 1A).</w:t>
      </w:r>
    </w:p>
    <w:bookmarkEnd w:id="81"/>
    <w:bookmarkEnd w:id="82"/>
    <w:p w14:paraId="7365ED30" w14:textId="77777777" w:rsidR="00A77B3E" w:rsidRDefault="00A77B3E">
      <w:pPr>
        <w:spacing w:line="360" w:lineRule="auto"/>
        <w:jc w:val="both"/>
      </w:pPr>
    </w:p>
    <w:p w14:paraId="28494FE3" w14:textId="77777777" w:rsidR="00A77B3E" w:rsidRDefault="009A0937">
      <w:pPr>
        <w:spacing w:line="360" w:lineRule="auto"/>
        <w:jc w:val="both"/>
      </w:pPr>
      <w:r>
        <w:rPr>
          <w:rFonts w:ascii="Book Antiqua" w:eastAsia="Book Antiqua" w:hAnsi="Book Antiqua" w:cs="Book Antiqua"/>
          <w:b/>
          <w:i/>
          <w:color w:val="000000"/>
        </w:rPr>
        <w:t>Physical examination</w:t>
      </w:r>
    </w:p>
    <w:p w14:paraId="1F8A7E46" w14:textId="29CED212" w:rsidR="00A77B3E" w:rsidRDefault="006B43F5">
      <w:pPr>
        <w:spacing w:line="360" w:lineRule="auto"/>
        <w:jc w:val="both"/>
      </w:pPr>
      <w:bookmarkStart w:id="83" w:name="OLE_LINK108"/>
      <w:bookmarkStart w:id="84" w:name="OLE_LINK109"/>
      <w:r>
        <w:rPr>
          <w:rFonts w:ascii="Book Antiqua" w:eastAsia="Book Antiqua" w:hAnsi="Book Antiqua" w:cs="Book Antiqua"/>
          <w:color w:val="000000"/>
          <w:szCs w:val="20"/>
        </w:rPr>
        <w:t>On physical examination, b</w:t>
      </w:r>
      <w:r w:rsidR="006A405A">
        <w:rPr>
          <w:rFonts w:ascii="Book Antiqua" w:eastAsia="Book Antiqua" w:hAnsi="Book Antiqua" w:cs="Book Antiqua"/>
          <w:color w:val="000000"/>
          <w:szCs w:val="20"/>
        </w:rPr>
        <w:t>ody temperature</w:t>
      </w:r>
      <w:r>
        <w:rPr>
          <w:rFonts w:ascii="Book Antiqua" w:eastAsia="Book Antiqua" w:hAnsi="Book Antiqua" w:cs="Book Antiqua"/>
          <w:color w:val="000000"/>
          <w:szCs w:val="20"/>
        </w:rPr>
        <w:t xml:space="preserve"> was</w:t>
      </w:r>
      <w:r w:rsidR="006A405A">
        <w:rPr>
          <w:rFonts w:ascii="Book Antiqua" w:eastAsia="Book Antiqua" w:hAnsi="Book Antiqua" w:cs="Book Antiqua"/>
          <w:color w:val="000000"/>
          <w:szCs w:val="20"/>
        </w:rPr>
        <w:t xml:space="preserve"> 36.2</w:t>
      </w:r>
      <w:r w:rsidR="00FD1C0F">
        <w:rPr>
          <w:rFonts w:ascii="Book Antiqua" w:eastAsia="Book Antiqua" w:hAnsi="Book Antiqua" w:cs="Book Antiqua"/>
          <w:color w:val="000000"/>
          <w:szCs w:val="20"/>
        </w:rPr>
        <w:t xml:space="preserve"> </w:t>
      </w:r>
      <w:r w:rsidR="009A0937">
        <w:rPr>
          <w:rFonts w:ascii="Book Antiqua" w:eastAsia="Book Antiqua" w:hAnsi="Book Antiqua" w:cs="Book Antiqua"/>
          <w:color w:val="000000"/>
          <w:szCs w:val="20"/>
        </w:rPr>
        <w:t>°C; pulse rate</w:t>
      </w:r>
      <w:r>
        <w:rPr>
          <w:rFonts w:ascii="Book Antiqua" w:eastAsia="Book Antiqua" w:hAnsi="Book Antiqua" w:cs="Book Antiqua"/>
          <w:color w:val="000000"/>
          <w:szCs w:val="20"/>
        </w:rPr>
        <w:t xml:space="preserve"> was </w:t>
      </w:r>
      <w:r w:rsidR="009A0937">
        <w:rPr>
          <w:rFonts w:ascii="Book Antiqua" w:eastAsia="Book Antiqua" w:hAnsi="Book Antiqua" w:cs="Book Antiqua"/>
          <w:color w:val="000000"/>
          <w:szCs w:val="20"/>
        </w:rPr>
        <w:t>112 beats per min; respiration rate</w:t>
      </w:r>
      <w:r>
        <w:rPr>
          <w:rFonts w:ascii="Book Antiqua" w:eastAsia="Book Antiqua" w:hAnsi="Book Antiqua" w:cs="Book Antiqua"/>
          <w:color w:val="000000"/>
          <w:szCs w:val="20"/>
        </w:rPr>
        <w:t xml:space="preserve"> was</w:t>
      </w:r>
      <w:r w:rsidR="009A0937">
        <w:rPr>
          <w:rFonts w:ascii="Book Antiqua" w:eastAsia="Book Antiqua" w:hAnsi="Book Antiqua" w:cs="Book Antiqua"/>
          <w:color w:val="000000"/>
          <w:szCs w:val="20"/>
        </w:rPr>
        <w:t xml:space="preserve"> 22 breaths per min; </w:t>
      </w:r>
      <w:r>
        <w:rPr>
          <w:rFonts w:ascii="Book Antiqua" w:eastAsia="Book Antiqua" w:hAnsi="Book Antiqua" w:cs="Book Antiqua"/>
          <w:color w:val="000000"/>
          <w:szCs w:val="20"/>
        </w:rPr>
        <w:t xml:space="preserve">and </w:t>
      </w:r>
      <w:r w:rsidR="009A0937">
        <w:rPr>
          <w:rFonts w:ascii="Book Antiqua" w:eastAsia="Book Antiqua" w:hAnsi="Book Antiqua" w:cs="Book Antiqua"/>
          <w:color w:val="000000"/>
          <w:szCs w:val="20"/>
        </w:rPr>
        <w:t>blood pressure</w:t>
      </w:r>
      <w:r>
        <w:rPr>
          <w:rFonts w:ascii="Book Antiqua" w:eastAsia="Book Antiqua" w:hAnsi="Book Antiqua" w:cs="Book Antiqua"/>
          <w:color w:val="000000"/>
          <w:szCs w:val="20"/>
        </w:rPr>
        <w:t xml:space="preserve"> was</w:t>
      </w:r>
      <w:r w:rsidR="009A0937">
        <w:rPr>
          <w:rFonts w:ascii="Book Antiqua" w:eastAsia="Book Antiqua" w:hAnsi="Book Antiqua" w:cs="Book Antiqua"/>
          <w:color w:val="000000"/>
          <w:szCs w:val="20"/>
        </w:rPr>
        <w:t xml:space="preserve"> 107/75 mmHg (1 mmHg = 0.133 kPa). Vital signs were stable. The right knee joint was swollen and deformed, and two 10</w:t>
      </w:r>
      <w:r w:rsidR="006A405A">
        <w:rPr>
          <w:rFonts w:ascii="Book Antiqua" w:hAnsi="Book Antiqua" w:cs="Book Antiqua" w:hint="eastAsia"/>
          <w:color w:val="000000"/>
          <w:szCs w:val="20"/>
          <w:lang w:eastAsia="zh-CN"/>
        </w:rPr>
        <w:t xml:space="preserve"> </w:t>
      </w:r>
      <w:r w:rsidR="009A0937">
        <w:rPr>
          <w:rFonts w:ascii="Book Antiqua" w:eastAsia="Book Antiqua" w:hAnsi="Book Antiqua" w:cs="Book Antiqua"/>
          <w:color w:val="000000"/>
          <w:szCs w:val="20"/>
        </w:rPr>
        <w:t>cm incision scars were visible. The skin temperature of the right side was higher than that of the left, with marked tenderness and without obvious fluctuation feeling. The knee movement was limited</w:t>
      </w:r>
      <w:r>
        <w:rPr>
          <w:rFonts w:ascii="Book Antiqua" w:eastAsia="Book Antiqua" w:hAnsi="Book Antiqua" w:cs="Book Antiqua"/>
          <w:color w:val="000000"/>
          <w:szCs w:val="20"/>
        </w:rPr>
        <w:t>;</w:t>
      </w:r>
      <w:r w:rsidR="009A0937">
        <w:rPr>
          <w:rFonts w:ascii="Book Antiqua" w:eastAsia="Book Antiqua" w:hAnsi="Book Antiqua" w:cs="Book Antiqua"/>
          <w:color w:val="000000"/>
          <w:szCs w:val="20"/>
        </w:rPr>
        <w:t xml:space="preserve"> the flexion was limited to 40°, and the intorsion and extorsion w</w:t>
      </w:r>
      <w:r>
        <w:rPr>
          <w:rFonts w:ascii="Book Antiqua" w:eastAsia="Book Antiqua" w:hAnsi="Book Antiqua" w:cs="Book Antiqua"/>
          <w:color w:val="000000"/>
          <w:szCs w:val="20"/>
        </w:rPr>
        <w:t>ere</w:t>
      </w:r>
      <w:r w:rsidR="009A0937">
        <w:rPr>
          <w:rFonts w:ascii="Book Antiqua" w:eastAsia="Book Antiqua" w:hAnsi="Book Antiqua" w:cs="Book Antiqua"/>
          <w:color w:val="000000"/>
          <w:szCs w:val="20"/>
        </w:rPr>
        <w:t xml:space="preserve"> slightly limited. The floating patellar test was negative.</w:t>
      </w:r>
    </w:p>
    <w:bookmarkEnd w:id="83"/>
    <w:bookmarkEnd w:id="84"/>
    <w:p w14:paraId="1F1B0FDC" w14:textId="77777777" w:rsidR="00A77B3E" w:rsidRDefault="00A77B3E">
      <w:pPr>
        <w:spacing w:line="360" w:lineRule="auto"/>
        <w:jc w:val="both"/>
      </w:pPr>
    </w:p>
    <w:p w14:paraId="6C3C28E3" w14:textId="77777777" w:rsidR="00A77B3E" w:rsidRDefault="009A0937">
      <w:pPr>
        <w:spacing w:line="360" w:lineRule="auto"/>
        <w:jc w:val="both"/>
      </w:pPr>
      <w:r>
        <w:rPr>
          <w:rFonts w:ascii="Book Antiqua" w:eastAsia="Book Antiqua" w:hAnsi="Book Antiqua" w:cs="Book Antiqua"/>
          <w:b/>
          <w:i/>
          <w:color w:val="000000"/>
        </w:rPr>
        <w:t>Laboratory examinations</w:t>
      </w:r>
    </w:p>
    <w:p w14:paraId="5AF96E9F" w14:textId="780D28C7" w:rsidR="00A77B3E" w:rsidRDefault="009A0937">
      <w:pPr>
        <w:spacing w:line="360" w:lineRule="auto"/>
        <w:jc w:val="both"/>
      </w:pPr>
      <w:bookmarkStart w:id="85" w:name="OLE_LINK110"/>
      <w:bookmarkStart w:id="86" w:name="OLE_LINK111"/>
      <w:r>
        <w:rPr>
          <w:rFonts w:ascii="Book Antiqua" w:eastAsia="Book Antiqua" w:hAnsi="Book Antiqua" w:cs="Book Antiqua"/>
          <w:color w:val="000000"/>
          <w:szCs w:val="20"/>
        </w:rPr>
        <w:t>Routine test results for complete blood count, liver and kidney function</w:t>
      </w:r>
      <w:r w:rsidR="00EF59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electrolytes were normal. Serum C-reactive protein, erythrocyte sedimentation rate, and procalcitonin</w:t>
      </w:r>
      <w:r w:rsidR="00EF5910">
        <w:rPr>
          <w:rFonts w:ascii="Book Antiqua" w:eastAsia="Book Antiqua" w:hAnsi="Book Antiqua" w:cs="Book Antiqua"/>
          <w:color w:val="000000"/>
          <w:szCs w:val="20"/>
        </w:rPr>
        <w:t xml:space="preserve"> were</w:t>
      </w:r>
      <w:r>
        <w:rPr>
          <w:rFonts w:ascii="Book Antiqua" w:eastAsia="Book Antiqua" w:hAnsi="Book Antiqua" w:cs="Book Antiqua"/>
          <w:color w:val="000000"/>
          <w:szCs w:val="20"/>
        </w:rPr>
        <w:t xml:space="preserve"> increased significantly. Serum </w:t>
      </w:r>
      <w:bookmarkStart w:id="87" w:name="OLE_LINK45"/>
      <w:bookmarkStart w:id="88" w:name="OLE_LINK46"/>
      <w:r w:rsidR="00233D12" w:rsidRPr="00233D12">
        <w:rPr>
          <w:rFonts w:ascii="Book Antiqua" w:eastAsia="Book Antiqua" w:hAnsi="Book Antiqua" w:cs="Book Antiqua"/>
          <w:color w:val="000000"/>
          <w:szCs w:val="20"/>
        </w:rPr>
        <w:t xml:space="preserve">interleukin </w:t>
      </w:r>
      <w:bookmarkEnd w:id="87"/>
      <w:bookmarkEnd w:id="88"/>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IL</w:t>
      </w:r>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-1, IL-6, or </w:t>
      </w:r>
      <w:bookmarkStart w:id="89" w:name="OLE_LINK47"/>
      <w:bookmarkStart w:id="90" w:name="OLE_LINK48"/>
      <w:bookmarkStart w:id="91" w:name="OLE_LINK49"/>
      <w:bookmarkStart w:id="92" w:name="OLE_LINK50"/>
      <w:r w:rsidR="00233D12">
        <w:rPr>
          <w:rFonts w:ascii="Book Antiqua" w:hAnsi="Book Antiqua" w:cs="Book Antiqua" w:hint="eastAsia"/>
          <w:color w:val="000000"/>
          <w:szCs w:val="20"/>
          <w:lang w:eastAsia="zh-CN"/>
        </w:rPr>
        <w:t>t</w:t>
      </w:r>
      <w:r w:rsidR="00233D12" w:rsidRPr="00233D12">
        <w:rPr>
          <w:rFonts w:ascii="Book Antiqua" w:eastAsia="Book Antiqua" w:hAnsi="Book Antiqua" w:cs="Book Antiqua"/>
          <w:color w:val="000000"/>
          <w:szCs w:val="20"/>
        </w:rPr>
        <w:t>umor necrosis factor</w:t>
      </w:r>
      <w:bookmarkEnd w:id="89"/>
      <w:bookmarkEnd w:id="90"/>
      <w:bookmarkEnd w:id="91"/>
      <w:bookmarkEnd w:id="92"/>
      <w:r w:rsidR="00233D12" w:rsidRPr="00233D12">
        <w:rPr>
          <w:rFonts w:ascii="Book Antiqua" w:eastAsia="Book Antiqua" w:hAnsi="Book Antiqua" w:cs="Book Antiqua"/>
          <w:color w:val="000000"/>
          <w:szCs w:val="20"/>
        </w:rPr>
        <w:t xml:space="preserve"> </w:t>
      </w:r>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TNF</w:t>
      </w:r>
      <w:r w:rsidR="00233D12">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-α levels were elevated. Serum inflammatory factors of the recent examination are shown in Table 1. </w:t>
      </w:r>
    </w:p>
    <w:bookmarkEnd w:id="85"/>
    <w:bookmarkEnd w:id="86"/>
    <w:p w14:paraId="2E15A1CE" w14:textId="77777777" w:rsidR="00A77B3E" w:rsidRDefault="00A77B3E">
      <w:pPr>
        <w:spacing w:line="360" w:lineRule="auto"/>
        <w:jc w:val="both"/>
      </w:pPr>
    </w:p>
    <w:p w14:paraId="0EED1FB9" w14:textId="77777777" w:rsidR="00A77B3E" w:rsidRDefault="009A0937">
      <w:pPr>
        <w:spacing w:line="360" w:lineRule="auto"/>
        <w:jc w:val="both"/>
      </w:pPr>
      <w:bookmarkStart w:id="93" w:name="OLE_LINK112"/>
      <w:r>
        <w:rPr>
          <w:rFonts w:ascii="Book Antiqua" w:eastAsia="Book Antiqua" w:hAnsi="Book Antiqua" w:cs="Book Antiqua"/>
          <w:b/>
          <w:bCs/>
          <w:i/>
          <w:color w:val="000000"/>
          <w:szCs w:val="20"/>
        </w:rPr>
        <w:t>Whole-exome sequencing</w:t>
      </w:r>
    </w:p>
    <w:p w14:paraId="39E6C56A" w14:textId="77777777" w:rsidR="00A77B3E" w:rsidRDefault="009A0937">
      <w:pPr>
        <w:spacing w:line="360" w:lineRule="auto"/>
        <w:jc w:val="both"/>
      </w:pPr>
      <w:bookmarkStart w:id="94" w:name="OLE_LINK113"/>
      <w:bookmarkStart w:id="95" w:name="OLE_LINK114"/>
      <w:bookmarkEnd w:id="93"/>
      <w:r>
        <w:rPr>
          <w:rFonts w:ascii="Book Antiqua" w:eastAsia="Book Antiqua" w:hAnsi="Book Antiqua" w:cs="Book Antiqua"/>
          <w:color w:val="000000"/>
          <w:szCs w:val="20"/>
        </w:rPr>
        <w:t>Whole-exome sequencing of the proband was performed and the mutations were further analyzed in DNA samples from his relatives (Joy Orient Translational Medicine Research Center Co., Ltd. Beijing, China). This revealed that het</w:t>
      </w:r>
      <w:r w:rsidR="00F95940">
        <w:rPr>
          <w:rFonts w:ascii="Book Antiqua" w:eastAsia="Book Antiqua" w:hAnsi="Book Antiqua" w:cs="Book Antiqua"/>
          <w:color w:val="000000"/>
          <w:szCs w:val="20"/>
        </w:rPr>
        <w:t>erozygosity for a glutamic acid</w:t>
      </w:r>
      <w:r>
        <w:rPr>
          <w:rFonts w:ascii="Book Antiqua" w:eastAsia="Book Antiqua" w:hAnsi="Book Antiqua" w:cs="Book Antiqua"/>
          <w:color w:val="000000"/>
          <w:szCs w:val="20"/>
        </w:rPr>
        <w:t>-to-glutamine</w:t>
      </w:r>
      <w:r w:rsidR="00F95940">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substitution at amino acid position 748 (p.Glu250Gln or E250Q) encoded by exon 11 of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(Figure 1B). Both brothers and their father showed a </w:t>
      </w:r>
      <w:r>
        <w:rPr>
          <w:rFonts w:ascii="Book Antiqua" w:eastAsia="Book Antiqua" w:hAnsi="Book Antiqua" w:cs="Book Antiqua"/>
          <w:color w:val="000000"/>
          <w:szCs w:val="20"/>
        </w:rPr>
        <w:lastRenderedPageBreak/>
        <w:t xml:space="preserve">missense mutation of the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which was autosomal-dominant, but their father did not show clinical symptoms.</w:t>
      </w:r>
    </w:p>
    <w:bookmarkEnd w:id="94"/>
    <w:bookmarkEnd w:id="95"/>
    <w:p w14:paraId="653038BD" w14:textId="77777777" w:rsidR="00A77B3E" w:rsidRDefault="00A77B3E">
      <w:pPr>
        <w:spacing w:line="360" w:lineRule="auto"/>
        <w:jc w:val="both"/>
      </w:pPr>
    </w:p>
    <w:p w14:paraId="05FDA493" w14:textId="77777777" w:rsidR="00A77B3E" w:rsidRDefault="009A0937">
      <w:pPr>
        <w:spacing w:line="360" w:lineRule="auto"/>
        <w:jc w:val="both"/>
      </w:pPr>
      <w:r>
        <w:rPr>
          <w:rFonts w:ascii="Book Antiqua" w:eastAsia="Book Antiqua" w:hAnsi="Book Antiqua" w:cs="Book Antiqua"/>
          <w:b/>
          <w:caps/>
          <w:color w:val="000000"/>
          <w:u w:val="single"/>
        </w:rPr>
        <w:t>FINAL DIAGNOSIS</w:t>
      </w:r>
    </w:p>
    <w:p w14:paraId="6E9F3CD1" w14:textId="77777777" w:rsidR="00A77B3E" w:rsidRDefault="00834A5C">
      <w:pPr>
        <w:spacing w:line="360" w:lineRule="auto"/>
        <w:jc w:val="both"/>
      </w:pPr>
      <w:bookmarkStart w:id="96" w:name="OLE_LINK115"/>
      <w:bookmarkStart w:id="97" w:name="OLE_LINK116"/>
      <w:r>
        <w:rPr>
          <w:rFonts w:ascii="Book Antiqua" w:eastAsia="Book Antiqua" w:hAnsi="Book Antiqua" w:cs="Book Antiqua"/>
          <w:color w:val="000000"/>
          <w:szCs w:val="20"/>
        </w:rPr>
        <w:t>PAPA</w:t>
      </w:r>
      <w:r w:rsidR="009A0937">
        <w:rPr>
          <w:rFonts w:ascii="Book Antiqua" w:eastAsia="Book Antiqua" w:hAnsi="Book Antiqua" w:cs="Book Antiqua"/>
          <w:color w:val="000000"/>
          <w:szCs w:val="20"/>
        </w:rPr>
        <w:t xml:space="preserve"> syndrome.</w:t>
      </w:r>
    </w:p>
    <w:bookmarkEnd w:id="96"/>
    <w:bookmarkEnd w:id="97"/>
    <w:p w14:paraId="6DED1E93" w14:textId="77777777" w:rsidR="00A77B3E" w:rsidRDefault="00A77B3E">
      <w:pPr>
        <w:spacing w:line="360" w:lineRule="auto"/>
        <w:jc w:val="both"/>
      </w:pPr>
    </w:p>
    <w:p w14:paraId="3CBAE8F6" w14:textId="77777777" w:rsidR="00A77B3E" w:rsidRDefault="009A0937">
      <w:pPr>
        <w:spacing w:line="360" w:lineRule="auto"/>
        <w:jc w:val="both"/>
      </w:pPr>
      <w:r>
        <w:rPr>
          <w:rFonts w:ascii="Book Antiqua" w:eastAsia="Book Antiqua" w:hAnsi="Book Antiqua" w:cs="Book Antiqua"/>
          <w:b/>
          <w:caps/>
          <w:color w:val="000000"/>
          <w:u w:val="single"/>
        </w:rPr>
        <w:t>TREATMENT</w:t>
      </w:r>
    </w:p>
    <w:p w14:paraId="6987ED12" w14:textId="77777777" w:rsidR="00A77B3E" w:rsidRDefault="009A0937">
      <w:pPr>
        <w:spacing w:line="360" w:lineRule="auto"/>
        <w:jc w:val="both"/>
      </w:pPr>
      <w:bookmarkStart w:id="98" w:name="OLE_LINK117"/>
      <w:bookmarkStart w:id="99" w:name="OLE_LINK118"/>
      <w:bookmarkStart w:id="100" w:name="OLE_LINK119"/>
      <w:r>
        <w:rPr>
          <w:rFonts w:ascii="Book Antiqua" w:eastAsia="Book Antiqua" w:hAnsi="Book Antiqua" w:cs="Book Antiqua"/>
          <w:color w:val="000000"/>
          <w:szCs w:val="20"/>
        </w:rPr>
        <w:t>The patient received tocilizumab (12</w:t>
      </w:r>
      <w:r w:rsidR="00834A5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mg/kg intravenously) every 4 wk for about 6 mo. After that, adalimumab was given (20</w:t>
      </w:r>
      <w:r w:rsidR="00834A5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mg subcutaneously) every 2 wk successively.</w:t>
      </w:r>
    </w:p>
    <w:bookmarkEnd w:id="98"/>
    <w:bookmarkEnd w:id="99"/>
    <w:bookmarkEnd w:id="100"/>
    <w:p w14:paraId="1E9EC53A" w14:textId="77777777" w:rsidR="00A77B3E" w:rsidRDefault="00A77B3E">
      <w:pPr>
        <w:spacing w:line="360" w:lineRule="auto"/>
        <w:jc w:val="both"/>
      </w:pPr>
    </w:p>
    <w:p w14:paraId="4C00F4F2" w14:textId="77777777" w:rsidR="00A77B3E" w:rsidRDefault="009A0937">
      <w:pPr>
        <w:spacing w:line="360" w:lineRule="auto"/>
        <w:jc w:val="both"/>
      </w:pPr>
      <w:r>
        <w:rPr>
          <w:rFonts w:ascii="Book Antiqua" w:eastAsia="Book Antiqua" w:hAnsi="Book Antiqua" w:cs="Book Antiqua"/>
          <w:b/>
          <w:caps/>
          <w:color w:val="000000"/>
          <w:u w:val="single"/>
        </w:rPr>
        <w:t>OUTCOME AND FOLLOW-UP</w:t>
      </w:r>
    </w:p>
    <w:p w14:paraId="5BC1CE90" w14:textId="12B0F539" w:rsidR="00A77B3E" w:rsidRDefault="009A0937">
      <w:pPr>
        <w:spacing w:line="360" w:lineRule="auto"/>
        <w:jc w:val="both"/>
      </w:pPr>
      <w:bookmarkStart w:id="101" w:name="OLE_LINK120"/>
      <w:bookmarkStart w:id="102" w:name="OLE_LINK121"/>
      <w:r>
        <w:rPr>
          <w:rFonts w:ascii="Book Antiqua" w:eastAsia="Book Antiqua" w:hAnsi="Book Antiqua" w:cs="Book Antiqua"/>
          <w:color w:val="000000"/>
          <w:szCs w:val="20"/>
        </w:rPr>
        <w:t xml:space="preserve">Considering the significant increase in serum IL-6, tocilizumab, the humanized anti-IL-6 receptor monoclonal antibody, was given in August 2018. The symptoms were quickly relieved within </w:t>
      </w:r>
      <w:r w:rsidR="00EF5910">
        <w:rPr>
          <w:rFonts w:ascii="Book Antiqua" w:eastAsia="Book Antiqua" w:hAnsi="Book Antiqua" w:cs="Book Antiqua"/>
          <w:color w:val="000000"/>
          <w:szCs w:val="20"/>
        </w:rPr>
        <w:t>1 wk</w:t>
      </w:r>
      <w:r>
        <w:rPr>
          <w:rFonts w:ascii="Book Antiqua" w:eastAsia="Book Antiqua" w:hAnsi="Book Antiqua" w:cs="Book Antiqua"/>
          <w:color w:val="000000"/>
          <w:szCs w:val="20"/>
        </w:rPr>
        <w:t xml:space="preserve"> but recurred after 6 mo, and the drug did not work well from then on. In November 2019, tocilizumab, the humanized anti-TNF-α monoclonal antibody, was applied, and the symptoms were controlled for 6 mo before relapse. In the recent episode, the rapid relief was achieved by intra-articular triamcinolone hexacetonide. Cutaneous symptoms have not yet appeared. Due to the limited affordability of the family, cost-effective therapies will be tried in the future.</w:t>
      </w:r>
    </w:p>
    <w:bookmarkEnd w:id="101"/>
    <w:bookmarkEnd w:id="102"/>
    <w:p w14:paraId="351E64AC" w14:textId="77777777" w:rsidR="00A77B3E" w:rsidRDefault="00A77B3E">
      <w:pPr>
        <w:spacing w:line="360" w:lineRule="auto"/>
        <w:jc w:val="both"/>
      </w:pPr>
    </w:p>
    <w:p w14:paraId="6A08E5B6" w14:textId="77777777" w:rsidR="00A77B3E" w:rsidRDefault="009A0937">
      <w:pPr>
        <w:spacing w:line="360" w:lineRule="auto"/>
        <w:jc w:val="both"/>
      </w:pPr>
      <w:r>
        <w:rPr>
          <w:rFonts w:ascii="Book Antiqua" w:eastAsia="Book Antiqua" w:hAnsi="Book Antiqua" w:cs="Book Antiqua"/>
          <w:b/>
          <w:caps/>
          <w:color w:val="000000"/>
          <w:u w:val="single"/>
        </w:rPr>
        <w:t>DISCUSSION</w:t>
      </w:r>
    </w:p>
    <w:p w14:paraId="72615F0A" w14:textId="77777777" w:rsidR="00A77B3E" w:rsidRPr="009D3EAA" w:rsidRDefault="009D3EAA">
      <w:pPr>
        <w:spacing w:line="360" w:lineRule="auto"/>
        <w:jc w:val="both"/>
        <w:rPr>
          <w:i/>
        </w:rPr>
      </w:pPr>
      <w:bookmarkStart w:id="103" w:name="OLE_LINK122"/>
      <w:bookmarkStart w:id="104" w:name="OLE_LINK123"/>
      <w:r w:rsidRPr="009D3EAA">
        <w:rPr>
          <w:rFonts w:ascii="Book Antiqua" w:eastAsia="Book Antiqua" w:hAnsi="Book Antiqua" w:cs="Book Antiqua"/>
          <w:b/>
          <w:bCs/>
          <w:i/>
          <w:color w:val="000000"/>
          <w:szCs w:val="20"/>
        </w:rPr>
        <w:t>Clinical characteristics</w:t>
      </w:r>
    </w:p>
    <w:p w14:paraId="1C88005D" w14:textId="53B1D4CE" w:rsidR="00A77B3E" w:rsidRDefault="009A0937">
      <w:pPr>
        <w:spacing w:line="360" w:lineRule="auto"/>
        <w:jc w:val="both"/>
      </w:pPr>
      <w:r>
        <w:rPr>
          <w:rFonts w:ascii="Book Antiqua" w:eastAsia="Book Antiqua" w:hAnsi="Book Antiqua" w:cs="Book Antiqua"/>
          <w:color w:val="000000"/>
          <w:szCs w:val="20"/>
        </w:rPr>
        <w:t xml:space="preserve">PAPA is a rare immunoinflammatory rather than immunodeficiency disease. The main symptoms are pyogenic arthritis, acne, and gangrenous pyoderma. To our knowledge, there have been 30 case reports worldwide, including 14 </w:t>
      </w:r>
      <w:r w:rsidR="00EF5910">
        <w:rPr>
          <w:rFonts w:ascii="Book Antiqua" w:eastAsia="Book Antiqua" w:hAnsi="Book Antiqua" w:cs="Book Antiqua"/>
          <w:color w:val="000000"/>
          <w:szCs w:val="20"/>
        </w:rPr>
        <w:t xml:space="preserve">familial </w:t>
      </w:r>
      <w:r>
        <w:rPr>
          <w:rFonts w:ascii="Book Antiqua" w:eastAsia="Book Antiqua" w:hAnsi="Book Antiqua" w:cs="Book Antiqua"/>
          <w:color w:val="000000"/>
          <w:szCs w:val="20"/>
        </w:rPr>
        <w:t>and 18 sporadic cases, since the first case was reported in 1997</w:t>
      </w:r>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 xml:space="preserve">. The clinical symptoms of PAPA vary from person to person, probably due to the different mutation sites of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and the unknown interaction between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and other immune-related proteins</w:t>
      </w:r>
      <w:r w:rsidR="003F657A">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szCs w:val="20"/>
        </w:rPr>
        <w:t xml:space="preserve">. The triad manifestations are rarely synchronized. Only 19 patients suffered from three typical symptoms simultaneously in our summary (Figure 2A). </w:t>
      </w:r>
    </w:p>
    <w:p w14:paraId="2882C1D5" w14:textId="77777777" w:rsidR="00A77B3E" w:rsidRDefault="009A0937">
      <w:pPr>
        <w:spacing w:line="360" w:lineRule="auto"/>
        <w:ind w:firstLine="200"/>
        <w:jc w:val="both"/>
      </w:pPr>
      <w:r>
        <w:rPr>
          <w:rFonts w:ascii="Book Antiqua" w:eastAsia="Book Antiqua" w:hAnsi="Book Antiqua" w:cs="Book Antiqua"/>
          <w:color w:val="000000"/>
          <w:szCs w:val="20"/>
        </w:rPr>
        <w:lastRenderedPageBreak/>
        <w:t xml:space="preserve">Acute recurrent sterile pyogenic arthritis is usually the earliest manifestation, which </w:t>
      </w:r>
      <w:r w:rsidRPr="00810E75">
        <w:rPr>
          <w:rFonts w:ascii="Book Antiqua" w:eastAsia="Book Antiqua" w:hAnsi="Book Antiqua" w:cs="Book Antiqua"/>
          <w:color w:val="000000"/>
          <w:szCs w:val="20"/>
        </w:rPr>
        <w:t>appears before puberty generally, even in infancy</w:t>
      </w:r>
      <w:r w:rsidR="003F657A" w:rsidRPr="00810E75">
        <w:rPr>
          <w:rFonts w:ascii="Book Antiqua" w:eastAsia="Book Antiqua" w:hAnsi="Book Antiqua" w:cs="Book Antiqua"/>
          <w:color w:val="000000"/>
          <w:vertAlign w:val="superscript"/>
        </w:rPr>
        <w:t>[1,</w:t>
      </w:r>
      <w:r w:rsidRPr="00810E75">
        <w:rPr>
          <w:rFonts w:ascii="Book Antiqua" w:eastAsia="Book Antiqua" w:hAnsi="Book Antiqua" w:cs="Book Antiqua"/>
          <w:color w:val="000000"/>
          <w:vertAlign w:val="superscript"/>
        </w:rPr>
        <w:t>5-9]</w:t>
      </w:r>
      <w:r w:rsidRPr="00810E75">
        <w:rPr>
          <w:rFonts w:ascii="Book Antiqua" w:eastAsia="Book Antiqua" w:hAnsi="Book Antiqua" w:cs="Book Antiqua"/>
          <w:color w:val="000000"/>
          <w:szCs w:val="20"/>
        </w:rPr>
        <w:t xml:space="preserve"> (Figure 2B). Each flare up affects</w:t>
      </w:r>
      <w:r>
        <w:rPr>
          <w:rFonts w:ascii="Book Antiqua" w:eastAsia="Book Antiqua" w:hAnsi="Book Antiqua" w:cs="Book Antiqua"/>
          <w:color w:val="000000"/>
          <w:szCs w:val="20"/>
        </w:rPr>
        <w:t xml:space="preserve"> one to three joints and mainly occurs in knee joints, elbow joints, ankle joints, hip joints, and other large joints (Figure 2C). The recurrent inflammatory joint episodes lead to an accumulation of neutrophil-rich purulence in the articular cavities and result in the destruction of the synovial membrane, cartilage, and even bone</w:t>
      </w:r>
      <w:r>
        <w:rPr>
          <w:rFonts w:ascii="Book Antiqua" w:eastAsia="Book Antiqua" w:hAnsi="Book Antiqua" w:cs="Book Antiqua"/>
          <w:color w:val="000000"/>
          <w:vertAlign w:val="superscript"/>
        </w:rPr>
        <w:t>[10]</w:t>
      </w:r>
      <w:r>
        <w:rPr>
          <w:rFonts w:ascii="Book Antiqua" w:eastAsia="Book Antiqua" w:hAnsi="Book Antiqua" w:cs="Book Antiqua"/>
          <w:color w:val="000000"/>
          <w:szCs w:val="20"/>
        </w:rPr>
        <w:t>. Diffuse joint space narrowing and osteophyte formation in conjunction with subchondral sclerosis, cyst formation, and bone destruction can be demonstrated from imaging</w:t>
      </w:r>
      <w:r w:rsidR="00F4227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00F4227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szCs w:val="20"/>
        </w:rPr>
        <w:t>.</w:t>
      </w:r>
    </w:p>
    <w:p w14:paraId="3B52DE3F" w14:textId="7F8FCACC" w:rsidR="00A77B3E" w:rsidRDefault="009A0937">
      <w:pPr>
        <w:spacing w:line="360" w:lineRule="auto"/>
        <w:ind w:firstLine="200"/>
        <w:jc w:val="both"/>
      </w:pPr>
      <w:r>
        <w:rPr>
          <w:rFonts w:ascii="Book Antiqua" w:eastAsia="Book Antiqua" w:hAnsi="Book Antiqua" w:cs="Book Antiqua"/>
          <w:color w:val="000000"/>
          <w:szCs w:val="20"/>
        </w:rPr>
        <w:t xml:space="preserve">The main skin manifestations in PAPA include severe cystic acne and </w:t>
      </w:r>
      <w:bookmarkStart w:id="105" w:name="OLE_LINK57"/>
      <w:bookmarkStart w:id="106" w:name="OLE_LINK58"/>
      <w:r>
        <w:rPr>
          <w:rFonts w:ascii="Book Antiqua" w:eastAsia="Book Antiqua" w:hAnsi="Book Antiqua" w:cs="Book Antiqua"/>
          <w:color w:val="000000"/>
          <w:szCs w:val="20"/>
        </w:rPr>
        <w:t xml:space="preserve">recurrent </w:t>
      </w:r>
      <w:bookmarkStart w:id="107" w:name="OLE_LINK59"/>
      <w:bookmarkStart w:id="108" w:name="OLE_LINK60"/>
      <w:r w:rsidR="00F03898" w:rsidRPr="00F03898">
        <w:rPr>
          <w:rFonts w:ascii="Book Antiqua" w:eastAsia="Book Antiqua" w:hAnsi="Book Antiqua" w:cs="Book Antiqua"/>
          <w:color w:val="000000"/>
          <w:szCs w:val="20"/>
        </w:rPr>
        <w:t>pyogenic granuloma</w:t>
      </w:r>
      <w:bookmarkEnd w:id="105"/>
      <w:bookmarkEnd w:id="106"/>
      <w:bookmarkEnd w:id="107"/>
      <w:bookmarkEnd w:id="108"/>
      <w:r>
        <w:rPr>
          <w:rFonts w:ascii="Book Antiqua" w:eastAsia="Book Antiqua" w:hAnsi="Book Antiqua" w:cs="Book Antiqua"/>
          <w:color w:val="000000"/>
          <w:szCs w:val="20"/>
        </w:rPr>
        <w:t>. Most patients suffer from nodulocystic acne, which commonly occurs in the head, chest, and back</w:t>
      </w:r>
      <w:r>
        <w:rPr>
          <w:rFonts w:ascii="Book Antiqua" w:eastAsia="Book Antiqua" w:hAnsi="Book Antiqua" w:cs="Book Antiqua"/>
          <w:color w:val="000000"/>
          <w:vertAlign w:val="superscript"/>
        </w:rPr>
        <w:t>[12-15]</w:t>
      </w:r>
      <w:r>
        <w:rPr>
          <w:rFonts w:ascii="Book Antiqua" w:eastAsia="Book Antiqua" w:hAnsi="Book Antiqua" w:cs="Book Antiqua"/>
          <w:color w:val="000000"/>
          <w:szCs w:val="20"/>
        </w:rPr>
        <w:t xml:space="preserve"> (Figure 2C). </w:t>
      </w:r>
      <w:r w:rsidR="00EF5910">
        <w:rPr>
          <w:rFonts w:ascii="Book Antiqua" w:eastAsia="Book Antiqua" w:hAnsi="Book Antiqua" w:cs="Book Antiqua"/>
          <w:color w:val="000000"/>
          <w:szCs w:val="20"/>
        </w:rPr>
        <w:t>P</w:t>
      </w:r>
      <w:r w:rsidR="00EF5910" w:rsidRPr="00F03898">
        <w:rPr>
          <w:rFonts w:ascii="Book Antiqua" w:eastAsia="Book Antiqua" w:hAnsi="Book Antiqua" w:cs="Book Antiqua"/>
          <w:color w:val="000000"/>
          <w:szCs w:val="20"/>
        </w:rPr>
        <w:t xml:space="preserve">yogenic granuloma </w:t>
      </w:r>
      <w:r>
        <w:rPr>
          <w:rFonts w:ascii="Book Antiqua" w:eastAsia="Book Antiqua" w:hAnsi="Book Antiqua" w:cs="Book Antiqua"/>
          <w:color w:val="000000"/>
          <w:szCs w:val="20"/>
        </w:rPr>
        <w:t>is a sterile neutrophilic disorder with painful skin lesions, erythematous pustules, bullae, or nodules, enlarging from the center to the periphery</w:t>
      </w:r>
      <w:r w:rsidR="00EA40C3">
        <w:rPr>
          <w:rFonts w:ascii="Book Antiqua" w:eastAsia="Book Antiqua" w:hAnsi="Book Antiqua" w:cs="Book Antiqua"/>
          <w:color w:val="000000"/>
          <w:vertAlign w:val="superscript"/>
        </w:rPr>
        <w:t>[8,12,13,</w:t>
      </w:r>
      <w:r>
        <w:rPr>
          <w:rFonts w:ascii="Book Antiqua" w:eastAsia="Book Antiqua" w:hAnsi="Book Antiqua" w:cs="Book Antiqua"/>
          <w:color w:val="000000"/>
          <w:vertAlign w:val="superscript"/>
        </w:rPr>
        <w:t>15-21]</w:t>
      </w:r>
      <w:r>
        <w:rPr>
          <w:rFonts w:ascii="Book Antiqua" w:eastAsia="Book Antiqua" w:hAnsi="Book Antiqua" w:cs="Book Antiqua"/>
          <w:color w:val="000000"/>
          <w:szCs w:val="20"/>
        </w:rPr>
        <w:t>. It mainly occurs in the limbs, face, abdomen, and back (Figure 2C). Skin manifestations frequently appear from puberty to adulthood, while joint symptoms are likely to be alleviated (Figure 2B). Although our patients only suffer from pyogenic arthritis at present, the possibility that cutaneous symptoms develop gradually with age cannot be ruled out.</w:t>
      </w:r>
    </w:p>
    <w:p w14:paraId="7524F6DE" w14:textId="77777777" w:rsidR="00A77B3E" w:rsidRDefault="009A0937">
      <w:pPr>
        <w:spacing w:line="360" w:lineRule="auto"/>
        <w:ind w:firstLine="200"/>
        <w:jc w:val="both"/>
      </w:pPr>
      <w:r>
        <w:rPr>
          <w:rFonts w:ascii="Book Antiqua" w:eastAsia="Book Antiqua" w:hAnsi="Book Antiqua" w:cs="Book Antiqua"/>
          <w:color w:val="000000"/>
          <w:szCs w:val="20"/>
        </w:rPr>
        <w:t xml:space="preserve">PAPA patients often have a state of high inflammatory response. Laboratory tests usually show systemic inflammation with elevated serum IL-1, IL-6, or TNF-α levels. Our cases show similar changes (Table 1). </w:t>
      </w:r>
    </w:p>
    <w:p w14:paraId="261F96A4" w14:textId="77777777" w:rsidR="00C5156D" w:rsidRDefault="00C5156D">
      <w:pPr>
        <w:spacing w:line="360" w:lineRule="auto"/>
        <w:jc w:val="both"/>
        <w:rPr>
          <w:rFonts w:ascii="Book Antiqua" w:hAnsi="Book Antiqua" w:cs="Book Antiqua"/>
          <w:b/>
          <w:bCs/>
          <w:i/>
          <w:color w:val="000000"/>
          <w:szCs w:val="20"/>
          <w:lang w:eastAsia="zh-CN"/>
        </w:rPr>
      </w:pPr>
    </w:p>
    <w:p w14:paraId="24E2CBF3" w14:textId="77777777" w:rsidR="00A77B3E" w:rsidRPr="00C5156D" w:rsidRDefault="009A0937">
      <w:pPr>
        <w:spacing w:line="360" w:lineRule="auto"/>
        <w:jc w:val="both"/>
        <w:rPr>
          <w:i/>
        </w:rPr>
      </w:pPr>
      <w:r w:rsidRPr="00C5156D">
        <w:rPr>
          <w:rFonts w:ascii="Book Antiqua" w:eastAsia="Book Antiqua" w:hAnsi="Book Antiqua" w:cs="Book Antiqua"/>
          <w:b/>
          <w:bCs/>
          <w:i/>
          <w:color w:val="000000"/>
          <w:szCs w:val="20"/>
        </w:rPr>
        <w:t>Mechanism</w:t>
      </w:r>
    </w:p>
    <w:p w14:paraId="2AA77C62" w14:textId="745358D4" w:rsidR="00EF5910" w:rsidRDefault="009A0937">
      <w:pPr>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The exact mechanisms of PAPA syndrome remain to be elucidated. In 2000, Yeon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szCs w:val="20"/>
        </w:rPr>
        <w:t xml:space="preserve"> initiated a genetic linkage analysis in the original family and mapped the loci between D15S1023 and D15S979 in chromosome 15q according to highly polymorphic loci. Wise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reported another family with PAPA-like clinical manifestations, which were initially named familial recurrent arthritis. The symptoms of the family members were early onset, including episodic inflammation in joints with an accumulation of sterile pyogenic joint fluid and skin lesions</w:t>
      </w:r>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According to the comparison of clinical </w:t>
      </w:r>
      <w:r>
        <w:rPr>
          <w:rFonts w:ascii="Book Antiqua" w:eastAsia="Book Antiqua" w:hAnsi="Book Antiqua" w:cs="Book Antiqua"/>
          <w:color w:val="000000"/>
          <w:szCs w:val="20"/>
        </w:rPr>
        <w:lastRenderedPageBreak/>
        <w:t xml:space="preserve">expressions and the results of a genome-wide linkage scan, Wise </w:t>
      </w:r>
      <w:r>
        <w:rPr>
          <w:rFonts w:ascii="Book Antiqua" w:eastAsia="Book Antiqua" w:hAnsi="Book Antiqua" w:cs="Book Antiqua"/>
          <w:i/>
          <w:iCs/>
          <w:color w:val="000000"/>
          <w:szCs w:val="20"/>
        </w:rPr>
        <w:t>et al</w:t>
      </w:r>
      <w:r w:rsidR="007C0644">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concluded that </w:t>
      </w:r>
      <w:r w:rsidR="00EF5910">
        <w:rPr>
          <w:rFonts w:ascii="Book Antiqua" w:eastAsia="Book Antiqua" w:hAnsi="Book Antiqua" w:cs="Book Antiqua"/>
          <w:color w:val="000000"/>
          <w:szCs w:val="20"/>
        </w:rPr>
        <w:t xml:space="preserve">familial recurrent arthritis </w:t>
      </w:r>
      <w:r>
        <w:rPr>
          <w:rFonts w:ascii="Book Antiqua" w:eastAsia="Book Antiqua" w:hAnsi="Book Antiqua" w:cs="Book Antiqua"/>
          <w:color w:val="000000"/>
          <w:szCs w:val="20"/>
        </w:rPr>
        <w:t xml:space="preserve">and PAPA syndrome were likely the same disorder. </w:t>
      </w:r>
    </w:p>
    <w:p w14:paraId="2BB6EFDD" w14:textId="2391CF71" w:rsidR="00A77B3E" w:rsidRDefault="009A0937" w:rsidP="005F327B">
      <w:pPr>
        <w:spacing w:line="360" w:lineRule="auto"/>
        <w:ind w:firstLine="720"/>
        <w:jc w:val="both"/>
      </w:pPr>
      <w:r>
        <w:rPr>
          <w:rFonts w:ascii="Book Antiqua" w:eastAsia="Book Antiqua" w:hAnsi="Book Antiqua" w:cs="Book Antiqua"/>
          <w:color w:val="000000"/>
          <w:szCs w:val="20"/>
        </w:rPr>
        <w:t xml:space="preserve">Yeast two-hybrid interaction trap assays revealed that two dominantly inherited missense mutations, A230T and E250Q, in the proline-serine-threonine phosphatase-interacting protein 1 </w:t>
      </w:r>
      <w:r w:rsidR="007C0644">
        <w:rPr>
          <w:rFonts w:ascii="Book Antiqua" w:hAnsi="Book Antiqua" w:cs="Book Antiqua" w:hint="eastAsia"/>
          <w:color w:val="000000"/>
          <w:szCs w:val="20"/>
          <w:lang w:eastAsia="zh-CN"/>
        </w:rPr>
        <w:t>[</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or CD2-binding protein 1 (</w:t>
      </w:r>
      <w:r>
        <w:rPr>
          <w:rFonts w:ascii="Book Antiqua" w:eastAsia="Book Antiqua" w:hAnsi="Book Antiqua" w:cs="Book Antiqua"/>
          <w:i/>
          <w:iCs/>
          <w:color w:val="000000"/>
          <w:szCs w:val="20"/>
        </w:rPr>
        <w:t>CD2BP1</w:t>
      </w:r>
      <w:r w:rsidR="007C0644">
        <w:rPr>
          <w:rFonts w:ascii="Book Antiqua" w:eastAsia="Book Antiqua" w:hAnsi="Book Antiqua" w:cs="Book Antiqua"/>
          <w:color w:val="000000"/>
          <w:szCs w:val="20"/>
        </w:rPr>
        <w:t>)</w:t>
      </w:r>
      <w:r w:rsidR="007C0644">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gene were the pathogenesis</w:t>
      </w:r>
      <w:r>
        <w:rPr>
          <w:rFonts w:ascii="Book Antiqua" w:eastAsia="Book Antiqua" w:hAnsi="Book Antiqua" w:cs="Book Antiqua"/>
          <w:color w:val="000000"/>
          <w:vertAlign w:val="superscript"/>
        </w:rPr>
        <w:t>[24]</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encodes an adaptor protein in coupling membrane deformation to cytoskeletal reorganization and participates in modulating T cell and phagocyte activation as well as proinflammatory cytokine release</w:t>
      </w:r>
      <w:r>
        <w:rPr>
          <w:rFonts w:ascii="Book Antiqua" w:eastAsia="Book Antiqua" w:hAnsi="Book Antiqua" w:cs="Book Antiqua"/>
          <w:color w:val="000000"/>
          <w:vertAlign w:val="superscript"/>
        </w:rPr>
        <w:t>[24-27]</w:t>
      </w:r>
      <w:r>
        <w:rPr>
          <w:rFonts w:ascii="Book Antiqua" w:eastAsia="Book Antiqua" w:hAnsi="Book Antiqua" w:cs="Book Antiqua"/>
          <w:color w:val="000000"/>
          <w:szCs w:val="20"/>
        </w:rPr>
        <w:t xml:space="preserve">. It was confirmed that pyrin binds to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through both immunoprecipitation and fluorescence microscopy</w:t>
      </w:r>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xml:space="preserve">. The PAPA syndrome-associated A230T and E250Q mutations interfere with the binding of PEST-type protein tyrosine phosphatase (PTP-PSTP) to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leading to the hyperphosphorylation of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which have a higher affinity for pyrin than non-mutated forms</w:t>
      </w:r>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A high level of pyrin–</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binding can raise the pyrin domain of apoptosis associated speck-like protein containing a caspase-recruitment domain (ASC) pyroptosome assembly, leading to procaspase-1 recruitment</w:t>
      </w:r>
      <w:r w:rsidR="00C234F4">
        <w:rPr>
          <w:rFonts w:ascii="Book Antiqua" w:eastAsia="Book Antiqua" w:hAnsi="Book Antiqua" w:cs="Book Antiqua"/>
          <w:color w:val="000000"/>
          <w:vertAlign w:val="superscript"/>
        </w:rPr>
        <w:t>[2,28,</w:t>
      </w:r>
      <w:r>
        <w:rPr>
          <w:rFonts w:ascii="Book Antiqua" w:eastAsia="Book Antiqua" w:hAnsi="Book Antiqua" w:cs="Book Antiqua"/>
          <w:color w:val="000000"/>
          <w:vertAlign w:val="superscript"/>
        </w:rPr>
        <w:t>29]</w:t>
      </w:r>
      <w:r>
        <w:rPr>
          <w:rFonts w:ascii="Book Antiqua" w:eastAsia="Book Antiqua" w:hAnsi="Book Antiqua" w:cs="Book Antiqua"/>
          <w:color w:val="000000"/>
          <w:szCs w:val="20"/>
        </w:rPr>
        <w:t>. Pyrin, ASC, and procaspase-1 assemble an inflammasome, resulting in ASC oligomerization and caspase-1 activation</w:t>
      </w:r>
      <w:r>
        <w:rPr>
          <w:rFonts w:ascii="Book Antiqua" w:eastAsia="Book Antiqua" w:hAnsi="Book Antiqua" w:cs="Book Antiqua"/>
          <w:color w:val="000000"/>
          <w:vertAlign w:val="superscript"/>
        </w:rPr>
        <w:t>[28]</w:t>
      </w:r>
      <w:r>
        <w:rPr>
          <w:rFonts w:ascii="Book Antiqua" w:eastAsia="Book Antiqua" w:hAnsi="Book Antiqua" w:cs="Book Antiqua"/>
          <w:color w:val="000000"/>
          <w:szCs w:val="20"/>
        </w:rPr>
        <w:t>. Caspase-1 cracks the inactive pro-IL-1β molecular kinase into the active subtype IL-1β. Excess IL-1β promotes the production and release of chemokines, tissue damage effector molecules, and classical pro-inflammatory cytokines, triggering neutrophil-mediated inflammatory responses</w:t>
      </w:r>
      <w:r w:rsidR="00B94E94">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31]</w:t>
      </w:r>
      <w:r>
        <w:rPr>
          <w:rFonts w:ascii="Book Antiqua" w:eastAsia="Book Antiqua" w:hAnsi="Book Antiqua" w:cs="Book Antiqua"/>
          <w:color w:val="000000"/>
          <w:szCs w:val="20"/>
        </w:rPr>
        <w:t xml:space="preserve">. IL-1β and its downstream cytokines, IL-6 and IL-12 p70, were increased in the mice with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gene mutations and patients with PAPA episodes, and probably amplified the inflammatory cascade</w:t>
      </w:r>
      <w:r>
        <w:rPr>
          <w:rFonts w:ascii="Book Antiqua" w:eastAsia="Book Antiqua" w:hAnsi="Book Antiqua" w:cs="Book Antiqua"/>
          <w:color w:val="000000"/>
          <w:vertAlign w:val="superscript"/>
        </w:rPr>
        <w:t>[2]</w:t>
      </w:r>
      <w:r>
        <w:rPr>
          <w:rFonts w:ascii="Book Antiqua" w:eastAsia="Book Antiqua" w:hAnsi="Book Antiqua" w:cs="Book Antiqua"/>
          <w:color w:val="000000"/>
          <w:szCs w:val="20"/>
        </w:rPr>
        <w:t>. Therefore, the mutations predispose one to an IL-1β-dependent inflammatory reaction dominated by granulocytes and monocytes. As a result, patients develop recurrent episodes of neutrophilic infiltrative inflammatory disease</w:t>
      </w:r>
      <w:r w:rsidR="00D50EA3">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32]</w:t>
      </w:r>
      <w:r>
        <w:rPr>
          <w:rFonts w:ascii="Book Antiqua" w:eastAsia="Book Antiqua" w:hAnsi="Book Antiqua" w:cs="Book Antiqua"/>
          <w:color w:val="000000"/>
          <w:szCs w:val="20"/>
        </w:rPr>
        <w:t xml:space="preserve">. It is also known that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may have complex interactions </w:t>
      </w:r>
      <w:r w:rsidR="00BB4839">
        <w:rPr>
          <w:rFonts w:ascii="Book Antiqua" w:eastAsia="Book Antiqua" w:hAnsi="Book Antiqua" w:cs="Book Antiqua"/>
          <w:color w:val="000000"/>
          <w:szCs w:val="20"/>
        </w:rPr>
        <w:t>with immune proteins (WASP, FAS</w:t>
      </w:r>
      <w:r>
        <w:rPr>
          <w:rFonts w:ascii="Book Antiqua" w:eastAsia="Book Antiqua" w:hAnsi="Book Antiqua" w:cs="Book Antiqua"/>
          <w:color w:val="000000"/>
          <w:szCs w:val="20"/>
        </w:rPr>
        <w:t>L</w:t>
      </w:r>
      <w:r w:rsidR="00EF59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CD3) and regulate a pivotal effect on podosome formation and extracellular matrix degradation</w:t>
      </w:r>
      <w:r w:rsidR="00BB483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33]</w:t>
      </w:r>
      <w:r>
        <w:rPr>
          <w:rFonts w:ascii="Book Antiqua" w:eastAsia="Book Antiqua" w:hAnsi="Book Antiqua" w:cs="Book Antiqua"/>
          <w:color w:val="000000"/>
          <w:szCs w:val="20"/>
        </w:rPr>
        <w:t xml:space="preserve">. This might be the reason for the heterogeneous phenotype and diverse treatment response of PAPA syndrome. Over the last 20 years, ten mutations in </w:t>
      </w:r>
      <w:r>
        <w:rPr>
          <w:rFonts w:ascii="Book Antiqua" w:eastAsia="Book Antiqua" w:hAnsi="Book Antiqua" w:cs="Book Antiqua"/>
          <w:i/>
          <w:iCs/>
          <w:color w:val="000000"/>
          <w:szCs w:val="20"/>
        </w:rPr>
        <w:t>PSTPIP1</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 xml:space="preserve">have been </w:t>
      </w:r>
      <w:r w:rsidR="00EF5910">
        <w:rPr>
          <w:rFonts w:ascii="Book Antiqua" w:eastAsia="Book Antiqua" w:hAnsi="Book Antiqua" w:cs="Book Antiqua"/>
          <w:color w:val="000000"/>
          <w:szCs w:val="20"/>
        </w:rPr>
        <w:t xml:space="preserve">demonstrated </w:t>
      </w:r>
      <w:r>
        <w:rPr>
          <w:rFonts w:ascii="Book Antiqua" w:eastAsia="Book Antiqua" w:hAnsi="Book Antiqua" w:cs="Book Antiqua"/>
          <w:color w:val="000000"/>
          <w:szCs w:val="20"/>
        </w:rPr>
        <w:t xml:space="preserve">in PAPA (Figure 3A). A230T, E250Q, and E250K are the three most common missense mutations. </w:t>
      </w:r>
    </w:p>
    <w:p w14:paraId="241CA8CF" w14:textId="77777777" w:rsidR="005327EA" w:rsidRDefault="005327EA">
      <w:pPr>
        <w:spacing w:line="360" w:lineRule="auto"/>
        <w:jc w:val="both"/>
        <w:rPr>
          <w:rFonts w:ascii="Book Antiqua" w:hAnsi="Book Antiqua" w:cs="Book Antiqua"/>
          <w:b/>
          <w:bCs/>
          <w:i/>
          <w:color w:val="000000"/>
          <w:szCs w:val="20"/>
          <w:lang w:eastAsia="zh-CN"/>
        </w:rPr>
      </w:pPr>
    </w:p>
    <w:p w14:paraId="7A84D786" w14:textId="77777777" w:rsidR="00A77B3E" w:rsidRPr="005327EA" w:rsidRDefault="009A0937">
      <w:pPr>
        <w:spacing w:line="360" w:lineRule="auto"/>
        <w:jc w:val="both"/>
        <w:rPr>
          <w:i/>
        </w:rPr>
      </w:pPr>
      <w:r w:rsidRPr="005F0211">
        <w:rPr>
          <w:rFonts w:ascii="Book Antiqua" w:eastAsia="Book Antiqua" w:hAnsi="Book Antiqua" w:cs="Book Antiqua"/>
          <w:b/>
          <w:bCs/>
          <w:i/>
          <w:color w:val="000000"/>
          <w:szCs w:val="20"/>
        </w:rPr>
        <w:t>Treatment</w:t>
      </w:r>
    </w:p>
    <w:p w14:paraId="554D3713" w14:textId="2C7B3514" w:rsidR="00A77B3E" w:rsidRDefault="009A0937">
      <w:pPr>
        <w:spacing w:line="360" w:lineRule="auto"/>
        <w:jc w:val="both"/>
      </w:pPr>
      <w:r>
        <w:rPr>
          <w:rFonts w:ascii="Book Antiqua" w:eastAsia="Book Antiqua" w:hAnsi="Book Antiqua" w:cs="Book Antiqua"/>
          <w:color w:val="000000"/>
          <w:szCs w:val="20"/>
        </w:rPr>
        <w:t>A standard treatment strategy has not been established for PAPA syndrome owing to its rarity, variable gene mutations, and heterogeneous manifestations. The therapeutic approach remains challenging and individualized due to unclear mechanisms, poor responses to systemic glucocorticosteroid</w:t>
      </w:r>
      <w:r w:rsidR="005F0211">
        <w:rPr>
          <w:rFonts w:ascii="Book Antiqua" w:eastAsia="Book Antiqua" w:hAnsi="Book Antiqua" w:cs="Book Antiqua"/>
          <w:color w:val="000000"/>
          <w:vertAlign w:val="superscript"/>
        </w:rPr>
        <w:t>[8,18,</w:t>
      </w:r>
      <w:r>
        <w:rPr>
          <w:rFonts w:ascii="Book Antiqua" w:eastAsia="Book Antiqua" w:hAnsi="Book Antiqua" w:cs="Book Antiqua"/>
          <w:color w:val="000000"/>
          <w:vertAlign w:val="superscript"/>
        </w:rPr>
        <w:t>19]</w:t>
      </w:r>
      <w:r>
        <w:rPr>
          <w:rFonts w:ascii="Book Antiqua" w:eastAsia="Book Antiqua" w:hAnsi="Book Antiqua" w:cs="Book Antiqua"/>
          <w:color w:val="000000"/>
          <w:szCs w:val="20"/>
        </w:rPr>
        <w:t>, the high risks of opportunistic infections with immunosuppressive therapy</w:t>
      </w:r>
      <w:r w:rsidR="005F0211">
        <w:rPr>
          <w:rFonts w:ascii="Book Antiqua" w:eastAsia="Book Antiqua" w:hAnsi="Book Antiqua" w:cs="Book Antiqua"/>
          <w:color w:val="000000"/>
          <w:vertAlign w:val="superscript"/>
        </w:rPr>
        <w:t>[5,13,</w:t>
      </w:r>
      <w:r>
        <w:rPr>
          <w:rFonts w:ascii="Book Antiqua" w:eastAsia="Book Antiqua" w:hAnsi="Book Antiqua" w:cs="Book Antiqua"/>
          <w:color w:val="000000"/>
          <w:vertAlign w:val="superscript"/>
        </w:rPr>
        <w:t>18]</w:t>
      </w:r>
      <w:r>
        <w:rPr>
          <w:rFonts w:ascii="Book Antiqua" w:eastAsia="Book Antiqua" w:hAnsi="Book Antiqua" w:cs="Book Antiqua"/>
          <w:color w:val="000000"/>
          <w:szCs w:val="20"/>
        </w:rPr>
        <w:t>, the high cost, and the limited access to biologics</w:t>
      </w:r>
      <w:r>
        <w:rPr>
          <w:rFonts w:ascii="Book Antiqua" w:eastAsia="Book Antiqua" w:hAnsi="Book Antiqua" w:cs="Book Antiqua"/>
          <w:color w:val="000000"/>
          <w:vertAlign w:val="superscript"/>
        </w:rPr>
        <w:t>[21]</w:t>
      </w:r>
      <w:r>
        <w:rPr>
          <w:rFonts w:ascii="Book Antiqua" w:eastAsia="Book Antiqua" w:hAnsi="Book Antiqua" w:cs="Book Antiqua"/>
          <w:color w:val="000000"/>
          <w:szCs w:val="20"/>
        </w:rPr>
        <w:t>. Fifteen drugs showed a good efficacy, including corticoste</w:t>
      </w:r>
      <w:r w:rsidRPr="002140FE">
        <w:rPr>
          <w:rFonts w:ascii="Book Antiqua" w:eastAsia="Book Antiqua" w:hAnsi="Book Antiqua" w:cs="Book Antiqua"/>
          <w:color w:val="000000"/>
          <w:szCs w:val="20"/>
        </w:rPr>
        <w:t>roids, azathioprine, sulfasalazine, leflunomide, TNF-αinhibit</w:t>
      </w:r>
      <w:r w:rsidR="00B52B2C" w:rsidRPr="002140FE">
        <w:rPr>
          <w:rFonts w:ascii="Book Antiqua" w:eastAsia="Book Antiqua" w:hAnsi="Book Antiqua" w:cs="Book Antiqua"/>
          <w:color w:val="000000"/>
          <w:szCs w:val="20"/>
        </w:rPr>
        <w:t>ors, and IL-1β antagonist (</w:t>
      </w:r>
      <w:r w:rsidR="00B52B2C" w:rsidRPr="002140FE">
        <w:rPr>
          <w:rFonts w:ascii="Book Antiqua" w:eastAsia="Book Antiqua" w:hAnsi="Book Antiqua" w:cs="Book Antiqua" w:hint="eastAsia"/>
          <w:color w:val="000000"/>
          <w:szCs w:val="20"/>
        </w:rPr>
        <w:t>Figure</w:t>
      </w:r>
      <w:r w:rsidR="00B52B2C" w:rsidRPr="002140FE">
        <w:rPr>
          <w:rFonts w:ascii="Book Antiqua" w:eastAsia="Book Antiqua" w:hAnsi="Book Antiqua" w:cs="Book Antiqua"/>
          <w:color w:val="000000"/>
          <w:szCs w:val="20"/>
        </w:rPr>
        <w:t xml:space="preserve"> 3</w:t>
      </w:r>
      <w:r w:rsidRPr="002140FE">
        <w:rPr>
          <w:rFonts w:ascii="Book Antiqua" w:eastAsia="Book Antiqua" w:hAnsi="Book Antiqua" w:cs="Book Antiqua"/>
          <w:color w:val="000000"/>
          <w:szCs w:val="20"/>
        </w:rPr>
        <w:t xml:space="preserve">). The effective drugs </w:t>
      </w:r>
      <w:r w:rsidR="00D31FA2">
        <w:rPr>
          <w:rFonts w:ascii="Book Antiqua" w:eastAsia="Book Antiqua" w:hAnsi="Book Antiqua" w:cs="Book Antiqua"/>
          <w:color w:val="000000"/>
          <w:szCs w:val="20"/>
        </w:rPr>
        <w:t>are</w:t>
      </w:r>
      <w:r w:rsidR="00D31FA2" w:rsidRPr="002140FE">
        <w:rPr>
          <w:rFonts w:ascii="Book Antiqua" w:eastAsia="Book Antiqua" w:hAnsi="Book Antiqua" w:cs="Book Antiqua"/>
          <w:color w:val="000000"/>
          <w:szCs w:val="20"/>
        </w:rPr>
        <w:t xml:space="preserve"> </w:t>
      </w:r>
      <w:r w:rsidRPr="002140FE">
        <w:rPr>
          <w:rFonts w:ascii="Book Antiqua" w:eastAsia="Book Antiqua" w:hAnsi="Book Antiqua" w:cs="Book Antiqua"/>
          <w:color w:val="000000"/>
          <w:szCs w:val="20"/>
        </w:rPr>
        <w:t>summarized based on their different gene mutation</w:t>
      </w:r>
      <w:r>
        <w:rPr>
          <w:rFonts w:ascii="Book Antiqua" w:eastAsia="Book Antiqua" w:hAnsi="Book Antiqua" w:cs="Book Antiqua"/>
          <w:color w:val="000000"/>
          <w:szCs w:val="20"/>
        </w:rPr>
        <w:t xml:space="preserve"> sites (Figure 3B). No matter what the mutation site is, intra-articular glucocorticoid is an effective alternative for acute arthritis episode</w:t>
      </w:r>
      <w:r w:rsidR="005F0211">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12]</w:t>
      </w:r>
      <w:r>
        <w:rPr>
          <w:rFonts w:ascii="Book Antiqua" w:eastAsia="Book Antiqua" w:hAnsi="Book Antiqua" w:cs="Book Antiqua"/>
          <w:color w:val="000000"/>
          <w:szCs w:val="20"/>
        </w:rPr>
        <w:t>. As PAPA syndrome is closely related to the inflammasome and the production of IL-1β, anakinra and the monoclonal antibody (</w:t>
      </w:r>
      <w:r w:rsidR="00D31FA2">
        <w:rPr>
          <w:rFonts w:ascii="Book Antiqua" w:eastAsia="Book Antiqua" w:hAnsi="Book Antiqua" w:cs="Book Antiqua"/>
          <w:color w:val="000000"/>
          <w:szCs w:val="20"/>
        </w:rPr>
        <w:t>c</w:t>
      </w:r>
      <w:r>
        <w:rPr>
          <w:rFonts w:ascii="Book Antiqua" w:eastAsia="Book Antiqua" w:hAnsi="Book Antiqua" w:cs="Book Antiqua"/>
          <w:color w:val="000000"/>
          <w:szCs w:val="20"/>
        </w:rPr>
        <w:t>anakinumab) are proven to be effective in controlling flare ups in many cases</w:t>
      </w:r>
      <w:r w:rsidR="005F0211">
        <w:rPr>
          <w:rFonts w:ascii="Book Antiqua" w:eastAsia="Book Antiqua" w:hAnsi="Book Antiqua" w:cs="Book Antiqua"/>
          <w:color w:val="000000"/>
          <w:vertAlign w:val="superscript"/>
        </w:rPr>
        <w:t>[3,5,11,19,20,34,</w:t>
      </w:r>
      <w:r>
        <w:rPr>
          <w:rFonts w:ascii="Book Antiqua" w:eastAsia="Book Antiqua" w:hAnsi="Book Antiqua" w:cs="Book Antiqua"/>
          <w:color w:val="000000"/>
          <w:vertAlign w:val="superscript"/>
        </w:rPr>
        <w:t>35]</w:t>
      </w:r>
      <w:r>
        <w:rPr>
          <w:rFonts w:ascii="Book Antiqua" w:eastAsia="Book Antiqua" w:hAnsi="Book Antiqua" w:cs="Book Antiqua"/>
          <w:color w:val="000000"/>
          <w:szCs w:val="20"/>
        </w:rPr>
        <w:t>. TNF-α is a downstream target of the IL-1β signaling pathway. Therefore, the treatment of PAPA with TNF-α monoclonal antibodies (</w:t>
      </w:r>
      <w:r w:rsidR="00D31FA2">
        <w:rPr>
          <w:rFonts w:ascii="Book Antiqua" w:eastAsia="Book Antiqua" w:hAnsi="Book Antiqua" w:cs="Book Antiqua"/>
          <w:color w:val="000000"/>
          <w:szCs w:val="20"/>
        </w:rPr>
        <w:t>i</w:t>
      </w:r>
      <w:r>
        <w:rPr>
          <w:rFonts w:ascii="Book Antiqua" w:eastAsia="Book Antiqua" w:hAnsi="Book Antiqua" w:cs="Book Antiqua"/>
          <w:color w:val="000000"/>
          <w:szCs w:val="20"/>
        </w:rPr>
        <w:t xml:space="preserve">nfliximab and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dalimumab) has shown promising efficacy</w:t>
      </w:r>
      <w:r w:rsidR="005F0211">
        <w:rPr>
          <w:rFonts w:ascii="Book Antiqua" w:eastAsia="Book Antiqua" w:hAnsi="Book Antiqua" w:cs="Book Antiqua"/>
          <w:color w:val="000000"/>
          <w:vertAlign w:val="superscript"/>
        </w:rPr>
        <w:t>[5,6,18,</w:t>
      </w:r>
      <w:r>
        <w:rPr>
          <w:rFonts w:ascii="Book Antiqua" w:eastAsia="Book Antiqua" w:hAnsi="Book Antiqua" w:cs="Book Antiqua"/>
          <w:color w:val="000000"/>
          <w:vertAlign w:val="superscript"/>
        </w:rPr>
        <w:t>36]</w:t>
      </w:r>
      <w:r>
        <w:rPr>
          <w:rFonts w:ascii="Book Antiqua" w:eastAsia="Book Antiqua" w:hAnsi="Book Antiqua" w:cs="Book Antiqua"/>
          <w:color w:val="000000"/>
          <w:szCs w:val="20"/>
        </w:rPr>
        <w:t xml:space="preserve">. Our patients were treated with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 for 6 mo</w:t>
      </w:r>
      <w:r w:rsidR="00D31FA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their joint symptoms were alleviated quickly. However, the relief only lasted for several months</w:t>
      </w:r>
      <w:r w:rsidR="00D31FA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the arthritis recurred. Responses to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 are associated with many factors, such as genetic factors, inflammatory states, and medical histories. TNF</w:t>
      </w:r>
      <w:r w:rsidR="005F021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α gene polymorphisms were proven as a genetic factor of response to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 xml:space="preserve">damumab in patients with </w:t>
      </w:r>
      <w:r w:rsidR="00D31FA2" w:rsidRPr="00653566">
        <w:rPr>
          <w:rFonts w:ascii="Book Antiqua" w:hAnsi="Book Antiqua"/>
        </w:rPr>
        <w:t>rheumatoid arthritis</w:t>
      </w:r>
      <w:r w:rsidR="00D31FA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a pharmacogenetic study</w:t>
      </w:r>
      <w:r>
        <w:rPr>
          <w:rFonts w:ascii="Book Antiqua" w:eastAsia="Book Antiqua" w:hAnsi="Book Antiqua" w:cs="Book Antiqua"/>
          <w:color w:val="000000"/>
          <w:vertAlign w:val="superscript"/>
        </w:rPr>
        <w:t>[37]</w:t>
      </w:r>
      <w:r>
        <w:rPr>
          <w:rFonts w:ascii="Book Antiqua" w:eastAsia="Book Antiqua" w:hAnsi="Book Antiqua" w:cs="Book Antiqua"/>
          <w:color w:val="000000"/>
          <w:szCs w:val="20"/>
        </w:rPr>
        <w:t xml:space="preserve">. Patients with the TNF-α locus haplotype (-238G/-308G/-857C) in a homozygous form had lower responses to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w:t>
      </w:r>
      <w:r>
        <w:rPr>
          <w:rFonts w:ascii="Book Antiqua" w:eastAsia="Book Antiqua" w:hAnsi="Book Antiqua" w:cs="Book Antiqua"/>
          <w:color w:val="000000"/>
          <w:vertAlign w:val="superscript"/>
        </w:rPr>
        <w:t>[37]</w:t>
      </w:r>
      <w:r>
        <w:rPr>
          <w:rFonts w:ascii="Book Antiqua" w:eastAsia="Book Antiqua" w:hAnsi="Book Antiqua" w:cs="Book Antiqua"/>
          <w:color w:val="000000"/>
          <w:szCs w:val="20"/>
        </w:rPr>
        <w:t xml:space="preserve">. In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damumab treatment for psoriatic arthritis, men with lower joint function damage and no systemic glucocorticoid therapy were more likely to achieve therapeutic effects</w:t>
      </w:r>
      <w:r>
        <w:rPr>
          <w:rFonts w:ascii="Book Antiqua" w:eastAsia="Book Antiqua" w:hAnsi="Book Antiqua" w:cs="Book Antiqua"/>
          <w:color w:val="000000"/>
          <w:vertAlign w:val="superscript"/>
        </w:rPr>
        <w:t>[38]</w:t>
      </w:r>
      <w:r>
        <w:rPr>
          <w:rFonts w:ascii="Book Antiqua" w:eastAsia="Book Antiqua" w:hAnsi="Book Antiqua" w:cs="Book Antiqua"/>
          <w:color w:val="000000"/>
          <w:szCs w:val="20"/>
        </w:rPr>
        <w:t>. Additionally</w:t>
      </w:r>
      <w:r w:rsidR="00662B11">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it was found that there was a relationship between the inflammatory factor levels and the efficacy of infliximab, another anti-tumor necrosis factor agent. A lower serum IL-6 </w:t>
      </w:r>
      <w:r w:rsidR="00D31FA2">
        <w:rPr>
          <w:rFonts w:ascii="Book Antiqua" w:eastAsia="Book Antiqua" w:hAnsi="Book Antiqua" w:cs="Book Antiqua"/>
          <w:color w:val="000000"/>
          <w:szCs w:val="20"/>
        </w:rPr>
        <w:t>l</w:t>
      </w:r>
      <w:r>
        <w:rPr>
          <w:rFonts w:ascii="Book Antiqua" w:eastAsia="Book Antiqua" w:hAnsi="Book Antiqua" w:cs="Book Antiqua"/>
          <w:color w:val="000000"/>
          <w:szCs w:val="20"/>
        </w:rPr>
        <w:t xml:space="preserve">evel might </w:t>
      </w:r>
      <w:r>
        <w:rPr>
          <w:rFonts w:ascii="Book Antiqua" w:eastAsia="Book Antiqua" w:hAnsi="Book Antiqua" w:cs="Book Antiqua"/>
          <w:color w:val="000000"/>
          <w:szCs w:val="20"/>
        </w:rPr>
        <w:lastRenderedPageBreak/>
        <w:t>predict a better early response to anti-TNF therapy</w:t>
      </w:r>
      <w:r>
        <w:rPr>
          <w:rFonts w:ascii="Book Antiqua" w:eastAsia="Book Antiqua" w:hAnsi="Book Antiqua" w:cs="Book Antiqua"/>
          <w:color w:val="000000"/>
          <w:vertAlign w:val="superscript"/>
        </w:rPr>
        <w:t>[39]</w:t>
      </w:r>
      <w:r>
        <w:rPr>
          <w:rFonts w:ascii="Book Antiqua" w:eastAsia="Book Antiqua" w:hAnsi="Book Antiqua" w:cs="Book Antiqua"/>
          <w:color w:val="000000"/>
          <w:szCs w:val="20"/>
        </w:rPr>
        <w:t xml:space="preserve">. The unsustainable clinical remission provided by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dalimumab is probably due to our patients’ long-term states of high inflammation blunting the drug effects. TNF</w:t>
      </w:r>
      <w:r w:rsidR="00D25F37">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α gene polymorphisms might be another factor in the poor response to </w:t>
      </w:r>
      <w:r w:rsidR="00D31FA2">
        <w:rPr>
          <w:rFonts w:ascii="Book Antiqua" w:eastAsia="Book Antiqua" w:hAnsi="Book Antiqua" w:cs="Book Antiqua"/>
          <w:color w:val="000000"/>
          <w:szCs w:val="20"/>
        </w:rPr>
        <w:t>a</w:t>
      </w:r>
      <w:r>
        <w:rPr>
          <w:rFonts w:ascii="Book Antiqua" w:eastAsia="Book Antiqua" w:hAnsi="Book Antiqua" w:cs="Book Antiqua"/>
          <w:color w:val="000000"/>
          <w:szCs w:val="20"/>
        </w:rPr>
        <w:t>dalimumab, but further tests are required.</w:t>
      </w:r>
    </w:p>
    <w:p w14:paraId="0E46B670" w14:textId="0DAFF9AA" w:rsidR="00A77B3E" w:rsidRDefault="009A0937">
      <w:pPr>
        <w:spacing w:line="360" w:lineRule="auto"/>
        <w:ind w:firstLine="200"/>
        <w:jc w:val="both"/>
      </w:pPr>
      <w:r>
        <w:rPr>
          <w:rFonts w:ascii="Book Antiqua" w:eastAsia="Book Antiqua" w:hAnsi="Book Antiqua" w:cs="Book Antiqua"/>
          <w:color w:val="000000"/>
          <w:szCs w:val="20"/>
        </w:rPr>
        <w:t>For chronic diseases, cost-effectiveness is an important factor. Biological agents with a high cost are not the optimal choice for personal affordability, while a</w:t>
      </w:r>
      <w:r w:rsidR="00D31FA2">
        <w:rPr>
          <w:rFonts w:ascii="Book Antiqua" w:eastAsia="Book Antiqua" w:hAnsi="Book Antiqua" w:cs="Book Antiqua"/>
          <w:color w:val="000000"/>
          <w:szCs w:val="20"/>
        </w:rPr>
        <w:t>n inexpensive</w:t>
      </w:r>
      <w:r>
        <w:rPr>
          <w:rFonts w:ascii="Book Antiqua" w:eastAsia="Book Antiqua" w:hAnsi="Book Antiqua" w:cs="Book Antiqua"/>
          <w:color w:val="000000"/>
          <w:szCs w:val="20"/>
        </w:rPr>
        <w:t xml:space="preserve"> and effective drug may be more suitable. Sardana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szCs w:val="20"/>
        </w:rPr>
        <w:t xml:space="preserve"> applied a combination of minocycline, dapsone, deflazacort, and methotrexate for a classic case of PAPA syndrome along with arthritis and a worsening painful ulceration of the face, back, and legs. The sustained disease remission was observed with the complete healing of ulcers, the amelioration of arthritis, and the clearance of acne without any obvious side events during a 2-year follow-up. The treatment seemed to be safe and have a cost-effective advantage.</w:t>
      </w:r>
    </w:p>
    <w:bookmarkEnd w:id="103"/>
    <w:bookmarkEnd w:id="104"/>
    <w:p w14:paraId="49D194B1" w14:textId="77777777" w:rsidR="00A77B3E" w:rsidRDefault="00A77B3E">
      <w:pPr>
        <w:spacing w:line="360" w:lineRule="auto"/>
        <w:ind w:firstLine="200"/>
        <w:jc w:val="both"/>
      </w:pPr>
    </w:p>
    <w:p w14:paraId="08423860" w14:textId="77777777" w:rsidR="00A77B3E" w:rsidRDefault="009A0937">
      <w:pPr>
        <w:spacing w:line="360" w:lineRule="auto"/>
        <w:jc w:val="both"/>
      </w:pPr>
      <w:r>
        <w:rPr>
          <w:rFonts w:ascii="Book Antiqua" w:eastAsia="Book Antiqua" w:hAnsi="Book Antiqua" w:cs="Book Antiqua"/>
          <w:b/>
          <w:caps/>
          <w:color w:val="000000"/>
          <w:u w:val="single"/>
        </w:rPr>
        <w:t>CONCLUSION</w:t>
      </w:r>
    </w:p>
    <w:p w14:paraId="6F7967D4" w14:textId="77777777" w:rsidR="00A77B3E" w:rsidRDefault="009A0937">
      <w:pPr>
        <w:spacing w:line="360" w:lineRule="auto"/>
        <w:jc w:val="both"/>
      </w:pPr>
      <w:bookmarkStart w:id="109" w:name="OLE_LINK124"/>
      <w:bookmarkStart w:id="110" w:name="OLE_LINK125"/>
      <w:r>
        <w:rPr>
          <w:rFonts w:ascii="Book Antiqua" w:eastAsia="Book Antiqua" w:hAnsi="Book Antiqua" w:cs="Book Antiqua"/>
          <w:color w:val="000000"/>
          <w:szCs w:val="20"/>
        </w:rPr>
        <w:t>As far as we know, this is the first report of PAPA syndrome in China. This and previous studies emphasize the fact that PAPA syndrome is not easily diagnosed through its clinical manifestations owing to its heterogeneous expressions. Genetic testing is an effectual auxiliary diagnostic method, especially in the early stages of pyogenic arthritis. Just like our patients, they are probably diagnosed as havin</w:t>
      </w:r>
      <w:r w:rsidR="00D23896">
        <w:rPr>
          <w:rFonts w:ascii="Book Antiqua" w:eastAsia="Book Antiqua" w:hAnsi="Book Antiqua" w:cs="Book Antiqua"/>
          <w:color w:val="000000"/>
          <w:szCs w:val="20"/>
        </w:rPr>
        <w:t>g juvenile idiopathic arthritis</w:t>
      </w:r>
      <w:r>
        <w:rPr>
          <w:rFonts w:ascii="Book Antiqua" w:eastAsia="Book Antiqua" w:hAnsi="Book Antiqua" w:cs="Book Antiqua"/>
          <w:color w:val="000000"/>
          <w:szCs w:val="20"/>
        </w:rPr>
        <w:t xml:space="preserve"> rather than PAPA without genetic testing. We speculate that there may be a lot of patients with PAPA in China who are ignored and misdiagnosed due to our insufficient understanding of the disease. Only if we have a deep understanding and rich experience of this rare disease can we make a prompt diagnosis, develop the best clinical treatment plan, and give good fertility guidance.</w:t>
      </w:r>
    </w:p>
    <w:bookmarkEnd w:id="109"/>
    <w:bookmarkEnd w:id="110"/>
    <w:p w14:paraId="1F912F9F" w14:textId="77777777" w:rsidR="00A77B3E" w:rsidRDefault="00A77B3E">
      <w:pPr>
        <w:spacing w:line="360" w:lineRule="auto"/>
        <w:jc w:val="both"/>
      </w:pPr>
    </w:p>
    <w:p w14:paraId="1FDCA721" w14:textId="77777777" w:rsidR="00A77B3E" w:rsidRPr="00653566" w:rsidRDefault="009A0937" w:rsidP="00653566">
      <w:pPr>
        <w:adjustRightInd w:val="0"/>
        <w:snapToGrid w:val="0"/>
        <w:spacing w:line="360" w:lineRule="auto"/>
        <w:jc w:val="both"/>
        <w:rPr>
          <w:rFonts w:ascii="Book Antiqua" w:hAnsi="Book Antiqua"/>
        </w:rPr>
      </w:pPr>
      <w:r w:rsidRPr="00653566">
        <w:rPr>
          <w:rFonts w:ascii="Book Antiqua" w:eastAsia="Book Antiqua" w:hAnsi="Book Antiqua" w:cs="Book Antiqua"/>
          <w:b/>
        </w:rPr>
        <w:t>REFERENCES</w:t>
      </w:r>
    </w:p>
    <w:p w14:paraId="6F045196"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11" w:name="OLE_LINK126"/>
      <w:bookmarkStart w:id="112" w:name="OLE_LINK127"/>
      <w:r w:rsidRPr="00653566">
        <w:rPr>
          <w:rFonts w:ascii="Book Antiqua" w:hAnsi="Book Antiqua"/>
        </w:rPr>
        <w:t>1 </w:t>
      </w:r>
      <w:r w:rsidRPr="00653566">
        <w:rPr>
          <w:rFonts w:ascii="Book Antiqua" w:hAnsi="Book Antiqua"/>
          <w:b/>
          <w:bCs/>
        </w:rPr>
        <w:t>Lindor NM</w:t>
      </w:r>
      <w:r w:rsidRPr="00653566">
        <w:rPr>
          <w:rFonts w:ascii="Book Antiqua" w:hAnsi="Book Antiqua"/>
        </w:rPr>
        <w:t xml:space="preserve">, Arsenault TM, Solomon H, Seidman CE, McEvoy MT. A new autosomal dominant disorder of pyogenic sterile arthritis, pyoderma gangrenosum, and acne: PAPA </w:t>
      </w:r>
      <w:r w:rsidRPr="00653566">
        <w:rPr>
          <w:rFonts w:ascii="Book Antiqua" w:hAnsi="Book Antiqua"/>
        </w:rPr>
        <w:lastRenderedPageBreak/>
        <w:t>syndrome. </w:t>
      </w:r>
      <w:r w:rsidRPr="00653566">
        <w:rPr>
          <w:rFonts w:ascii="Book Antiqua" w:hAnsi="Book Antiqua"/>
          <w:i/>
          <w:iCs/>
        </w:rPr>
        <w:t>Mayo Clin Proc</w:t>
      </w:r>
      <w:r w:rsidRPr="00653566">
        <w:rPr>
          <w:rFonts w:ascii="Book Antiqua" w:hAnsi="Book Antiqua"/>
        </w:rPr>
        <w:t> 1997; </w:t>
      </w:r>
      <w:r w:rsidRPr="00653566">
        <w:rPr>
          <w:rFonts w:ascii="Book Antiqua" w:hAnsi="Book Antiqua"/>
          <w:b/>
          <w:bCs/>
        </w:rPr>
        <w:t>72</w:t>
      </w:r>
      <w:r w:rsidRPr="00653566">
        <w:rPr>
          <w:rFonts w:ascii="Book Antiqua" w:hAnsi="Book Antiqua"/>
        </w:rPr>
        <w:t>: 611-615 [PMID: 9212761 DOI: 10.1016/S0025-6196(11)63565-9]</w:t>
      </w:r>
    </w:p>
    <w:p w14:paraId="13BAD4F7"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2 </w:t>
      </w:r>
      <w:r w:rsidRPr="00653566">
        <w:rPr>
          <w:rFonts w:ascii="Book Antiqua" w:hAnsi="Book Antiqua"/>
          <w:b/>
          <w:bCs/>
        </w:rPr>
        <w:t>Shoham NG</w:t>
      </w:r>
      <w:r w:rsidRPr="00653566">
        <w:rPr>
          <w:rFonts w:ascii="Book Antiqua" w:hAnsi="Book Antiqua"/>
        </w:rPr>
        <w:t>, Centola M, Mansfield E, Hull KM, Wood G, Wise CA, Kastner DL. Pyrin binds the PSTPIP1/CD2BP1 protein, defining familial Mediterranean fever and PAPA syndrome as disorders in the same pathway. </w:t>
      </w:r>
      <w:r w:rsidRPr="00653566">
        <w:rPr>
          <w:rFonts w:ascii="Book Antiqua" w:hAnsi="Book Antiqua"/>
          <w:i/>
          <w:iCs/>
        </w:rPr>
        <w:t>Proc Natl Acad Sci U S A</w:t>
      </w:r>
      <w:r w:rsidRPr="00653566">
        <w:rPr>
          <w:rFonts w:ascii="Book Antiqua" w:hAnsi="Book Antiqua"/>
        </w:rPr>
        <w:t> 2003; </w:t>
      </w:r>
      <w:r w:rsidRPr="00653566">
        <w:rPr>
          <w:rFonts w:ascii="Book Antiqua" w:hAnsi="Book Antiqua"/>
          <w:b/>
          <w:bCs/>
        </w:rPr>
        <w:t>100</w:t>
      </w:r>
      <w:r w:rsidRPr="00653566">
        <w:rPr>
          <w:rFonts w:ascii="Book Antiqua" w:hAnsi="Book Antiqua"/>
        </w:rPr>
        <w:t>: 13501-13506 [PMID: 14595024 DOI: 10.1073/pnas.2135380100]</w:t>
      </w:r>
    </w:p>
    <w:p w14:paraId="0188C9BF"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3 </w:t>
      </w:r>
      <w:r w:rsidRPr="00653566">
        <w:rPr>
          <w:rFonts w:ascii="Book Antiqua" w:hAnsi="Book Antiqua"/>
          <w:b/>
          <w:bCs/>
        </w:rPr>
        <w:t>Schellevis MA</w:t>
      </w:r>
      <w:r w:rsidRPr="00653566">
        <w:rPr>
          <w:rFonts w:ascii="Book Antiqua" w:hAnsi="Book Antiqua"/>
        </w:rPr>
        <w:t>, Stoffels M, Hoppenreijs EP, Bodar E, Simon A, van der Meer JW. Variable expression and treatment of PAPA syndrome. </w:t>
      </w:r>
      <w:r w:rsidRPr="00653566">
        <w:rPr>
          <w:rFonts w:ascii="Book Antiqua" w:hAnsi="Book Antiqua"/>
          <w:i/>
          <w:iCs/>
        </w:rPr>
        <w:t>Ann Rheum Dis</w:t>
      </w:r>
      <w:r w:rsidRPr="00653566">
        <w:rPr>
          <w:rFonts w:ascii="Book Antiqua" w:hAnsi="Book Antiqua"/>
        </w:rPr>
        <w:t> 2011; </w:t>
      </w:r>
      <w:r w:rsidRPr="00653566">
        <w:rPr>
          <w:rFonts w:ascii="Book Antiqua" w:hAnsi="Book Antiqua"/>
          <w:b/>
          <w:bCs/>
        </w:rPr>
        <w:t>70</w:t>
      </w:r>
      <w:r w:rsidRPr="00653566">
        <w:rPr>
          <w:rFonts w:ascii="Book Antiqua" w:hAnsi="Book Antiqua"/>
        </w:rPr>
        <w:t>: 1168-1170 [PMID: 21325428 DOI: 10.1136/ard.2009.126185]</w:t>
      </w:r>
    </w:p>
    <w:p w14:paraId="77B058D5"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4 </w:t>
      </w:r>
      <w:r w:rsidRPr="00653566">
        <w:rPr>
          <w:rFonts w:ascii="Book Antiqua" w:hAnsi="Book Antiqua"/>
          <w:b/>
          <w:bCs/>
        </w:rPr>
        <w:t>Starnes TW</w:t>
      </w:r>
      <w:r w:rsidRPr="00653566">
        <w:rPr>
          <w:rFonts w:ascii="Book Antiqua" w:hAnsi="Book Antiqua"/>
        </w:rPr>
        <w:t>, Bennin DA, Bing X, Eickhoff JC, Grahf DC, Bellak JM, Seroogy CM, Ferguson PJ, Huttenlocher A. The F-BAR protein PSTPIP1 controls extracellular matrix degradation and filopodia formation in macrophages. </w:t>
      </w:r>
      <w:r w:rsidRPr="00653566">
        <w:rPr>
          <w:rFonts w:ascii="Book Antiqua" w:hAnsi="Book Antiqua"/>
          <w:i/>
          <w:iCs/>
        </w:rPr>
        <w:t>Blood</w:t>
      </w:r>
      <w:r w:rsidRPr="00653566">
        <w:rPr>
          <w:rFonts w:ascii="Book Antiqua" w:hAnsi="Book Antiqua"/>
        </w:rPr>
        <w:t> 2014; </w:t>
      </w:r>
      <w:r w:rsidRPr="00653566">
        <w:rPr>
          <w:rFonts w:ascii="Book Antiqua" w:hAnsi="Book Antiqua"/>
          <w:b/>
          <w:bCs/>
        </w:rPr>
        <w:t>123</w:t>
      </w:r>
      <w:r w:rsidRPr="00653566">
        <w:rPr>
          <w:rFonts w:ascii="Book Antiqua" w:hAnsi="Book Antiqua"/>
        </w:rPr>
        <w:t>: 2703-2714 [PMID: 24421327 DOI: 10.1182/blood-2013-07-516948]</w:t>
      </w:r>
    </w:p>
    <w:p w14:paraId="434CE947"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5 </w:t>
      </w:r>
      <w:r w:rsidRPr="00653566">
        <w:rPr>
          <w:rFonts w:ascii="Book Antiqua" w:hAnsi="Book Antiqua"/>
          <w:b/>
          <w:bCs/>
        </w:rPr>
        <w:t>Demidowich AP</w:t>
      </w:r>
      <w:r w:rsidRPr="00653566">
        <w:rPr>
          <w:rFonts w:ascii="Book Antiqua" w:hAnsi="Book Antiqua"/>
        </w:rPr>
        <w:t>, Freeman AF, Kuhns DB, Aksentijevich I, Gallin JI, Turner ML, Kastner DL, Holland SM. Brief report: genotype, phenotype, and clinical course in five patients with PAPA syndrome (pyogenic sterile arthritis, pyoderma gangrenosum, and acne). </w:t>
      </w:r>
      <w:r w:rsidRPr="00653566">
        <w:rPr>
          <w:rFonts w:ascii="Book Antiqua" w:hAnsi="Book Antiqua"/>
          <w:i/>
          <w:iCs/>
        </w:rPr>
        <w:t>Arthritis Rheum</w:t>
      </w:r>
      <w:r w:rsidRPr="00653566">
        <w:rPr>
          <w:rFonts w:ascii="Book Antiqua" w:hAnsi="Book Antiqua"/>
        </w:rPr>
        <w:t> 2012; </w:t>
      </w:r>
      <w:r w:rsidRPr="00653566">
        <w:rPr>
          <w:rFonts w:ascii="Book Antiqua" w:hAnsi="Book Antiqua"/>
          <w:b/>
          <w:bCs/>
        </w:rPr>
        <w:t>64</w:t>
      </w:r>
      <w:r w:rsidRPr="00653566">
        <w:rPr>
          <w:rFonts w:ascii="Book Antiqua" w:hAnsi="Book Antiqua"/>
        </w:rPr>
        <w:t>: 2022-2027 [PMID: 22161697 DOI: 10.1002/art.34332]</w:t>
      </w:r>
    </w:p>
    <w:p w14:paraId="789E1E95"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6 </w:t>
      </w:r>
      <w:r w:rsidRPr="00653566">
        <w:rPr>
          <w:rFonts w:ascii="Book Antiqua" w:hAnsi="Book Antiqua"/>
          <w:b/>
          <w:bCs/>
        </w:rPr>
        <w:t>Lee H</w:t>
      </w:r>
      <w:r w:rsidRPr="00653566">
        <w:rPr>
          <w:rFonts w:ascii="Book Antiqua" w:hAnsi="Book Antiqua"/>
        </w:rPr>
        <w:t>, Park SH, Kim SK, Choe JY, Park JS. Pyogenic arthritis, pyoderma gangrenosum, and acne syndrome (PAPA syndrome) with E250K mutation in CD2BP1 gene treated with the tumor necrosis factor inhibitor adalimumab. </w:t>
      </w:r>
      <w:r w:rsidRPr="00653566">
        <w:rPr>
          <w:rFonts w:ascii="Book Antiqua" w:hAnsi="Book Antiqua"/>
          <w:i/>
          <w:iCs/>
        </w:rPr>
        <w:t>Clin Exp Rheumatol</w:t>
      </w:r>
      <w:r w:rsidRPr="00653566">
        <w:rPr>
          <w:rFonts w:ascii="Book Antiqua" w:hAnsi="Book Antiqua"/>
        </w:rPr>
        <w:t> 2012; </w:t>
      </w:r>
      <w:r w:rsidRPr="00653566">
        <w:rPr>
          <w:rFonts w:ascii="Book Antiqua" w:hAnsi="Book Antiqua"/>
          <w:b/>
          <w:bCs/>
        </w:rPr>
        <w:t>30</w:t>
      </w:r>
      <w:r w:rsidRPr="00653566">
        <w:rPr>
          <w:rFonts w:ascii="Book Antiqua" w:hAnsi="Book Antiqua"/>
        </w:rPr>
        <w:t>: 452 [</w:t>
      </w:r>
      <w:bookmarkStart w:id="113" w:name="OLE_LINK35"/>
      <w:bookmarkStart w:id="114" w:name="OLE_LINK36"/>
      <w:r w:rsidRPr="00653566">
        <w:rPr>
          <w:rFonts w:ascii="Book Antiqua" w:hAnsi="Book Antiqua"/>
        </w:rPr>
        <w:t>PMID: 22513199</w:t>
      </w:r>
      <w:bookmarkEnd w:id="113"/>
      <w:bookmarkEnd w:id="114"/>
      <w:r w:rsidRPr="00653566">
        <w:rPr>
          <w:rFonts w:ascii="Book Antiqua" w:hAnsi="Book Antiqua"/>
        </w:rPr>
        <w:t>]</w:t>
      </w:r>
    </w:p>
    <w:p w14:paraId="65083981"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7 </w:t>
      </w:r>
      <w:r w:rsidRPr="00653566">
        <w:rPr>
          <w:rFonts w:ascii="Book Antiqua" w:hAnsi="Book Antiqua"/>
          <w:b/>
          <w:bCs/>
        </w:rPr>
        <w:t>Tallon B</w:t>
      </w:r>
      <w:r w:rsidRPr="00653566">
        <w:rPr>
          <w:rFonts w:ascii="Book Antiqua" w:hAnsi="Book Antiqua"/>
        </w:rPr>
        <w:t>, Corkill M. Peculiarities of PAPA syndrome. </w:t>
      </w:r>
      <w:r w:rsidRPr="00653566">
        <w:rPr>
          <w:rFonts w:ascii="Book Antiqua" w:hAnsi="Book Antiqua"/>
          <w:i/>
          <w:iCs/>
        </w:rPr>
        <w:t>Rheumatology (Oxford)</w:t>
      </w:r>
      <w:r w:rsidRPr="00653566">
        <w:rPr>
          <w:rFonts w:ascii="Book Antiqua" w:hAnsi="Book Antiqua"/>
        </w:rPr>
        <w:t> 2006; </w:t>
      </w:r>
      <w:r w:rsidRPr="00653566">
        <w:rPr>
          <w:rFonts w:ascii="Book Antiqua" w:hAnsi="Book Antiqua"/>
          <w:b/>
          <w:bCs/>
        </w:rPr>
        <w:t>45</w:t>
      </w:r>
      <w:r w:rsidRPr="00653566">
        <w:rPr>
          <w:rFonts w:ascii="Book Antiqua" w:hAnsi="Book Antiqua"/>
        </w:rPr>
        <w:t>: 1140-1143 [PMID: 16527883 DOI: 10.1093/rheumatology/kei178]</w:t>
      </w:r>
    </w:p>
    <w:p w14:paraId="079301FA"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8 </w:t>
      </w:r>
      <w:r w:rsidRPr="00653566">
        <w:rPr>
          <w:rFonts w:ascii="Book Antiqua" w:hAnsi="Book Antiqua"/>
          <w:b/>
          <w:bCs/>
        </w:rPr>
        <w:t>Tofteland ND</w:t>
      </w:r>
      <w:r w:rsidRPr="00653566">
        <w:rPr>
          <w:rFonts w:ascii="Book Antiqua" w:hAnsi="Book Antiqua"/>
        </w:rPr>
        <w:t>, Shaver TS. Clinical efficacy of etanercept for treatment of PAPA syndrome. </w:t>
      </w:r>
      <w:r w:rsidRPr="00653566">
        <w:rPr>
          <w:rFonts w:ascii="Book Antiqua" w:hAnsi="Book Antiqua"/>
          <w:i/>
          <w:iCs/>
        </w:rPr>
        <w:t>J Clin Rheumatol</w:t>
      </w:r>
      <w:r w:rsidRPr="00653566">
        <w:rPr>
          <w:rFonts w:ascii="Book Antiqua" w:hAnsi="Book Antiqua"/>
        </w:rPr>
        <w:t> 2010; </w:t>
      </w:r>
      <w:r w:rsidRPr="00653566">
        <w:rPr>
          <w:rFonts w:ascii="Book Antiqua" w:hAnsi="Book Antiqua"/>
          <w:b/>
          <w:bCs/>
        </w:rPr>
        <w:t>16</w:t>
      </w:r>
      <w:r w:rsidRPr="00653566">
        <w:rPr>
          <w:rFonts w:ascii="Book Antiqua" w:hAnsi="Book Antiqua"/>
        </w:rPr>
        <w:t>: 244-245 [PMID: 20661073 DOI: 10.1097/RHU.0b013e3181e969b9]</w:t>
      </w:r>
    </w:p>
    <w:p w14:paraId="2DBF8DD1"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9 </w:t>
      </w:r>
      <w:r w:rsidRPr="00653566">
        <w:rPr>
          <w:rFonts w:ascii="Book Antiqua" w:hAnsi="Book Antiqua"/>
          <w:b/>
          <w:bCs/>
        </w:rPr>
        <w:t>Fathalla BM</w:t>
      </w:r>
      <w:r w:rsidRPr="00653566">
        <w:rPr>
          <w:rFonts w:ascii="Book Antiqua" w:hAnsi="Book Antiqua"/>
        </w:rPr>
        <w:t>, Al-Wahadneh AM, Al-Mutawa M, Kambouris M, El-Shanti H. A novel de novo PSTPIP1 mutation in a boy with pyogenic arthritis, pyoderma gangrenosum, acne (PAPA) syndrome. </w:t>
      </w:r>
      <w:r w:rsidRPr="00653566">
        <w:rPr>
          <w:rFonts w:ascii="Book Antiqua" w:hAnsi="Book Antiqua"/>
          <w:i/>
          <w:iCs/>
        </w:rPr>
        <w:t>Clin Exp Rheumatol</w:t>
      </w:r>
      <w:r w:rsidRPr="00653566">
        <w:rPr>
          <w:rFonts w:ascii="Book Antiqua" w:hAnsi="Book Antiqua"/>
        </w:rPr>
        <w:t> 2014; </w:t>
      </w:r>
      <w:r w:rsidRPr="00653566">
        <w:rPr>
          <w:rFonts w:ascii="Book Antiqua" w:hAnsi="Book Antiqua"/>
          <w:b/>
          <w:bCs/>
        </w:rPr>
        <w:t>32</w:t>
      </w:r>
      <w:r w:rsidRPr="00653566">
        <w:rPr>
          <w:rFonts w:ascii="Book Antiqua" w:hAnsi="Book Antiqua"/>
        </w:rPr>
        <w:t>: 956-958 [</w:t>
      </w:r>
      <w:bookmarkStart w:id="115" w:name="OLE_LINK37"/>
      <w:bookmarkStart w:id="116" w:name="OLE_LINK38"/>
      <w:r w:rsidRPr="00653566">
        <w:rPr>
          <w:rFonts w:ascii="Book Antiqua" w:hAnsi="Book Antiqua"/>
        </w:rPr>
        <w:t>PMID: 24960411</w:t>
      </w:r>
      <w:bookmarkEnd w:id="115"/>
      <w:bookmarkEnd w:id="116"/>
      <w:r w:rsidRPr="00653566">
        <w:rPr>
          <w:rFonts w:ascii="Book Antiqua" w:hAnsi="Book Antiqua"/>
        </w:rPr>
        <w:t>]</w:t>
      </w:r>
    </w:p>
    <w:p w14:paraId="28B05508"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lastRenderedPageBreak/>
        <w:t>10 </w:t>
      </w:r>
      <w:r w:rsidRPr="00653566">
        <w:rPr>
          <w:rFonts w:ascii="Book Antiqua" w:hAnsi="Book Antiqua"/>
          <w:b/>
          <w:bCs/>
        </w:rPr>
        <w:t>Martinez-Rios C</w:t>
      </w:r>
      <w:r w:rsidRPr="00653566">
        <w:rPr>
          <w:rFonts w:ascii="Book Antiqua" w:hAnsi="Book Antiqua"/>
        </w:rPr>
        <w:t>, Jariwala MP, Highmore K, Duffy KW, Spiegel L, Laxer RM, Stimec J. Imaging findings of sterile pyogenic arthritis, pyoderma gangrenosum and acne (PAPA) syndrome: differential diagnosis and review of the literature. </w:t>
      </w:r>
      <w:r w:rsidRPr="00653566">
        <w:rPr>
          <w:rFonts w:ascii="Book Antiqua" w:hAnsi="Book Antiqua"/>
          <w:i/>
          <w:iCs/>
        </w:rPr>
        <w:t>Pediatr Radiol</w:t>
      </w:r>
      <w:r w:rsidRPr="00653566">
        <w:rPr>
          <w:rFonts w:ascii="Book Antiqua" w:hAnsi="Book Antiqua"/>
        </w:rPr>
        <w:t> 2019; </w:t>
      </w:r>
      <w:r w:rsidRPr="00653566">
        <w:rPr>
          <w:rFonts w:ascii="Book Antiqua" w:hAnsi="Book Antiqua"/>
          <w:b/>
          <w:bCs/>
        </w:rPr>
        <w:t>49</w:t>
      </w:r>
      <w:r w:rsidRPr="00653566">
        <w:rPr>
          <w:rFonts w:ascii="Book Antiqua" w:hAnsi="Book Antiqua"/>
        </w:rPr>
        <w:t>: 23-36 [PMID: 30225645 DOI: 10.1007/s00247-018-4246-1]</w:t>
      </w:r>
    </w:p>
    <w:p w14:paraId="0FBAE009"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11 </w:t>
      </w:r>
      <w:r w:rsidRPr="00653566">
        <w:rPr>
          <w:rFonts w:ascii="Book Antiqua" w:hAnsi="Book Antiqua"/>
          <w:b/>
          <w:bCs/>
        </w:rPr>
        <w:t>Caorsi R</w:t>
      </w:r>
      <w:r w:rsidRPr="00653566">
        <w:rPr>
          <w:rFonts w:ascii="Book Antiqua" w:hAnsi="Book Antiqua"/>
        </w:rPr>
        <w:t>, Picco P, Buoncompagni A, Martini A, Gattorno M. Osteolytic lesion in PAPA syndrome responding to anti-interleukin 1 treatment. </w:t>
      </w:r>
      <w:r w:rsidRPr="00653566">
        <w:rPr>
          <w:rFonts w:ascii="Book Antiqua" w:hAnsi="Book Antiqua"/>
          <w:i/>
          <w:iCs/>
        </w:rPr>
        <w:t>J Rheumatol</w:t>
      </w:r>
      <w:r w:rsidRPr="00653566">
        <w:rPr>
          <w:rFonts w:ascii="Book Antiqua" w:hAnsi="Book Antiqua"/>
        </w:rPr>
        <w:t> 2014; </w:t>
      </w:r>
      <w:r w:rsidRPr="00653566">
        <w:rPr>
          <w:rFonts w:ascii="Book Antiqua" w:hAnsi="Book Antiqua"/>
          <w:b/>
          <w:bCs/>
        </w:rPr>
        <w:t>41</w:t>
      </w:r>
      <w:r w:rsidRPr="00653566">
        <w:rPr>
          <w:rFonts w:ascii="Book Antiqua" w:hAnsi="Book Antiqua"/>
        </w:rPr>
        <w:t>: 2333-2334 [PMID: 25362725 DOI: 10.3899/jrheum.140060]</w:t>
      </w:r>
    </w:p>
    <w:p w14:paraId="0F3181BA"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12 </w:t>
      </w:r>
      <w:r w:rsidRPr="00653566">
        <w:rPr>
          <w:rFonts w:ascii="Book Antiqua" w:hAnsi="Book Antiqua"/>
          <w:b/>
          <w:bCs/>
        </w:rPr>
        <w:t>Hong JB</w:t>
      </w:r>
      <w:r w:rsidRPr="00653566">
        <w:rPr>
          <w:rFonts w:ascii="Book Antiqua" w:hAnsi="Book Antiqua"/>
        </w:rPr>
        <w:t>, Su YN, Chiu HC. Pyogenic arthritis, pyoderma gangrenosum, and acne syndrome (PAPA syndrome): report of a sporadic case without an identifiable mutation in the CD2BP1 gene. </w:t>
      </w:r>
      <w:r w:rsidRPr="00653566">
        <w:rPr>
          <w:rFonts w:ascii="Book Antiqua" w:hAnsi="Book Antiqua"/>
          <w:i/>
          <w:iCs/>
        </w:rPr>
        <w:t>J Am Acad Dermatol</w:t>
      </w:r>
      <w:r w:rsidRPr="00653566">
        <w:rPr>
          <w:rFonts w:ascii="Book Antiqua" w:hAnsi="Book Antiqua"/>
        </w:rPr>
        <w:t> 2009; </w:t>
      </w:r>
      <w:r w:rsidRPr="00653566">
        <w:rPr>
          <w:rFonts w:ascii="Book Antiqua" w:hAnsi="Book Antiqua"/>
          <w:b/>
          <w:bCs/>
        </w:rPr>
        <w:t>61</w:t>
      </w:r>
      <w:r w:rsidRPr="00653566">
        <w:rPr>
          <w:rFonts w:ascii="Book Antiqua" w:hAnsi="Book Antiqua"/>
        </w:rPr>
        <w:t>: 533-535 [PMID: 19700023 DOI: 10.1016/j.jaad.2008.11.017]</w:t>
      </w:r>
    </w:p>
    <w:p w14:paraId="794A88D8"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13 </w:t>
      </w:r>
      <w:r w:rsidRPr="00653566">
        <w:rPr>
          <w:rFonts w:ascii="Book Antiqua" w:hAnsi="Book Antiqua"/>
          <w:b/>
          <w:bCs/>
        </w:rPr>
        <w:t>Geusau A</w:t>
      </w:r>
      <w:r w:rsidRPr="00653566">
        <w:rPr>
          <w:rFonts w:ascii="Book Antiqua" w:hAnsi="Book Antiqua"/>
        </w:rPr>
        <w:t>, Mothes-Luksch N, Nahavandi H, Pickl WF, Wise CA, Pourpak Z, Ponweiser E, Eckhart L, Sunder-Plassmann R. Identification of a homozygous PSTPIP1 mutation in a patient with a PAPA-like syndrome responding to canakinumab treatment. </w:t>
      </w:r>
      <w:r w:rsidRPr="00653566">
        <w:rPr>
          <w:rFonts w:ascii="Book Antiqua" w:hAnsi="Book Antiqua"/>
          <w:i/>
          <w:iCs/>
        </w:rPr>
        <w:t>JAMA Dermatol</w:t>
      </w:r>
      <w:r w:rsidRPr="00653566">
        <w:rPr>
          <w:rFonts w:ascii="Book Antiqua" w:hAnsi="Book Antiqua"/>
        </w:rPr>
        <w:t> 2013; </w:t>
      </w:r>
      <w:r w:rsidRPr="00653566">
        <w:rPr>
          <w:rFonts w:ascii="Book Antiqua" w:hAnsi="Book Antiqua"/>
          <w:b/>
          <w:bCs/>
        </w:rPr>
        <w:t>149</w:t>
      </w:r>
      <w:r w:rsidRPr="00653566">
        <w:rPr>
          <w:rFonts w:ascii="Book Antiqua" w:hAnsi="Book Antiqua"/>
        </w:rPr>
        <w:t>: 209-215 [PMID: 23426477 DOI: 10.1001/2013.jamadermatol.717]</w:t>
      </w:r>
    </w:p>
    <w:p w14:paraId="3B70C33A"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14 </w:t>
      </w:r>
      <w:r w:rsidRPr="00653566">
        <w:rPr>
          <w:rFonts w:ascii="Book Antiqua" w:hAnsi="Book Antiqua"/>
          <w:b/>
          <w:bCs/>
        </w:rPr>
        <w:t>Park BM</w:t>
      </w:r>
      <w:r w:rsidRPr="00653566">
        <w:rPr>
          <w:rFonts w:ascii="Book Antiqua" w:hAnsi="Book Antiqua"/>
        </w:rPr>
        <w:t>, Yun SJ, Lee SC, Lee JB. A sporadic case of pyogenic arthritis, pyoderma gangrenosum and acne syndrome without an identifiable mutation. </w:t>
      </w:r>
      <w:r w:rsidRPr="00653566">
        <w:rPr>
          <w:rFonts w:ascii="Book Antiqua" w:hAnsi="Book Antiqua"/>
          <w:i/>
          <w:iCs/>
        </w:rPr>
        <w:t>Clin Exp Dermatol</w:t>
      </w:r>
      <w:r w:rsidRPr="00653566">
        <w:rPr>
          <w:rFonts w:ascii="Book Antiqua" w:hAnsi="Book Antiqua"/>
        </w:rPr>
        <w:t> 2014; </w:t>
      </w:r>
      <w:r w:rsidRPr="00653566">
        <w:rPr>
          <w:rFonts w:ascii="Book Antiqua" w:hAnsi="Book Antiqua"/>
          <w:b/>
          <w:bCs/>
        </w:rPr>
        <w:t>39</w:t>
      </w:r>
      <w:r w:rsidRPr="00653566">
        <w:rPr>
          <w:rFonts w:ascii="Book Antiqua" w:hAnsi="Book Antiqua"/>
        </w:rPr>
        <w:t>: 73-75 [PMID: 23692517 DOI: 10.1111/ced.12154]</w:t>
      </w:r>
    </w:p>
    <w:p w14:paraId="6FFE4C2D"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15 </w:t>
      </w:r>
      <w:r w:rsidRPr="00653566">
        <w:rPr>
          <w:rFonts w:ascii="Book Antiqua" w:hAnsi="Book Antiqua"/>
          <w:b/>
          <w:bCs/>
        </w:rPr>
        <w:t>Zeeli T</w:t>
      </w:r>
      <w:r w:rsidRPr="00653566">
        <w:rPr>
          <w:rFonts w:ascii="Book Antiqua" w:hAnsi="Book Antiqua"/>
        </w:rPr>
        <w:t>, Padalon-Brauch G, Ellenbogen E, Gat A, Sarig O, Sprecher E. Pyoderma gangrenosum, acne and ulcerative colitis in a patient with a novel mutation in the PSTPIP1 gene. </w:t>
      </w:r>
      <w:r w:rsidRPr="00653566">
        <w:rPr>
          <w:rFonts w:ascii="Book Antiqua" w:hAnsi="Book Antiqua"/>
          <w:i/>
          <w:iCs/>
        </w:rPr>
        <w:t>Clin Exp Dermatol</w:t>
      </w:r>
      <w:r w:rsidRPr="00653566">
        <w:rPr>
          <w:rFonts w:ascii="Book Antiqua" w:hAnsi="Book Antiqua"/>
        </w:rPr>
        <w:t> 2015; </w:t>
      </w:r>
      <w:r w:rsidRPr="00653566">
        <w:rPr>
          <w:rFonts w:ascii="Book Antiqua" w:hAnsi="Book Antiqua"/>
          <w:b/>
          <w:bCs/>
        </w:rPr>
        <w:t>40</w:t>
      </w:r>
      <w:r w:rsidRPr="00653566">
        <w:rPr>
          <w:rFonts w:ascii="Book Antiqua" w:hAnsi="Book Antiqua"/>
        </w:rPr>
        <w:t>: 367-372 [PMID: 25683018 DOI: 10.1111/ced.12585]</w:t>
      </w:r>
    </w:p>
    <w:p w14:paraId="09BD5ED3"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16 </w:t>
      </w:r>
      <w:r w:rsidRPr="00653566">
        <w:rPr>
          <w:rFonts w:ascii="Book Antiqua" w:hAnsi="Book Antiqua"/>
          <w:b/>
          <w:bCs/>
        </w:rPr>
        <w:t>Kechichian E</w:t>
      </w:r>
      <w:r w:rsidRPr="00653566">
        <w:rPr>
          <w:rFonts w:ascii="Book Antiqua" w:hAnsi="Book Antiqua"/>
        </w:rPr>
        <w:t>, Haber R, Mourad N, El Khoury R, Jabbour S, Tomb R. Pediatric pyoderma gangrenosum: a systematic review and update. </w:t>
      </w:r>
      <w:r w:rsidRPr="00653566">
        <w:rPr>
          <w:rFonts w:ascii="Book Antiqua" w:hAnsi="Book Antiqua"/>
          <w:i/>
          <w:iCs/>
        </w:rPr>
        <w:t>Int J Dermatol</w:t>
      </w:r>
      <w:r w:rsidRPr="00653566">
        <w:rPr>
          <w:rFonts w:ascii="Book Antiqua" w:hAnsi="Book Antiqua"/>
        </w:rPr>
        <w:t> 2017; </w:t>
      </w:r>
      <w:r w:rsidRPr="00653566">
        <w:rPr>
          <w:rFonts w:ascii="Book Antiqua" w:hAnsi="Book Antiqua"/>
          <w:b/>
          <w:bCs/>
        </w:rPr>
        <w:t>56</w:t>
      </w:r>
      <w:r w:rsidRPr="00653566">
        <w:rPr>
          <w:rFonts w:ascii="Book Antiqua" w:hAnsi="Book Antiqua"/>
        </w:rPr>
        <w:t>: 486-495 [PMID: 28233293 DOI: 10.1111/ijd.13584]</w:t>
      </w:r>
    </w:p>
    <w:p w14:paraId="40EB7D86"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17 </w:t>
      </w:r>
      <w:r w:rsidRPr="00653566">
        <w:rPr>
          <w:rFonts w:ascii="Book Antiqua" w:hAnsi="Book Antiqua"/>
          <w:b/>
          <w:bCs/>
        </w:rPr>
        <w:t>Edrees AF</w:t>
      </w:r>
      <w:r w:rsidRPr="00653566">
        <w:rPr>
          <w:rFonts w:ascii="Book Antiqua" w:hAnsi="Book Antiqua"/>
        </w:rPr>
        <w:t>, Kaplan DL, Abdou NI. Pyogenic arthritis, pyoderma gangrenosum, and acne syndrome (PAPA syndrome) associated with hypogammaglobulinemia and elevated serum tumor necrosis factor-alpha levels. </w:t>
      </w:r>
      <w:r w:rsidRPr="00653566">
        <w:rPr>
          <w:rFonts w:ascii="Book Antiqua" w:hAnsi="Book Antiqua"/>
          <w:i/>
          <w:iCs/>
        </w:rPr>
        <w:t>J Clin Rheumatol</w:t>
      </w:r>
      <w:r w:rsidRPr="00653566">
        <w:rPr>
          <w:rFonts w:ascii="Book Antiqua" w:hAnsi="Book Antiqua"/>
        </w:rPr>
        <w:t> 2002; </w:t>
      </w:r>
      <w:r w:rsidRPr="00653566">
        <w:rPr>
          <w:rFonts w:ascii="Book Antiqua" w:hAnsi="Book Antiqua"/>
          <w:b/>
          <w:bCs/>
        </w:rPr>
        <w:t>8</w:t>
      </w:r>
      <w:r w:rsidRPr="00653566">
        <w:rPr>
          <w:rFonts w:ascii="Book Antiqua" w:hAnsi="Book Antiqua"/>
        </w:rPr>
        <w:t>: 273-275 [PMID: 17041385 DOI: 10.1097/00124743-200210000-00009]</w:t>
      </w:r>
    </w:p>
    <w:p w14:paraId="253B525A"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lastRenderedPageBreak/>
        <w:t>18 </w:t>
      </w:r>
      <w:r w:rsidRPr="00653566">
        <w:rPr>
          <w:rFonts w:ascii="Book Antiqua" w:hAnsi="Book Antiqua"/>
          <w:b/>
          <w:bCs/>
        </w:rPr>
        <w:t>Stichweh DS</w:t>
      </w:r>
      <w:r w:rsidRPr="00653566">
        <w:rPr>
          <w:rFonts w:ascii="Book Antiqua" w:hAnsi="Book Antiqua"/>
        </w:rPr>
        <w:t>, Punaro M, Pascual V. Dramatic improvement of pyoderma gangrenosum with infliximab in a patient with PAPA syndrome. </w:t>
      </w:r>
      <w:r w:rsidRPr="00653566">
        <w:rPr>
          <w:rFonts w:ascii="Book Antiqua" w:hAnsi="Book Antiqua"/>
          <w:i/>
          <w:iCs/>
        </w:rPr>
        <w:t>Pediatr Dermatol</w:t>
      </w:r>
      <w:r w:rsidRPr="00653566">
        <w:rPr>
          <w:rFonts w:ascii="Book Antiqua" w:hAnsi="Book Antiqua"/>
        </w:rPr>
        <w:t> 2005; </w:t>
      </w:r>
      <w:r w:rsidRPr="00653566">
        <w:rPr>
          <w:rFonts w:ascii="Book Antiqua" w:hAnsi="Book Antiqua"/>
          <w:b/>
          <w:bCs/>
        </w:rPr>
        <w:t>22</w:t>
      </w:r>
      <w:r w:rsidRPr="00653566">
        <w:rPr>
          <w:rFonts w:ascii="Book Antiqua" w:hAnsi="Book Antiqua"/>
        </w:rPr>
        <w:t>: 262-265 [PMID: 15916580 DOI: 10.1111/j.1525-1470.2005.22320.x]</w:t>
      </w:r>
    </w:p>
    <w:p w14:paraId="6FD303E9"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19 </w:t>
      </w:r>
      <w:r w:rsidRPr="00653566">
        <w:rPr>
          <w:rFonts w:ascii="Book Antiqua" w:hAnsi="Book Antiqua"/>
          <w:b/>
          <w:bCs/>
        </w:rPr>
        <w:t>Brenner M</w:t>
      </w:r>
      <w:r w:rsidRPr="00653566">
        <w:rPr>
          <w:rFonts w:ascii="Book Antiqua" w:hAnsi="Book Antiqua"/>
        </w:rPr>
        <w:t>, Ruzicka T, Plewig G, Thomas P, Herzer P. Targeted treatment of pyoderma gangrenosum in PAPA (pyogenic arthritis, pyoderma gangrenosum and acne) syndrome with the recombinant human interleukin-1 receptor antagonist anakinra. </w:t>
      </w:r>
      <w:r w:rsidRPr="00653566">
        <w:rPr>
          <w:rFonts w:ascii="Book Antiqua" w:hAnsi="Book Antiqua"/>
          <w:i/>
          <w:iCs/>
        </w:rPr>
        <w:t>Br J Dermatol</w:t>
      </w:r>
      <w:r w:rsidRPr="00653566">
        <w:rPr>
          <w:rFonts w:ascii="Book Antiqua" w:hAnsi="Book Antiqua"/>
        </w:rPr>
        <w:t> 2009; </w:t>
      </w:r>
      <w:r w:rsidRPr="00653566">
        <w:rPr>
          <w:rFonts w:ascii="Book Antiqua" w:hAnsi="Book Antiqua"/>
          <w:b/>
          <w:bCs/>
        </w:rPr>
        <w:t>161</w:t>
      </w:r>
      <w:r w:rsidRPr="00653566">
        <w:rPr>
          <w:rFonts w:ascii="Book Antiqua" w:hAnsi="Book Antiqua"/>
        </w:rPr>
        <w:t>: 1199-1201 [PMID: 19673875 DOI: 10.1111/j.1365-2133.2009.09404.x]</w:t>
      </w:r>
    </w:p>
    <w:p w14:paraId="0D49EAD9"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20 </w:t>
      </w:r>
      <w:r w:rsidRPr="00653566">
        <w:rPr>
          <w:rFonts w:ascii="Book Antiqua" w:hAnsi="Book Antiqua"/>
          <w:b/>
          <w:bCs/>
        </w:rPr>
        <w:t>Omenetti A</w:t>
      </w:r>
      <w:r w:rsidRPr="00653566">
        <w:rPr>
          <w:rFonts w:ascii="Book Antiqua" w:hAnsi="Book Antiqua"/>
        </w:rPr>
        <w:t>, Carta S, Caorsi R, Finetti M, Marotto D, Lattanzi B, Jorini M, Delfino L, Penco F, Picco P, Buoncompagni A, Martini A, Rubartelli A, Gattorno M. Disease activity accounts for long-term efficacy of IL-1 blockers in pyogenic sterile arthritis pyoderma gangrenosum and severe acne syndrome. </w:t>
      </w:r>
      <w:r w:rsidRPr="00653566">
        <w:rPr>
          <w:rFonts w:ascii="Book Antiqua" w:hAnsi="Book Antiqua"/>
          <w:i/>
          <w:iCs/>
        </w:rPr>
        <w:t>Rheumatology (Oxford)</w:t>
      </w:r>
      <w:r w:rsidRPr="00653566">
        <w:rPr>
          <w:rFonts w:ascii="Book Antiqua" w:hAnsi="Book Antiqua"/>
        </w:rPr>
        <w:t> 2016; </w:t>
      </w:r>
      <w:r w:rsidRPr="00653566">
        <w:rPr>
          <w:rFonts w:ascii="Book Antiqua" w:hAnsi="Book Antiqua"/>
          <w:b/>
          <w:bCs/>
        </w:rPr>
        <w:t>55</w:t>
      </w:r>
      <w:r w:rsidRPr="00653566">
        <w:rPr>
          <w:rFonts w:ascii="Book Antiqua" w:hAnsi="Book Antiqua"/>
        </w:rPr>
        <w:t>: 1325-1335 [PMID: 26989109 DOI: 10.1093/rheumatology/kew031]</w:t>
      </w:r>
    </w:p>
    <w:p w14:paraId="67C33B34"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21 </w:t>
      </w:r>
      <w:r w:rsidRPr="00653566">
        <w:rPr>
          <w:rFonts w:ascii="Book Antiqua" w:hAnsi="Book Antiqua"/>
          <w:b/>
          <w:bCs/>
        </w:rPr>
        <w:t>Sardana K</w:t>
      </w:r>
      <w:r w:rsidRPr="00653566">
        <w:rPr>
          <w:rFonts w:ascii="Book Antiqua" w:hAnsi="Book Antiqua"/>
        </w:rPr>
        <w:t>, Bajaj S, Bose SK. Successful treatment of PAPA syndrome with minocycline, dapsone, deflazacort and methotrexate: a cost-effective therapy with a 2-year follow-up. </w:t>
      </w:r>
      <w:r w:rsidRPr="00653566">
        <w:rPr>
          <w:rFonts w:ascii="Book Antiqua" w:hAnsi="Book Antiqua"/>
          <w:i/>
          <w:iCs/>
        </w:rPr>
        <w:t>Clin Exp Dermatol</w:t>
      </w:r>
      <w:r w:rsidRPr="00653566">
        <w:rPr>
          <w:rFonts w:ascii="Book Antiqua" w:hAnsi="Book Antiqua"/>
        </w:rPr>
        <w:t> 2019; </w:t>
      </w:r>
      <w:r w:rsidRPr="00653566">
        <w:rPr>
          <w:rFonts w:ascii="Book Antiqua" w:hAnsi="Book Antiqua"/>
          <w:b/>
          <w:bCs/>
        </w:rPr>
        <w:t>44</w:t>
      </w:r>
      <w:r w:rsidRPr="00653566">
        <w:rPr>
          <w:rFonts w:ascii="Book Antiqua" w:hAnsi="Book Antiqua"/>
        </w:rPr>
        <w:t>: 577-579 [PMID: 30259545 DOI: 10.1111/ced.13792]</w:t>
      </w:r>
    </w:p>
    <w:p w14:paraId="47C338D2"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22 </w:t>
      </w:r>
      <w:r w:rsidRPr="00653566">
        <w:rPr>
          <w:rFonts w:ascii="Book Antiqua" w:hAnsi="Book Antiqua"/>
          <w:b/>
          <w:bCs/>
        </w:rPr>
        <w:t>Yeon HB</w:t>
      </w:r>
      <w:r w:rsidRPr="00653566">
        <w:rPr>
          <w:rFonts w:ascii="Book Antiqua" w:hAnsi="Book Antiqua"/>
        </w:rPr>
        <w:t>, Lindor NM, Seidman JG, Seidman CE. Pyogenic arthritis, pyoderma gangrenosum, and acne syndrome maps to chromosome 15q. </w:t>
      </w:r>
      <w:r w:rsidRPr="00653566">
        <w:rPr>
          <w:rFonts w:ascii="Book Antiqua" w:hAnsi="Book Antiqua"/>
          <w:i/>
          <w:iCs/>
        </w:rPr>
        <w:t>Am J Hum Genet</w:t>
      </w:r>
      <w:r w:rsidRPr="00653566">
        <w:rPr>
          <w:rFonts w:ascii="Book Antiqua" w:hAnsi="Book Antiqua"/>
        </w:rPr>
        <w:t> 2000; </w:t>
      </w:r>
      <w:r w:rsidRPr="00653566">
        <w:rPr>
          <w:rFonts w:ascii="Book Antiqua" w:hAnsi="Book Antiqua"/>
          <w:b/>
          <w:bCs/>
        </w:rPr>
        <w:t>66</w:t>
      </w:r>
      <w:r w:rsidRPr="00653566">
        <w:rPr>
          <w:rFonts w:ascii="Book Antiqua" w:hAnsi="Book Antiqua"/>
        </w:rPr>
        <w:t>: 1443-1448 [PMID: 10729114 DOI: 10.1086/302866]</w:t>
      </w:r>
    </w:p>
    <w:p w14:paraId="27679E97"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23 </w:t>
      </w:r>
      <w:r w:rsidRPr="00653566">
        <w:rPr>
          <w:rFonts w:ascii="Book Antiqua" w:hAnsi="Book Antiqua"/>
          <w:b/>
          <w:bCs/>
        </w:rPr>
        <w:t>Wise CA</w:t>
      </w:r>
      <w:r w:rsidRPr="00653566">
        <w:rPr>
          <w:rFonts w:ascii="Book Antiqua" w:hAnsi="Book Antiqua"/>
        </w:rPr>
        <w:t>, Bennett LB, Pascual V, Gillum JD, Bowcock AM. Localization of a gene for familial recurrent arthritis. </w:t>
      </w:r>
      <w:r w:rsidRPr="00653566">
        <w:rPr>
          <w:rFonts w:ascii="Book Antiqua" w:hAnsi="Book Antiqua"/>
          <w:i/>
          <w:iCs/>
        </w:rPr>
        <w:t>Arthritis Rheum</w:t>
      </w:r>
      <w:r w:rsidRPr="00653566">
        <w:rPr>
          <w:rFonts w:ascii="Book Antiqua" w:hAnsi="Book Antiqua"/>
        </w:rPr>
        <w:t> 2000; </w:t>
      </w:r>
      <w:r w:rsidRPr="00653566">
        <w:rPr>
          <w:rFonts w:ascii="Book Antiqua" w:hAnsi="Book Antiqua"/>
          <w:b/>
          <w:bCs/>
        </w:rPr>
        <w:t>43</w:t>
      </w:r>
      <w:r w:rsidRPr="00653566">
        <w:rPr>
          <w:rFonts w:ascii="Book Antiqua" w:hAnsi="Book Antiqua"/>
        </w:rPr>
        <w:t>: 2041-2045 [PMID: 11014354 DOI: 10.1002/1529-0131(200009)43:9&lt;2041::AID-ANR15&gt;3.0.CO;2-G]</w:t>
      </w:r>
    </w:p>
    <w:p w14:paraId="4D3BD993"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24 </w:t>
      </w:r>
      <w:r w:rsidRPr="00653566">
        <w:rPr>
          <w:rFonts w:ascii="Book Antiqua" w:hAnsi="Book Antiqua"/>
          <w:b/>
          <w:bCs/>
        </w:rPr>
        <w:t>Wise CA</w:t>
      </w:r>
      <w:r w:rsidRPr="00653566">
        <w:rPr>
          <w:rFonts w:ascii="Book Antiqua" w:hAnsi="Book Antiqua"/>
        </w:rPr>
        <w:t>, Gillum JD, Seidman CE, Lindor NM, Veile R, Bashiardes S, Lovett M. Mutations in CD2BP1 disrupt binding to PTP PEST and are responsible for PAPA syndrome, an autoinflammatory disorder. </w:t>
      </w:r>
      <w:r w:rsidRPr="00653566">
        <w:rPr>
          <w:rFonts w:ascii="Book Antiqua" w:hAnsi="Book Antiqua"/>
          <w:i/>
          <w:iCs/>
        </w:rPr>
        <w:t>Hum Mol Genet</w:t>
      </w:r>
      <w:r w:rsidRPr="00653566">
        <w:rPr>
          <w:rFonts w:ascii="Book Antiqua" w:hAnsi="Book Antiqua"/>
        </w:rPr>
        <w:t> 2002; </w:t>
      </w:r>
      <w:r w:rsidRPr="00653566">
        <w:rPr>
          <w:rFonts w:ascii="Book Antiqua" w:hAnsi="Book Antiqua"/>
          <w:b/>
          <w:bCs/>
        </w:rPr>
        <w:t>11</w:t>
      </w:r>
      <w:r w:rsidRPr="00653566">
        <w:rPr>
          <w:rFonts w:ascii="Book Antiqua" w:hAnsi="Book Antiqua"/>
        </w:rPr>
        <w:t>: 961-969 [PMID: 11971877 DOI: 10.1093/hmg/11.8.961]</w:t>
      </w:r>
    </w:p>
    <w:p w14:paraId="0C16CAA0"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25 </w:t>
      </w:r>
      <w:r w:rsidRPr="00653566">
        <w:rPr>
          <w:rFonts w:ascii="Book Antiqua" w:hAnsi="Book Antiqua"/>
          <w:b/>
          <w:bCs/>
        </w:rPr>
        <w:t>Wang D</w:t>
      </w:r>
      <w:r w:rsidRPr="00653566">
        <w:rPr>
          <w:rFonts w:ascii="Book Antiqua" w:hAnsi="Book Antiqua"/>
        </w:rPr>
        <w:t xml:space="preserve">, Höing S, Patterson HC, Ahmad UM, Rathinam VA, Rajewsky K, Fitzgerald KA, Golenbock DT. Inflammation in mice ectopically expressing human Pyogenic Arthritis, Pyoderma Gangrenosum, and Acne (PAPA) Syndrome-associated PSTPIP1 </w:t>
      </w:r>
      <w:r w:rsidRPr="00653566">
        <w:rPr>
          <w:rFonts w:ascii="Book Antiqua" w:hAnsi="Book Antiqua"/>
        </w:rPr>
        <w:lastRenderedPageBreak/>
        <w:t>A230T mutant proteins. </w:t>
      </w:r>
      <w:r w:rsidRPr="00653566">
        <w:rPr>
          <w:rFonts w:ascii="Book Antiqua" w:hAnsi="Book Antiqua"/>
          <w:i/>
          <w:iCs/>
        </w:rPr>
        <w:t>J Biol Chem</w:t>
      </w:r>
      <w:r w:rsidRPr="00653566">
        <w:rPr>
          <w:rFonts w:ascii="Book Antiqua" w:hAnsi="Book Antiqua"/>
        </w:rPr>
        <w:t> 2013; </w:t>
      </w:r>
      <w:r w:rsidRPr="00653566">
        <w:rPr>
          <w:rFonts w:ascii="Book Antiqua" w:hAnsi="Book Antiqua"/>
          <w:b/>
          <w:bCs/>
        </w:rPr>
        <w:t>288</w:t>
      </w:r>
      <w:r w:rsidRPr="00653566">
        <w:rPr>
          <w:rFonts w:ascii="Book Antiqua" w:hAnsi="Book Antiqua"/>
        </w:rPr>
        <w:t>: 4594-4601 [PMID: 23293022 DOI: 10.1074/jbc.M112.443077]</w:t>
      </w:r>
    </w:p>
    <w:p w14:paraId="61681704"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26 </w:t>
      </w:r>
      <w:r w:rsidRPr="00653566">
        <w:rPr>
          <w:rFonts w:ascii="Book Antiqua" w:hAnsi="Book Antiqua"/>
          <w:b/>
          <w:bCs/>
        </w:rPr>
        <w:t>Yang H</w:t>
      </w:r>
      <w:r w:rsidRPr="00653566">
        <w:rPr>
          <w:rFonts w:ascii="Book Antiqua" w:hAnsi="Book Antiqua"/>
        </w:rPr>
        <w:t>, Reinherz EL. CD2BP1 modulates CD2-dependent T cell activation via linkage to protein tyrosine phosphatase (PTP)-PEST. </w:t>
      </w:r>
      <w:r w:rsidRPr="00653566">
        <w:rPr>
          <w:rFonts w:ascii="Book Antiqua" w:hAnsi="Book Antiqua"/>
          <w:i/>
          <w:iCs/>
        </w:rPr>
        <w:t>J Immunol</w:t>
      </w:r>
      <w:r w:rsidRPr="00653566">
        <w:rPr>
          <w:rFonts w:ascii="Book Antiqua" w:hAnsi="Book Antiqua"/>
        </w:rPr>
        <w:t> 2006; </w:t>
      </w:r>
      <w:r w:rsidRPr="00653566">
        <w:rPr>
          <w:rFonts w:ascii="Book Antiqua" w:hAnsi="Book Antiqua"/>
          <w:b/>
          <w:bCs/>
        </w:rPr>
        <w:t>176</w:t>
      </w:r>
      <w:r w:rsidRPr="00653566">
        <w:rPr>
          <w:rFonts w:ascii="Book Antiqua" w:hAnsi="Book Antiqua"/>
        </w:rPr>
        <w:t>: 5898-5907 [PMID: 16670297 DOI: 10.4049/jimmunol.176.10.5898]</w:t>
      </w:r>
    </w:p>
    <w:p w14:paraId="7147EBD0"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27 </w:t>
      </w:r>
      <w:r w:rsidRPr="00653566">
        <w:rPr>
          <w:rFonts w:ascii="Book Antiqua" w:hAnsi="Book Antiqua"/>
          <w:b/>
          <w:bCs/>
        </w:rPr>
        <w:t>Yu JW</w:t>
      </w:r>
      <w:r w:rsidRPr="00653566">
        <w:rPr>
          <w:rFonts w:ascii="Book Antiqua" w:hAnsi="Book Antiqua"/>
        </w:rPr>
        <w:t>, Wu J, Zhang Z, Datta P, Ibrahimi I, Taniguchi S, Sagara J, Fernandes-Alnemri T, Alnemri ES. Cryopyrin and pyrin activate caspase-1, but not NF-kappaB, via ASC oligomerization. </w:t>
      </w:r>
      <w:r w:rsidRPr="00653566">
        <w:rPr>
          <w:rFonts w:ascii="Book Antiqua" w:hAnsi="Book Antiqua"/>
          <w:i/>
          <w:iCs/>
        </w:rPr>
        <w:t>Cell Death Differ</w:t>
      </w:r>
      <w:r w:rsidRPr="00653566">
        <w:rPr>
          <w:rFonts w:ascii="Book Antiqua" w:hAnsi="Book Antiqua"/>
        </w:rPr>
        <w:t> 2006; </w:t>
      </w:r>
      <w:r w:rsidRPr="00653566">
        <w:rPr>
          <w:rFonts w:ascii="Book Antiqua" w:hAnsi="Book Antiqua"/>
          <w:b/>
          <w:bCs/>
        </w:rPr>
        <w:t>13</w:t>
      </w:r>
      <w:r w:rsidRPr="00653566">
        <w:rPr>
          <w:rFonts w:ascii="Book Antiqua" w:hAnsi="Book Antiqua"/>
        </w:rPr>
        <w:t>: 236-249 [PMID: 16037825 DOI: 10.1038/sj.cdd.4401734]</w:t>
      </w:r>
    </w:p>
    <w:p w14:paraId="6F2E71F6"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28 </w:t>
      </w:r>
      <w:r w:rsidRPr="00653566">
        <w:rPr>
          <w:rFonts w:ascii="Book Antiqua" w:hAnsi="Book Antiqua"/>
          <w:b/>
          <w:bCs/>
        </w:rPr>
        <w:t>Yu JW</w:t>
      </w:r>
      <w:r w:rsidRPr="00653566">
        <w:rPr>
          <w:rFonts w:ascii="Book Antiqua" w:hAnsi="Book Antiqua"/>
        </w:rPr>
        <w:t>, Fernandes-Alnemri T, Datta P, Wu J, Juliana C, Solorzano L, McCormick M, Zhang Z, Alnemri ES. Pyrin activates the ASC pyroptosome in response to engagement by autoinflammatory PSTPIP1 mutants. </w:t>
      </w:r>
      <w:r w:rsidRPr="00653566">
        <w:rPr>
          <w:rFonts w:ascii="Book Antiqua" w:hAnsi="Book Antiqua"/>
          <w:i/>
          <w:iCs/>
        </w:rPr>
        <w:t>Mol Cell</w:t>
      </w:r>
      <w:r w:rsidRPr="00653566">
        <w:rPr>
          <w:rFonts w:ascii="Book Antiqua" w:hAnsi="Book Antiqua"/>
        </w:rPr>
        <w:t> 2007; </w:t>
      </w:r>
      <w:r w:rsidRPr="00653566">
        <w:rPr>
          <w:rFonts w:ascii="Book Antiqua" w:hAnsi="Book Antiqua"/>
          <w:b/>
          <w:bCs/>
        </w:rPr>
        <w:t>28</w:t>
      </w:r>
      <w:r w:rsidRPr="00653566">
        <w:rPr>
          <w:rFonts w:ascii="Book Antiqua" w:hAnsi="Book Antiqua"/>
        </w:rPr>
        <w:t>: 214-227 [PMID: 17964261 DOI: 10.1016/j.molcel.2007.08.029]</w:t>
      </w:r>
    </w:p>
    <w:p w14:paraId="63D6DDAE"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29 </w:t>
      </w:r>
      <w:r w:rsidRPr="00653566">
        <w:rPr>
          <w:rFonts w:ascii="Book Antiqua" w:hAnsi="Book Antiqua"/>
          <w:b/>
          <w:bCs/>
        </w:rPr>
        <w:t>Campbell L</w:t>
      </w:r>
      <w:r w:rsidRPr="00653566">
        <w:rPr>
          <w:rFonts w:ascii="Book Antiqua" w:hAnsi="Book Antiqua"/>
        </w:rPr>
        <w:t>, Raheem I, Malemud CJ, Askari AD. The Relationship between NALP3 and Autoinflammatory Syndromes. </w:t>
      </w:r>
      <w:r w:rsidRPr="00653566">
        <w:rPr>
          <w:rFonts w:ascii="Book Antiqua" w:hAnsi="Book Antiqua"/>
          <w:i/>
          <w:iCs/>
        </w:rPr>
        <w:t>Int J Mol Sci</w:t>
      </w:r>
      <w:r w:rsidRPr="00653566">
        <w:rPr>
          <w:rFonts w:ascii="Book Antiqua" w:hAnsi="Book Antiqua"/>
        </w:rPr>
        <w:t> 2016; </w:t>
      </w:r>
      <w:r w:rsidRPr="00653566">
        <w:rPr>
          <w:rFonts w:ascii="Book Antiqua" w:hAnsi="Book Antiqua"/>
          <w:b/>
          <w:bCs/>
        </w:rPr>
        <w:t>17</w:t>
      </w:r>
      <w:r w:rsidRPr="00653566">
        <w:rPr>
          <w:rFonts w:ascii="Book Antiqua" w:hAnsi="Book Antiqua"/>
        </w:rPr>
        <w:t> [PMID: 27187378 DOI: 10.3390/ijms17050725]</w:t>
      </w:r>
    </w:p>
    <w:p w14:paraId="45034B08"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30 </w:t>
      </w:r>
      <w:r w:rsidRPr="00653566">
        <w:rPr>
          <w:rFonts w:ascii="Book Antiqua" w:hAnsi="Book Antiqua"/>
          <w:b/>
          <w:bCs/>
        </w:rPr>
        <w:t>Mankan AK</w:t>
      </w:r>
      <w:r w:rsidRPr="00653566">
        <w:rPr>
          <w:rFonts w:ascii="Book Antiqua" w:hAnsi="Book Antiqua"/>
        </w:rPr>
        <w:t>, Dau T, Jenne D, Hornung V. The NLRP3/ASC/Caspase-1 axis regulates IL-1β processing in neutrophils. </w:t>
      </w:r>
      <w:r w:rsidRPr="00653566">
        <w:rPr>
          <w:rFonts w:ascii="Book Antiqua" w:hAnsi="Book Antiqua"/>
          <w:i/>
          <w:iCs/>
        </w:rPr>
        <w:t>Eur J Immunol</w:t>
      </w:r>
      <w:r w:rsidRPr="00653566">
        <w:rPr>
          <w:rFonts w:ascii="Book Antiqua" w:hAnsi="Book Antiqua"/>
        </w:rPr>
        <w:t> 2012; </w:t>
      </w:r>
      <w:r w:rsidRPr="00653566">
        <w:rPr>
          <w:rFonts w:ascii="Book Antiqua" w:hAnsi="Book Antiqua"/>
          <w:b/>
          <w:bCs/>
        </w:rPr>
        <w:t>42</w:t>
      </w:r>
      <w:r w:rsidRPr="00653566">
        <w:rPr>
          <w:rFonts w:ascii="Book Antiqua" w:hAnsi="Book Antiqua"/>
        </w:rPr>
        <w:t>: 710-715 [PMID: 22213227 DOI: 10.1002/eji.201141921]</w:t>
      </w:r>
    </w:p>
    <w:p w14:paraId="2A623E2F"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31 </w:t>
      </w:r>
      <w:r w:rsidRPr="00653566">
        <w:rPr>
          <w:rFonts w:ascii="Book Antiqua" w:hAnsi="Book Antiqua"/>
          <w:b/>
          <w:bCs/>
        </w:rPr>
        <w:t>Marzano AV</w:t>
      </w:r>
      <w:r w:rsidRPr="00653566">
        <w:rPr>
          <w:rFonts w:ascii="Book Antiqua" w:hAnsi="Book Antiqua"/>
        </w:rPr>
        <w:t>, Borghi A, Meroni PL, Cugno M. Pyoderma gangrenosum and its syndromic forms: evidence for a link with autoinflammation. </w:t>
      </w:r>
      <w:r w:rsidRPr="00653566">
        <w:rPr>
          <w:rFonts w:ascii="Book Antiqua" w:hAnsi="Book Antiqua"/>
          <w:i/>
          <w:iCs/>
        </w:rPr>
        <w:t>Br J Dermatol</w:t>
      </w:r>
      <w:r w:rsidRPr="00653566">
        <w:rPr>
          <w:rFonts w:ascii="Book Antiqua" w:hAnsi="Book Antiqua"/>
        </w:rPr>
        <w:t> 2016; </w:t>
      </w:r>
      <w:r w:rsidRPr="00653566">
        <w:rPr>
          <w:rFonts w:ascii="Book Antiqua" w:hAnsi="Book Antiqua"/>
          <w:b/>
          <w:bCs/>
        </w:rPr>
        <w:t>175</w:t>
      </w:r>
      <w:r w:rsidRPr="00653566">
        <w:rPr>
          <w:rFonts w:ascii="Book Antiqua" w:hAnsi="Book Antiqua"/>
        </w:rPr>
        <w:t>: 882-891 [PMID: 27106250 DOI: 10.1111/bjd.14691]</w:t>
      </w:r>
    </w:p>
    <w:p w14:paraId="15F86778"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32 </w:t>
      </w:r>
      <w:r w:rsidRPr="00653566">
        <w:rPr>
          <w:rFonts w:ascii="Book Antiqua" w:hAnsi="Book Antiqua"/>
          <w:b/>
          <w:bCs/>
        </w:rPr>
        <w:t>Smith EJ</w:t>
      </w:r>
      <w:r w:rsidRPr="00653566">
        <w:rPr>
          <w:rFonts w:ascii="Book Antiqua" w:hAnsi="Book Antiqua"/>
        </w:rPr>
        <w:t>, Allantaz F, Bennett L, Zhang D, Gao X, Wood G, Kastner DL, Punaro M, Aksentijevich I, Pascual V, Wise CA. Clinical, Molecular, and Genetic Characteristics of PAPA Syndrome: A Review. </w:t>
      </w:r>
      <w:r w:rsidRPr="00653566">
        <w:rPr>
          <w:rFonts w:ascii="Book Antiqua" w:hAnsi="Book Antiqua"/>
          <w:i/>
          <w:iCs/>
        </w:rPr>
        <w:t>Curr Genomics</w:t>
      </w:r>
      <w:r w:rsidRPr="00653566">
        <w:rPr>
          <w:rFonts w:ascii="Book Antiqua" w:hAnsi="Book Antiqua"/>
        </w:rPr>
        <w:t> 2010; </w:t>
      </w:r>
      <w:r w:rsidRPr="00653566">
        <w:rPr>
          <w:rFonts w:ascii="Book Antiqua" w:hAnsi="Book Antiqua"/>
          <w:b/>
          <w:bCs/>
        </w:rPr>
        <w:t>11</w:t>
      </w:r>
      <w:r w:rsidRPr="00653566">
        <w:rPr>
          <w:rFonts w:ascii="Book Antiqua" w:hAnsi="Book Antiqua"/>
        </w:rPr>
        <w:t>: 519-527 [PMID: 21532836 DOI: 10.2174/138920210793175921]</w:t>
      </w:r>
    </w:p>
    <w:p w14:paraId="75A62AA0"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33 </w:t>
      </w:r>
      <w:r w:rsidRPr="00653566">
        <w:rPr>
          <w:rFonts w:ascii="Book Antiqua" w:hAnsi="Book Antiqua"/>
          <w:b/>
          <w:bCs/>
        </w:rPr>
        <w:t>Cortesio CL</w:t>
      </w:r>
      <w:r w:rsidRPr="00653566">
        <w:rPr>
          <w:rFonts w:ascii="Book Antiqua" w:hAnsi="Book Antiqua"/>
        </w:rPr>
        <w:t>, Wernimont SA, Kastner DL, Cooper KM, Huttenlocher A. Impaired podosome formation and invasive migration of macrophages from patients with a PSTPIP1 mutation and PAPA syndrome. </w:t>
      </w:r>
      <w:r w:rsidRPr="00653566">
        <w:rPr>
          <w:rFonts w:ascii="Book Antiqua" w:hAnsi="Book Antiqua"/>
          <w:i/>
          <w:iCs/>
        </w:rPr>
        <w:t>Arthritis Rheum</w:t>
      </w:r>
      <w:r w:rsidRPr="00653566">
        <w:rPr>
          <w:rFonts w:ascii="Book Antiqua" w:hAnsi="Book Antiqua"/>
        </w:rPr>
        <w:t> 2010; </w:t>
      </w:r>
      <w:r w:rsidRPr="00653566">
        <w:rPr>
          <w:rFonts w:ascii="Book Antiqua" w:hAnsi="Book Antiqua"/>
          <w:b/>
          <w:bCs/>
        </w:rPr>
        <w:t>62</w:t>
      </w:r>
      <w:r w:rsidRPr="00653566">
        <w:rPr>
          <w:rFonts w:ascii="Book Antiqua" w:hAnsi="Book Antiqua"/>
        </w:rPr>
        <w:t>: 2556-2558 [PMID: 20506269 DOI: 10.1002/art.27521]</w:t>
      </w:r>
    </w:p>
    <w:p w14:paraId="02BE39A2"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lastRenderedPageBreak/>
        <w:t>34 </w:t>
      </w:r>
      <w:r w:rsidRPr="00653566">
        <w:rPr>
          <w:rFonts w:ascii="Book Antiqua" w:hAnsi="Book Antiqua"/>
          <w:b/>
          <w:bCs/>
        </w:rPr>
        <w:t>Dierselhuis MP</w:t>
      </w:r>
      <w:r w:rsidRPr="00653566">
        <w:rPr>
          <w:rFonts w:ascii="Book Antiqua" w:hAnsi="Book Antiqua"/>
        </w:rPr>
        <w:t>, Frenkel J, Wulffraat NM, Boelens JJ. Anakinra for flares of pyogenic arthritis in PAPA syndrome. </w:t>
      </w:r>
      <w:r w:rsidRPr="00653566">
        <w:rPr>
          <w:rFonts w:ascii="Book Antiqua" w:hAnsi="Book Antiqua"/>
          <w:i/>
          <w:iCs/>
        </w:rPr>
        <w:t>Rheumatology (Oxford)</w:t>
      </w:r>
      <w:r w:rsidRPr="00653566">
        <w:rPr>
          <w:rFonts w:ascii="Book Antiqua" w:hAnsi="Book Antiqua"/>
        </w:rPr>
        <w:t> 2005; </w:t>
      </w:r>
      <w:r w:rsidRPr="00653566">
        <w:rPr>
          <w:rFonts w:ascii="Book Antiqua" w:hAnsi="Book Antiqua"/>
          <w:b/>
          <w:bCs/>
        </w:rPr>
        <w:t>44</w:t>
      </w:r>
      <w:r w:rsidRPr="00653566">
        <w:rPr>
          <w:rFonts w:ascii="Book Antiqua" w:hAnsi="Book Antiqua"/>
        </w:rPr>
        <w:t>: 406-408 [PMID: 15637033 DOI: 10.1093/rheumatology/keh479]</w:t>
      </w:r>
    </w:p>
    <w:p w14:paraId="56B5B8EB"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35 </w:t>
      </w:r>
      <w:r w:rsidRPr="00653566">
        <w:rPr>
          <w:rFonts w:ascii="Book Antiqua" w:hAnsi="Book Antiqua"/>
          <w:b/>
          <w:bCs/>
        </w:rPr>
        <w:t>Löffler W</w:t>
      </w:r>
      <w:r w:rsidRPr="00653566">
        <w:rPr>
          <w:rFonts w:ascii="Book Antiqua" w:hAnsi="Book Antiqua"/>
        </w:rPr>
        <w:t>, Lohse P, Weihmayr T, Widenmayer W. Pyogenic arthritis, pyoderma gangrenosum, and acne (PAPA) syndrome: differential diagnosis of septic arthritis by regular detection of exceedingly high synovial cell counts. </w:t>
      </w:r>
      <w:r w:rsidRPr="00653566">
        <w:rPr>
          <w:rFonts w:ascii="Book Antiqua" w:hAnsi="Book Antiqua"/>
          <w:i/>
          <w:iCs/>
        </w:rPr>
        <w:t>Infection</w:t>
      </w:r>
      <w:r w:rsidRPr="00653566">
        <w:rPr>
          <w:rFonts w:ascii="Book Antiqua" w:hAnsi="Book Antiqua"/>
        </w:rPr>
        <w:t> 2017; </w:t>
      </w:r>
      <w:r w:rsidRPr="00653566">
        <w:rPr>
          <w:rFonts w:ascii="Book Antiqua" w:hAnsi="Book Antiqua"/>
          <w:b/>
          <w:bCs/>
        </w:rPr>
        <w:t>45</w:t>
      </w:r>
      <w:r w:rsidRPr="00653566">
        <w:rPr>
          <w:rFonts w:ascii="Book Antiqua" w:hAnsi="Book Antiqua"/>
        </w:rPr>
        <w:t>: 395-402 [PMID: 28251506 DOI: 10.1007/s15010-017-0996-1]</w:t>
      </w:r>
    </w:p>
    <w:p w14:paraId="1483EAA4"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36 </w:t>
      </w:r>
      <w:r w:rsidRPr="00653566">
        <w:rPr>
          <w:rFonts w:ascii="Book Antiqua" w:hAnsi="Book Antiqua"/>
          <w:b/>
          <w:bCs/>
        </w:rPr>
        <w:t>Sood AK</w:t>
      </w:r>
      <w:r w:rsidRPr="00653566">
        <w:rPr>
          <w:rFonts w:ascii="Book Antiqua" w:hAnsi="Book Antiqua"/>
        </w:rPr>
        <w:t>, McShane DB, Googe PB, Wu EY. Successful Treatment of PAPA Syndrome with Dual Adalimumab and Tacrolimus Therapy. </w:t>
      </w:r>
      <w:r w:rsidRPr="00653566">
        <w:rPr>
          <w:rFonts w:ascii="Book Antiqua" w:hAnsi="Book Antiqua"/>
          <w:i/>
          <w:iCs/>
        </w:rPr>
        <w:t>J Clin Immunol</w:t>
      </w:r>
      <w:r w:rsidRPr="00653566">
        <w:rPr>
          <w:rFonts w:ascii="Book Antiqua" w:hAnsi="Book Antiqua"/>
        </w:rPr>
        <w:t> 2019; </w:t>
      </w:r>
      <w:r w:rsidRPr="00653566">
        <w:rPr>
          <w:rFonts w:ascii="Book Antiqua" w:hAnsi="Book Antiqua"/>
          <w:b/>
          <w:bCs/>
        </w:rPr>
        <w:t>39</w:t>
      </w:r>
      <w:r w:rsidRPr="00653566">
        <w:rPr>
          <w:rFonts w:ascii="Book Antiqua" w:hAnsi="Book Antiqua"/>
        </w:rPr>
        <w:t>: 832-835 [PMID: 31471736 DOI: 10.1007/s10875-019-00685-6]</w:t>
      </w:r>
    </w:p>
    <w:p w14:paraId="23CD42D6"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37 </w:t>
      </w:r>
      <w:r w:rsidRPr="00653566">
        <w:rPr>
          <w:rFonts w:ascii="Book Antiqua" w:hAnsi="Book Antiqua"/>
          <w:b/>
          <w:bCs/>
        </w:rPr>
        <w:t>Miceli-Richard C</w:t>
      </w:r>
      <w:r w:rsidRPr="00653566">
        <w:rPr>
          <w:rFonts w:ascii="Book Antiqua" w:hAnsi="Book Antiqua"/>
        </w:rPr>
        <w:t>, Comets E, Verstuyft C, Tamouza R, Loiseau P, Ravaud P, Kupper H, Becquemont L, Charron D, Mariette X. A single tumour necrosis factor haplotype influences the response to adalimumab in rheumatoid arthritis. </w:t>
      </w:r>
      <w:r w:rsidRPr="00653566">
        <w:rPr>
          <w:rFonts w:ascii="Book Antiqua" w:hAnsi="Book Antiqua"/>
          <w:i/>
          <w:iCs/>
        </w:rPr>
        <w:t>Ann Rheum Dis</w:t>
      </w:r>
      <w:r w:rsidRPr="00653566">
        <w:rPr>
          <w:rFonts w:ascii="Book Antiqua" w:hAnsi="Book Antiqua"/>
        </w:rPr>
        <w:t> 2008; </w:t>
      </w:r>
      <w:r w:rsidRPr="00653566">
        <w:rPr>
          <w:rFonts w:ascii="Book Antiqua" w:hAnsi="Book Antiqua"/>
          <w:b/>
          <w:bCs/>
        </w:rPr>
        <w:t>67</w:t>
      </w:r>
      <w:r w:rsidRPr="00653566">
        <w:rPr>
          <w:rFonts w:ascii="Book Antiqua" w:hAnsi="Book Antiqua"/>
        </w:rPr>
        <w:t>: 478-484 [PMID: 17673491 DOI: 10.1136/ard.2007.074104]</w:t>
      </w:r>
    </w:p>
    <w:p w14:paraId="1489DA7F"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38 </w:t>
      </w:r>
      <w:r w:rsidRPr="00653566">
        <w:rPr>
          <w:rFonts w:ascii="Book Antiqua" w:hAnsi="Book Antiqua"/>
          <w:b/>
          <w:bCs/>
        </w:rPr>
        <w:t>Van den Bosch F</w:t>
      </w:r>
      <w:r w:rsidRPr="00653566">
        <w:rPr>
          <w:rFonts w:ascii="Book Antiqua" w:hAnsi="Book Antiqua"/>
        </w:rPr>
        <w:t>, Manger B, Goupille P, McHugh N, Rødevand E, Holck P, van Vollenhoven RF, Leirisalo-Repo M, Fitzgerald O, Kron M, Frank M, Kary S, Kupper H. Effectiveness of adalimumab in treating patients with active psoriatic arthritis and predictors of good clinical responses for arthritis, skin and nail lesions. </w:t>
      </w:r>
      <w:r w:rsidRPr="00653566">
        <w:rPr>
          <w:rFonts w:ascii="Book Antiqua" w:hAnsi="Book Antiqua"/>
          <w:i/>
          <w:iCs/>
        </w:rPr>
        <w:t>Ann Rheum Dis</w:t>
      </w:r>
      <w:r w:rsidRPr="00653566">
        <w:rPr>
          <w:rFonts w:ascii="Book Antiqua" w:hAnsi="Book Antiqua"/>
        </w:rPr>
        <w:t> 2010; </w:t>
      </w:r>
      <w:r w:rsidRPr="00653566">
        <w:rPr>
          <w:rFonts w:ascii="Book Antiqua" w:hAnsi="Book Antiqua"/>
          <w:b/>
          <w:bCs/>
        </w:rPr>
        <w:t>69</w:t>
      </w:r>
      <w:r w:rsidRPr="00653566">
        <w:rPr>
          <w:rFonts w:ascii="Book Antiqua" w:hAnsi="Book Antiqua"/>
        </w:rPr>
        <w:t>: 394-399 [PMID: 19815494 DOI: 10.1136/ard.2009.111856]</w:t>
      </w:r>
    </w:p>
    <w:p w14:paraId="078FE9F2" w14:textId="77777777" w:rsidR="00653566" w:rsidRPr="00653566" w:rsidRDefault="00653566" w:rsidP="0065356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53566">
        <w:rPr>
          <w:rFonts w:ascii="Book Antiqua" w:hAnsi="Book Antiqua"/>
        </w:rPr>
        <w:t>39 </w:t>
      </w:r>
      <w:r w:rsidRPr="00653566">
        <w:rPr>
          <w:rFonts w:ascii="Book Antiqua" w:hAnsi="Book Antiqua"/>
          <w:b/>
          <w:bCs/>
        </w:rPr>
        <w:t>Braun-Moscovici Y</w:t>
      </w:r>
      <w:r w:rsidRPr="00653566">
        <w:rPr>
          <w:rFonts w:ascii="Book Antiqua" w:hAnsi="Book Antiqua"/>
        </w:rPr>
        <w:t>, Markovits D, Zinder O, Schapira D, Rozin A, Ehrenburg M, Dain L, Hoffer E, Nahir AM, Balbir-Gurman A. Anti-cyclic citrullinated protein antibodies as a predictor of response to anti-tumor necrosis factor-alpha therapy in patients with rheumatoid arthritis. </w:t>
      </w:r>
      <w:r w:rsidRPr="00653566">
        <w:rPr>
          <w:rFonts w:ascii="Book Antiqua" w:hAnsi="Book Antiqua"/>
          <w:i/>
          <w:iCs/>
        </w:rPr>
        <w:t>J Rheumatol</w:t>
      </w:r>
      <w:r w:rsidRPr="00653566">
        <w:rPr>
          <w:rFonts w:ascii="Book Antiqua" w:hAnsi="Book Antiqua"/>
        </w:rPr>
        <w:t> 2006; </w:t>
      </w:r>
      <w:r w:rsidRPr="00653566">
        <w:rPr>
          <w:rFonts w:ascii="Book Antiqua" w:hAnsi="Book Antiqua"/>
          <w:b/>
          <w:bCs/>
        </w:rPr>
        <w:t>33</w:t>
      </w:r>
      <w:r w:rsidRPr="00653566">
        <w:rPr>
          <w:rFonts w:ascii="Book Antiqua" w:hAnsi="Book Antiqua"/>
        </w:rPr>
        <w:t>: 497-500 [</w:t>
      </w:r>
      <w:bookmarkStart w:id="117" w:name="OLE_LINK39"/>
      <w:bookmarkStart w:id="118" w:name="OLE_LINK40"/>
      <w:r w:rsidRPr="00653566">
        <w:rPr>
          <w:rFonts w:ascii="Book Antiqua" w:hAnsi="Book Antiqua"/>
        </w:rPr>
        <w:t>PMID: 16511906</w:t>
      </w:r>
      <w:bookmarkEnd w:id="117"/>
      <w:bookmarkEnd w:id="118"/>
      <w:r w:rsidRPr="00653566">
        <w:rPr>
          <w:rFonts w:ascii="Book Antiqua" w:hAnsi="Book Antiqua"/>
        </w:rPr>
        <w:t>]</w:t>
      </w:r>
    </w:p>
    <w:p w14:paraId="370E98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111"/>
    <w:bookmarkEnd w:id="112"/>
    <w:p w14:paraId="45EBC180" w14:textId="77777777" w:rsidR="00A77B3E" w:rsidRDefault="009A0937">
      <w:pPr>
        <w:spacing w:line="360" w:lineRule="auto"/>
        <w:jc w:val="both"/>
      </w:pPr>
      <w:r>
        <w:rPr>
          <w:rFonts w:ascii="Book Antiqua" w:eastAsia="Book Antiqua" w:hAnsi="Book Antiqua" w:cs="Book Antiqua"/>
          <w:b/>
          <w:color w:val="000000"/>
        </w:rPr>
        <w:lastRenderedPageBreak/>
        <w:t>Footnotes</w:t>
      </w:r>
    </w:p>
    <w:p w14:paraId="006B2DBC" w14:textId="77777777" w:rsidR="00A77B3E" w:rsidRDefault="009A0937">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szCs w:val="20"/>
        </w:rPr>
        <w:t>Informed written consent was obtained from the patient for publication of this report and any accompanying images.</w:t>
      </w:r>
    </w:p>
    <w:p w14:paraId="2AC63DCB" w14:textId="77777777" w:rsidR="00A77B3E" w:rsidRDefault="00A77B3E">
      <w:pPr>
        <w:spacing w:line="360" w:lineRule="auto"/>
        <w:jc w:val="both"/>
      </w:pPr>
    </w:p>
    <w:p w14:paraId="123D6CF1" w14:textId="77777777" w:rsidR="00A77B3E" w:rsidRDefault="009A093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declare that they have no conflicts of interest.</w:t>
      </w:r>
    </w:p>
    <w:p w14:paraId="59891082" w14:textId="77777777" w:rsidR="00A77B3E" w:rsidRDefault="00A77B3E">
      <w:pPr>
        <w:spacing w:line="360" w:lineRule="auto"/>
        <w:jc w:val="both"/>
      </w:pPr>
    </w:p>
    <w:p w14:paraId="7A4B4133" w14:textId="77777777" w:rsidR="00A77B3E" w:rsidRDefault="009A0937">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szCs w:val="20"/>
        </w:rPr>
        <w:t>The authors have read the CARE Checklist (2016), and the manuscript was prepared and revised according to the CARE Checklist (2016).</w:t>
      </w:r>
    </w:p>
    <w:p w14:paraId="34112E53" w14:textId="77777777" w:rsidR="00A77B3E" w:rsidRDefault="00A77B3E">
      <w:pPr>
        <w:spacing w:line="360" w:lineRule="auto"/>
        <w:jc w:val="both"/>
      </w:pPr>
    </w:p>
    <w:p w14:paraId="122AF61B" w14:textId="77777777" w:rsidR="00A77B3E" w:rsidRDefault="009A09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301605" w14:textId="77777777" w:rsidR="00A77B3E" w:rsidRDefault="00A77B3E">
      <w:pPr>
        <w:spacing w:line="360" w:lineRule="auto"/>
        <w:jc w:val="both"/>
      </w:pPr>
    </w:p>
    <w:p w14:paraId="70C977BC" w14:textId="77777777" w:rsidR="00A77B3E" w:rsidRDefault="009A09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2488C">
        <w:rPr>
          <w:rFonts w:ascii="Book Antiqua" w:eastAsia="Book Antiqua" w:hAnsi="Book Antiqua" w:cs="Book Antiqua"/>
          <w:color w:val="000000"/>
        </w:rPr>
        <w:t>manuscript</w:t>
      </w:r>
    </w:p>
    <w:p w14:paraId="7C0350CB" w14:textId="77777777" w:rsidR="00A77B3E" w:rsidRDefault="00A77B3E">
      <w:pPr>
        <w:spacing w:line="360" w:lineRule="auto"/>
        <w:jc w:val="both"/>
      </w:pPr>
    </w:p>
    <w:p w14:paraId="263F725C" w14:textId="77777777" w:rsidR="00A77B3E" w:rsidRDefault="009A09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2021</w:t>
      </w:r>
    </w:p>
    <w:p w14:paraId="6B12FB93" w14:textId="77777777" w:rsidR="00A77B3E" w:rsidRDefault="009A09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524A3388" w14:textId="77777777" w:rsidR="00A77B3E" w:rsidRDefault="009A0937">
      <w:pPr>
        <w:spacing w:line="360" w:lineRule="auto"/>
        <w:jc w:val="both"/>
      </w:pPr>
      <w:r>
        <w:rPr>
          <w:rFonts w:ascii="Book Antiqua" w:eastAsia="Book Antiqua" w:hAnsi="Book Antiqua" w:cs="Book Antiqua"/>
          <w:b/>
          <w:color w:val="000000"/>
        </w:rPr>
        <w:t xml:space="preserve">Article in press: </w:t>
      </w:r>
    </w:p>
    <w:p w14:paraId="03A7CF70" w14:textId="77777777" w:rsidR="00A77B3E" w:rsidRDefault="00A77B3E">
      <w:pPr>
        <w:spacing w:line="360" w:lineRule="auto"/>
        <w:jc w:val="both"/>
      </w:pPr>
    </w:p>
    <w:p w14:paraId="57CDA5CC" w14:textId="77777777" w:rsidR="00A77B3E" w:rsidRDefault="009A09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075E6019" w14:textId="77777777" w:rsidR="00A77B3E" w:rsidRDefault="009A09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996284" w14:textId="77777777" w:rsidR="00A77B3E" w:rsidRDefault="009A0937">
      <w:pPr>
        <w:spacing w:line="360" w:lineRule="auto"/>
        <w:jc w:val="both"/>
      </w:pPr>
      <w:r>
        <w:rPr>
          <w:rFonts w:ascii="Book Antiqua" w:eastAsia="Book Antiqua" w:hAnsi="Book Antiqua" w:cs="Book Antiqua"/>
          <w:b/>
          <w:color w:val="000000"/>
        </w:rPr>
        <w:t>Peer-review report’s scientific quality classification</w:t>
      </w:r>
    </w:p>
    <w:p w14:paraId="79654E12" w14:textId="4ABFCE0D" w:rsidR="00A77B3E" w:rsidRDefault="009A0937">
      <w:pPr>
        <w:spacing w:line="360" w:lineRule="auto"/>
        <w:jc w:val="both"/>
      </w:pPr>
      <w:r>
        <w:rPr>
          <w:rFonts w:ascii="Book Antiqua" w:eastAsia="Book Antiqua" w:hAnsi="Book Antiqua" w:cs="Book Antiqua"/>
          <w:color w:val="000000"/>
        </w:rPr>
        <w:t xml:space="preserve">Grade A (Excellent): </w:t>
      </w:r>
      <w:r w:rsidR="00FD1C0F">
        <w:rPr>
          <w:rFonts w:ascii="Book Antiqua" w:eastAsia="Book Antiqua" w:hAnsi="Book Antiqua" w:cs="Book Antiqua"/>
          <w:color w:val="000000"/>
        </w:rPr>
        <w:t>A</w:t>
      </w:r>
    </w:p>
    <w:p w14:paraId="3E710CDD" w14:textId="77777777" w:rsidR="00A77B3E" w:rsidRDefault="009A0937">
      <w:pPr>
        <w:spacing w:line="360" w:lineRule="auto"/>
        <w:jc w:val="both"/>
      </w:pPr>
      <w:r>
        <w:rPr>
          <w:rFonts w:ascii="Book Antiqua" w:eastAsia="Book Antiqua" w:hAnsi="Book Antiqua" w:cs="Book Antiqua"/>
          <w:color w:val="000000"/>
        </w:rPr>
        <w:t>Grade B (Very good): B</w:t>
      </w:r>
    </w:p>
    <w:p w14:paraId="12074BBC" w14:textId="77777777" w:rsidR="00A77B3E" w:rsidRDefault="009A0937">
      <w:pPr>
        <w:spacing w:line="360" w:lineRule="auto"/>
        <w:jc w:val="both"/>
      </w:pPr>
      <w:r>
        <w:rPr>
          <w:rFonts w:ascii="Book Antiqua" w:eastAsia="Book Antiqua" w:hAnsi="Book Antiqua" w:cs="Book Antiqua"/>
          <w:color w:val="000000"/>
        </w:rPr>
        <w:t>Grade C (Good): 0</w:t>
      </w:r>
    </w:p>
    <w:p w14:paraId="3CF12FC8" w14:textId="77777777" w:rsidR="00A77B3E" w:rsidRDefault="009A0937">
      <w:pPr>
        <w:spacing w:line="360" w:lineRule="auto"/>
        <w:jc w:val="both"/>
      </w:pPr>
      <w:r>
        <w:rPr>
          <w:rFonts w:ascii="Book Antiqua" w:eastAsia="Book Antiqua" w:hAnsi="Book Antiqua" w:cs="Book Antiqua"/>
          <w:color w:val="000000"/>
        </w:rPr>
        <w:t>Grade D (Fair): 0</w:t>
      </w:r>
    </w:p>
    <w:p w14:paraId="0BC2E640" w14:textId="77777777" w:rsidR="00A77B3E" w:rsidRDefault="009A0937">
      <w:pPr>
        <w:spacing w:line="360" w:lineRule="auto"/>
        <w:jc w:val="both"/>
      </w:pPr>
      <w:r>
        <w:rPr>
          <w:rFonts w:ascii="Book Antiqua" w:eastAsia="Book Antiqua" w:hAnsi="Book Antiqua" w:cs="Book Antiqua"/>
          <w:color w:val="000000"/>
        </w:rPr>
        <w:t>Grade E (Poor): 0</w:t>
      </w:r>
    </w:p>
    <w:p w14:paraId="4F07C984" w14:textId="77777777" w:rsidR="00A77B3E" w:rsidRDefault="00A77B3E">
      <w:pPr>
        <w:spacing w:line="360" w:lineRule="auto"/>
        <w:jc w:val="both"/>
      </w:pPr>
    </w:p>
    <w:p w14:paraId="78CAA37E" w14:textId="3A982D22" w:rsidR="00A77B3E" w:rsidRDefault="009A093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Lambrecht NW</w:t>
      </w:r>
      <w:r>
        <w:rPr>
          <w:rFonts w:ascii="Book Antiqua" w:eastAsia="Book Antiqua" w:hAnsi="Book Antiqua" w:cs="Book Antiqua"/>
          <w:b/>
          <w:color w:val="000000"/>
        </w:rPr>
        <w:t xml:space="preserve"> S-Editor: </w:t>
      </w:r>
      <w:r w:rsidR="0002488C">
        <w:rPr>
          <w:rFonts w:ascii="Book Antiqua" w:hAnsi="Book Antiqua" w:cs="Book Antiqua" w:hint="eastAsia"/>
          <w:color w:val="000000"/>
          <w:lang w:eastAsia="zh-CN"/>
        </w:rPr>
        <w:t>Zhang H</w:t>
      </w:r>
      <w:r w:rsidR="0002488C">
        <w:rPr>
          <w:rFonts w:ascii="Book Antiqua" w:eastAsia="Book Antiqua" w:hAnsi="Book Antiqua" w:cs="Book Antiqua"/>
          <w:b/>
          <w:color w:val="000000"/>
        </w:rPr>
        <w:t xml:space="preserve"> L-Editor:</w:t>
      </w:r>
      <w:r w:rsidR="00B84245">
        <w:rPr>
          <w:rFonts w:ascii="Book Antiqua" w:eastAsia="Book Antiqua" w:hAnsi="Book Antiqua" w:cs="Book Antiqua"/>
          <w:b/>
          <w:color w:val="000000"/>
        </w:rPr>
        <w:t xml:space="preserve"> </w:t>
      </w:r>
      <w:r w:rsidR="00B84245" w:rsidRPr="00B84245">
        <w:rPr>
          <w:rFonts w:ascii="Book Antiqua" w:eastAsia="Book Antiqua" w:hAnsi="Book Antiqua" w:cs="Book Antiqua"/>
          <w:bCs/>
          <w:color w:val="000000"/>
        </w:rPr>
        <w:t>Filipodia</w:t>
      </w:r>
      <w:r w:rsidR="00B84245">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p>
    <w:p w14:paraId="10EF111D" w14:textId="77777777" w:rsidR="00A77B3E" w:rsidRDefault="009A0937">
      <w:pPr>
        <w:spacing w:line="360" w:lineRule="auto"/>
        <w:jc w:val="both"/>
      </w:pPr>
      <w:r>
        <w:rPr>
          <w:rFonts w:ascii="Book Antiqua" w:eastAsia="Book Antiqua" w:hAnsi="Book Antiqua" w:cs="Book Antiqua"/>
          <w:b/>
          <w:color w:val="000000"/>
        </w:rPr>
        <w:lastRenderedPageBreak/>
        <w:t>Figure Legends</w:t>
      </w:r>
    </w:p>
    <w:p w14:paraId="3E702E39" w14:textId="77777777" w:rsidR="00CB7854" w:rsidRDefault="00CB7854">
      <w:pPr>
        <w:spacing w:line="360" w:lineRule="auto"/>
        <w:jc w:val="both"/>
        <w:rPr>
          <w:rFonts w:ascii="Book Antiqua" w:hAnsi="Book Antiqua" w:cs="Book Antiqua"/>
          <w:b/>
          <w:bCs/>
          <w:color w:val="000000"/>
          <w:szCs w:val="20"/>
          <w:lang w:eastAsia="zh-CN"/>
        </w:rPr>
      </w:pPr>
      <w:r>
        <w:rPr>
          <w:rFonts w:ascii="Book Antiqua" w:hAnsi="Book Antiqua" w:cs="Book Antiqua"/>
          <w:b/>
          <w:bCs/>
          <w:noProof/>
          <w:color w:val="000000"/>
          <w:szCs w:val="20"/>
          <w:lang w:eastAsia="zh-CN"/>
        </w:rPr>
        <w:drawing>
          <wp:inline distT="0" distB="0" distL="0" distR="0" wp14:anchorId="4EECCB2E" wp14:editId="6D3B9201">
            <wp:extent cx="5991225" cy="30013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8964" cy="3005264"/>
                    </a:xfrm>
                    <a:prstGeom prst="rect">
                      <a:avLst/>
                    </a:prstGeom>
                    <a:noFill/>
                  </pic:spPr>
                </pic:pic>
              </a:graphicData>
            </a:graphic>
          </wp:inline>
        </w:drawing>
      </w:r>
    </w:p>
    <w:p w14:paraId="70AA0C62" w14:textId="497C4EC2" w:rsidR="00A77B3E" w:rsidRDefault="009A0937">
      <w:pPr>
        <w:spacing w:line="360" w:lineRule="auto"/>
        <w:jc w:val="both"/>
      </w:pPr>
      <w:bookmarkStart w:id="119" w:name="OLE_LINK128"/>
      <w:bookmarkStart w:id="120" w:name="OLE_LINK129"/>
      <w:r>
        <w:rPr>
          <w:rFonts w:ascii="Book Antiqua" w:eastAsia="Book Antiqua" w:hAnsi="Book Antiqua" w:cs="Book Antiqua"/>
          <w:b/>
          <w:bCs/>
          <w:color w:val="000000"/>
          <w:szCs w:val="20"/>
        </w:rPr>
        <w:t>Figure 1</w:t>
      </w:r>
      <w:r>
        <w:rPr>
          <w:rFonts w:ascii="Book Antiqua" w:eastAsia="Book Antiqua" w:hAnsi="Book Antiqua" w:cs="Book Antiqua"/>
          <w:color w:val="000000"/>
          <w:szCs w:val="20"/>
        </w:rPr>
        <w:t xml:space="preserve"> </w:t>
      </w:r>
      <w:r w:rsidRPr="00C10A7D">
        <w:rPr>
          <w:rFonts w:ascii="Book Antiqua" w:eastAsia="Book Antiqua" w:hAnsi="Book Antiqua" w:cs="Book Antiqua"/>
          <w:b/>
          <w:color w:val="000000"/>
          <w:szCs w:val="20"/>
        </w:rPr>
        <w:t>Pedigree of the PAP</w:t>
      </w:r>
      <w:r w:rsidR="00B73250" w:rsidRPr="00C10A7D">
        <w:rPr>
          <w:rFonts w:ascii="Book Antiqua" w:eastAsia="Book Antiqua" w:hAnsi="Book Antiqua" w:cs="Book Antiqua"/>
          <w:b/>
          <w:color w:val="000000"/>
          <w:szCs w:val="20"/>
        </w:rPr>
        <w:t>A family and genetic analysis.</w:t>
      </w:r>
      <w:r w:rsidR="00B73250">
        <w:rPr>
          <w:rFonts w:ascii="Book Antiqua" w:eastAsia="Book Antiqua" w:hAnsi="Book Antiqua" w:cs="Book Antiqua"/>
          <w:color w:val="000000"/>
          <w:szCs w:val="20"/>
        </w:rPr>
        <w:t xml:space="preserve"> A</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Family tree of an autosomal dominant hyponatremia pedigree. Square represents male and circle represents female. Arrow denotes the proband (III-1), black symbols represent the affected individuals (III-1 and III-2). The grey symbol refers to the individual that has the gene mutation without symptoms (II-1). The symbol with diagonal slashes denotes the deceased individual who</w:t>
      </w:r>
      <w:r w:rsidR="00B73250">
        <w:rPr>
          <w:rFonts w:ascii="Book Antiqua" w:eastAsia="Book Antiqua" w:hAnsi="Book Antiqua" w:cs="Book Antiqua"/>
          <w:color w:val="000000"/>
          <w:szCs w:val="20"/>
        </w:rPr>
        <w:t xml:space="preserve"> had the similar symptoms (I-1)</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B</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A missense mutation p.748 G</w:t>
      </w:r>
      <w:r w:rsidR="00D31FA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D31FA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 (p.E250Q) in </w:t>
      </w:r>
      <w:r w:rsidRPr="00AE6AAF">
        <w:rPr>
          <w:rFonts w:ascii="Book Antiqua" w:eastAsia="Book Antiqua" w:hAnsi="Book Antiqua" w:cs="Book Antiqua"/>
          <w:i/>
          <w:color w:val="000000"/>
          <w:szCs w:val="20"/>
        </w:rPr>
        <w:t>PSTPIP1</w:t>
      </w:r>
      <w:r>
        <w:rPr>
          <w:rFonts w:ascii="Book Antiqua" w:eastAsia="Book Antiqua" w:hAnsi="Book Antiqua" w:cs="Book Antiqua"/>
          <w:color w:val="000000"/>
          <w:szCs w:val="20"/>
        </w:rPr>
        <w:t xml:space="preserve"> was found in proband (III-1), III-2, and II-1.</w:t>
      </w:r>
    </w:p>
    <w:bookmarkEnd w:id="119"/>
    <w:bookmarkEnd w:id="120"/>
    <w:p w14:paraId="46A9F6F9" w14:textId="77777777" w:rsidR="00CA311D" w:rsidRDefault="00D05560">
      <w:pPr>
        <w:spacing w:line="360" w:lineRule="auto"/>
        <w:jc w:val="both"/>
        <w:rPr>
          <w:rFonts w:ascii="Book Antiqua" w:hAnsi="Book Antiqua" w:cs="Book Antiqua"/>
          <w:b/>
          <w:bCs/>
          <w:color w:val="000000"/>
          <w:szCs w:val="20"/>
          <w:lang w:eastAsia="zh-CN"/>
        </w:rPr>
      </w:pPr>
      <w:r>
        <w:rPr>
          <w:rFonts w:ascii="Book Antiqua" w:eastAsia="Book Antiqua" w:hAnsi="Book Antiqua" w:cs="Book Antiqua"/>
          <w:b/>
          <w:bCs/>
          <w:color w:val="000000"/>
          <w:szCs w:val="20"/>
        </w:rPr>
        <w:br w:type="page"/>
      </w:r>
      <w:r w:rsidR="00CA311D">
        <w:rPr>
          <w:rFonts w:ascii="Book Antiqua" w:eastAsia="Book Antiqua" w:hAnsi="Book Antiqua" w:cs="Book Antiqua"/>
          <w:b/>
          <w:bCs/>
          <w:noProof/>
          <w:color w:val="000000"/>
          <w:szCs w:val="20"/>
          <w:lang w:eastAsia="zh-CN"/>
        </w:rPr>
        <w:lastRenderedPageBreak/>
        <w:drawing>
          <wp:inline distT="0" distB="0" distL="0" distR="0" wp14:anchorId="215D1897" wp14:editId="0B8525CF">
            <wp:extent cx="5966821" cy="3495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9947" cy="3503365"/>
                    </a:xfrm>
                    <a:prstGeom prst="rect">
                      <a:avLst/>
                    </a:prstGeom>
                    <a:noFill/>
                  </pic:spPr>
                </pic:pic>
              </a:graphicData>
            </a:graphic>
          </wp:inline>
        </w:drawing>
      </w:r>
    </w:p>
    <w:p w14:paraId="0174938A" w14:textId="77777777" w:rsidR="00A77B3E" w:rsidRDefault="009A0937">
      <w:pPr>
        <w:spacing w:line="360" w:lineRule="auto"/>
        <w:jc w:val="both"/>
      </w:pPr>
      <w:bookmarkStart w:id="121" w:name="OLE_LINK130"/>
      <w:r>
        <w:rPr>
          <w:rFonts w:ascii="Book Antiqua" w:eastAsia="Book Antiqua" w:hAnsi="Book Antiqua" w:cs="Book Antiqua"/>
          <w:b/>
          <w:bCs/>
          <w:color w:val="000000"/>
          <w:szCs w:val="20"/>
        </w:rPr>
        <w:t>Figure 2</w:t>
      </w:r>
      <w:r>
        <w:rPr>
          <w:rFonts w:ascii="Book Antiqua" w:eastAsia="Book Antiqua" w:hAnsi="Book Antiqua" w:cs="Book Antiqua"/>
          <w:color w:val="000000"/>
          <w:szCs w:val="20"/>
        </w:rPr>
        <w:t xml:space="preserve"> </w:t>
      </w:r>
      <w:r w:rsidR="00B73250" w:rsidRPr="00C10A7D">
        <w:rPr>
          <w:rFonts w:ascii="Book Antiqua" w:hAnsi="Book Antiqua" w:cs="Book Antiqua" w:hint="eastAsia"/>
          <w:b/>
          <w:color w:val="000000"/>
          <w:szCs w:val="20"/>
          <w:lang w:eastAsia="zh-CN"/>
        </w:rPr>
        <w:t>C</w:t>
      </w:r>
      <w:r w:rsidRPr="00C10A7D">
        <w:rPr>
          <w:rFonts w:ascii="Book Antiqua" w:eastAsia="Book Antiqua" w:hAnsi="Book Antiqua" w:cs="Book Antiqua"/>
          <w:b/>
          <w:color w:val="000000"/>
          <w:szCs w:val="20"/>
        </w:rPr>
        <w:t xml:space="preserve">haracteristics of clinical manifestations in </w:t>
      </w:r>
      <w:r w:rsidR="00357EA8" w:rsidRPr="00357EA8">
        <w:rPr>
          <w:rFonts w:ascii="Book Antiqua" w:eastAsia="Book Antiqua" w:hAnsi="Book Antiqua" w:cs="Book Antiqua"/>
          <w:b/>
          <w:color w:val="000000"/>
          <w:szCs w:val="20"/>
        </w:rPr>
        <w:t xml:space="preserve">pyogenic arthritis, pyoderma gangrenosum, and acne </w:t>
      </w:r>
      <w:r w:rsidRPr="00C10A7D">
        <w:rPr>
          <w:rFonts w:ascii="Book Antiqua" w:eastAsia="Book Antiqua" w:hAnsi="Book Antiqua" w:cs="Book Antiqua"/>
          <w:b/>
          <w:color w:val="000000"/>
          <w:szCs w:val="20"/>
        </w:rPr>
        <w:t>syndrome (data were collected from 52 cases who had deta</w:t>
      </w:r>
      <w:r w:rsidR="00B73250" w:rsidRPr="00C10A7D">
        <w:rPr>
          <w:rFonts w:ascii="Book Antiqua" w:eastAsia="Book Antiqua" w:hAnsi="Book Antiqua" w:cs="Book Antiqua"/>
          <w:b/>
          <w:color w:val="000000"/>
          <w:szCs w:val="20"/>
        </w:rPr>
        <w:t>iled description of symptoms).</w:t>
      </w:r>
      <w:r w:rsidR="00B73250">
        <w:rPr>
          <w:rFonts w:ascii="Book Antiqua" w:eastAsia="Book Antiqua" w:hAnsi="Book Antiqua" w:cs="Book Antiqua"/>
          <w:color w:val="000000"/>
          <w:szCs w:val="20"/>
        </w:rPr>
        <w:t xml:space="preserve"> A</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Venn diagram for the three typical symptoms. Each circle represents a symptom, the area of coincidence represents c</w:t>
      </w:r>
      <w:r w:rsidR="00B73250">
        <w:rPr>
          <w:rFonts w:ascii="Book Antiqua" w:eastAsia="Book Antiqua" w:hAnsi="Book Antiqua" w:cs="Book Antiqua"/>
          <w:color w:val="000000"/>
          <w:szCs w:val="20"/>
        </w:rPr>
        <w:t>ases with two or three symptoms</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B</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sector diagram for the age of each symptom onset. Pyogenic arthritis always appears in childhood.</w:t>
      </w:r>
      <w:r w:rsidR="00357EA8">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Skin lesions are more likely to appea</w:t>
      </w:r>
      <w:r w:rsidR="00B73250">
        <w:rPr>
          <w:rFonts w:ascii="Book Antiqua" w:eastAsia="Book Antiqua" w:hAnsi="Book Antiqua" w:cs="Book Antiqua"/>
          <w:color w:val="000000"/>
          <w:szCs w:val="20"/>
        </w:rPr>
        <w:t>r from adolescence to adulthood</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C</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The histogram for the affecting areas of each symptom. Arthritis mainly affects occurs in knee joints, elbow joints, ankle joints, hip joints, and other large joints. Acne always appears on the face and back. </w:t>
      </w:r>
      <w:r w:rsidR="00F03898" w:rsidRPr="00F03898">
        <w:rPr>
          <w:rFonts w:ascii="Book Antiqua" w:eastAsia="Book Antiqua" w:hAnsi="Book Antiqua" w:cs="Book Antiqua"/>
          <w:color w:val="000000"/>
          <w:szCs w:val="20"/>
        </w:rPr>
        <w:t>Pyogenic granuloma</w:t>
      </w:r>
      <w:r>
        <w:rPr>
          <w:rFonts w:ascii="Book Antiqua" w:eastAsia="Book Antiqua" w:hAnsi="Book Antiqua" w:cs="Book Antiqua"/>
          <w:color w:val="000000"/>
          <w:szCs w:val="20"/>
        </w:rPr>
        <w:t xml:space="preserve"> often occurs on the extremities and the back.</w:t>
      </w:r>
    </w:p>
    <w:bookmarkEnd w:id="121"/>
    <w:p w14:paraId="704CC9E1" w14:textId="0B274D6D" w:rsidR="00764A9D" w:rsidRDefault="00D05560">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br w:type="page"/>
      </w:r>
    </w:p>
    <w:p w14:paraId="66F82CAC" w14:textId="4FCE2930" w:rsidR="003C537C" w:rsidRDefault="00283E3D">
      <w:pPr>
        <w:spacing w:line="360" w:lineRule="auto"/>
        <w:jc w:val="both"/>
        <w:rPr>
          <w:rFonts w:ascii="Book Antiqua" w:hAnsi="Book Antiqua" w:cs="Book Antiqua"/>
          <w:b/>
          <w:bCs/>
          <w:color w:val="000000"/>
          <w:szCs w:val="20"/>
          <w:lang w:eastAsia="zh-CN"/>
        </w:rPr>
      </w:pPr>
      <w:r>
        <w:rPr>
          <w:rFonts w:ascii="Book Antiqua" w:eastAsia="Book Antiqua" w:hAnsi="Book Antiqua" w:cs="Book Antiqua"/>
          <w:b/>
          <w:bCs/>
          <w:noProof/>
          <w:color w:val="000000"/>
          <w:szCs w:val="20"/>
          <w:lang w:eastAsia="zh-CN"/>
        </w:rPr>
        <w:lastRenderedPageBreak/>
        <w:drawing>
          <wp:inline distT="0" distB="0" distL="0" distR="0" wp14:anchorId="70442599" wp14:editId="0BE0F2C5">
            <wp:extent cx="5940425" cy="2010410"/>
            <wp:effectExtent l="0" t="0" r="0" b="0"/>
            <wp:docPr id="3" name="图片 1" descr="figur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010410"/>
                    </a:xfrm>
                    <a:prstGeom prst="rect">
                      <a:avLst/>
                    </a:prstGeom>
                    <a:noFill/>
                    <a:ln>
                      <a:noFill/>
                    </a:ln>
                  </pic:spPr>
                </pic:pic>
              </a:graphicData>
            </a:graphic>
          </wp:inline>
        </w:drawing>
      </w:r>
    </w:p>
    <w:p w14:paraId="4CE9B825" w14:textId="6676324D" w:rsidR="00977C1C" w:rsidRDefault="009A0937">
      <w:pPr>
        <w:spacing w:line="360" w:lineRule="auto"/>
        <w:jc w:val="both"/>
        <w:rPr>
          <w:rFonts w:ascii="Book Antiqua" w:eastAsia="Book Antiqua" w:hAnsi="Book Antiqua" w:cs="Book Antiqua"/>
          <w:color w:val="000000"/>
          <w:szCs w:val="20"/>
        </w:rPr>
      </w:pPr>
      <w:bookmarkStart w:id="122" w:name="OLE_LINK131"/>
      <w:r>
        <w:rPr>
          <w:rFonts w:ascii="Book Antiqua" w:eastAsia="Book Antiqua" w:hAnsi="Book Antiqua" w:cs="Book Antiqua"/>
          <w:b/>
          <w:bCs/>
          <w:color w:val="000000"/>
          <w:szCs w:val="20"/>
        </w:rPr>
        <w:t>Figure 3</w:t>
      </w:r>
      <w:r>
        <w:rPr>
          <w:rFonts w:ascii="Book Antiqua" w:eastAsia="Book Antiqua" w:hAnsi="Book Antiqua" w:cs="Book Antiqua"/>
          <w:color w:val="000000"/>
          <w:szCs w:val="20"/>
        </w:rPr>
        <w:t xml:space="preserve"> </w:t>
      </w:r>
      <w:r w:rsidRPr="00C10A7D">
        <w:rPr>
          <w:rFonts w:ascii="Book Antiqua" w:eastAsia="Book Antiqua" w:hAnsi="Book Antiqua" w:cs="Book Antiqua"/>
          <w:b/>
          <w:color w:val="000000"/>
          <w:szCs w:val="20"/>
        </w:rPr>
        <w:t>Type of gene mutation and relationship between gene mutat</w:t>
      </w:r>
      <w:r w:rsidR="00B73250" w:rsidRPr="00C10A7D">
        <w:rPr>
          <w:rFonts w:ascii="Book Antiqua" w:eastAsia="Book Antiqua" w:hAnsi="Book Antiqua" w:cs="Book Antiqua"/>
          <w:b/>
          <w:color w:val="000000"/>
          <w:szCs w:val="20"/>
        </w:rPr>
        <w:t>ion sites and effective drugs.</w:t>
      </w:r>
      <w:r w:rsidR="00B73250" w:rsidRPr="00C10A7D">
        <w:rPr>
          <w:rFonts w:ascii="Book Antiqua" w:eastAsia="Book Antiqua" w:hAnsi="Book Antiqua" w:cs="Book Antiqua"/>
          <w:color w:val="000000"/>
          <w:szCs w:val="20"/>
        </w:rPr>
        <w:t xml:space="preserve"> </w:t>
      </w:r>
      <w:r w:rsidR="00B73250">
        <w:rPr>
          <w:rFonts w:ascii="Book Antiqua" w:eastAsia="Book Antiqua" w:hAnsi="Book Antiqua" w:cs="Book Antiqua"/>
          <w:color w:val="000000"/>
          <w:szCs w:val="20"/>
        </w:rPr>
        <w:t>A</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Types of gene mutation. Ten gene mutations of </w:t>
      </w:r>
      <w:r w:rsidR="00357EA8" w:rsidRPr="00357EA8">
        <w:rPr>
          <w:rFonts w:ascii="Book Antiqua" w:eastAsia="Book Antiqua" w:hAnsi="Book Antiqua" w:cs="Book Antiqua"/>
          <w:color w:val="000000"/>
          <w:szCs w:val="20"/>
        </w:rPr>
        <w:t>pyogenic arthritis, pyoderma gangrenosum, and acne</w:t>
      </w:r>
      <w:r>
        <w:rPr>
          <w:rFonts w:ascii="Book Antiqua" w:eastAsia="Book Antiqua" w:hAnsi="Book Antiqua" w:cs="Book Antiqua"/>
          <w:color w:val="000000"/>
          <w:szCs w:val="20"/>
        </w:rPr>
        <w:t xml:space="preserve"> have been reported worldwide. A230T, E250Q, and E250</w:t>
      </w:r>
      <w:r w:rsidR="00B73250">
        <w:rPr>
          <w:rFonts w:ascii="Book Antiqua" w:eastAsia="Book Antiqua" w:hAnsi="Book Antiqua" w:cs="Book Antiqua"/>
          <w:color w:val="000000"/>
          <w:szCs w:val="20"/>
        </w:rPr>
        <w:t>K are the most common mutations</w:t>
      </w:r>
      <w:r w:rsidR="00B73250">
        <w:rPr>
          <w:rFonts w:ascii="Book Antiqua" w:hAnsi="Book Antiqua" w:cs="Book Antiqua" w:hint="eastAsia"/>
          <w:color w:val="000000"/>
          <w:szCs w:val="20"/>
          <w:lang w:eastAsia="zh-CN"/>
        </w:rPr>
        <w:t>;</w:t>
      </w:r>
      <w:r w:rsidR="00B73250">
        <w:rPr>
          <w:rFonts w:ascii="Book Antiqua" w:eastAsia="Book Antiqua" w:hAnsi="Book Antiqua" w:cs="Book Antiqua"/>
          <w:color w:val="000000"/>
          <w:szCs w:val="20"/>
        </w:rPr>
        <w:t xml:space="preserve"> B</w:t>
      </w:r>
      <w:r w:rsidR="00B7325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Fifteen drugs with a good efficacy were found, including corticosteroids, azathioprine, sulfasalazine, leflunomide, </w:t>
      </w:r>
      <w:r w:rsidR="00D614E2">
        <w:rPr>
          <w:rFonts w:ascii="Book Antiqua" w:hAnsi="Book Antiqua" w:cs="Book Antiqua" w:hint="eastAsia"/>
          <w:color w:val="000000"/>
          <w:szCs w:val="20"/>
          <w:lang w:eastAsia="zh-CN"/>
        </w:rPr>
        <w:t>t</w:t>
      </w:r>
      <w:r w:rsidR="00D614E2">
        <w:rPr>
          <w:rFonts w:ascii="Book Antiqua" w:eastAsia="Book Antiqua" w:hAnsi="Book Antiqua" w:cs="Book Antiqua"/>
          <w:color w:val="000000"/>
          <w:szCs w:val="20"/>
        </w:rPr>
        <w:t>umor necrosis factor</w:t>
      </w:r>
      <w:r>
        <w:rPr>
          <w:rFonts w:ascii="Book Antiqua" w:eastAsia="Book Antiqua" w:hAnsi="Book Antiqua" w:cs="Book Antiqua"/>
          <w:color w:val="000000"/>
          <w:szCs w:val="20"/>
        </w:rPr>
        <w:t xml:space="preserve">-α inhibitors, </w:t>
      </w:r>
      <w:r w:rsidR="00D614E2">
        <w:rPr>
          <w:rFonts w:ascii="Book Antiqua" w:hAnsi="Book Antiqua" w:cs="Book Antiqua"/>
          <w:color w:val="000000"/>
          <w:szCs w:val="20"/>
          <w:lang w:eastAsia="zh-CN"/>
        </w:rPr>
        <w:t>i</w:t>
      </w:r>
      <w:r w:rsidR="00D614E2">
        <w:rPr>
          <w:rFonts w:ascii="Book Antiqua" w:eastAsia="Book Antiqua" w:hAnsi="Book Antiqua" w:cs="Book Antiqua"/>
          <w:color w:val="000000"/>
          <w:szCs w:val="20"/>
        </w:rPr>
        <w:t>nterleukin</w:t>
      </w:r>
      <w:r>
        <w:rPr>
          <w:rFonts w:ascii="Book Antiqua" w:eastAsia="Book Antiqua" w:hAnsi="Book Antiqua" w:cs="Book Antiqua"/>
          <w:color w:val="000000"/>
          <w:szCs w:val="20"/>
        </w:rPr>
        <w:t xml:space="preserve">-1β antagonist,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xml:space="preserve"> This figure summariz</w:t>
      </w:r>
      <w:r w:rsidR="00D31FA2">
        <w:rPr>
          <w:rFonts w:ascii="Book Antiqua" w:eastAsia="Book Antiqua" w:hAnsi="Book Antiqua" w:cs="Book Antiqua"/>
          <w:color w:val="000000"/>
          <w:szCs w:val="20"/>
        </w:rPr>
        <w:t>es</w:t>
      </w:r>
      <w:r>
        <w:rPr>
          <w:rFonts w:ascii="Book Antiqua" w:eastAsia="Book Antiqua" w:hAnsi="Book Antiqua" w:cs="Book Antiqua"/>
          <w:color w:val="000000"/>
          <w:szCs w:val="20"/>
        </w:rPr>
        <w:t xml:space="preserve"> effective drugs based on their gene mutation sites.</w:t>
      </w:r>
    </w:p>
    <w:bookmarkEnd w:id="122"/>
    <w:p w14:paraId="3D4A4F1D" w14:textId="77777777" w:rsidR="00977C1C" w:rsidRPr="00977C1C" w:rsidRDefault="00977C1C" w:rsidP="00977C1C">
      <w:pPr>
        <w:adjustRightInd w:val="0"/>
        <w:snapToGrid w:val="0"/>
        <w:spacing w:line="360" w:lineRule="auto"/>
        <w:jc w:val="both"/>
        <w:rPr>
          <w:rFonts w:ascii="Book Antiqua" w:eastAsia="Times New Roman" w:hAnsi="Book Antiqua"/>
          <w:b/>
          <w:snapToGrid w:val="0"/>
          <w:lang w:eastAsia="de-DE" w:bidi="en-US"/>
        </w:rPr>
      </w:pPr>
      <w:r>
        <w:rPr>
          <w:rFonts w:ascii="Book Antiqua" w:eastAsia="Book Antiqua" w:hAnsi="Book Antiqua" w:cs="Book Antiqua"/>
          <w:color w:val="000000"/>
          <w:szCs w:val="20"/>
        </w:rPr>
        <w:br w:type="page"/>
      </w:r>
      <w:bookmarkStart w:id="123" w:name="OLE_LINK41"/>
      <w:bookmarkStart w:id="124" w:name="OLE_LINK42"/>
      <w:r w:rsidRPr="00977C1C">
        <w:rPr>
          <w:rFonts w:ascii="Book Antiqua" w:eastAsia="Times New Roman" w:hAnsi="Book Antiqua"/>
          <w:b/>
          <w:snapToGrid w:val="0"/>
          <w:lang w:eastAsia="de-DE" w:bidi="en-US"/>
        </w:rPr>
        <w:lastRenderedPageBreak/>
        <w:t xml:space="preserve">Table 1 </w:t>
      </w:r>
      <w:r w:rsidRPr="00977C1C">
        <w:rPr>
          <w:rFonts w:ascii="Book Antiqua" w:hAnsi="Book Antiqua" w:hint="eastAsia"/>
          <w:b/>
          <w:snapToGrid w:val="0"/>
          <w:lang w:eastAsia="zh-CN" w:bidi="en-US"/>
        </w:rPr>
        <w:t>L</w:t>
      </w:r>
      <w:r w:rsidRPr="00977C1C">
        <w:rPr>
          <w:rFonts w:ascii="Book Antiqua" w:eastAsia="Times New Roman" w:hAnsi="Book Antiqua"/>
          <w:b/>
          <w:snapToGrid w:val="0"/>
          <w:lang w:eastAsia="de-DE" w:bidi="en-US"/>
        </w:rPr>
        <w:t xml:space="preserve">evels of serum inflammatory factors in the recent episode of the two brothers </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3132"/>
        <w:gridCol w:w="3115"/>
        <w:gridCol w:w="3113"/>
      </w:tblGrid>
      <w:tr w:rsidR="00977C1C" w:rsidRPr="003258A0" w14:paraId="3F20884D" w14:textId="77777777" w:rsidTr="00977C1C">
        <w:trPr>
          <w:trHeight w:val="454"/>
          <w:jc w:val="center"/>
        </w:trPr>
        <w:tc>
          <w:tcPr>
            <w:tcW w:w="1673" w:type="pct"/>
            <w:tcBorders>
              <w:top w:val="single" w:sz="8" w:space="0" w:color="000000"/>
              <w:left w:val="nil"/>
              <w:bottom w:val="single" w:sz="4" w:space="0" w:color="auto"/>
              <w:right w:val="nil"/>
            </w:tcBorders>
            <w:hideMark/>
          </w:tcPr>
          <w:p w14:paraId="66C9E60C" w14:textId="77777777" w:rsidR="00977C1C" w:rsidRPr="003258A0" w:rsidRDefault="00977C1C" w:rsidP="00BF4DCE">
            <w:pPr>
              <w:adjustRightInd w:val="0"/>
              <w:snapToGrid w:val="0"/>
              <w:spacing w:line="360" w:lineRule="auto"/>
              <w:rPr>
                <w:rFonts w:ascii="Book Antiqua" w:eastAsia="Times New Roman" w:hAnsi="Book Antiqua"/>
                <w:b/>
                <w:snapToGrid w:val="0"/>
                <w:lang w:eastAsia="de-DE" w:bidi="en-US"/>
              </w:rPr>
            </w:pPr>
            <w:r w:rsidRPr="003258A0">
              <w:rPr>
                <w:rFonts w:ascii="Book Antiqua" w:eastAsia="Times New Roman" w:hAnsi="Book Antiqua"/>
                <w:b/>
                <w:snapToGrid w:val="0"/>
                <w:lang w:eastAsia="de-DE" w:bidi="en-US"/>
              </w:rPr>
              <w:t xml:space="preserve">Laboratory </w:t>
            </w:r>
            <w:r w:rsidR="0024112C" w:rsidRPr="003258A0">
              <w:rPr>
                <w:rFonts w:ascii="Book Antiqua" w:eastAsia="Times New Roman" w:hAnsi="Book Antiqua"/>
                <w:b/>
                <w:snapToGrid w:val="0"/>
                <w:lang w:eastAsia="de-DE" w:bidi="en-US"/>
              </w:rPr>
              <w:t xml:space="preserve">indexes </w:t>
            </w:r>
          </w:p>
        </w:tc>
        <w:tc>
          <w:tcPr>
            <w:tcW w:w="1664" w:type="pct"/>
            <w:tcBorders>
              <w:top w:val="single" w:sz="8" w:space="0" w:color="000000"/>
              <w:left w:val="nil"/>
              <w:bottom w:val="single" w:sz="4" w:space="0" w:color="auto"/>
              <w:right w:val="nil"/>
            </w:tcBorders>
            <w:hideMark/>
          </w:tcPr>
          <w:p w14:paraId="6A8B4461" w14:textId="77777777" w:rsidR="00977C1C" w:rsidRPr="003258A0" w:rsidRDefault="00977C1C" w:rsidP="00BF4DCE">
            <w:pPr>
              <w:adjustRightInd w:val="0"/>
              <w:snapToGrid w:val="0"/>
              <w:spacing w:line="360" w:lineRule="auto"/>
              <w:rPr>
                <w:rFonts w:ascii="Book Antiqua" w:eastAsia="Times New Roman" w:hAnsi="Book Antiqua"/>
                <w:b/>
                <w:snapToGrid w:val="0"/>
                <w:lang w:eastAsia="de-DE" w:bidi="en-US"/>
              </w:rPr>
            </w:pPr>
            <w:r w:rsidRPr="003258A0">
              <w:rPr>
                <w:rFonts w:ascii="Book Antiqua" w:eastAsia="Times New Roman" w:hAnsi="Book Antiqua"/>
                <w:b/>
                <w:snapToGrid w:val="0"/>
                <w:lang w:eastAsia="de-DE" w:bidi="en-US"/>
              </w:rPr>
              <w:t>III-1</w:t>
            </w:r>
          </w:p>
        </w:tc>
        <w:tc>
          <w:tcPr>
            <w:tcW w:w="1663" w:type="pct"/>
            <w:tcBorders>
              <w:top w:val="single" w:sz="8" w:space="0" w:color="000000"/>
              <w:left w:val="nil"/>
              <w:bottom w:val="single" w:sz="4" w:space="0" w:color="auto"/>
              <w:right w:val="nil"/>
            </w:tcBorders>
            <w:hideMark/>
          </w:tcPr>
          <w:p w14:paraId="7BCB3E43" w14:textId="77777777" w:rsidR="00977C1C" w:rsidRPr="003258A0" w:rsidRDefault="00977C1C" w:rsidP="00BF4DCE">
            <w:pPr>
              <w:adjustRightInd w:val="0"/>
              <w:snapToGrid w:val="0"/>
              <w:spacing w:line="360" w:lineRule="auto"/>
              <w:rPr>
                <w:rFonts w:ascii="Book Antiqua" w:eastAsia="Times New Roman" w:hAnsi="Book Antiqua"/>
                <w:b/>
                <w:snapToGrid w:val="0"/>
                <w:lang w:eastAsia="de-DE" w:bidi="en-US"/>
              </w:rPr>
            </w:pPr>
            <w:r w:rsidRPr="003258A0">
              <w:rPr>
                <w:rFonts w:ascii="Book Antiqua" w:eastAsia="Times New Roman" w:hAnsi="Book Antiqua"/>
                <w:b/>
                <w:snapToGrid w:val="0"/>
                <w:lang w:eastAsia="de-DE" w:bidi="en-US"/>
              </w:rPr>
              <w:t>III-2</w:t>
            </w:r>
          </w:p>
        </w:tc>
      </w:tr>
      <w:tr w:rsidR="00977C1C" w:rsidRPr="003258A0" w14:paraId="4D2202CB" w14:textId="77777777" w:rsidTr="00977C1C">
        <w:trPr>
          <w:trHeight w:val="454"/>
          <w:jc w:val="center"/>
        </w:trPr>
        <w:tc>
          <w:tcPr>
            <w:tcW w:w="1673" w:type="pct"/>
            <w:tcBorders>
              <w:top w:val="single" w:sz="4" w:space="0" w:color="auto"/>
              <w:left w:val="nil"/>
              <w:bottom w:val="nil"/>
              <w:right w:val="nil"/>
            </w:tcBorders>
            <w:hideMark/>
          </w:tcPr>
          <w:p w14:paraId="5E19C478"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bookmarkStart w:id="125" w:name="OLE_LINK43"/>
            <w:r w:rsidRPr="003258A0">
              <w:rPr>
                <w:rFonts w:ascii="Book Antiqua" w:eastAsia="Times New Roman" w:hAnsi="Book Antiqua"/>
                <w:snapToGrid w:val="0"/>
                <w:lang w:eastAsia="de-DE" w:bidi="en-US"/>
              </w:rPr>
              <w:t>IL</w:t>
            </w:r>
            <w:bookmarkEnd w:id="125"/>
            <w:r w:rsidRPr="003258A0">
              <w:rPr>
                <w:rFonts w:ascii="Book Antiqua" w:eastAsia="Times New Roman" w:hAnsi="Book Antiqua"/>
                <w:snapToGrid w:val="0"/>
                <w:lang w:eastAsia="de-DE" w:bidi="en-US"/>
              </w:rPr>
              <w:t>-1β (0-5.00 pg/mL)</w:t>
            </w:r>
          </w:p>
        </w:tc>
        <w:tc>
          <w:tcPr>
            <w:tcW w:w="1664" w:type="pct"/>
            <w:tcBorders>
              <w:top w:val="single" w:sz="4" w:space="0" w:color="auto"/>
              <w:left w:val="nil"/>
              <w:bottom w:val="nil"/>
              <w:right w:val="nil"/>
            </w:tcBorders>
            <w:hideMark/>
          </w:tcPr>
          <w:p w14:paraId="1D9308E9"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444</w:t>
            </w:r>
          </w:p>
        </w:tc>
        <w:tc>
          <w:tcPr>
            <w:tcW w:w="1663" w:type="pct"/>
            <w:tcBorders>
              <w:top w:val="single" w:sz="4" w:space="0" w:color="auto"/>
              <w:left w:val="nil"/>
              <w:bottom w:val="nil"/>
              <w:right w:val="nil"/>
            </w:tcBorders>
            <w:hideMark/>
          </w:tcPr>
          <w:p w14:paraId="2CC999E7"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344</w:t>
            </w:r>
          </w:p>
        </w:tc>
      </w:tr>
      <w:tr w:rsidR="00977C1C" w:rsidRPr="003258A0" w14:paraId="03F2E302" w14:textId="77777777" w:rsidTr="00977C1C">
        <w:trPr>
          <w:trHeight w:val="454"/>
          <w:jc w:val="center"/>
        </w:trPr>
        <w:tc>
          <w:tcPr>
            <w:tcW w:w="1673" w:type="pct"/>
            <w:tcBorders>
              <w:top w:val="nil"/>
              <w:left w:val="nil"/>
              <w:bottom w:val="nil"/>
              <w:right w:val="nil"/>
            </w:tcBorders>
            <w:hideMark/>
          </w:tcPr>
          <w:p w14:paraId="2CD1F15A"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IL-6 (0-5.90 pg/mL)</w:t>
            </w:r>
          </w:p>
        </w:tc>
        <w:tc>
          <w:tcPr>
            <w:tcW w:w="1664" w:type="pct"/>
            <w:tcBorders>
              <w:top w:val="nil"/>
              <w:left w:val="nil"/>
              <w:bottom w:val="nil"/>
              <w:right w:val="nil"/>
            </w:tcBorders>
            <w:hideMark/>
          </w:tcPr>
          <w:p w14:paraId="0D24C7BD"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&gt;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1000</w:t>
            </w:r>
          </w:p>
        </w:tc>
        <w:tc>
          <w:tcPr>
            <w:tcW w:w="1663" w:type="pct"/>
            <w:tcBorders>
              <w:top w:val="nil"/>
              <w:left w:val="nil"/>
              <w:bottom w:val="nil"/>
              <w:right w:val="nil"/>
            </w:tcBorders>
            <w:hideMark/>
          </w:tcPr>
          <w:p w14:paraId="570F606C"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774</w:t>
            </w:r>
          </w:p>
        </w:tc>
      </w:tr>
      <w:tr w:rsidR="00977C1C" w:rsidRPr="003258A0" w14:paraId="70671751" w14:textId="77777777" w:rsidTr="00977C1C">
        <w:trPr>
          <w:trHeight w:val="454"/>
          <w:jc w:val="center"/>
        </w:trPr>
        <w:tc>
          <w:tcPr>
            <w:tcW w:w="1673" w:type="pct"/>
            <w:tcBorders>
              <w:top w:val="nil"/>
              <w:left w:val="nil"/>
              <w:bottom w:val="nil"/>
              <w:right w:val="nil"/>
            </w:tcBorders>
            <w:hideMark/>
          </w:tcPr>
          <w:p w14:paraId="17FB7A0D"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IL-8 (0-62.00 pg/mL)</w:t>
            </w:r>
          </w:p>
        </w:tc>
        <w:tc>
          <w:tcPr>
            <w:tcW w:w="1664" w:type="pct"/>
            <w:tcBorders>
              <w:top w:val="nil"/>
              <w:left w:val="nil"/>
              <w:bottom w:val="nil"/>
              <w:right w:val="nil"/>
            </w:tcBorders>
            <w:hideMark/>
          </w:tcPr>
          <w:p w14:paraId="258612A6"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&gt;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7500</w:t>
            </w:r>
          </w:p>
        </w:tc>
        <w:tc>
          <w:tcPr>
            <w:tcW w:w="1663" w:type="pct"/>
            <w:tcBorders>
              <w:top w:val="nil"/>
              <w:left w:val="nil"/>
              <w:bottom w:val="nil"/>
              <w:right w:val="nil"/>
            </w:tcBorders>
            <w:hideMark/>
          </w:tcPr>
          <w:p w14:paraId="2386408D"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4072</w:t>
            </w:r>
          </w:p>
        </w:tc>
      </w:tr>
      <w:tr w:rsidR="00977C1C" w:rsidRPr="003258A0" w14:paraId="6BF415A3" w14:textId="77777777" w:rsidTr="00977C1C">
        <w:trPr>
          <w:trHeight w:val="454"/>
          <w:jc w:val="center"/>
        </w:trPr>
        <w:tc>
          <w:tcPr>
            <w:tcW w:w="1673" w:type="pct"/>
            <w:tcBorders>
              <w:top w:val="nil"/>
              <w:left w:val="nil"/>
              <w:bottom w:val="nil"/>
              <w:right w:val="nil"/>
            </w:tcBorders>
            <w:hideMark/>
          </w:tcPr>
          <w:p w14:paraId="3DF6842C"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IL-10 (0-9.10 pg/mL)</w:t>
            </w:r>
          </w:p>
        </w:tc>
        <w:tc>
          <w:tcPr>
            <w:tcW w:w="1664" w:type="pct"/>
            <w:tcBorders>
              <w:top w:val="nil"/>
              <w:left w:val="nil"/>
              <w:bottom w:val="nil"/>
              <w:right w:val="nil"/>
            </w:tcBorders>
            <w:hideMark/>
          </w:tcPr>
          <w:p w14:paraId="35396EAA"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&lt;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5.00</w:t>
            </w:r>
          </w:p>
        </w:tc>
        <w:tc>
          <w:tcPr>
            <w:tcW w:w="1663" w:type="pct"/>
            <w:tcBorders>
              <w:top w:val="nil"/>
              <w:left w:val="nil"/>
              <w:bottom w:val="nil"/>
              <w:right w:val="nil"/>
            </w:tcBorders>
            <w:hideMark/>
          </w:tcPr>
          <w:p w14:paraId="77575210"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&lt;</w:t>
            </w:r>
            <w:r>
              <w:rPr>
                <w:rFonts w:ascii="Book Antiqua" w:eastAsiaTheme="minorEastAsia" w:hAnsi="Book Antiqua" w:hint="eastAsia"/>
                <w:snapToGrid w:val="0"/>
                <w:lang w:bidi="en-US"/>
              </w:rPr>
              <w:t xml:space="preserve"> </w:t>
            </w:r>
            <w:r w:rsidRPr="003258A0">
              <w:rPr>
                <w:rFonts w:ascii="Book Antiqua" w:eastAsia="Times New Roman" w:hAnsi="Book Antiqua"/>
                <w:snapToGrid w:val="0"/>
                <w:lang w:eastAsia="de-DE" w:bidi="en-US"/>
              </w:rPr>
              <w:t>5.00</w:t>
            </w:r>
          </w:p>
        </w:tc>
      </w:tr>
      <w:tr w:rsidR="00977C1C" w:rsidRPr="003258A0" w14:paraId="38EBB62C" w14:textId="77777777" w:rsidTr="00977C1C">
        <w:trPr>
          <w:trHeight w:val="454"/>
          <w:jc w:val="center"/>
        </w:trPr>
        <w:tc>
          <w:tcPr>
            <w:tcW w:w="1673" w:type="pct"/>
            <w:tcBorders>
              <w:top w:val="nil"/>
              <w:left w:val="nil"/>
              <w:bottom w:val="single" w:sz="8" w:space="0" w:color="000000"/>
              <w:right w:val="nil"/>
            </w:tcBorders>
            <w:hideMark/>
          </w:tcPr>
          <w:p w14:paraId="0DEF08BA"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bookmarkStart w:id="126" w:name="OLE_LINK44"/>
            <w:r w:rsidRPr="003258A0">
              <w:rPr>
                <w:rFonts w:ascii="Book Antiqua" w:eastAsia="Times New Roman" w:hAnsi="Book Antiqua"/>
                <w:snapToGrid w:val="0"/>
                <w:lang w:eastAsia="de-DE" w:bidi="en-US"/>
              </w:rPr>
              <w:t>TNF</w:t>
            </w:r>
            <w:bookmarkEnd w:id="126"/>
            <w:r w:rsidRPr="003258A0">
              <w:rPr>
                <w:rFonts w:ascii="Book Antiqua" w:eastAsia="Times New Roman" w:hAnsi="Book Antiqua"/>
                <w:snapToGrid w:val="0"/>
                <w:lang w:eastAsia="de-DE" w:bidi="en-US"/>
              </w:rPr>
              <w:t>-α (0-8.10 pg/mL)</w:t>
            </w:r>
          </w:p>
        </w:tc>
        <w:tc>
          <w:tcPr>
            <w:tcW w:w="1664" w:type="pct"/>
            <w:tcBorders>
              <w:top w:val="nil"/>
              <w:left w:val="nil"/>
              <w:bottom w:val="single" w:sz="8" w:space="0" w:color="000000"/>
              <w:right w:val="nil"/>
            </w:tcBorders>
            <w:hideMark/>
          </w:tcPr>
          <w:p w14:paraId="262E7A73"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54.50</w:t>
            </w:r>
          </w:p>
        </w:tc>
        <w:tc>
          <w:tcPr>
            <w:tcW w:w="1663" w:type="pct"/>
            <w:tcBorders>
              <w:top w:val="nil"/>
              <w:left w:val="nil"/>
              <w:bottom w:val="single" w:sz="8" w:space="0" w:color="000000"/>
              <w:right w:val="nil"/>
            </w:tcBorders>
            <w:hideMark/>
          </w:tcPr>
          <w:p w14:paraId="601C4E10" w14:textId="77777777" w:rsidR="00977C1C" w:rsidRPr="003258A0" w:rsidRDefault="00977C1C" w:rsidP="00BF4DCE">
            <w:pPr>
              <w:adjustRightInd w:val="0"/>
              <w:snapToGrid w:val="0"/>
              <w:spacing w:line="360" w:lineRule="auto"/>
              <w:rPr>
                <w:rFonts w:ascii="Book Antiqua" w:eastAsia="Times New Roman" w:hAnsi="Book Antiqua"/>
                <w:snapToGrid w:val="0"/>
                <w:lang w:eastAsia="de-DE" w:bidi="en-US"/>
              </w:rPr>
            </w:pPr>
            <w:r w:rsidRPr="003258A0">
              <w:rPr>
                <w:rFonts w:ascii="Book Antiqua" w:eastAsia="Times New Roman" w:hAnsi="Book Antiqua"/>
                <w:snapToGrid w:val="0"/>
                <w:lang w:eastAsia="de-DE" w:bidi="en-US"/>
              </w:rPr>
              <w:t>42.20</w:t>
            </w:r>
          </w:p>
        </w:tc>
      </w:tr>
    </w:tbl>
    <w:bookmarkEnd w:id="123"/>
    <w:bookmarkEnd w:id="124"/>
    <w:p w14:paraId="43B697DD" w14:textId="1FA17E2D" w:rsidR="00BD2250" w:rsidRPr="00FD1C0F" w:rsidRDefault="00FD4805">
      <w:pPr>
        <w:spacing w:line="360" w:lineRule="auto"/>
        <w:jc w:val="both"/>
        <w:rPr>
          <w:rFonts w:ascii="Book Antiqua" w:hAnsi="Book Antiqua"/>
          <w:snapToGrid w:val="0"/>
          <w:lang w:eastAsia="zh-CN" w:bidi="en-US"/>
        </w:rPr>
      </w:pPr>
      <w:r w:rsidRPr="003258A0">
        <w:rPr>
          <w:rFonts w:ascii="Book Antiqua" w:eastAsia="Times New Roman" w:hAnsi="Book Antiqua"/>
          <w:snapToGrid w:val="0"/>
          <w:lang w:eastAsia="de-DE" w:bidi="en-US"/>
        </w:rPr>
        <w:t>IL</w:t>
      </w:r>
      <w:r>
        <w:rPr>
          <w:rFonts w:ascii="Book Antiqua" w:hAnsi="Book Antiqua" w:hint="eastAsia"/>
          <w:snapToGrid w:val="0"/>
          <w:lang w:eastAsia="zh-CN" w:bidi="en-US"/>
        </w:rPr>
        <w:t xml:space="preserve">: </w:t>
      </w:r>
      <w:bookmarkStart w:id="127" w:name="OLE_LINK53"/>
      <w:bookmarkStart w:id="128" w:name="OLE_LINK54"/>
      <w:r>
        <w:rPr>
          <w:rFonts w:ascii="Book Antiqua" w:hAnsi="Book Antiqua" w:cs="Book Antiqua" w:hint="eastAsia"/>
          <w:color w:val="000000"/>
          <w:szCs w:val="20"/>
          <w:lang w:eastAsia="zh-CN"/>
        </w:rPr>
        <w:t>I</w:t>
      </w:r>
      <w:r>
        <w:rPr>
          <w:rFonts w:ascii="Book Antiqua" w:eastAsia="Book Antiqua" w:hAnsi="Book Antiqua" w:cs="Book Antiqua"/>
          <w:color w:val="000000"/>
          <w:szCs w:val="20"/>
        </w:rPr>
        <w:t>nterleukin</w:t>
      </w:r>
      <w:bookmarkEnd w:id="127"/>
      <w:bookmarkEnd w:id="128"/>
      <w:r>
        <w:rPr>
          <w:rFonts w:ascii="Book Antiqua" w:hAnsi="Book Antiqua" w:hint="eastAsia"/>
          <w:snapToGrid w:val="0"/>
          <w:lang w:eastAsia="zh-CN" w:bidi="en-US"/>
        </w:rPr>
        <w:t xml:space="preserve">; </w:t>
      </w:r>
      <w:r w:rsidRPr="003258A0">
        <w:rPr>
          <w:rFonts w:ascii="Book Antiqua" w:eastAsia="Times New Roman" w:hAnsi="Book Antiqua"/>
          <w:snapToGrid w:val="0"/>
          <w:lang w:eastAsia="de-DE" w:bidi="en-US"/>
        </w:rPr>
        <w:t>TNF</w:t>
      </w:r>
      <w:r>
        <w:rPr>
          <w:rFonts w:ascii="Book Antiqua" w:hAnsi="Book Antiqua" w:hint="eastAsia"/>
          <w:snapToGrid w:val="0"/>
          <w:lang w:eastAsia="zh-CN" w:bidi="en-US"/>
        </w:rPr>
        <w:t xml:space="preserve">: </w:t>
      </w:r>
      <w:bookmarkStart w:id="129" w:name="OLE_LINK51"/>
      <w:bookmarkStart w:id="130" w:name="OLE_LINK52"/>
      <w:r>
        <w:rPr>
          <w:rFonts w:ascii="Book Antiqua" w:hAnsi="Book Antiqua" w:cs="Book Antiqua" w:hint="eastAsia"/>
          <w:color w:val="000000"/>
          <w:szCs w:val="20"/>
          <w:lang w:eastAsia="zh-CN"/>
        </w:rPr>
        <w:t>T</w:t>
      </w:r>
      <w:r w:rsidRPr="00233D12">
        <w:rPr>
          <w:rFonts w:ascii="Book Antiqua" w:eastAsia="Book Antiqua" w:hAnsi="Book Antiqua" w:cs="Book Antiqua"/>
          <w:color w:val="000000"/>
          <w:szCs w:val="20"/>
        </w:rPr>
        <w:t>umor necrosis factor</w:t>
      </w:r>
      <w:bookmarkEnd w:id="129"/>
      <w:bookmarkEnd w:id="130"/>
      <w:r>
        <w:rPr>
          <w:rFonts w:ascii="Book Antiqua" w:hAnsi="Book Antiqua" w:hint="eastAsia"/>
          <w:snapToGrid w:val="0"/>
          <w:lang w:eastAsia="zh-CN" w:bidi="en-US"/>
        </w:rPr>
        <w:t>.</w:t>
      </w:r>
    </w:p>
    <w:sectPr w:rsidR="00BD2250" w:rsidRPr="00FD1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2EFD" w14:textId="77777777" w:rsidR="00D026DB" w:rsidRDefault="00D026DB" w:rsidP="005F0211">
      <w:r>
        <w:separator/>
      </w:r>
    </w:p>
  </w:endnote>
  <w:endnote w:type="continuationSeparator" w:id="0">
    <w:p w14:paraId="37283BCC" w14:textId="77777777" w:rsidR="00D026DB" w:rsidRDefault="00D026DB" w:rsidP="005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32480042"/>
      <w:docPartObj>
        <w:docPartGallery w:val="Page Numbers (Bottom of Page)"/>
        <w:docPartUnique/>
      </w:docPartObj>
    </w:sdtPr>
    <w:sdtEndPr>
      <w:rPr>
        <w:noProof/>
      </w:rPr>
    </w:sdtEndPr>
    <w:sdtContent>
      <w:p w14:paraId="19F96F3C" w14:textId="5F74AF61" w:rsidR="007C7238" w:rsidRPr="007C7238" w:rsidRDefault="007C7238">
        <w:pPr>
          <w:pStyle w:val="Footer"/>
          <w:jc w:val="right"/>
          <w:rPr>
            <w:rFonts w:ascii="Book Antiqua" w:hAnsi="Book Antiqua"/>
            <w:sz w:val="24"/>
            <w:szCs w:val="24"/>
          </w:rPr>
        </w:pPr>
        <w:r w:rsidRPr="007C7238">
          <w:rPr>
            <w:rFonts w:ascii="Book Antiqua" w:hAnsi="Book Antiqua"/>
            <w:sz w:val="24"/>
            <w:szCs w:val="24"/>
          </w:rPr>
          <w:fldChar w:fldCharType="begin"/>
        </w:r>
        <w:r w:rsidRPr="007C7238">
          <w:rPr>
            <w:rFonts w:ascii="Book Antiqua" w:hAnsi="Book Antiqua"/>
            <w:sz w:val="24"/>
            <w:szCs w:val="24"/>
          </w:rPr>
          <w:instrText xml:space="preserve"> PAGE   \* MERGEFORMAT </w:instrText>
        </w:r>
        <w:r w:rsidRPr="007C7238">
          <w:rPr>
            <w:rFonts w:ascii="Book Antiqua" w:hAnsi="Book Antiqua"/>
            <w:sz w:val="24"/>
            <w:szCs w:val="24"/>
          </w:rPr>
          <w:fldChar w:fldCharType="separate"/>
        </w:r>
        <w:r w:rsidRPr="007C7238">
          <w:rPr>
            <w:rFonts w:ascii="Book Antiqua" w:hAnsi="Book Antiqua"/>
            <w:noProof/>
            <w:sz w:val="24"/>
            <w:szCs w:val="24"/>
          </w:rPr>
          <w:t>2</w:t>
        </w:r>
        <w:r w:rsidRPr="007C7238">
          <w:rPr>
            <w:rFonts w:ascii="Book Antiqua" w:hAnsi="Book Antiqua"/>
            <w:noProof/>
            <w:sz w:val="24"/>
            <w:szCs w:val="24"/>
          </w:rPr>
          <w:fldChar w:fldCharType="end"/>
        </w:r>
        <w:r w:rsidRPr="007C7238">
          <w:rPr>
            <w:rFonts w:ascii="Book Antiqua" w:hAnsi="Book Antiqua"/>
            <w:noProof/>
            <w:sz w:val="24"/>
            <w:szCs w:val="24"/>
          </w:rPr>
          <w:t xml:space="preserve"> / 2</w:t>
        </w:r>
        <w:r w:rsidR="00D31FA2">
          <w:rPr>
            <w:rFonts w:ascii="Book Antiqua" w:hAnsi="Book Antiqua"/>
            <w:noProof/>
            <w:sz w:val="24"/>
            <w:szCs w:val="24"/>
          </w:rPr>
          <w:t>3</w:t>
        </w:r>
      </w:p>
    </w:sdtContent>
  </w:sdt>
  <w:p w14:paraId="127A93E6" w14:textId="77777777" w:rsidR="0071745B" w:rsidRDefault="0071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ECDB" w14:textId="77777777" w:rsidR="00D026DB" w:rsidRDefault="00D026DB" w:rsidP="005F0211">
      <w:r>
        <w:separator/>
      </w:r>
    </w:p>
  </w:footnote>
  <w:footnote w:type="continuationSeparator" w:id="0">
    <w:p w14:paraId="0A949C8C" w14:textId="77777777" w:rsidR="00D026DB" w:rsidRDefault="00D026DB" w:rsidP="005F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97889"/>
    <w:multiLevelType w:val="multilevel"/>
    <w:tmpl w:val="FD3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88C"/>
    <w:rsid w:val="00031536"/>
    <w:rsid w:val="00033D3C"/>
    <w:rsid w:val="000E5721"/>
    <w:rsid w:val="0014373B"/>
    <w:rsid w:val="001A534F"/>
    <w:rsid w:val="001F2045"/>
    <w:rsid w:val="002140FE"/>
    <w:rsid w:val="0023366A"/>
    <w:rsid w:val="0023370D"/>
    <w:rsid w:val="00233D12"/>
    <w:rsid w:val="0024112C"/>
    <w:rsid w:val="00283E3D"/>
    <w:rsid w:val="0029738A"/>
    <w:rsid w:val="002A3232"/>
    <w:rsid w:val="002A4406"/>
    <w:rsid w:val="002F53AD"/>
    <w:rsid w:val="00357EA8"/>
    <w:rsid w:val="00374587"/>
    <w:rsid w:val="003C537C"/>
    <w:rsid w:val="003D2663"/>
    <w:rsid w:val="003F657A"/>
    <w:rsid w:val="00411F05"/>
    <w:rsid w:val="00415BC0"/>
    <w:rsid w:val="00416677"/>
    <w:rsid w:val="00455682"/>
    <w:rsid w:val="004B687E"/>
    <w:rsid w:val="005327EA"/>
    <w:rsid w:val="005710AE"/>
    <w:rsid w:val="005F0211"/>
    <w:rsid w:val="005F327B"/>
    <w:rsid w:val="00653566"/>
    <w:rsid w:val="00662B11"/>
    <w:rsid w:val="00663D00"/>
    <w:rsid w:val="006A405A"/>
    <w:rsid w:val="006B43F5"/>
    <w:rsid w:val="006F472A"/>
    <w:rsid w:val="0071745B"/>
    <w:rsid w:val="007329A4"/>
    <w:rsid w:val="00734F22"/>
    <w:rsid w:val="0074600C"/>
    <w:rsid w:val="00752A89"/>
    <w:rsid w:val="00764A9D"/>
    <w:rsid w:val="00782208"/>
    <w:rsid w:val="007C0644"/>
    <w:rsid w:val="007C7238"/>
    <w:rsid w:val="007C7909"/>
    <w:rsid w:val="007E2C2F"/>
    <w:rsid w:val="00810E75"/>
    <w:rsid w:val="00817580"/>
    <w:rsid w:val="00824AEB"/>
    <w:rsid w:val="00834A5C"/>
    <w:rsid w:val="0084067B"/>
    <w:rsid w:val="0094760C"/>
    <w:rsid w:val="00977C1C"/>
    <w:rsid w:val="00990160"/>
    <w:rsid w:val="00993E34"/>
    <w:rsid w:val="009A0937"/>
    <w:rsid w:val="009D3EAA"/>
    <w:rsid w:val="00A25DA3"/>
    <w:rsid w:val="00A77B3E"/>
    <w:rsid w:val="00AA1F96"/>
    <w:rsid w:val="00AE6AAF"/>
    <w:rsid w:val="00B02759"/>
    <w:rsid w:val="00B117C1"/>
    <w:rsid w:val="00B52B2C"/>
    <w:rsid w:val="00B73250"/>
    <w:rsid w:val="00B84245"/>
    <w:rsid w:val="00B90C93"/>
    <w:rsid w:val="00B94E94"/>
    <w:rsid w:val="00BB4839"/>
    <w:rsid w:val="00BD2250"/>
    <w:rsid w:val="00BE0FDE"/>
    <w:rsid w:val="00BE3357"/>
    <w:rsid w:val="00C10A7D"/>
    <w:rsid w:val="00C234F4"/>
    <w:rsid w:val="00C36524"/>
    <w:rsid w:val="00C41038"/>
    <w:rsid w:val="00C5156D"/>
    <w:rsid w:val="00C66FF2"/>
    <w:rsid w:val="00CA2A55"/>
    <w:rsid w:val="00CA311D"/>
    <w:rsid w:val="00CA7A31"/>
    <w:rsid w:val="00CB7854"/>
    <w:rsid w:val="00CF7B4A"/>
    <w:rsid w:val="00D026DB"/>
    <w:rsid w:val="00D05560"/>
    <w:rsid w:val="00D23896"/>
    <w:rsid w:val="00D25F37"/>
    <w:rsid w:val="00D31FA2"/>
    <w:rsid w:val="00D4000B"/>
    <w:rsid w:val="00D50EA3"/>
    <w:rsid w:val="00D614E2"/>
    <w:rsid w:val="00D7778A"/>
    <w:rsid w:val="00E32A24"/>
    <w:rsid w:val="00E411C0"/>
    <w:rsid w:val="00EA40C3"/>
    <w:rsid w:val="00EB7EA3"/>
    <w:rsid w:val="00EF5910"/>
    <w:rsid w:val="00F03898"/>
    <w:rsid w:val="00F42276"/>
    <w:rsid w:val="00F47D02"/>
    <w:rsid w:val="00F957FD"/>
    <w:rsid w:val="00F95940"/>
    <w:rsid w:val="00FC02B6"/>
    <w:rsid w:val="00FD1C0F"/>
    <w:rsid w:val="00FD4805"/>
    <w:rsid w:val="00FF7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C1CA4"/>
  <w15:docId w15:val="{9B072D0F-EA35-4861-8B00-3DD37FC2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2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F0211"/>
    <w:rPr>
      <w:sz w:val="18"/>
      <w:szCs w:val="18"/>
    </w:rPr>
  </w:style>
  <w:style w:type="paragraph" w:styleId="Footer">
    <w:name w:val="footer"/>
    <w:basedOn w:val="Normal"/>
    <w:link w:val="FooterChar"/>
    <w:uiPriority w:val="99"/>
    <w:rsid w:val="005F02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0211"/>
    <w:rPr>
      <w:sz w:val="18"/>
      <w:szCs w:val="18"/>
    </w:rPr>
  </w:style>
  <w:style w:type="paragraph" w:styleId="NormalWeb">
    <w:name w:val="Normal (Web)"/>
    <w:basedOn w:val="Normal"/>
    <w:uiPriority w:val="99"/>
    <w:unhideWhenUsed/>
    <w:rsid w:val="00653566"/>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CB7854"/>
    <w:rPr>
      <w:sz w:val="18"/>
      <w:szCs w:val="18"/>
    </w:rPr>
  </w:style>
  <w:style w:type="character" w:customStyle="1" w:styleId="BalloonTextChar">
    <w:name w:val="Balloon Text Char"/>
    <w:basedOn w:val="DefaultParagraphFont"/>
    <w:link w:val="BalloonText"/>
    <w:rsid w:val="00CB7854"/>
    <w:rPr>
      <w:sz w:val="18"/>
      <w:szCs w:val="18"/>
    </w:rPr>
  </w:style>
  <w:style w:type="table" w:styleId="TableGrid">
    <w:name w:val="Table Grid"/>
    <w:basedOn w:val="TableNormal"/>
    <w:uiPriority w:val="99"/>
    <w:rsid w:val="00977C1C"/>
    <w:pPr>
      <w:spacing w:line="260" w:lineRule="atLeast"/>
      <w:jc w:val="both"/>
    </w:pPr>
    <w:rPr>
      <w:rFonts w:ascii="Palatino Linotype" w:eastAsia="SimSun"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qFormat/>
    <w:rsid w:val="00977C1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character" w:styleId="CommentReference">
    <w:name w:val="annotation reference"/>
    <w:basedOn w:val="DefaultParagraphFont"/>
    <w:rsid w:val="006F472A"/>
    <w:rPr>
      <w:sz w:val="21"/>
      <w:szCs w:val="21"/>
    </w:rPr>
  </w:style>
  <w:style w:type="paragraph" w:styleId="CommentText">
    <w:name w:val="annotation text"/>
    <w:basedOn w:val="Normal"/>
    <w:link w:val="CommentTextChar"/>
    <w:rsid w:val="006F472A"/>
  </w:style>
  <w:style w:type="character" w:customStyle="1" w:styleId="CommentTextChar">
    <w:name w:val="Comment Text Char"/>
    <w:basedOn w:val="DefaultParagraphFont"/>
    <w:link w:val="CommentText"/>
    <w:rsid w:val="006F472A"/>
    <w:rPr>
      <w:sz w:val="24"/>
      <w:szCs w:val="24"/>
    </w:rPr>
  </w:style>
  <w:style w:type="paragraph" w:styleId="CommentSubject">
    <w:name w:val="annotation subject"/>
    <w:basedOn w:val="CommentText"/>
    <w:next w:val="CommentText"/>
    <w:link w:val="CommentSubjectChar"/>
    <w:rsid w:val="006F472A"/>
    <w:rPr>
      <w:b/>
      <w:bCs/>
    </w:rPr>
  </w:style>
  <w:style w:type="character" w:customStyle="1" w:styleId="CommentSubjectChar">
    <w:name w:val="Comment Subject Char"/>
    <w:basedOn w:val="CommentTextChar"/>
    <w:link w:val="CommentSubject"/>
    <w:rsid w:val="006F472A"/>
    <w:rPr>
      <w:b/>
      <w:bCs/>
      <w:sz w:val="24"/>
      <w:szCs w:val="24"/>
    </w:rPr>
  </w:style>
  <w:style w:type="paragraph" w:customStyle="1" w:styleId="src">
    <w:name w:val="src"/>
    <w:basedOn w:val="Normal"/>
    <w:rsid w:val="00B52B2C"/>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3C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302">
      <w:bodyDiv w:val="1"/>
      <w:marLeft w:val="0"/>
      <w:marRight w:val="0"/>
      <w:marTop w:val="0"/>
      <w:marBottom w:val="0"/>
      <w:divBdr>
        <w:top w:val="none" w:sz="0" w:space="0" w:color="auto"/>
        <w:left w:val="none" w:sz="0" w:space="0" w:color="auto"/>
        <w:bottom w:val="none" w:sz="0" w:space="0" w:color="auto"/>
        <w:right w:val="none" w:sz="0" w:space="0" w:color="auto"/>
      </w:divBdr>
    </w:div>
    <w:div w:id="177289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袁顾耕</dc:creator>
  <cp:lastModifiedBy>Donna Fox</cp:lastModifiedBy>
  <cp:revision>2</cp:revision>
  <dcterms:created xsi:type="dcterms:W3CDTF">2021-06-24T05:19:00Z</dcterms:created>
  <dcterms:modified xsi:type="dcterms:W3CDTF">2021-06-24T05:19:00Z</dcterms:modified>
</cp:coreProperties>
</file>