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709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rsidR="00A77B3E" w:rsidRDefault="005709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62671</w:t>
      </w:r>
    </w:p>
    <w:p w:rsidR="00A77B3E" w:rsidRDefault="005709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Diabetic </w:t>
      </w:r>
      <w:proofErr w:type="spellStart"/>
      <w:r>
        <w:rPr>
          <w:rFonts w:ascii="Book Antiqua" w:eastAsia="Book Antiqua" w:hAnsi="Book Antiqua" w:cs="Book Antiqua"/>
          <w:b/>
          <w:bCs/>
          <w:color w:val="000000"/>
        </w:rPr>
        <w:t>gastroenteropathy</w:t>
      </w:r>
      <w:proofErr w:type="spellEnd"/>
      <w:r>
        <w:rPr>
          <w:rFonts w:ascii="Book Antiqua" w:eastAsia="Book Antiqua" w:hAnsi="Book Antiqua" w:cs="Book Antiqua"/>
          <w:b/>
          <w:bCs/>
          <w:color w:val="000000"/>
        </w:rPr>
        <w:t xml:space="preserve">: An underdiagnosed complication </w:t>
      </w:r>
    </w:p>
    <w:p w:rsidR="00A77B3E" w:rsidRDefault="00A77B3E">
      <w:pPr>
        <w:spacing w:line="360" w:lineRule="auto"/>
        <w:jc w:val="both"/>
      </w:pPr>
    </w:p>
    <w:p w:rsidR="00A77B3E" w:rsidRDefault="00796CE1">
      <w:pPr>
        <w:spacing w:line="360" w:lineRule="auto"/>
        <w:jc w:val="both"/>
      </w:pPr>
      <w:r>
        <w:rPr>
          <w:rFonts w:ascii="Book Antiqua" w:eastAsia="Book Antiqua" w:hAnsi="Book Antiqua" w:cs="Book Antiqua"/>
          <w:color w:val="000000"/>
        </w:rPr>
        <w:t xml:space="preserve">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MJ </w:t>
      </w:r>
      <w:r w:rsidRPr="00796CE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7096A">
        <w:rPr>
          <w:rFonts w:ascii="Book Antiqua" w:eastAsia="Book Antiqua" w:hAnsi="Book Antiqua" w:cs="Book Antiqua"/>
          <w:color w:val="000000"/>
        </w:rPr>
        <w:t xml:space="preserve">Diabetic </w:t>
      </w:r>
      <w:proofErr w:type="spellStart"/>
      <w:r w:rsidR="0057096A">
        <w:rPr>
          <w:rFonts w:ascii="Book Antiqua" w:eastAsia="Book Antiqua" w:hAnsi="Book Antiqua" w:cs="Book Antiqua"/>
          <w:color w:val="000000"/>
        </w:rPr>
        <w:t>gastroenteropathy</w:t>
      </w:r>
      <w:proofErr w:type="spellEnd"/>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color w:val="000000"/>
        </w:rPr>
        <w:t>Marcio</w:t>
      </w:r>
      <w:proofErr w:type="spellEnd"/>
      <w:r>
        <w:rPr>
          <w:rFonts w:ascii="Book Antiqua" w:eastAsia="Book Antiqua" w:hAnsi="Book Antiqua" w:cs="Book Antiqua"/>
          <w:color w:val="000000"/>
        </w:rPr>
        <w:t xml:space="preserve"> José 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Jhean</w:t>
      </w:r>
      <w:proofErr w:type="spellEnd"/>
      <w:r>
        <w:rPr>
          <w:rFonts w:ascii="Book Antiqua" w:eastAsia="Book Antiqua" w:hAnsi="Book Antiqua" w:cs="Book Antiqua"/>
          <w:color w:val="000000"/>
        </w:rPr>
        <w:t xml:space="preserve"> Gabriel </w:t>
      </w:r>
      <w:proofErr w:type="spellStart"/>
      <w:r>
        <w:rPr>
          <w:rFonts w:ascii="Book Antiqua" w:eastAsia="Book Antiqua" w:hAnsi="Book Antiqua" w:cs="Book Antiqua"/>
          <w:color w:val="000000"/>
        </w:rPr>
        <w:t>Gonzáles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Yovera</w:t>
      </w:r>
      <w:proofErr w:type="spellEnd"/>
      <w:r>
        <w:rPr>
          <w:rFonts w:ascii="Book Antiqua" w:eastAsia="Book Antiqua" w:hAnsi="Book Antiqua" w:cs="Book Antiqua"/>
          <w:color w:val="000000"/>
        </w:rPr>
        <w:t xml:space="preserve">, Diego Martín Moreno </w:t>
      </w:r>
      <w:proofErr w:type="spellStart"/>
      <w:r>
        <w:rPr>
          <w:rFonts w:ascii="Book Antiqua" w:eastAsia="Book Antiqua" w:hAnsi="Book Antiqua" w:cs="Book Antiqua"/>
          <w:color w:val="000000"/>
        </w:rPr>
        <w:t>Marreros</w:t>
      </w:r>
      <w:proofErr w:type="spellEnd"/>
      <w:r>
        <w:rPr>
          <w:rFonts w:ascii="Book Antiqua" w:eastAsia="Book Antiqua" w:hAnsi="Book Antiqua" w:cs="Book Antiqua"/>
          <w:color w:val="000000"/>
        </w:rPr>
        <w:t xml:space="preserve">, Luciana del </w:t>
      </w:r>
      <w:proofErr w:type="spellStart"/>
      <w:r>
        <w:rPr>
          <w:rFonts w:ascii="Book Antiqua" w:eastAsia="Book Antiqua" w:hAnsi="Book Antiqua" w:cs="Book Antiqua"/>
          <w:color w:val="000000"/>
        </w:rPr>
        <w:t>Pilar</w:t>
      </w:r>
      <w:proofErr w:type="spellEnd"/>
      <w:r>
        <w:rPr>
          <w:rFonts w:ascii="Book Antiqua" w:eastAsia="Book Antiqua" w:hAnsi="Book Antiqua" w:cs="Book Antiqua"/>
          <w:color w:val="000000"/>
        </w:rPr>
        <w:t xml:space="preserve"> Rafael Robles, </w:t>
      </w:r>
      <w:proofErr w:type="spellStart"/>
      <w:r>
        <w:rPr>
          <w:rFonts w:ascii="Book Antiqua" w:eastAsia="Book Antiqua" w:hAnsi="Book Antiqua" w:cs="Book Antiqua"/>
          <w:color w:val="000000"/>
        </w:rPr>
        <w:t>Kely</w:t>
      </w:r>
      <w:proofErr w:type="spellEnd"/>
      <w:r>
        <w:rPr>
          <w:rFonts w:ascii="Book Antiqua" w:eastAsia="Book Antiqua" w:hAnsi="Book Antiqua" w:cs="Book Antiqua"/>
          <w:color w:val="000000"/>
        </w:rPr>
        <w:t xml:space="preserve"> Roxana Palomino </w:t>
      </w:r>
      <w:proofErr w:type="spellStart"/>
      <w:r>
        <w:rPr>
          <w:rFonts w:ascii="Book Antiqua" w:eastAsia="Book Antiqua" w:hAnsi="Book Antiqua" w:cs="Book Antiqua"/>
          <w:color w:val="000000"/>
        </w:rPr>
        <w:t>Taype</w:t>
      </w:r>
      <w:proofErr w:type="spellEnd"/>
      <w:r>
        <w:rPr>
          <w:rFonts w:ascii="Book Antiqua" w:eastAsia="Book Antiqua" w:hAnsi="Book Antiqua" w:cs="Book Antiqua"/>
          <w:color w:val="000000"/>
        </w:rPr>
        <w:t xml:space="preserve">, Karen </w:t>
      </w:r>
      <w:proofErr w:type="spellStart"/>
      <w:r>
        <w:rPr>
          <w:rFonts w:ascii="Book Antiqua" w:eastAsia="Book Antiqua" w:hAnsi="Book Antiqua" w:cs="Book Antiqua"/>
          <w:color w:val="000000"/>
        </w:rPr>
        <w:t>Nohe</w:t>
      </w:r>
      <w:r w:rsidR="00834C23">
        <w:rPr>
          <w:rFonts w:ascii="Book Antiqua" w:eastAsia="Book Antiqua" w:hAnsi="Book Antiqua" w:cs="Book Antiqua"/>
          <w:color w:val="000000"/>
        </w:rPr>
        <w:t>l</w:t>
      </w:r>
      <w:r>
        <w:rPr>
          <w:rFonts w:ascii="Book Antiqua" w:eastAsia="Book Antiqua" w:hAnsi="Book Antiqua" w:cs="Book Antiqua"/>
          <w:color w:val="000000"/>
        </w:rPr>
        <w:t>ly</w:t>
      </w:r>
      <w:proofErr w:type="spellEnd"/>
      <w:r>
        <w:rPr>
          <w:rFonts w:ascii="Book Antiqua" w:eastAsia="Book Antiqua" w:hAnsi="Book Antiqua" w:cs="Book Antiqua"/>
          <w:color w:val="000000"/>
        </w:rPr>
        <w:t xml:space="preserve"> Soto </w:t>
      </w:r>
      <w:proofErr w:type="spellStart"/>
      <w:r>
        <w:rPr>
          <w:rFonts w:ascii="Book Antiqua" w:eastAsia="Book Antiqua" w:hAnsi="Book Antiqua" w:cs="Book Antiqua"/>
          <w:color w:val="000000"/>
        </w:rPr>
        <w:t>Gálvez</w:t>
      </w:r>
      <w:proofErr w:type="spellEnd"/>
      <w:r>
        <w:rPr>
          <w:rFonts w:ascii="Book Antiqua" w:eastAsia="Book Antiqua" w:hAnsi="Book Antiqua" w:cs="Book Antiqua"/>
          <w:color w:val="000000"/>
        </w:rPr>
        <w:t xml:space="preserve">, Luis Fernando </w:t>
      </w:r>
      <w:proofErr w:type="spellStart"/>
      <w:r>
        <w:rPr>
          <w:rFonts w:ascii="Book Antiqua" w:eastAsia="Book Antiqua" w:hAnsi="Book Antiqua" w:cs="Book Antiqua"/>
          <w:color w:val="000000"/>
        </w:rPr>
        <w:t>Arriola</w:t>
      </w:r>
      <w:proofErr w:type="spellEnd"/>
      <w:r>
        <w:rPr>
          <w:rFonts w:ascii="Book Antiqua" w:eastAsia="Book Antiqua" w:hAnsi="Book Antiqua" w:cs="Book Antiqua"/>
          <w:color w:val="000000"/>
        </w:rPr>
        <w:t xml:space="preserve"> Torres, Julia Cristina Coronado Arroyo, Luis Alberto Concepción </w:t>
      </w:r>
      <w:proofErr w:type="spellStart"/>
      <w:r>
        <w:rPr>
          <w:rFonts w:ascii="Book Antiqua" w:eastAsia="Book Antiqua" w:hAnsi="Book Antiqua" w:cs="Book Antiqua"/>
          <w:color w:val="000000"/>
        </w:rPr>
        <w:t>Urteaga</w:t>
      </w:r>
      <w:proofErr w:type="spellEnd"/>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b/>
          <w:bCs/>
          <w:color w:val="000000"/>
        </w:rPr>
        <w:t>Marcio</w:t>
      </w:r>
      <w:proofErr w:type="spellEnd"/>
      <w:r>
        <w:rPr>
          <w:rFonts w:ascii="Book Antiqua" w:eastAsia="Book Antiqua" w:hAnsi="Book Antiqua" w:cs="Book Antiqua"/>
          <w:b/>
          <w:bCs/>
          <w:color w:val="000000"/>
        </w:rPr>
        <w:t xml:space="preserve"> José Concepción </w:t>
      </w:r>
      <w:proofErr w:type="spellStart"/>
      <w:r>
        <w:rPr>
          <w:rFonts w:ascii="Book Antiqua" w:eastAsia="Book Antiqua" w:hAnsi="Book Antiqua" w:cs="Book Antiqua"/>
          <w:b/>
          <w:bCs/>
          <w:color w:val="000000"/>
        </w:rPr>
        <w:t>Zavaleta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Endocrinology, Hospital </w:t>
      </w:r>
      <w:proofErr w:type="spellStart"/>
      <w:r>
        <w:rPr>
          <w:rFonts w:ascii="Book Antiqua" w:eastAsia="Book Antiqua" w:hAnsi="Book Antiqua" w:cs="Book Antiqua"/>
          <w:color w:val="000000"/>
        </w:rPr>
        <w:t>Nacional</w:t>
      </w:r>
      <w:proofErr w:type="spellEnd"/>
      <w:r>
        <w:rPr>
          <w:rFonts w:ascii="Book Antiqua" w:eastAsia="Book Antiqua" w:hAnsi="Book Antiqua" w:cs="Book Antiqua"/>
          <w:color w:val="000000"/>
        </w:rPr>
        <w:t xml:space="preserve"> Guillermo </w:t>
      </w:r>
      <w:proofErr w:type="spellStart"/>
      <w:r>
        <w:rPr>
          <w:rFonts w:ascii="Book Antiqua" w:eastAsia="Book Antiqua" w:hAnsi="Book Antiqua" w:cs="Book Antiqua"/>
          <w:color w:val="000000"/>
        </w:rPr>
        <w:t>Almenara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Irigoyen</w:t>
      </w:r>
      <w:proofErr w:type="spellEnd"/>
      <w:r>
        <w:rPr>
          <w:rFonts w:ascii="Book Antiqua" w:eastAsia="Book Antiqua" w:hAnsi="Book Antiqua" w:cs="Book Antiqua"/>
          <w:color w:val="000000"/>
        </w:rPr>
        <w:t>, Lima 12590, Peru</w:t>
      </w:r>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b/>
          <w:bCs/>
          <w:color w:val="000000"/>
        </w:rPr>
        <w:t>Jhean</w:t>
      </w:r>
      <w:proofErr w:type="spellEnd"/>
      <w:r>
        <w:rPr>
          <w:rFonts w:ascii="Book Antiqua" w:eastAsia="Book Antiqua" w:hAnsi="Book Antiqua" w:cs="Book Antiqua"/>
          <w:b/>
          <w:bCs/>
          <w:color w:val="000000"/>
        </w:rPr>
        <w:t xml:space="preserve"> Gabriel </w:t>
      </w:r>
      <w:proofErr w:type="spellStart"/>
      <w:r>
        <w:rPr>
          <w:rFonts w:ascii="Book Antiqua" w:eastAsia="Book Antiqua" w:hAnsi="Book Antiqua" w:cs="Book Antiqua"/>
          <w:b/>
          <w:bCs/>
          <w:color w:val="000000"/>
        </w:rPr>
        <w:t>Gonzáles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Yovera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Hospital </w:t>
      </w:r>
      <w:proofErr w:type="spellStart"/>
      <w:r>
        <w:rPr>
          <w:rFonts w:ascii="Book Antiqua" w:eastAsia="Book Antiqua" w:hAnsi="Book Antiqua" w:cs="Book Antiqua"/>
          <w:color w:val="000000"/>
        </w:rPr>
        <w:t>Nacional</w:t>
      </w:r>
      <w:proofErr w:type="spellEnd"/>
      <w:r>
        <w:rPr>
          <w:rFonts w:ascii="Book Antiqua" w:eastAsia="Book Antiqua" w:hAnsi="Book Antiqua" w:cs="Book Antiqua"/>
          <w:color w:val="000000"/>
        </w:rPr>
        <w:t xml:space="preserve"> Guillermo </w:t>
      </w:r>
      <w:proofErr w:type="spellStart"/>
      <w:r>
        <w:rPr>
          <w:rFonts w:ascii="Book Antiqua" w:eastAsia="Book Antiqua" w:hAnsi="Book Antiqua" w:cs="Book Antiqua"/>
          <w:color w:val="000000"/>
        </w:rPr>
        <w:t>Almenara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Irigoyen</w:t>
      </w:r>
      <w:proofErr w:type="spellEnd"/>
      <w:r>
        <w:rPr>
          <w:rFonts w:ascii="Book Antiqua" w:eastAsia="Book Antiqua" w:hAnsi="Book Antiqua" w:cs="Book Antiqua"/>
          <w:color w:val="000000"/>
        </w:rPr>
        <w:t>, Lima 12590,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Diego Martín Moreno </w:t>
      </w:r>
      <w:proofErr w:type="spellStart"/>
      <w:r>
        <w:rPr>
          <w:rFonts w:ascii="Book Antiqua" w:eastAsia="Book Antiqua" w:hAnsi="Book Antiqua" w:cs="Book Antiqua"/>
          <w:b/>
          <w:bCs/>
          <w:color w:val="000000"/>
        </w:rPr>
        <w:t>Marreros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Medicine, Universidad </w:t>
      </w:r>
      <w:proofErr w:type="spellStart"/>
      <w:r>
        <w:rPr>
          <w:rFonts w:ascii="Book Antiqua" w:eastAsia="Book Antiqua" w:hAnsi="Book Antiqua" w:cs="Book Antiqua"/>
          <w:color w:val="000000"/>
        </w:rPr>
        <w:t>Nacional</w:t>
      </w:r>
      <w:proofErr w:type="spellEnd"/>
      <w:r>
        <w:rPr>
          <w:rFonts w:ascii="Book Antiqua" w:eastAsia="Book Antiqua" w:hAnsi="Book Antiqua" w:cs="Book Antiqua"/>
          <w:color w:val="000000"/>
        </w:rPr>
        <w:t xml:space="preserve"> de Trujillo, Trujillo 13011,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Luciana </w:t>
      </w:r>
      <w:proofErr w:type="gramStart"/>
      <w:r>
        <w:rPr>
          <w:rFonts w:ascii="Book Antiqua" w:eastAsia="Book Antiqua" w:hAnsi="Book Antiqua" w:cs="Book Antiqua"/>
          <w:b/>
          <w:bCs/>
          <w:color w:val="000000"/>
        </w:rPr>
        <w:t>del</w:t>
      </w:r>
      <w:proofErr w:type="gram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Pilar</w:t>
      </w:r>
      <w:proofErr w:type="spellEnd"/>
      <w:r>
        <w:rPr>
          <w:rFonts w:ascii="Book Antiqua" w:eastAsia="Book Antiqua" w:hAnsi="Book Antiqua" w:cs="Book Antiqua"/>
          <w:b/>
          <w:bCs/>
          <w:color w:val="000000"/>
        </w:rPr>
        <w:t xml:space="preserve"> Rafael Robles, </w:t>
      </w:r>
      <w:r>
        <w:rPr>
          <w:rFonts w:ascii="Book Antiqua" w:eastAsia="Book Antiqua" w:hAnsi="Book Antiqua" w:cs="Book Antiqua"/>
          <w:color w:val="000000"/>
        </w:rPr>
        <w:t xml:space="preserve">Division of Endocrinology, Hospital </w:t>
      </w:r>
      <w:proofErr w:type="spellStart"/>
      <w:r>
        <w:rPr>
          <w:rFonts w:ascii="Book Antiqua" w:eastAsia="Book Antiqua" w:hAnsi="Book Antiqua" w:cs="Book Antiqua"/>
          <w:color w:val="000000"/>
        </w:rPr>
        <w:t>Nacional</w:t>
      </w:r>
      <w:proofErr w:type="spellEnd"/>
      <w:r>
        <w:rPr>
          <w:rFonts w:ascii="Book Antiqua" w:eastAsia="Book Antiqua" w:hAnsi="Book Antiqua" w:cs="Book Antiqua"/>
          <w:color w:val="000000"/>
        </w:rPr>
        <w:t xml:space="preserve"> Dos de Mayo, Lima 150101, Peru</w:t>
      </w:r>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b/>
          <w:bCs/>
          <w:color w:val="000000"/>
        </w:rPr>
        <w:t>Kely</w:t>
      </w:r>
      <w:proofErr w:type="spellEnd"/>
      <w:r>
        <w:rPr>
          <w:rFonts w:ascii="Book Antiqua" w:eastAsia="Book Antiqua" w:hAnsi="Book Antiqua" w:cs="Book Antiqua"/>
          <w:b/>
          <w:bCs/>
          <w:color w:val="000000"/>
        </w:rPr>
        <w:t xml:space="preserve"> Roxana Palomino </w:t>
      </w:r>
      <w:proofErr w:type="spellStart"/>
      <w:r>
        <w:rPr>
          <w:rFonts w:ascii="Book Antiqua" w:eastAsia="Book Antiqua" w:hAnsi="Book Antiqua" w:cs="Book Antiqua"/>
          <w:b/>
          <w:bCs/>
          <w:color w:val="000000"/>
        </w:rPr>
        <w:t>Taype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Endocrinology,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Neurología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Endocrinología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Avanzada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Andahuaylas</w:t>
      </w:r>
      <w:proofErr w:type="spellEnd"/>
      <w:r>
        <w:rPr>
          <w:rFonts w:ascii="Book Antiqua" w:eastAsia="Book Antiqua" w:hAnsi="Book Antiqua" w:cs="Book Antiqua"/>
          <w:color w:val="000000"/>
        </w:rPr>
        <w:t xml:space="preserve"> 03700,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Karen </w:t>
      </w:r>
      <w:proofErr w:type="spellStart"/>
      <w:r>
        <w:rPr>
          <w:rFonts w:ascii="Book Antiqua" w:eastAsia="Book Antiqua" w:hAnsi="Book Antiqua" w:cs="Book Antiqua"/>
          <w:b/>
          <w:bCs/>
          <w:color w:val="000000"/>
        </w:rPr>
        <w:t>Nohely</w:t>
      </w:r>
      <w:proofErr w:type="spellEnd"/>
      <w:r>
        <w:rPr>
          <w:rFonts w:ascii="Book Antiqua" w:eastAsia="Book Antiqua" w:hAnsi="Book Antiqua" w:cs="Book Antiqua"/>
          <w:b/>
          <w:bCs/>
          <w:color w:val="000000"/>
        </w:rPr>
        <w:t xml:space="preserve"> Soto </w:t>
      </w:r>
      <w:proofErr w:type="spellStart"/>
      <w:r>
        <w:rPr>
          <w:rFonts w:ascii="Book Antiqua" w:eastAsia="Book Antiqua" w:hAnsi="Book Antiqua" w:cs="Book Antiqua"/>
          <w:b/>
          <w:bCs/>
          <w:color w:val="000000"/>
        </w:rPr>
        <w:t>Gálvez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Management Unit, Hospital </w:t>
      </w:r>
      <w:proofErr w:type="spellStart"/>
      <w:r>
        <w:rPr>
          <w:rFonts w:ascii="Book Antiqua" w:eastAsia="Book Antiqua" w:hAnsi="Book Antiqua" w:cs="Book Antiqua"/>
          <w:color w:val="000000"/>
        </w:rPr>
        <w:t>Nacional</w:t>
      </w:r>
      <w:proofErr w:type="spellEnd"/>
      <w:r>
        <w:rPr>
          <w:rFonts w:ascii="Book Antiqua" w:eastAsia="Book Antiqua" w:hAnsi="Book Antiqua" w:cs="Book Antiqua"/>
          <w:color w:val="000000"/>
        </w:rPr>
        <w:t xml:space="preserve"> Guillermo </w:t>
      </w:r>
      <w:proofErr w:type="spellStart"/>
      <w:r>
        <w:rPr>
          <w:rFonts w:ascii="Book Antiqua" w:eastAsia="Book Antiqua" w:hAnsi="Book Antiqua" w:cs="Book Antiqua"/>
          <w:color w:val="000000"/>
        </w:rPr>
        <w:t>Almenara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Irigoyen</w:t>
      </w:r>
      <w:proofErr w:type="spellEnd"/>
      <w:r>
        <w:rPr>
          <w:rFonts w:ascii="Book Antiqua" w:eastAsia="Book Antiqua" w:hAnsi="Book Antiqua" w:cs="Book Antiqua"/>
          <w:color w:val="000000"/>
        </w:rPr>
        <w:t>, Lima 12590,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Luis Fernando </w:t>
      </w:r>
      <w:proofErr w:type="spellStart"/>
      <w:r>
        <w:rPr>
          <w:rFonts w:ascii="Book Antiqua" w:eastAsia="Book Antiqua" w:hAnsi="Book Antiqua" w:cs="Book Antiqua"/>
          <w:b/>
          <w:bCs/>
          <w:color w:val="000000"/>
        </w:rPr>
        <w:t>Arriola</w:t>
      </w:r>
      <w:proofErr w:type="spellEnd"/>
      <w:r>
        <w:rPr>
          <w:rFonts w:ascii="Book Antiqua" w:eastAsia="Book Antiqua" w:hAnsi="Book Antiqua" w:cs="Book Antiqua"/>
          <w:b/>
          <w:bCs/>
          <w:color w:val="000000"/>
        </w:rPr>
        <w:t xml:space="preserve"> Torres, </w:t>
      </w:r>
      <w:r>
        <w:rPr>
          <w:rFonts w:ascii="Book Antiqua" w:eastAsia="Book Antiqua" w:hAnsi="Book Antiqua" w:cs="Book Antiqua"/>
          <w:color w:val="000000"/>
        </w:rPr>
        <w:t xml:space="preserve">Division of Neurology,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Neurología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Endocrinología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Avanzada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Andahuaylas</w:t>
      </w:r>
      <w:proofErr w:type="spellEnd"/>
      <w:r>
        <w:rPr>
          <w:rFonts w:ascii="Book Antiqua" w:eastAsia="Book Antiqua" w:hAnsi="Book Antiqua" w:cs="Book Antiqua"/>
          <w:color w:val="000000"/>
        </w:rPr>
        <w:t xml:space="preserve"> 03700,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Julia Cristina Coronado Arroyo, </w:t>
      </w:r>
      <w:r>
        <w:rPr>
          <w:rFonts w:ascii="Book Antiqua" w:eastAsia="Book Antiqua" w:hAnsi="Book Antiqua" w:cs="Book Antiqua"/>
          <w:color w:val="000000"/>
        </w:rPr>
        <w:t xml:space="preserve">Division of Obstetrics and </w:t>
      </w:r>
      <w:proofErr w:type="spellStart"/>
      <w:r>
        <w:rPr>
          <w:rFonts w:ascii="Book Antiqua" w:eastAsia="Book Antiqua" w:hAnsi="Book Antiqua" w:cs="Book Antiqua"/>
          <w:color w:val="000000"/>
        </w:rPr>
        <w:t>Gynaecology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Clínica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Vesalio</w:t>
      </w:r>
      <w:proofErr w:type="spellEnd"/>
      <w:r>
        <w:rPr>
          <w:rFonts w:ascii="Book Antiqua" w:eastAsia="Book Antiqua" w:hAnsi="Book Antiqua" w:cs="Book Antiqua"/>
          <w:color w:val="000000"/>
        </w:rPr>
        <w:t>, Lima 15036,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Luis Alberto Concepción </w:t>
      </w:r>
      <w:proofErr w:type="spellStart"/>
      <w:r>
        <w:rPr>
          <w:rFonts w:ascii="Book Antiqua" w:eastAsia="Book Antiqua" w:hAnsi="Book Antiqua" w:cs="Book Antiqua"/>
          <w:b/>
          <w:bCs/>
          <w:color w:val="000000"/>
        </w:rPr>
        <w:t>Urteaga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Neumology</w:t>
      </w:r>
      <w:proofErr w:type="spellEnd"/>
      <w:r>
        <w:rPr>
          <w:rFonts w:ascii="Book Antiqua" w:eastAsia="Book Antiqua" w:hAnsi="Book Antiqua" w:cs="Book Antiqua"/>
          <w:color w:val="000000"/>
        </w:rPr>
        <w:t xml:space="preserve">, Hospital Regional </w:t>
      </w:r>
      <w:proofErr w:type="spellStart"/>
      <w:r>
        <w:rPr>
          <w:rFonts w:ascii="Book Antiqua" w:eastAsia="Book Antiqua" w:hAnsi="Book Antiqua" w:cs="Book Antiqua"/>
          <w:color w:val="000000"/>
        </w:rPr>
        <w:t>Docente</w:t>
      </w:r>
      <w:proofErr w:type="spellEnd"/>
      <w:r>
        <w:rPr>
          <w:rFonts w:ascii="Book Antiqua" w:eastAsia="Book Antiqua" w:hAnsi="Book Antiqua" w:cs="Book Antiqua"/>
          <w:color w:val="000000"/>
        </w:rPr>
        <w:t xml:space="preserve"> de Trujillo, Trujillo 13011,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MJ and </w:t>
      </w:r>
      <w:proofErr w:type="spellStart"/>
      <w:r>
        <w:rPr>
          <w:rFonts w:ascii="Book Antiqua" w:eastAsia="Book Antiqua" w:hAnsi="Book Antiqua" w:cs="Book Antiqua"/>
          <w:color w:val="000000"/>
        </w:rPr>
        <w:t>Gonzáles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Yovera</w:t>
      </w:r>
      <w:proofErr w:type="spellEnd"/>
      <w:r>
        <w:rPr>
          <w:rFonts w:ascii="Book Antiqua" w:eastAsia="Book Antiqua" w:hAnsi="Book Antiqua" w:cs="Book Antiqua"/>
          <w:color w:val="000000"/>
        </w:rPr>
        <w:t xml:space="preserve"> JG were the main writer and performed literature overview; Moreno </w:t>
      </w:r>
      <w:proofErr w:type="spellStart"/>
      <w:r>
        <w:rPr>
          <w:rFonts w:ascii="Book Antiqua" w:eastAsia="Book Antiqua" w:hAnsi="Book Antiqua" w:cs="Book Antiqua"/>
          <w:color w:val="000000"/>
        </w:rPr>
        <w:t>Marreros</w:t>
      </w:r>
      <w:proofErr w:type="spellEnd"/>
      <w:r>
        <w:rPr>
          <w:rFonts w:ascii="Book Antiqua" w:eastAsia="Book Antiqua" w:hAnsi="Book Antiqua" w:cs="Book Antiqua"/>
          <w:color w:val="000000"/>
        </w:rPr>
        <w:t xml:space="preserve"> DM was reviewer, translator, and prepared the manuscript; Rafael Robles LP conceived and designed the study, and was reviewer; Palomino </w:t>
      </w:r>
      <w:proofErr w:type="spellStart"/>
      <w:r>
        <w:rPr>
          <w:rFonts w:ascii="Book Antiqua" w:eastAsia="Book Antiqua" w:hAnsi="Book Antiqua" w:cs="Book Antiqua"/>
          <w:color w:val="000000"/>
        </w:rPr>
        <w:t>Taype</w:t>
      </w:r>
      <w:proofErr w:type="spellEnd"/>
      <w:r>
        <w:rPr>
          <w:rFonts w:ascii="Book Antiqua" w:eastAsia="Book Antiqua" w:hAnsi="Book Antiqua" w:cs="Book Antiqua"/>
          <w:color w:val="000000"/>
        </w:rPr>
        <w:t xml:space="preserve"> KR, Soto Galvez KN and </w:t>
      </w:r>
      <w:proofErr w:type="spellStart"/>
      <w:r>
        <w:rPr>
          <w:rFonts w:ascii="Book Antiqua" w:eastAsia="Book Antiqua" w:hAnsi="Book Antiqua" w:cs="Book Antiqua"/>
          <w:color w:val="000000"/>
        </w:rPr>
        <w:t>Arriola</w:t>
      </w:r>
      <w:proofErr w:type="spellEnd"/>
      <w:r>
        <w:rPr>
          <w:rFonts w:ascii="Book Antiqua" w:eastAsia="Book Antiqua" w:hAnsi="Book Antiqua" w:cs="Book Antiqua"/>
          <w:color w:val="000000"/>
        </w:rPr>
        <w:t xml:space="preserve"> Torres LF performed written contribution to body of text; Coronado Arroyo JC and 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LA performed literature overview and were reviewers; All authors have read and approve the final manuscript. </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Corresponding author: Diego Martín Moreno </w:t>
      </w:r>
      <w:proofErr w:type="spellStart"/>
      <w:r>
        <w:rPr>
          <w:rFonts w:ascii="Book Antiqua" w:eastAsia="Book Antiqua" w:hAnsi="Book Antiqua" w:cs="Book Antiqua"/>
          <w:b/>
          <w:bCs/>
          <w:color w:val="000000"/>
        </w:rPr>
        <w:t>Marreros</w:t>
      </w:r>
      <w:proofErr w:type="spellEnd"/>
      <w:r>
        <w:rPr>
          <w:rFonts w:ascii="Book Antiqua" w:eastAsia="Book Antiqua" w:hAnsi="Book Antiqua" w:cs="Book Antiqua"/>
          <w:b/>
          <w:bCs/>
          <w:color w:val="000000"/>
        </w:rPr>
        <w:t xml:space="preserve">, MD, Research Associate, </w:t>
      </w:r>
      <w:r>
        <w:rPr>
          <w:rFonts w:ascii="Book Antiqua" w:eastAsia="Book Antiqua" w:hAnsi="Book Antiqua" w:cs="Book Antiqua"/>
          <w:color w:val="000000"/>
        </w:rPr>
        <w:t xml:space="preserve">Division of Medicine, Universidad </w:t>
      </w:r>
      <w:proofErr w:type="spellStart"/>
      <w:r>
        <w:rPr>
          <w:rFonts w:ascii="Book Antiqua" w:eastAsia="Book Antiqua" w:hAnsi="Book Antiqua" w:cs="Book Antiqua"/>
          <w:color w:val="000000"/>
        </w:rPr>
        <w:t>Nacional</w:t>
      </w:r>
      <w:proofErr w:type="spellEnd"/>
      <w:r>
        <w:rPr>
          <w:rFonts w:ascii="Book Antiqua" w:eastAsia="Book Antiqua" w:hAnsi="Book Antiqua" w:cs="Book Antiqua"/>
          <w:color w:val="000000"/>
        </w:rPr>
        <w:t xml:space="preserve"> de Trujillo, </w:t>
      </w:r>
      <w:proofErr w:type="spellStart"/>
      <w:r>
        <w:rPr>
          <w:rFonts w:ascii="Book Antiqua" w:eastAsia="Book Antiqua" w:hAnsi="Book Antiqua" w:cs="Book Antiqua"/>
          <w:color w:val="000000"/>
        </w:rPr>
        <w:t>Fco</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Adrianzen</w:t>
      </w:r>
      <w:proofErr w:type="spellEnd"/>
      <w:r>
        <w:rPr>
          <w:rFonts w:ascii="Book Antiqua" w:eastAsia="Book Antiqua" w:hAnsi="Book Antiqua" w:cs="Book Antiqua"/>
          <w:color w:val="000000"/>
        </w:rPr>
        <w:t xml:space="preserve"> 312 </w:t>
      </w:r>
      <w:proofErr w:type="spellStart"/>
      <w:r>
        <w:rPr>
          <w:rFonts w:ascii="Book Antiqua" w:eastAsia="Book Antiqua" w:hAnsi="Book Antiqua" w:cs="Book Antiqua"/>
          <w:color w:val="000000"/>
        </w:rPr>
        <w:t>Urb</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Santa </w:t>
      </w:r>
      <w:proofErr w:type="spellStart"/>
      <w:r>
        <w:rPr>
          <w:rFonts w:ascii="Book Antiqua" w:eastAsia="Book Antiqua" w:hAnsi="Book Antiqua" w:cs="Book Antiqua"/>
          <w:color w:val="000000"/>
        </w:rPr>
        <w:t>María</w:t>
      </w:r>
      <w:proofErr w:type="spellEnd"/>
      <w:r>
        <w:rPr>
          <w:rFonts w:ascii="Book Antiqua" w:eastAsia="Book Antiqua" w:hAnsi="Book Antiqua" w:cs="Book Antiqua"/>
          <w:color w:val="000000"/>
        </w:rPr>
        <w:t xml:space="preserve">, Trujillo 13011, </w:t>
      </w:r>
      <w:bookmarkStart w:id="0" w:name="OLE_LINK240"/>
      <w:bookmarkStart w:id="1" w:name="OLE_LINK241"/>
      <w:r>
        <w:rPr>
          <w:rFonts w:ascii="Book Antiqua" w:eastAsia="Book Antiqua" w:hAnsi="Book Antiqua" w:cs="Book Antiqua"/>
          <w:color w:val="000000"/>
        </w:rPr>
        <w:t>Peru</w:t>
      </w:r>
      <w:bookmarkEnd w:id="0"/>
      <w:bookmarkEnd w:id="1"/>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diegomorenosud@hotmail.com</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rsidR="00A77B3E" w:rsidRDefault="005709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28, 2021</w:t>
      </w:r>
    </w:p>
    <w:p w:rsidR="00A77B3E" w:rsidRDefault="0057096A">
      <w:pPr>
        <w:spacing w:line="360" w:lineRule="auto"/>
        <w:jc w:val="both"/>
      </w:pPr>
      <w:r>
        <w:rPr>
          <w:rFonts w:ascii="Book Antiqua" w:eastAsia="Book Antiqua" w:hAnsi="Book Antiqua" w:cs="Book Antiqua"/>
          <w:b/>
          <w:bCs/>
          <w:color w:val="000000"/>
        </w:rPr>
        <w:t xml:space="preserve">Accepted: </w:t>
      </w:r>
      <w:r w:rsidR="004A570E" w:rsidRPr="004A570E">
        <w:rPr>
          <w:rFonts w:ascii="Book Antiqua" w:eastAsia="Book Antiqua" w:hAnsi="Book Antiqua" w:cs="Book Antiqua"/>
          <w:bCs/>
          <w:color w:val="000000"/>
        </w:rPr>
        <w:t>May 27, 2021</w:t>
      </w:r>
    </w:p>
    <w:p w:rsidR="00A77B3E" w:rsidRPr="008779A2" w:rsidRDefault="0057096A">
      <w:pPr>
        <w:spacing w:line="360" w:lineRule="auto"/>
        <w:jc w:val="both"/>
        <w:rPr>
          <w:lang w:eastAsia="zh-CN"/>
        </w:rPr>
      </w:pPr>
      <w:r>
        <w:rPr>
          <w:rFonts w:ascii="Book Antiqua" w:eastAsia="Book Antiqua" w:hAnsi="Book Antiqua" w:cs="Book Antiqua"/>
          <w:b/>
          <w:bCs/>
          <w:color w:val="000000"/>
        </w:rPr>
        <w:t xml:space="preserve">Published online: </w:t>
      </w:r>
      <w:r w:rsidR="008779A2" w:rsidRPr="008779A2">
        <w:rPr>
          <w:rFonts w:ascii="Book Antiqua" w:hAnsi="Book Antiqua" w:cs="Book Antiqua" w:hint="eastAsia"/>
          <w:bCs/>
          <w:color w:val="000000"/>
          <w:lang w:eastAsia="zh-CN"/>
        </w:rPr>
        <w:t>June 15, 2021</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57096A">
      <w:pPr>
        <w:spacing w:line="360" w:lineRule="auto"/>
        <w:jc w:val="both"/>
      </w:pPr>
      <w:r>
        <w:rPr>
          <w:rFonts w:ascii="Book Antiqua" w:eastAsia="Book Antiqua" w:hAnsi="Book Antiqua" w:cs="Book Antiqua"/>
          <w:b/>
          <w:color w:val="000000"/>
        </w:rPr>
        <w:lastRenderedPageBreak/>
        <w:t>Abstract</w:t>
      </w:r>
    </w:p>
    <w:p w:rsidR="00A77B3E" w:rsidRDefault="0057096A">
      <w:pPr>
        <w:spacing w:line="360" w:lineRule="auto"/>
        <w:jc w:val="both"/>
      </w:pPr>
      <w:r>
        <w:rPr>
          <w:rFonts w:ascii="Book Antiqua" w:eastAsia="Book Antiqua" w:hAnsi="Book Antiqua" w:cs="Book Antiqua"/>
          <w:color w:val="000000"/>
        </w:rPr>
        <w:t xml:space="preserve">This article is an extensive review that provides an update on the pathophysiology, symptoms, diagnosis, and treatment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There is no reported prevalence, but it has been described that patients with type 1 diabetes have a cumulative incidence at 10 years of 5.2%, and type 2 patients, 1%. Also, in the group of type 1 diabetes, it has been observed that women are more likely to present this condition (5.8%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3.5%). Many factors are </w:t>
      </w:r>
      <w:proofErr w:type="gramStart"/>
      <w:r>
        <w:rPr>
          <w:rFonts w:ascii="Book Antiqua" w:eastAsia="Book Antiqua" w:hAnsi="Book Antiqua" w:cs="Book Antiqua"/>
          <w:color w:val="000000"/>
        </w:rPr>
        <w:t>associate</w:t>
      </w:r>
      <w:proofErr w:type="gramEnd"/>
      <w:r>
        <w:rPr>
          <w:rFonts w:ascii="Book Antiqua" w:eastAsia="Book Antiqua" w:hAnsi="Book Antiqua" w:cs="Book Antiqua"/>
          <w:color w:val="000000"/>
        </w:rPr>
        <w:t xml:space="preserve"> with its development (</w:t>
      </w:r>
      <w:r>
        <w:rPr>
          <w:rFonts w:ascii="Book Antiqua" w:eastAsia="Book Antiqua" w:hAnsi="Book Antiqua" w:cs="Book Antiqua"/>
          <w:i/>
          <w:iCs/>
          <w:color w:val="000000"/>
        </w:rPr>
        <w:t>e.g.</w:t>
      </w:r>
      <w:r>
        <w:rPr>
          <w:rFonts w:ascii="Book Antiqua" w:eastAsia="Book Antiqua" w:hAnsi="Book Antiqua" w:cs="Book Antiqua"/>
          <w:color w:val="000000"/>
        </w:rPr>
        <w:t xml:space="preserve">, hyperglycemia, vagal dysfunction, loss of expression of neural nitric oxide synthase in the </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xml:space="preserve"> plexus, alterations in the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interstitial cell network, and oxidative stress). Gastrointestinal discomfort could be perceived 70% higher in diabetic patients, describing that 25% of diabetic patients experience gastrointestinal symptoms. Diabetic </w:t>
      </w:r>
      <w:proofErr w:type="spellStart"/>
      <w:r>
        <w:rPr>
          <w:rFonts w:ascii="Book Antiqua" w:eastAsia="Book Antiqua" w:hAnsi="Book Antiqua" w:cs="Book Antiqua"/>
          <w:color w:val="000000"/>
        </w:rPr>
        <w:t>enteropathy</w:t>
      </w:r>
      <w:proofErr w:type="spellEnd"/>
      <w:r>
        <w:rPr>
          <w:rFonts w:ascii="Book Antiqua" w:eastAsia="Book Antiqua" w:hAnsi="Book Antiqua" w:cs="Book Antiqua"/>
          <w:color w:val="000000"/>
        </w:rPr>
        <w:t xml:space="preserve"> could affect any portion of the gastrointestinal tract, but esophageal alterations were described in more than 60% of diabetic patients, also 60% of them present constipation, and 20%, diarrhea. Gastric emptying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is useful to evaluate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therefore, gastric retention of more than 60% at 2 h has a sensitivity of 100% and specificity of 20% for diagnosis; however, other studies such as breath tests, with a sensitivity of 89% and a specificity of 80%, or the endoscopic capsule contribute to the diagnosis. There is no cure; however, management must be multidisciplinary, focused on slowing the progression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reducing symptoms, and restoring function; that includes nutritional recommendation, maintain glucose levels kept below 180 mg/</w:t>
      </w:r>
      <w:proofErr w:type="spellStart"/>
      <w:r>
        <w:rPr>
          <w:rFonts w:ascii="Book Antiqua" w:eastAsia="Book Antiqua" w:hAnsi="Book Antiqua" w:cs="Book Antiqua"/>
          <w:color w:val="000000"/>
        </w:rPr>
        <w:t>d</w:t>
      </w:r>
      <w:r>
        <w:rPr>
          <w:rFonts w:ascii="Book Antiqua" w:eastAsia="Book Antiqua" w:hAnsi="Book Antiqua" w:cs="Book Antiqua"/>
          <w:caps/>
          <w:color w:val="000000"/>
        </w:rPr>
        <w:t>l</w:t>
      </w:r>
      <w:proofErr w:type="spellEnd"/>
      <w:r>
        <w:rPr>
          <w:rFonts w:ascii="Book Antiqua" w:eastAsia="Book Antiqua" w:hAnsi="Book Antiqua" w:cs="Book Antiqua"/>
          <w:color w:val="000000"/>
        </w:rPr>
        <w:t xml:space="preserve">, use of </w:t>
      </w:r>
      <w:proofErr w:type="spellStart"/>
      <w:r>
        <w:rPr>
          <w:rFonts w:ascii="Book Antiqua" w:eastAsia="Book Antiqua" w:hAnsi="Book Antiqua" w:cs="Book Antiqua"/>
          <w:color w:val="000000"/>
        </w:rPr>
        <w:t>prokinetics</w:t>
      </w:r>
      <w:proofErr w:type="spellEnd"/>
      <w:r>
        <w:rPr>
          <w:rFonts w:ascii="Book Antiqua" w:eastAsia="Book Antiqua" w:hAnsi="Book Antiqua" w:cs="Book Antiqua"/>
          <w:color w:val="000000"/>
        </w:rPr>
        <w:t xml:space="preserve">, anti-emetics; nowadays, it has been special interest in surgical treatment, such as </w:t>
      </w:r>
      <w:proofErr w:type="spellStart"/>
      <w:r>
        <w:rPr>
          <w:rFonts w:ascii="Book Antiqua" w:eastAsia="Book Antiqua" w:hAnsi="Book Antiqua" w:cs="Book Antiqua"/>
          <w:color w:val="000000"/>
        </w:rPr>
        <w:t>pyloroplasty</w:t>
      </w:r>
      <w:proofErr w:type="spellEnd"/>
      <w:r>
        <w:rPr>
          <w:rFonts w:ascii="Book Antiqua" w:eastAsia="Book Antiqua" w:hAnsi="Book Antiqua" w:cs="Book Antiqua"/>
          <w:color w:val="000000"/>
        </w:rPr>
        <w:t>, also gastric electrical stimulation appears to be another alternative.</w:t>
      </w:r>
    </w:p>
    <w:p w:rsidR="00A77B3E" w:rsidRDefault="00A77B3E">
      <w:pPr>
        <w:spacing w:line="360" w:lineRule="auto"/>
        <w:jc w:val="both"/>
        <w:rPr>
          <w:rFonts w:hint="eastAsia"/>
          <w:lang w:eastAsia="zh-CN"/>
        </w:rPr>
      </w:pPr>
    </w:p>
    <w:p w:rsidR="00A77B3E" w:rsidRDefault="0057096A">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Diabetes mellitus; Complication; Gastrointestinal disease; Treatment</w:t>
      </w:r>
    </w:p>
    <w:p w:rsidR="00A77B3E" w:rsidRDefault="00A77B3E">
      <w:pPr>
        <w:spacing w:line="360" w:lineRule="auto"/>
        <w:jc w:val="both"/>
        <w:rPr>
          <w:rFonts w:hint="eastAsia"/>
          <w:lang w:eastAsia="zh-CN"/>
        </w:rPr>
      </w:pPr>
    </w:p>
    <w:p w:rsidR="00E61A35" w:rsidRPr="008E4730" w:rsidRDefault="00E61A35" w:rsidP="00E61A35">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E61A35" w:rsidRDefault="00E61A35">
      <w:pPr>
        <w:spacing w:line="360" w:lineRule="auto"/>
        <w:jc w:val="both"/>
        <w:rPr>
          <w:rFonts w:hint="eastAsia"/>
          <w:lang w:eastAsia="zh-CN"/>
        </w:rPr>
      </w:pPr>
    </w:p>
    <w:p w:rsidR="002A46BC" w:rsidRDefault="002A46BC">
      <w:pPr>
        <w:spacing w:line="360" w:lineRule="auto"/>
        <w:jc w:val="both"/>
        <w:rPr>
          <w:rFonts w:ascii="Book Antiqua" w:hAnsi="Book Antiqua" w:cs="Book Antiqua" w:hint="eastAsia"/>
          <w:color w:val="000000"/>
          <w:lang w:eastAsia="zh-CN"/>
        </w:rPr>
      </w:pPr>
      <w:bookmarkStart w:id="2" w:name="OLE_LINK244"/>
      <w:bookmarkStart w:id="3" w:name="OLE_LINK245"/>
      <w:r w:rsidRPr="002A46BC">
        <w:rPr>
          <w:rFonts w:ascii="Book Antiqua" w:hAnsi="Book Antiqua" w:cs="Book Antiqua" w:hint="eastAsia"/>
          <w:b/>
          <w:color w:val="000000"/>
          <w:lang w:eastAsia="zh-CN"/>
        </w:rPr>
        <w:t xml:space="preserve">Citation: </w:t>
      </w:r>
      <w:r w:rsidR="00A15682">
        <w:rPr>
          <w:rFonts w:ascii="Book Antiqua" w:eastAsia="Book Antiqua" w:hAnsi="Book Antiqua" w:cs="Book Antiqua"/>
          <w:color w:val="000000"/>
        </w:rPr>
        <w:t xml:space="preserve">Concepción </w:t>
      </w:r>
      <w:proofErr w:type="spellStart"/>
      <w:r w:rsidR="00A15682">
        <w:rPr>
          <w:rFonts w:ascii="Book Antiqua" w:eastAsia="Book Antiqua" w:hAnsi="Book Antiqua" w:cs="Book Antiqua"/>
          <w:color w:val="000000"/>
        </w:rPr>
        <w:t>Zavaleta</w:t>
      </w:r>
      <w:proofErr w:type="spellEnd"/>
      <w:r w:rsidR="00A15682">
        <w:rPr>
          <w:rFonts w:ascii="Book Antiqua" w:eastAsia="Book Antiqua" w:hAnsi="Book Antiqua" w:cs="Book Antiqua"/>
          <w:color w:val="000000"/>
        </w:rPr>
        <w:t xml:space="preserve"> </w:t>
      </w:r>
      <w:r w:rsidR="00A15682">
        <w:rPr>
          <w:rFonts w:ascii="Book Antiqua" w:hAnsi="Book Antiqua" w:cs="Book Antiqua" w:hint="eastAsia"/>
          <w:color w:val="000000"/>
          <w:lang w:eastAsia="zh-CN"/>
        </w:rPr>
        <w:t>MJ</w:t>
      </w:r>
      <w:r w:rsidR="0057096A">
        <w:rPr>
          <w:rFonts w:ascii="Book Antiqua" w:eastAsia="Book Antiqua" w:hAnsi="Book Antiqua" w:cs="Book Antiqua"/>
          <w:color w:val="000000"/>
        </w:rPr>
        <w:t xml:space="preserve">, </w:t>
      </w:r>
      <w:proofErr w:type="spellStart"/>
      <w:r w:rsidR="0057096A">
        <w:rPr>
          <w:rFonts w:ascii="Book Antiqua" w:eastAsia="Book Antiqua" w:hAnsi="Book Antiqua" w:cs="Book Antiqua"/>
          <w:color w:val="000000"/>
        </w:rPr>
        <w:t>Gonzáles</w:t>
      </w:r>
      <w:proofErr w:type="spellEnd"/>
      <w:r w:rsidR="0057096A">
        <w:rPr>
          <w:rFonts w:ascii="Book Antiqua" w:eastAsia="Book Antiqua" w:hAnsi="Book Antiqua" w:cs="Book Antiqua"/>
          <w:color w:val="000000"/>
        </w:rPr>
        <w:t xml:space="preserve"> </w:t>
      </w:r>
      <w:proofErr w:type="spellStart"/>
      <w:r w:rsidR="0057096A">
        <w:rPr>
          <w:rFonts w:ascii="Book Antiqua" w:eastAsia="Book Antiqua" w:hAnsi="Book Antiqua" w:cs="Book Antiqua"/>
          <w:color w:val="000000"/>
        </w:rPr>
        <w:t>Yovera</w:t>
      </w:r>
      <w:proofErr w:type="spellEnd"/>
      <w:r w:rsidR="0057096A">
        <w:rPr>
          <w:rFonts w:ascii="Book Antiqua" w:eastAsia="Book Antiqua" w:hAnsi="Book Antiqua" w:cs="Book Antiqua"/>
          <w:color w:val="000000"/>
        </w:rPr>
        <w:t xml:space="preserve"> JG, Moreno </w:t>
      </w:r>
      <w:proofErr w:type="spellStart"/>
      <w:r w:rsidR="0057096A">
        <w:rPr>
          <w:rFonts w:ascii="Book Antiqua" w:eastAsia="Book Antiqua" w:hAnsi="Book Antiqua" w:cs="Book Antiqua"/>
          <w:color w:val="000000"/>
        </w:rPr>
        <w:t>Marreros</w:t>
      </w:r>
      <w:proofErr w:type="spellEnd"/>
      <w:r w:rsidR="0057096A">
        <w:rPr>
          <w:rFonts w:ascii="Book Antiqua" w:eastAsia="Book Antiqua" w:hAnsi="Book Antiqua" w:cs="Book Antiqua"/>
          <w:color w:val="000000"/>
        </w:rPr>
        <w:t xml:space="preserve"> DM, Rafael Robles LDP, Palomino </w:t>
      </w:r>
      <w:proofErr w:type="spellStart"/>
      <w:r w:rsidR="0057096A">
        <w:rPr>
          <w:rFonts w:ascii="Book Antiqua" w:eastAsia="Book Antiqua" w:hAnsi="Book Antiqua" w:cs="Book Antiqua"/>
          <w:color w:val="000000"/>
        </w:rPr>
        <w:t>Taype</w:t>
      </w:r>
      <w:proofErr w:type="spellEnd"/>
      <w:r w:rsidR="0057096A">
        <w:rPr>
          <w:rFonts w:ascii="Book Antiqua" w:eastAsia="Book Antiqua" w:hAnsi="Book Antiqua" w:cs="Book Antiqua"/>
          <w:color w:val="000000"/>
        </w:rPr>
        <w:t xml:space="preserve"> KR, Soto </w:t>
      </w:r>
      <w:proofErr w:type="spellStart"/>
      <w:r w:rsidR="0057096A">
        <w:rPr>
          <w:rFonts w:ascii="Book Antiqua" w:eastAsia="Book Antiqua" w:hAnsi="Book Antiqua" w:cs="Book Antiqua"/>
          <w:color w:val="000000"/>
        </w:rPr>
        <w:t>Gálvez</w:t>
      </w:r>
      <w:proofErr w:type="spellEnd"/>
      <w:r w:rsidR="0057096A">
        <w:rPr>
          <w:rFonts w:ascii="Book Antiqua" w:eastAsia="Book Antiqua" w:hAnsi="Book Antiqua" w:cs="Book Antiqua"/>
          <w:color w:val="000000"/>
        </w:rPr>
        <w:t xml:space="preserve"> KN, </w:t>
      </w:r>
      <w:proofErr w:type="spellStart"/>
      <w:r w:rsidR="0057096A">
        <w:rPr>
          <w:rFonts w:ascii="Book Antiqua" w:eastAsia="Book Antiqua" w:hAnsi="Book Antiqua" w:cs="Book Antiqua"/>
          <w:color w:val="000000"/>
        </w:rPr>
        <w:t>Arriola</w:t>
      </w:r>
      <w:proofErr w:type="spellEnd"/>
      <w:r w:rsidR="0057096A">
        <w:rPr>
          <w:rFonts w:ascii="Book Antiqua" w:eastAsia="Book Antiqua" w:hAnsi="Book Antiqua" w:cs="Book Antiqua"/>
          <w:color w:val="000000"/>
        </w:rPr>
        <w:t xml:space="preserve"> Torres LF, Coronado Arroyo JC, Concepción </w:t>
      </w:r>
      <w:proofErr w:type="spellStart"/>
      <w:r w:rsidR="0057096A">
        <w:rPr>
          <w:rFonts w:ascii="Book Antiqua" w:eastAsia="Book Antiqua" w:hAnsi="Book Antiqua" w:cs="Book Antiqua"/>
          <w:color w:val="000000"/>
        </w:rPr>
        <w:t>Urteaga</w:t>
      </w:r>
      <w:proofErr w:type="spellEnd"/>
      <w:r w:rsidR="0057096A">
        <w:rPr>
          <w:rFonts w:ascii="Book Antiqua" w:eastAsia="Book Antiqua" w:hAnsi="Book Antiqua" w:cs="Book Antiqua"/>
          <w:color w:val="000000"/>
        </w:rPr>
        <w:t xml:space="preserve"> LA. Diabetic </w:t>
      </w:r>
      <w:proofErr w:type="spellStart"/>
      <w:r w:rsidR="0057096A">
        <w:rPr>
          <w:rFonts w:ascii="Book Antiqua" w:eastAsia="Book Antiqua" w:hAnsi="Book Antiqua" w:cs="Book Antiqua"/>
          <w:color w:val="000000"/>
        </w:rPr>
        <w:t>gastroenteropathy</w:t>
      </w:r>
      <w:proofErr w:type="spellEnd"/>
      <w:r w:rsidR="0057096A">
        <w:rPr>
          <w:rFonts w:ascii="Book Antiqua" w:eastAsia="Book Antiqua" w:hAnsi="Book Antiqua" w:cs="Book Antiqua"/>
          <w:color w:val="000000"/>
        </w:rPr>
        <w:t xml:space="preserve">: An underdiagnosed complication. </w:t>
      </w:r>
      <w:r w:rsidR="0057096A">
        <w:rPr>
          <w:rFonts w:ascii="Book Antiqua" w:eastAsia="Book Antiqua" w:hAnsi="Book Antiqua" w:cs="Book Antiqua"/>
          <w:i/>
          <w:iCs/>
          <w:color w:val="000000"/>
        </w:rPr>
        <w:t>World J Diabetes</w:t>
      </w:r>
      <w:r w:rsidR="0057096A">
        <w:rPr>
          <w:rFonts w:ascii="Book Antiqua" w:eastAsia="Book Antiqua" w:hAnsi="Book Antiqua" w:cs="Book Antiqua"/>
          <w:color w:val="000000"/>
        </w:rPr>
        <w:t xml:space="preserve"> 2021; </w:t>
      </w:r>
      <w:r w:rsidR="00AA3B01" w:rsidRPr="00AA3B01">
        <w:rPr>
          <w:rFonts w:ascii="Book Antiqua" w:eastAsia="Book Antiqua" w:hAnsi="Book Antiqua" w:cs="Book Antiqua"/>
          <w:color w:val="000000"/>
        </w:rPr>
        <w:t xml:space="preserve">12(6): </w:t>
      </w:r>
      <w:r>
        <w:rPr>
          <w:rFonts w:ascii="Book Antiqua" w:hAnsi="Book Antiqua" w:hint="eastAsia"/>
          <w:bCs/>
          <w:color w:val="000000"/>
          <w:sz w:val="22"/>
          <w:szCs w:val="22"/>
        </w:rPr>
        <w:t>794</w:t>
      </w:r>
      <w:r>
        <w:rPr>
          <w:rFonts w:ascii="Book Antiqua" w:hAnsi="Book Antiqua" w:hint="eastAsia"/>
          <w:bCs/>
          <w:color w:val="000000"/>
          <w:sz w:val="22"/>
          <w:szCs w:val="22"/>
          <w:lang w:eastAsia="zh-CN"/>
        </w:rPr>
        <w:t>-</w:t>
      </w:r>
      <w:r>
        <w:rPr>
          <w:rFonts w:ascii="Book Antiqua" w:hAnsi="Book Antiqua" w:hint="eastAsia"/>
          <w:bCs/>
          <w:color w:val="000000"/>
          <w:sz w:val="22"/>
          <w:szCs w:val="22"/>
        </w:rPr>
        <w:t>809</w:t>
      </w:r>
      <w:r w:rsidR="00AA3B01" w:rsidRPr="00AA3B01">
        <w:rPr>
          <w:rFonts w:ascii="Book Antiqua" w:eastAsia="Book Antiqua" w:hAnsi="Book Antiqua" w:cs="Book Antiqua"/>
          <w:color w:val="000000"/>
        </w:rPr>
        <w:t xml:space="preserve"> </w:t>
      </w:r>
    </w:p>
    <w:p w:rsidR="002A46BC" w:rsidRDefault="00AA3B01">
      <w:pPr>
        <w:spacing w:line="360" w:lineRule="auto"/>
        <w:jc w:val="both"/>
        <w:rPr>
          <w:rFonts w:ascii="Book Antiqua" w:hAnsi="Book Antiqua" w:cs="Book Antiqua" w:hint="eastAsia"/>
          <w:color w:val="000000"/>
          <w:lang w:eastAsia="zh-CN"/>
        </w:rPr>
      </w:pPr>
      <w:r w:rsidRPr="002A46BC">
        <w:rPr>
          <w:rFonts w:ascii="Book Antiqua" w:eastAsia="Book Antiqua" w:hAnsi="Book Antiqua" w:cs="Book Antiqua"/>
          <w:b/>
          <w:color w:val="000000"/>
        </w:rPr>
        <w:t xml:space="preserve">URL: </w:t>
      </w:r>
      <w:hyperlink r:id="rId8" w:history="1">
        <w:r w:rsidR="002A46BC" w:rsidRPr="00ED6391">
          <w:rPr>
            <w:rStyle w:val="a6"/>
            <w:rFonts w:ascii="Book Antiqua" w:eastAsia="Book Antiqua" w:hAnsi="Book Antiqua" w:cs="Book Antiqua"/>
          </w:rPr>
          <w:t>https://www.wjgnet.com/1948-9358/full/v12/i6/</w:t>
        </w:r>
        <w:r w:rsidR="002A46BC" w:rsidRPr="00ED6391">
          <w:rPr>
            <w:rStyle w:val="a6"/>
            <w:rFonts w:ascii="Book Antiqua" w:hAnsi="Book Antiqua" w:cs="Book Antiqua" w:hint="eastAsia"/>
            <w:lang w:eastAsia="zh-CN"/>
          </w:rPr>
          <w:t>794</w:t>
        </w:r>
        <w:r w:rsidR="002A46BC" w:rsidRPr="00ED6391">
          <w:rPr>
            <w:rStyle w:val="a6"/>
            <w:rFonts w:ascii="Book Antiqua" w:eastAsia="Book Antiqua" w:hAnsi="Book Antiqua" w:cs="Book Antiqua"/>
          </w:rPr>
          <w:t>.htm</w:t>
        </w:r>
      </w:hyperlink>
      <w:r w:rsidRPr="00AA3B01">
        <w:rPr>
          <w:rFonts w:ascii="Book Antiqua" w:eastAsia="Book Antiqua" w:hAnsi="Book Antiqua" w:cs="Book Antiqua"/>
          <w:color w:val="000000"/>
        </w:rPr>
        <w:t xml:space="preserve"> </w:t>
      </w:r>
    </w:p>
    <w:p w:rsidR="00A77B3E" w:rsidRPr="002A46BC" w:rsidRDefault="00AA3B01">
      <w:pPr>
        <w:spacing w:line="360" w:lineRule="auto"/>
        <w:jc w:val="both"/>
        <w:rPr>
          <w:rFonts w:hint="eastAsia"/>
          <w:lang w:eastAsia="zh-CN"/>
        </w:rPr>
      </w:pPr>
      <w:r w:rsidRPr="002A46BC">
        <w:rPr>
          <w:rFonts w:ascii="Book Antiqua" w:eastAsia="Book Antiqua" w:hAnsi="Book Antiqua" w:cs="Book Antiqua"/>
          <w:b/>
          <w:color w:val="000000"/>
        </w:rPr>
        <w:t>DOI:</w:t>
      </w:r>
      <w:r w:rsidRPr="00AA3B01">
        <w:rPr>
          <w:rFonts w:ascii="Book Antiqua" w:eastAsia="Book Antiqua" w:hAnsi="Book Antiqua" w:cs="Book Antiqua"/>
          <w:color w:val="000000"/>
        </w:rPr>
        <w:t xml:space="preserve"> https://dx.doi.org/10.4239/wjd.v12.i6.</w:t>
      </w:r>
      <w:r w:rsidR="002A46BC">
        <w:rPr>
          <w:rFonts w:ascii="Book Antiqua" w:hAnsi="Book Antiqua" w:cs="Book Antiqua" w:hint="eastAsia"/>
          <w:color w:val="000000"/>
          <w:lang w:eastAsia="zh-CN"/>
        </w:rPr>
        <w:t>794</w:t>
      </w:r>
    </w:p>
    <w:bookmarkEnd w:id="2"/>
    <w:bookmarkEnd w:id="3"/>
    <w:p w:rsidR="00A77B3E" w:rsidRDefault="00A77B3E">
      <w:pPr>
        <w:spacing w:line="360" w:lineRule="auto"/>
        <w:jc w:val="both"/>
      </w:pPr>
    </w:p>
    <w:p w:rsidR="00A77B3E" w:rsidRDefault="0057096A">
      <w:pPr>
        <w:spacing w:line="360" w:lineRule="auto"/>
        <w:ind w:firstLine="4"/>
        <w:jc w:val="both"/>
        <w:rPr>
          <w:rFonts w:ascii="Book Antiqua" w:hAnsi="Book Antiqua" w:cs="Book Antiqua"/>
          <w:color w:val="000000"/>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is a common complication, poorly diagnosed in patients with long-term disease. These can present esophageal, gastric, intestinal, and even </w:t>
      </w:r>
      <w:proofErr w:type="spellStart"/>
      <w:r>
        <w:rPr>
          <w:rFonts w:ascii="Book Antiqua" w:eastAsia="Book Antiqua" w:hAnsi="Book Antiqua" w:cs="Book Antiqua"/>
          <w:color w:val="000000"/>
        </w:rPr>
        <w:t>anorectal</w:t>
      </w:r>
      <w:proofErr w:type="spellEnd"/>
      <w:r>
        <w:rPr>
          <w:rFonts w:ascii="Book Antiqua" w:eastAsia="Book Antiqua" w:hAnsi="Book Antiqua" w:cs="Book Antiqua"/>
          <w:color w:val="000000"/>
        </w:rPr>
        <w:t xml:space="preserve"> symptoms. Gastrointestinal Symptom Severity Index,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Cardinal Symptom Index, and Assessment of Constipation Quality of Life scores, as well as symptomatic assessment scales, contribute to the diagnosis. Apart from gastric emptying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currently, the use of endoscopic capsules has allowed the evaluation of abnormal transit.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fluid aspiration and culture allow assessment of bacterial overgrowth. Medical treatment, as well as adequate glycemic control, improve the symptoms, and delay the progression of the disease; in selected patients, </w:t>
      </w:r>
      <w:proofErr w:type="spellStart"/>
      <w:r>
        <w:rPr>
          <w:rFonts w:ascii="Book Antiqua" w:eastAsia="Book Antiqua" w:hAnsi="Book Antiqua" w:cs="Book Antiqua"/>
          <w:color w:val="000000"/>
        </w:rPr>
        <w:t>pyloroplasty</w:t>
      </w:r>
      <w:proofErr w:type="spellEnd"/>
      <w:r>
        <w:rPr>
          <w:rFonts w:ascii="Book Antiqua" w:eastAsia="Book Antiqua" w:hAnsi="Book Antiqua" w:cs="Book Antiqua"/>
          <w:color w:val="000000"/>
        </w:rPr>
        <w:t xml:space="preserve"> and gastric electrical stimulation are useful.</w:t>
      </w:r>
    </w:p>
    <w:p w:rsidR="00796CE1" w:rsidRPr="00796CE1" w:rsidRDefault="00796CE1">
      <w:pPr>
        <w:spacing w:line="360" w:lineRule="auto"/>
        <w:ind w:firstLine="4"/>
        <w:jc w:val="both"/>
        <w:rPr>
          <w:lang w:eastAsia="zh-CN"/>
        </w:rPr>
      </w:pPr>
    </w:p>
    <w:p w:rsidR="00A77B3E" w:rsidRDefault="00796CE1" w:rsidP="00796CE1">
      <w:pPr>
        <w:spacing w:line="360" w:lineRule="auto"/>
        <w:ind w:firstLine="4"/>
        <w:jc w:val="both"/>
      </w:pPr>
      <w:r>
        <w:br w:type="page"/>
      </w:r>
      <w:r w:rsidR="0057096A">
        <w:rPr>
          <w:rFonts w:ascii="Book Antiqua" w:eastAsia="Book Antiqua" w:hAnsi="Book Antiqua" w:cs="Book Antiqua"/>
          <w:b/>
          <w:caps/>
          <w:color w:val="000000"/>
          <w:u w:val="single"/>
        </w:rPr>
        <w:lastRenderedPageBreak/>
        <w:t>INTRODUCTION</w:t>
      </w:r>
    </w:p>
    <w:p w:rsidR="00A77B3E" w:rsidRDefault="0057096A">
      <w:pPr>
        <w:spacing w:line="360" w:lineRule="auto"/>
        <w:jc w:val="both"/>
      </w:pPr>
      <w:r>
        <w:rPr>
          <w:rFonts w:ascii="Book Antiqua" w:eastAsia="Book Antiqua" w:hAnsi="Book Antiqua" w:cs="Book Antiqua"/>
          <w:color w:val="000000"/>
        </w:rPr>
        <w:t xml:space="preserve">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was first described in 1945 by Wayne </w:t>
      </w:r>
      <w:proofErr w:type="spellStart"/>
      <w:r>
        <w:rPr>
          <w:rFonts w:ascii="Book Antiqua" w:eastAsia="Book Antiqua" w:hAnsi="Book Antiqua" w:cs="Book Antiqua"/>
          <w:color w:val="000000"/>
        </w:rPr>
        <w:t>Rundells</w:t>
      </w:r>
      <w:proofErr w:type="spellEnd"/>
      <w:r>
        <w:rPr>
          <w:rFonts w:ascii="Book Antiqua" w:eastAsia="Book Antiqua" w:hAnsi="Book Antiqua" w:cs="Book Antiqua"/>
          <w:color w:val="000000"/>
        </w:rPr>
        <w:t xml:space="preserve">, later in 1958, </w:t>
      </w:r>
      <w:proofErr w:type="spellStart"/>
      <w:r>
        <w:rPr>
          <w:rFonts w:ascii="Book Antiqua" w:eastAsia="Book Antiqua" w:hAnsi="Book Antiqua" w:cs="Book Antiqua"/>
          <w:color w:val="000000"/>
        </w:rPr>
        <w:t>Kassander</w:t>
      </w:r>
      <w:proofErr w:type="spellEnd"/>
      <w:r>
        <w:rPr>
          <w:rFonts w:ascii="Book Antiqua" w:eastAsia="Book Antiqua" w:hAnsi="Book Antiqua" w:cs="Book Antiqua"/>
          <w:color w:val="000000"/>
        </w:rPr>
        <w:t xml:space="preserve"> coined the term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diabeticorum</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is one of the most common complications in patients with long-term type 1 and type 2 diabetes mellitus, therefore almost one quarter of this population describes gastrointestinal symptoms; manifesting itself especially in those who evolve with inadequate glycemic control or with other complications at the same time. It is mainly characterized by presenting early satiety, prolonged postprandial fullness, abdominal distention, nausea and vomiting,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pathophysiology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is complex. It is postulated that the enteric nervous system neuropathy induced by hyperglycemia is one of the main causes. There is also a loss of </w:t>
      </w:r>
      <w:proofErr w:type="spellStart"/>
      <w:r>
        <w:rPr>
          <w:rFonts w:ascii="Book Antiqua" w:eastAsia="Book Antiqua" w:hAnsi="Book Antiqua" w:cs="Book Antiqua"/>
          <w:color w:val="000000"/>
        </w:rPr>
        <w:t>Cajal's</w:t>
      </w:r>
      <w:proofErr w:type="spellEnd"/>
      <w:r>
        <w:rPr>
          <w:rFonts w:ascii="Book Antiqua" w:eastAsia="Book Antiqua" w:hAnsi="Book Antiqua" w:cs="Book Antiqua"/>
          <w:color w:val="000000"/>
        </w:rPr>
        <w:t xml:space="preserve"> interstitial cells and enteric glial cells. On the other hand, oxidative stress and inflammation also affect regenerative processes and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As part of the treatment in some patients is used insulin, which in this 2020 are 100 years since it was discover (see Figure 1)</w:t>
      </w:r>
      <w:r w:rsidR="00132FC5" w:rsidRPr="00132FC5">
        <w:rPr>
          <w:rFonts w:ascii="Book Antiqua" w:hAnsi="Book Antiqua" w:cs="Book Antiqua" w:hint="eastAsia"/>
          <w:color w:val="000000"/>
          <w:vertAlign w:val="superscript"/>
          <w:lang w:eastAsia="zh-CN"/>
        </w:rPr>
        <w:t>[4,5]</w:t>
      </w:r>
      <w:r>
        <w:rPr>
          <w:rFonts w:ascii="Book Antiqua" w:eastAsia="Book Antiqua" w:hAnsi="Book Antiqua" w:cs="Book Antiqua"/>
          <w:color w:val="000000"/>
        </w:rPr>
        <w:t xml:space="preserve">, and around 40 years before the term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diabeticorum</w:t>
      </w:r>
      <w:proofErr w:type="spellEnd"/>
      <w:r>
        <w:rPr>
          <w:rFonts w:ascii="Book Antiqua" w:eastAsia="Book Antiqua" w:hAnsi="Book Antiqua" w:cs="Book Antiqua"/>
          <w:color w:val="000000"/>
        </w:rPr>
        <w:t xml:space="preserve"> was coined. </w:t>
      </w:r>
    </w:p>
    <w:p w:rsidR="00A77B3E" w:rsidRDefault="0057096A">
      <w:pPr>
        <w:spacing w:line="360" w:lineRule="auto"/>
        <w:ind w:firstLine="480"/>
        <w:jc w:val="both"/>
      </w:pPr>
      <w:r>
        <w:rPr>
          <w:rFonts w:ascii="Book Antiqua" w:eastAsia="Book Antiqua" w:hAnsi="Book Antiqua" w:cs="Book Antiqua"/>
          <w:color w:val="000000"/>
        </w:rPr>
        <w:t xml:space="preserve">Even though, this diabetic complication has been described five decades ago, diagnosis and management still represent a challenge for the physicians. The present review focuses on the pathophysiology development, clinical, diagnosis, and brings new data about current and future treatment of this pathology. The aim of this review is an update on different treatments, including, changes in lifestyle, medical, and also surgical. </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EPIDEMIOLOGY</w:t>
      </w:r>
    </w:p>
    <w:p w:rsidR="00A77B3E" w:rsidRDefault="0057096A">
      <w:pPr>
        <w:spacing w:line="360" w:lineRule="auto"/>
        <w:jc w:val="both"/>
      </w:pPr>
      <w:r>
        <w:rPr>
          <w:rFonts w:ascii="Book Antiqua" w:eastAsia="Book Antiqua" w:hAnsi="Book Antiqua" w:cs="Book Antiqua"/>
          <w:color w:val="000000"/>
        </w:rPr>
        <w:t xml:space="preserve">Approximately 463 million people live with diabetes worldwide, and 32 million residing in South and Central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prevalence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has not been established. Some reports mentioned a cumulative incidence of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at 10 years of 5.2% for patients with type 1 diabetes mellitus and 1% for patients with type 2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However, due to the continuous increase in the number of patients with </w:t>
      </w:r>
      <w:r>
        <w:rPr>
          <w:rFonts w:ascii="Book Antiqua" w:eastAsia="Book Antiqua" w:hAnsi="Book Antiqua" w:cs="Book Antiqua"/>
          <w:color w:val="000000"/>
        </w:rPr>
        <w:lastRenderedPageBreak/>
        <w:t xml:space="preserve">type 2 diabetes, these diabetic patients would represent a bigger group with this </w:t>
      </w:r>
      <w:proofErr w:type="gramStart"/>
      <w:r>
        <w:rPr>
          <w:rFonts w:ascii="Book Antiqua" w:eastAsia="Book Antiqua" w:hAnsi="Book Antiqua" w:cs="Book Antiqua"/>
          <w:color w:val="000000"/>
        </w:rPr>
        <w:t>complication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Regarding the symptoms, the prevalence of esophageal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is 63%, reflux is 41%, 60% of patients present constipation, and 20% manifest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These differences in prevalence probably respond to the lack of recognition of the signs and symptoms of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making it necessary to learn to recognize and treat them in time.</w:t>
      </w:r>
    </w:p>
    <w:p w:rsidR="00A77B3E" w:rsidRDefault="00A77B3E" w:rsidP="00DC0C5B">
      <w:pPr>
        <w:spacing w:line="360" w:lineRule="auto"/>
        <w:jc w:val="both"/>
      </w:pPr>
    </w:p>
    <w:p w:rsidR="00A77B3E" w:rsidRDefault="0057096A">
      <w:pPr>
        <w:spacing w:line="360" w:lineRule="auto"/>
        <w:jc w:val="both"/>
      </w:pPr>
      <w:r>
        <w:rPr>
          <w:rFonts w:ascii="Book Antiqua" w:eastAsia="Book Antiqua" w:hAnsi="Book Antiqua" w:cs="Book Antiqua"/>
          <w:b/>
          <w:bCs/>
          <w:caps/>
          <w:color w:val="000000"/>
          <w:u w:val="single"/>
        </w:rPr>
        <w:t>PHYSIOLOGY</w:t>
      </w:r>
    </w:p>
    <w:p w:rsidR="00A77B3E" w:rsidRDefault="0057096A">
      <w:pPr>
        <w:spacing w:line="360" w:lineRule="auto"/>
        <w:jc w:val="both"/>
      </w:pPr>
      <w:r>
        <w:rPr>
          <w:rFonts w:ascii="Book Antiqua" w:eastAsia="Book Antiqua" w:hAnsi="Book Antiqua" w:cs="Book Antiqua"/>
          <w:b/>
          <w:bCs/>
          <w:i/>
          <w:iCs/>
          <w:color w:val="000000"/>
        </w:rPr>
        <w:t>Gastric emptying</w:t>
      </w:r>
    </w:p>
    <w:p w:rsidR="00A77B3E" w:rsidRDefault="0057096A">
      <w:pPr>
        <w:spacing w:line="360" w:lineRule="auto"/>
        <w:jc w:val="both"/>
      </w:pPr>
      <w:r>
        <w:rPr>
          <w:rFonts w:ascii="Book Antiqua" w:eastAsia="Book Antiqua" w:hAnsi="Book Antiqua" w:cs="Book Antiqua"/>
          <w:color w:val="000000"/>
        </w:rPr>
        <w:t xml:space="preserve">Gastric emptying is a physiological process that allows the transit of digested food to the </w:t>
      </w:r>
      <w:proofErr w:type="gramStart"/>
      <w:r>
        <w:rPr>
          <w:rFonts w:ascii="Book Antiqua" w:eastAsia="Book Antiqua" w:hAnsi="Book Antiqua" w:cs="Book Antiqua"/>
          <w:color w:val="000000"/>
        </w:rPr>
        <w:t>duodenum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a mechanical process and is regulated by a complex </w:t>
      </w:r>
      <w:proofErr w:type="spellStart"/>
      <w:r>
        <w:rPr>
          <w:rFonts w:ascii="Book Antiqua" w:eastAsia="Book Antiqua" w:hAnsi="Book Antiqua" w:cs="Book Antiqua"/>
          <w:color w:val="000000"/>
        </w:rPr>
        <w:t>neurohormonal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In neuronal control, the parasympathetic participates through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which </w:t>
      </w:r>
      <w:proofErr w:type="spellStart"/>
      <w:r>
        <w:rPr>
          <w:rFonts w:ascii="Book Antiqua" w:eastAsia="Book Antiqua" w:hAnsi="Book Antiqua" w:cs="Book Antiqua"/>
          <w:color w:val="000000"/>
        </w:rPr>
        <w:t>afferences</w:t>
      </w:r>
      <w:proofErr w:type="spellEnd"/>
      <w:r>
        <w:rPr>
          <w:rFonts w:ascii="Book Antiqua" w:eastAsia="Book Antiqua" w:hAnsi="Book Antiqua" w:cs="Book Antiqua"/>
          <w:color w:val="000000"/>
        </w:rPr>
        <w:t xml:space="preserve"> fibers arrive from the enteric system to the nucleus of the solitary tract, and then pass to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dorsal motor nucleus in the spinal cord, from where it exits to the </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xml:space="preserve"> plexus (see Figure 2). In the gastric wall forming two vague motor circuits: Excitatory and inhibitory, which are distributed in a heterogeneous way (allowing an integrated function in gastric biomechanics) in the body, </w:t>
      </w:r>
      <w:proofErr w:type="spellStart"/>
      <w:r>
        <w:rPr>
          <w:rFonts w:ascii="Book Antiqua" w:eastAsia="Book Antiqua" w:hAnsi="Book Antiqua" w:cs="Book Antiqua"/>
          <w:color w:val="000000"/>
        </w:rPr>
        <w:t>antrum</w:t>
      </w:r>
      <w:proofErr w:type="spellEnd"/>
      <w:r>
        <w:rPr>
          <w:rFonts w:ascii="Book Antiqua" w:eastAsia="Book Antiqua" w:hAnsi="Book Antiqua" w:cs="Book Antiqua"/>
          <w:color w:val="000000"/>
        </w:rPr>
        <w:t xml:space="preserve">, pylorus, and into the interstitial cells of the </w:t>
      </w:r>
      <w:proofErr w:type="spellStart"/>
      <w:proofErr w:type="gramStart"/>
      <w:r>
        <w:rPr>
          <w:rFonts w:ascii="Book Antiqua" w:eastAsia="Book Antiqua" w:hAnsi="Book Antiqua" w:cs="Book Antiqua"/>
          <w:color w:val="000000"/>
        </w:rPr>
        <w:t>Cajal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Additional, there are several neurotransmitters, that participate in </w:t>
      </w:r>
      <w:proofErr w:type="spellStart"/>
      <w:r>
        <w:rPr>
          <w:rFonts w:ascii="Book Antiqua" w:eastAsia="Book Antiqua" w:hAnsi="Book Antiqua" w:cs="Book Antiqua"/>
          <w:color w:val="000000"/>
        </w:rPr>
        <w:t>neurohumoral</w:t>
      </w:r>
      <w:proofErr w:type="spellEnd"/>
      <w:r>
        <w:rPr>
          <w:rFonts w:ascii="Book Antiqua" w:eastAsia="Book Antiqua" w:hAnsi="Book Antiqua" w:cs="Book Antiqua"/>
          <w:color w:val="000000"/>
        </w:rPr>
        <w:t xml:space="preserve"> control at different levels (</w:t>
      </w:r>
      <w:r>
        <w:rPr>
          <w:rFonts w:ascii="Book Antiqua" w:eastAsia="Book Antiqua" w:hAnsi="Book Antiqua" w:cs="Book Antiqua"/>
          <w:i/>
          <w:iCs/>
          <w:color w:val="000000"/>
        </w:rPr>
        <w:t>e.g.</w:t>
      </w:r>
      <w:r>
        <w:rPr>
          <w:rFonts w:ascii="Book Antiqua" w:eastAsia="Book Antiqua" w:hAnsi="Book Antiqua" w:cs="Book Antiqua"/>
          <w:color w:val="000000"/>
        </w:rPr>
        <w:t xml:space="preserve">, Acetylcholine, Noradrenaline, GABA, dopamine,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hormones produced in the pancreas, stomach, small intestine, and in the nervous system (Some delay gastric emptying such as cholecystokinin, GLP- 1, and </w:t>
      </w:r>
      <w:proofErr w:type="spellStart"/>
      <w:r>
        <w:rPr>
          <w:rFonts w:ascii="Book Antiqua" w:eastAsia="Book Antiqua" w:hAnsi="Book Antiqua" w:cs="Book Antiqua"/>
          <w:color w:val="000000"/>
        </w:rPr>
        <w:t>leptin</w:t>
      </w:r>
      <w:proofErr w:type="spellEnd"/>
      <w:r>
        <w:rPr>
          <w:rFonts w:ascii="Book Antiqua" w:eastAsia="Book Antiqua" w:hAnsi="Book Antiqua" w:cs="Book Antiqua"/>
          <w:color w:val="000000"/>
        </w:rPr>
        <w:t xml:space="preserve">; and others accelerate it such as </w:t>
      </w:r>
      <w:proofErr w:type="spellStart"/>
      <w:r>
        <w:rPr>
          <w:rFonts w:ascii="Book Antiqua" w:eastAsia="Book Antiqua" w:hAnsi="Book Antiqua" w:cs="Book Antiqua"/>
          <w:color w:val="000000"/>
        </w:rPr>
        <w:t>motilin</w:t>
      </w:r>
      <w:proofErr w:type="spellEnd"/>
      <w:r>
        <w:rPr>
          <w:rFonts w:ascii="Book Antiqua" w:eastAsia="Book Antiqua" w:hAnsi="Book Antiqua" w:cs="Book Antiqua"/>
          <w:color w:val="000000"/>
        </w:rPr>
        <w:t xml:space="preserve"> and ghrelin)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speed of emptying occurs differently according to the consistency and nature of the food, thus low-calorie liquids leave the stomach very </w:t>
      </w:r>
      <w:proofErr w:type="gramStart"/>
      <w:r>
        <w:rPr>
          <w:rFonts w:ascii="Book Antiqua" w:eastAsia="Book Antiqua" w:hAnsi="Book Antiqua" w:cs="Book Antiqua"/>
          <w:color w:val="000000"/>
        </w:rPr>
        <w:t>quickly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most solid foods stay between 2 to 3 h in the stomach (because they are transformed into smaller particles to form the acid </w:t>
      </w:r>
      <w:proofErr w:type="spellStart"/>
      <w:r>
        <w:rPr>
          <w:rFonts w:ascii="Book Antiqua" w:eastAsia="Book Antiqua" w:hAnsi="Book Antiqua" w:cs="Book Antiqua"/>
          <w:color w:val="000000"/>
        </w:rPr>
        <w:t>chyme</w:t>
      </w:r>
      <w:proofErr w:type="spellEnd"/>
      <w:r>
        <w:rPr>
          <w:rFonts w:ascii="Book Antiqua" w:eastAsia="Book Antiqua" w:hAnsi="Book Antiqua" w:cs="Book Antiqua"/>
          <w:color w:val="000000"/>
        </w:rPr>
        <w:t xml:space="preserve"> and pass into the duodenum at an average speed of 1-4 Kcal/min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emptying is not always complete and exists an </w:t>
      </w:r>
      <w:proofErr w:type="spellStart"/>
      <w:r>
        <w:rPr>
          <w:rFonts w:ascii="Book Antiqua" w:eastAsia="Book Antiqua" w:hAnsi="Book Antiqua" w:cs="Book Antiqua"/>
          <w:color w:val="000000"/>
        </w:rPr>
        <w:t>interdigestive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period in which food particles pass without been digested. Recently, with advances in non-invasive studies, such as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the physiology of gastric emptying has been better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adequate gastric emptying biomechanics is the result of adequate coordination between the proximal and distal regions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gastric fundus serves as a reservoir of content (initially, it relaxes due to nitrogen stimuli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 xml:space="preserve"> and then acts as a pressure pump. In the gastric body-</w:t>
      </w:r>
      <w:proofErr w:type="spellStart"/>
      <w:r>
        <w:rPr>
          <w:rFonts w:ascii="Book Antiqua" w:eastAsia="Book Antiqua" w:hAnsi="Book Antiqua" w:cs="Book Antiqua"/>
          <w:color w:val="000000"/>
        </w:rPr>
        <w:t>antrum</w:t>
      </w:r>
      <w:proofErr w:type="spellEnd"/>
      <w:r>
        <w:rPr>
          <w:rFonts w:ascii="Book Antiqua" w:eastAsia="Book Antiqua" w:hAnsi="Book Antiqua" w:cs="Book Antiqua"/>
          <w:color w:val="000000"/>
        </w:rPr>
        <w:t>, the food content is mixed at a speed of 3 peristaltic waves per minute</w:t>
      </w:r>
      <w:r>
        <w:rPr>
          <w:rFonts w:ascii="Book Antiqua" w:eastAsia="Book Antiqua" w:hAnsi="Book Antiqua" w:cs="Book Antiqua"/>
          <w:color w:val="000000"/>
          <w:szCs w:val="30"/>
          <w:vertAlign w:val="superscript"/>
        </w:rPr>
        <w:t>[12,13,16]</w:t>
      </w:r>
      <w:r>
        <w:rPr>
          <w:rFonts w:ascii="Book Antiqua" w:eastAsia="Book Antiqua" w:hAnsi="Book Antiqua" w:cs="Book Antiqua"/>
          <w:color w:val="000000"/>
        </w:rPr>
        <w:t>, the pylorus acts as a gate that filters only the 1-2 mm digested food and returns the largest foods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gastric emptying, 2 phases are recognized; the digestive (whose purpose is to transport the </w:t>
      </w:r>
      <w:proofErr w:type="spellStart"/>
      <w:r>
        <w:rPr>
          <w:rFonts w:ascii="Book Antiqua" w:eastAsia="Book Antiqua" w:hAnsi="Book Antiqua" w:cs="Book Antiqua"/>
          <w:color w:val="000000"/>
        </w:rPr>
        <w:t>chyme</w:t>
      </w:r>
      <w:proofErr w:type="spellEnd"/>
      <w:r>
        <w:rPr>
          <w:rFonts w:ascii="Book Antiqua" w:eastAsia="Book Antiqua" w:hAnsi="Book Antiqua" w:cs="Book Antiqua"/>
          <w:color w:val="000000"/>
        </w:rPr>
        <w:t xml:space="preserve"> to the duodenum) and the </w:t>
      </w:r>
      <w:proofErr w:type="spellStart"/>
      <w:r>
        <w:rPr>
          <w:rFonts w:ascii="Book Antiqua" w:eastAsia="Book Antiqua" w:hAnsi="Book Antiqua" w:cs="Book Antiqua"/>
          <w:color w:val="000000"/>
        </w:rPr>
        <w:t>interdigestive</w:t>
      </w:r>
      <w:proofErr w:type="spellEnd"/>
      <w:r>
        <w:rPr>
          <w:rFonts w:ascii="Book Antiqua" w:eastAsia="Book Antiqua" w:hAnsi="Book Antiqua" w:cs="Book Antiqua"/>
          <w:color w:val="000000"/>
        </w:rPr>
        <w:t xml:space="preserve"> (which several trains of peristaltic waves have the purpose of complete the gastric emptying of the indigestible particles); the hormones that accelerate emptying participate in this latter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PATHOPHYSIOLOGY</w:t>
      </w:r>
    </w:p>
    <w:p w:rsidR="00A77B3E" w:rsidRDefault="0057096A">
      <w:pPr>
        <w:spacing w:line="360" w:lineRule="auto"/>
        <w:jc w:val="both"/>
      </w:pP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is defined as delayed gastric emptying in the absence of mechanical obstruction. Although the exact mechanism of gastric dysfunction and the generation of symptoms are unknown, there are factors that promote its development, such as hyperglycemia, vagal dysfunction, loss of expression of neural nitric oxide synthase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xml:space="preserve"> plexus, abnormalities of the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interstitial cell network (ICC) and oxidative stress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(see Figure 3).</w:t>
      </w:r>
    </w:p>
    <w:p w:rsidR="00A77B3E" w:rsidRDefault="0057096A">
      <w:pPr>
        <w:spacing w:line="360" w:lineRule="auto"/>
        <w:ind w:firstLine="480"/>
        <w:jc w:val="both"/>
      </w:pPr>
      <w:r>
        <w:rPr>
          <w:rFonts w:ascii="Book Antiqua" w:eastAsia="Book Antiqua" w:hAnsi="Book Antiqua" w:cs="Book Antiqua"/>
          <w:color w:val="000000"/>
        </w:rPr>
        <w:t xml:space="preserve">An acute increase twice or decrease (halve) in blood glucose can cause delayed or accelerated gastric emptying,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xml:space="preserve">. Additionally, the alterations in gastric emptying can produce fluctuations in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which then affects the gastric emptying rate, thus creating a vicious cycle. In the hyperglycemic state, pyloric contractions and </w:t>
      </w:r>
      <w:proofErr w:type="spellStart"/>
      <w:r>
        <w:rPr>
          <w:rFonts w:ascii="Book Antiqua" w:eastAsia="Book Antiqua" w:hAnsi="Book Antiqua" w:cs="Book Antiqua"/>
          <w:color w:val="000000"/>
        </w:rPr>
        <w:t>antral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hypomotility</w:t>
      </w:r>
      <w:proofErr w:type="spellEnd"/>
      <w:r>
        <w:rPr>
          <w:rFonts w:ascii="Book Antiqua" w:eastAsia="Book Antiqua" w:hAnsi="Book Antiqua" w:cs="Book Antiqua"/>
          <w:color w:val="000000"/>
        </w:rPr>
        <w:t xml:space="preserve"> occur, leading to delayed emptying. On the other hand, hypoglycemia stimulates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nerve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Likewise, vagal dysfunction plays a role in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When food is ingested and gastric accommodation is disturbed, patients may experience symptoms such as early satiety, fullness, and discomfort. Vagal neuropathy can lead to reduced </w:t>
      </w:r>
      <w:r>
        <w:rPr>
          <w:rFonts w:ascii="Book Antiqua" w:eastAsia="Book Antiqua" w:hAnsi="Book Antiqua" w:cs="Book Antiqua"/>
          <w:color w:val="000000"/>
        </w:rPr>
        <w:lastRenderedPageBreak/>
        <w:t xml:space="preserve">pyloric relaxation, impaired </w:t>
      </w:r>
      <w:proofErr w:type="spellStart"/>
      <w:r>
        <w:rPr>
          <w:rFonts w:ascii="Book Antiqua" w:eastAsia="Book Antiqua" w:hAnsi="Book Antiqua" w:cs="Book Antiqua"/>
          <w:color w:val="000000"/>
        </w:rPr>
        <w:t>antral</w:t>
      </w:r>
      <w:proofErr w:type="spellEnd"/>
      <w:r>
        <w:rPr>
          <w:rFonts w:ascii="Book Antiqua" w:eastAsia="Book Antiqua" w:hAnsi="Book Antiqua" w:cs="Book Antiqua"/>
          <w:color w:val="000000"/>
        </w:rPr>
        <w:t xml:space="preserve"> contraction, and impaired </w:t>
      </w:r>
      <w:proofErr w:type="spellStart"/>
      <w:r>
        <w:rPr>
          <w:rFonts w:ascii="Book Antiqua" w:eastAsia="Book Antiqua" w:hAnsi="Book Antiqua" w:cs="Book Antiqua"/>
          <w:color w:val="000000"/>
        </w:rPr>
        <w:t>antropyloric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coordination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Alterations of the enteric nervous system also play an important role. The </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xml:space="preserve"> plexus contains a network of nerves found in layers between the longitudinal and circular intestinal muscular and coordinates gastric motor function. This </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xml:space="preserve"> plexus is made up of excitatory (cholinergic), inhibitory (</w:t>
      </w:r>
      <w:proofErr w:type="spellStart"/>
      <w:r>
        <w:rPr>
          <w:rFonts w:ascii="Book Antiqua" w:eastAsia="Book Antiqua" w:hAnsi="Book Antiqua" w:cs="Book Antiqua"/>
          <w:color w:val="000000"/>
        </w:rPr>
        <w:t>nitrergic</w:t>
      </w:r>
      <w:proofErr w:type="spellEnd"/>
      <w:r>
        <w:rPr>
          <w:rFonts w:ascii="Book Antiqua" w:eastAsia="Book Antiqua" w:hAnsi="Book Antiqua" w:cs="Book Antiqua"/>
          <w:color w:val="000000"/>
        </w:rPr>
        <w:t xml:space="preserve">) motor neurons, primary afferent neurons, and </w:t>
      </w:r>
      <w:proofErr w:type="gramStart"/>
      <w:r>
        <w:rPr>
          <w:rFonts w:ascii="Book Antiqua" w:eastAsia="Book Antiqua" w:hAnsi="Book Antiqua" w:cs="Book Antiqua"/>
          <w:color w:val="000000"/>
        </w:rPr>
        <w:t>interneurons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Excitatory motor neurons induce muscle contractions by releasing neurotransmitters such as acetylcholine and substance P while, inhibitory neurons will relax muscle tissue by releasing nitric oxide, ATP, and vasoactive intestinal </w:t>
      </w:r>
      <w:proofErr w:type="gramStart"/>
      <w:r>
        <w:rPr>
          <w:rFonts w:ascii="Book Antiqua" w:eastAsia="Book Antiqua" w:hAnsi="Book Antiqua" w:cs="Book Antiqua"/>
          <w:color w:val="000000"/>
        </w:rPr>
        <w:t>peptide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Pathological changes in these pathways affect motor control and lead to delayed emptying, impaired accommodation, and gastric </w:t>
      </w:r>
      <w:proofErr w:type="gramStart"/>
      <w:r>
        <w:rPr>
          <w:rFonts w:ascii="Book Antiqua" w:eastAsia="Book Antiqua" w:hAnsi="Book Antiqua" w:cs="Book Antiqua"/>
          <w:color w:val="000000"/>
        </w:rPr>
        <w:t>dysrhythmia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Non-obese diabetic (NOD) mice showed a reversible loss of gastric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expression, suggesting that in diabetic patients may exist negative regulation of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without loss of nitrate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study in rats administered </w:t>
      </w:r>
      <w:proofErr w:type="spellStart"/>
      <w:r>
        <w:rPr>
          <w:rFonts w:ascii="Book Antiqua" w:eastAsia="Book Antiqua" w:hAnsi="Book Antiqua" w:cs="Book Antiqua"/>
          <w:color w:val="000000"/>
        </w:rPr>
        <w:t>streptozotocin</w:t>
      </w:r>
      <w:proofErr w:type="spellEnd"/>
      <w:r>
        <w:rPr>
          <w:rFonts w:ascii="Book Antiqua" w:eastAsia="Book Antiqua" w:hAnsi="Book Antiqua" w:cs="Book Antiqua"/>
          <w:color w:val="000000"/>
        </w:rPr>
        <w:t xml:space="preserve"> (STZ) to induce diabetes found a reversible loss of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after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which progressed to irreversible loss due to apoptosis induced by oxidative stress after 12 wk. Because the active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enzyme is a </w:t>
      </w:r>
      <w:proofErr w:type="spellStart"/>
      <w:r>
        <w:rPr>
          <w:rFonts w:ascii="Book Antiqua" w:eastAsia="Book Antiqua" w:hAnsi="Book Antiqua" w:cs="Book Antiqua"/>
          <w:color w:val="000000"/>
        </w:rPr>
        <w:t>dimerized</w:t>
      </w:r>
      <w:proofErr w:type="spellEnd"/>
      <w:r>
        <w:rPr>
          <w:rFonts w:ascii="Book Antiqua" w:eastAsia="Book Antiqua" w:hAnsi="Book Antiqua" w:cs="Book Antiqua"/>
          <w:color w:val="000000"/>
        </w:rPr>
        <w:t xml:space="preserve"> protein, the loss of this dimerization can cause impaired neuromuscular function, as has been reported in the </w:t>
      </w:r>
      <w:proofErr w:type="spellStart"/>
      <w:r>
        <w:rPr>
          <w:rFonts w:ascii="Book Antiqua" w:eastAsia="Book Antiqua" w:hAnsi="Book Antiqua" w:cs="Book Antiqua"/>
          <w:color w:val="000000"/>
        </w:rPr>
        <w:t>antrum</w:t>
      </w:r>
      <w:proofErr w:type="spellEnd"/>
      <w:r>
        <w:rPr>
          <w:rFonts w:ascii="Book Antiqua" w:eastAsia="Book Antiqua" w:hAnsi="Book Antiqua" w:cs="Book Antiqua"/>
          <w:color w:val="000000"/>
        </w:rPr>
        <w:t xml:space="preserve"> of STZ-induced diabetic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Loss of ICC has been reported in animal models and diabetic patients with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NOD mice and STZ-induced rats show a loss of ICC in both the body and the </w:t>
      </w:r>
      <w:proofErr w:type="spellStart"/>
      <w:proofErr w:type="gramStart"/>
      <w:r>
        <w:rPr>
          <w:rFonts w:ascii="Book Antiqua" w:eastAsia="Book Antiqua" w:hAnsi="Book Antiqua" w:cs="Book Antiqua"/>
          <w:color w:val="000000"/>
        </w:rPr>
        <w:t>antrum</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Clinical Research Consortium in America collected data from patients with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correlating cellular changes in surgical full-thickness gastric biopsies with the patient's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decrease in ICC and the gastric emptying rate was observed. In contrast to previous data in animals and humans,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expression was not significantly decreased in diabetic patients. It should be noted that the full-thickness biopsies were taken from patients undergoing </w:t>
      </w:r>
      <w:r>
        <w:rPr>
          <w:rFonts w:ascii="Book Antiqua" w:eastAsia="Book Antiqua" w:hAnsi="Book Antiqua" w:cs="Book Antiqua"/>
          <w:color w:val="000000"/>
        </w:rPr>
        <w:lastRenderedPageBreak/>
        <w:t xml:space="preserve">gastric </w:t>
      </w:r>
      <w:proofErr w:type="spellStart"/>
      <w:r>
        <w:rPr>
          <w:rFonts w:ascii="Book Antiqua" w:eastAsia="Book Antiqua" w:hAnsi="Book Antiqua" w:cs="Book Antiqua"/>
          <w:color w:val="000000"/>
        </w:rPr>
        <w:t>neurostimulator</w:t>
      </w:r>
      <w:proofErr w:type="spellEnd"/>
      <w:r>
        <w:rPr>
          <w:rFonts w:ascii="Book Antiqua" w:eastAsia="Book Antiqua" w:hAnsi="Book Antiqua" w:cs="Book Antiqua"/>
          <w:color w:val="000000"/>
        </w:rPr>
        <w:t xml:space="preserve"> placement, and therefore may represent a subgroup that is not representative of the general population with diabetic </w:t>
      </w:r>
      <w:proofErr w:type="spellStart"/>
      <w:proofErr w:type="gramStart"/>
      <w:r>
        <w:rPr>
          <w:rFonts w:ascii="Book Antiqua" w:eastAsia="Book Antiqua" w:hAnsi="Book Antiqua" w:cs="Book Antiqua"/>
          <w:color w:val="000000"/>
        </w:rPr>
        <w:t>gastroparesis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It is well known that diabetes induces a state of oxidative stress and contributes to the loss of nitrogen function. Increased oxidative stress in NOD mice due to loss of macrophage heme-oxygenase-1 (HO-1), which normally protects against free radicals in the enteric nervous system, was associated with loss of ICC inducing a delayed gastric emptying. The onset of delayed gastric emptying is associated with the loss of a subset of HO-1 macrophages. Induction of HO-1 reverses the delay in gastric </w:t>
      </w:r>
      <w:proofErr w:type="gramStart"/>
      <w:r>
        <w:rPr>
          <w:rFonts w:ascii="Book Antiqua" w:eastAsia="Book Antiqua" w:hAnsi="Book Antiqua" w:cs="Book Antiqua"/>
          <w:color w:val="000000"/>
        </w:rPr>
        <w:t>emptying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CLINICAL MANIFESTATIONS</w:t>
      </w:r>
    </w:p>
    <w:p w:rsidR="00A77B3E" w:rsidRDefault="0057096A">
      <w:pPr>
        <w:spacing w:line="360" w:lineRule="auto"/>
        <w:jc w:val="both"/>
      </w:pPr>
      <w:r>
        <w:rPr>
          <w:rFonts w:ascii="Book Antiqua" w:eastAsia="Book Antiqua" w:hAnsi="Book Antiqua" w:cs="Book Antiqua"/>
          <w:color w:val="000000"/>
        </w:rPr>
        <w:t xml:space="preserve">The prevalence of gastrointestinal discomfort in diabetic patients is higher than in the general population, reaching up to 70% higher in some community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Due to the alteration in the mechanisms of motility and secretion in the gastrointestinal tract, diabetic </w:t>
      </w:r>
      <w:proofErr w:type="spellStart"/>
      <w:r>
        <w:rPr>
          <w:rFonts w:ascii="Book Antiqua" w:eastAsia="Book Antiqua" w:hAnsi="Book Antiqua" w:cs="Book Antiqua"/>
          <w:color w:val="000000"/>
        </w:rPr>
        <w:t>enteropathy</w:t>
      </w:r>
      <w:proofErr w:type="spellEnd"/>
      <w:r>
        <w:rPr>
          <w:rFonts w:ascii="Book Antiqua" w:eastAsia="Book Antiqua" w:hAnsi="Book Antiqua" w:cs="Book Antiqua"/>
          <w:color w:val="000000"/>
        </w:rPr>
        <w:t xml:space="preserve"> could affect any portion of the gastrointestinal tract, including esophageal alterations, which are observed in more than 60% of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Esophageal alterations</w:t>
      </w:r>
    </w:p>
    <w:p w:rsidR="00A77B3E" w:rsidRDefault="0057096A">
      <w:pPr>
        <w:spacing w:line="360" w:lineRule="auto"/>
        <w:jc w:val="both"/>
      </w:pPr>
      <w:r>
        <w:rPr>
          <w:rFonts w:ascii="Book Antiqua" w:eastAsia="Book Antiqua" w:hAnsi="Book Antiqua" w:cs="Book Antiqua"/>
          <w:color w:val="000000"/>
        </w:rPr>
        <w:t xml:space="preserve">Esophageal motility disorders usually present with symptoms of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or dysphagia (see Figure 4). However, it can also present as odynophagia, generally related to esophageal </w:t>
      </w:r>
      <w:proofErr w:type="gramStart"/>
      <w:r>
        <w:rPr>
          <w:rFonts w:ascii="Book Antiqua" w:eastAsia="Book Antiqua" w:hAnsi="Book Antiqua" w:cs="Book Antiqua"/>
          <w:color w:val="000000"/>
        </w:rPr>
        <w:t>candidiasis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In some cases,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presents as a cough and worsening of respiratory parameters, delaying the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Heartburn is associated with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in up to 41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Studies in patients with dysphagia showed that the symptoms are more frequent in women and white people. Also, about 45% of diabetic patients with dysphagia had esophageal motor abnormalities. When groups of patients with dysphagia were compared, diabetic patients had a higher percentage of smoking and body mass index than the group of non-diabetic patients with dysphagia. </w:t>
      </w:r>
      <w:proofErr w:type="spellStart"/>
      <w:r>
        <w:rPr>
          <w:rFonts w:ascii="Book Antiqua" w:eastAsia="Book Antiqua" w:hAnsi="Book Antiqua" w:cs="Book Antiqua"/>
          <w:color w:val="000000"/>
        </w:rPr>
        <w:t>Manometry</w:t>
      </w:r>
      <w:proofErr w:type="spellEnd"/>
      <w:r>
        <w:rPr>
          <w:rFonts w:ascii="Book Antiqua" w:eastAsia="Book Antiqua" w:hAnsi="Book Antiqua" w:cs="Book Antiqua"/>
          <w:color w:val="000000"/>
        </w:rPr>
        <w:t xml:space="preserve"> results indicated </w:t>
      </w:r>
      <w:r>
        <w:rPr>
          <w:rFonts w:ascii="Book Antiqua" w:eastAsia="Book Antiqua" w:hAnsi="Book Antiqua" w:cs="Book Antiqua"/>
          <w:color w:val="000000"/>
        </w:rPr>
        <w:lastRenderedPageBreak/>
        <w:t xml:space="preserve">that patients with insulin treatment were associated with greater swallowing weakness, without significant association with glycosylated hemoglobin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Acute hyperglycemic episodes are related to lower esophageal motility and greater </w:t>
      </w:r>
      <w:proofErr w:type="gramStart"/>
      <w:r>
        <w:rPr>
          <w:rFonts w:ascii="Book Antiqua" w:eastAsia="Book Antiqua" w:hAnsi="Book Antiqua" w:cs="Book Antiqua"/>
          <w:color w:val="000000"/>
        </w:rPr>
        <w:t>dysphagia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Besides, the presence of autonomic and peripheral neuropathy and retinopathy is associated with a higher frequency of erosive esophagitis compared to patients without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Gastric disorders</w:t>
      </w:r>
    </w:p>
    <w:p w:rsidR="00A77B3E" w:rsidRDefault="0057096A">
      <w:pPr>
        <w:spacing w:line="360" w:lineRule="auto"/>
        <w:jc w:val="both"/>
      </w:pPr>
      <w:r>
        <w:rPr>
          <w:rFonts w:ascii="Book Antiqua" w:eastAsia="Book Antiqua" w:hAnsi="Book Antiqua" w:cs="Book Antiqua"/>
          <w:color w:val="000000"/>
        </w:rPr>
        <w:t xml:space="preserve">Clinical symptoms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include nausea, vomiting, early satiety, postprandial fullness, abdominal distension, belching, and upper abdominal discomfort. These symptoms may overlap with symptoms seen in functional </w:t>
      </w:r>
      <w:proofErr w:type="gramStart"/>
      <w:r>
        <w:rPr>
          <w:rFonts w:ascii="Book Antiqua" w:eastAsia="Book Antiqua" w:hAnsi="Book Antiqua" w:cs="Book Antiqua"/>
          <w:color w:val="000000"/>
        </w:rPr>
        <w:t>dyspepsia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cardinal symptoms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usually present in combination, not individually. Although the symptoms of idiopathic and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are similar, vomiting and early satiety are more frequent in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whereas that abdominal pain is more frequent in idiopathic </w:t>
      </w:r>
      <w:proofErr w:type="spellStart"/>
      <w:proofErr w:type="gramStart"/>
      <w:r>
        <w:rPr>
          <w:rFonts w:ascii="Book Antiqua" w:eastAsia="Book Antiqua" w:hAnsi="Book Antiqua" w:cs="Book Antiqua"/>
          <w:color w:val="000000"/>
        </w:rPr>
        <w:t>gastroparesis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A meta-analysis of 92 studies demonstrated that delayed gastric emptying is associated with gastrointestinal symptoms such as nausea (OR = 1.6, 95%CI: 1.4-1.8), vomiting (OR = 2.0, 95%CI: 1.6-2.7), early satiety (OR = 1.8, 95%CI: 1.2-2.6) and not significant with abdominal pain (OR = 1.5, 95%CI: 1.0-2.2) with an OR = 2.0; however, the abdominal pain had a lower association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patients with documented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the association between symptoms and delayed gastric emptying is less clear, finding nausea as a symptom. In diabetic patients, only a strong association was found between early satiety and delayed gastric emptying. Nevertheless, the neuropathy can result in gastric motility alterations and decreased symptoms.</w:t>
      </w:r>
    </w:p>
    <w:p w:rsidR="00A77B3E" w:rsidRDefault="0057096A">
      <w:pPr>
        <w:spacing w:line="360" w:lineRule="auto"/>
        <w:ind w:firstLine="480"/>
        <w:jc w:val="both"/>
      </w:pPr>
      <w:r>
        <w:rPr>
          <w:rFonts w:ascii="Book Antiqua" w:eastAsia="Book Antiqua" w:hAnsi="Book Antiqua" w:cs="Book Antiqua"/>
          <w:color w:val="000000"/>
        </w:rPr>
        <w:t xml:space="preserve">In patients with type 1 diabetes have been observed that women are more likely to have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than men (5.8%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besides, patients with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usually were older. Patients with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generally had a longer duration of diabetes, higher Hemoglobin A1c levels, and more frequent episodes of severe </w:t>
      </w:r>
      <w:proofErr w:type="gramStart"/>
      <w:r>
        <w:rPr>
          <w:rFonts w:ascii="Book Antiqua" w:eastAsia="Book Antiqua" w:hAnsi="Book Antiqua" w:cs="Book Antiqua"/>
          <w:color w:val="000000"/>
        </w:rPr>
        <w:t>hypoglycemia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influence of gender is also observed in patients with type 2 </w:t>
      </w:r>
      <w:r>
        <w:rPr>
          <w:rFonts w:ascii="Book Antiqua" w:eastAsia="Book Antiqua" w:hAnsi="Book Antiqua" w:cs="Book Antiqua"/>
          <w:color w:val="000000"/>
        </w:rPr>
        <w:lastRenderedPageBreak/>
        <w:t xml:space="preserve">diabetes. The reason for the difference in the prevalence of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between men and women is unknown; however, gastric motility is dependent on the neuronal synthesis of nitric oxide, uncoupling of nitric oxide synthase causes a decreased synthesis of NO, </w:t>
      </w:r>
      <w:proofErr w:type="gramStart"/>
      <w:r>
        <w:rPr>
          <w:rFonts w:ascii="Book Antiqua" w:eastAsia="Book Antiqua" w:hAnsi="Book Antiqua" w:cs="Book Antiqua"/>
          <w:color w:val="000000"/>
        </w:rPr>
        <w:t>leading</w:t>
      </w:r>
      <w:proofErr w:type="gramEnd"/>
      <w:r>
        <w:rPr>
          <w:rFonts w:ascii="Book Antiqua" w:eastAsia="Book Antiqua" w:hAnsi="Book Antiqua" w:cs="Book Antiqua"/>
          <w:color w:val="000000"/>
        </w:rPr>
        <w:t xml:space="preserve"> to a reduction in smooth muscle </w:t>
      </w:r>
      <w:proofErr w:type="spellStart"/>
      <w:r>
        <w:rPr>
          <w:rFonts w:ascii="Book Antiqua" w:eastAsia="Book Antiqua" w:hAnsi="Book Antiqua" w:cs="Book Antiqua"/>
          <w:color w:val="000000"/>
        </w:rPr>
        <w:t>relaxion</w:t>
      </w:r>
      <w:proofErr w:type="spellEnd"/>
      <w:r>
        <w:rPr>
          <w:rFonts w:ascii="Book Antiqua" w:eastAsia="Book Antiqua" w:hAnsi="Book Antiqua" w:cs="Book Antiqua"/>
          <w:color w:val="000000"/>
        </w:rPr>
        <w:t xml:space="preserve">. These events need a cofactor that is diminished in diabetic female rats, impairs NOS activity and this mechanism is probably influenced by </w:t>
      </w:r>
      <w:proofErr w:type="gramStart"/>
      <w:r>
        <w:rPr>
          <w:rFonts w:ascii="Book Antiqua" w:eastAsia="Book Antiqua" w:hAnsi="Book Antiqua" w:cs="Book Antiqua"/>
          <w:color w:val="000000"/>
        </w:rPr>
        <w:t>estrogens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Among the risk factors, obesity in diabetics is associated with an increase in the risk of approximately ten times. It has been reported that 50% of patients with idiopathic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are overweight or obese, and the symptoms differ with body mass index. Obese patients have fewer symptoms of loss of appetite or inability to finish a meal but have higher rates of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In 25-years follow-up of diabetic patients with gastrointestinal symptoms, it has been observed that both the symptoms and gastric emptying are relatively stable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Intestinal disorders</w:t>
      </w:r>
    </w:p>
    <w:p w:rsidR="00A77B3E" w:rsidRDefault="0057096A">
      <w:pPr>
        <w:spacing w:line="360" w:lineRule="auto"/>
        <w:jc w:val="both"/>
      </w:pPr>
      <w:r>
        <w:rPr>
          <w:rFonts w:ascii="Book Antiqua" w:eastAsia="Book Antiqua" w:hAnsi="Book Antiqua" w:cs="Book Antiqua"/>
          <w:color w:val="000000"/>
        </w:rPr>
        <w:t xml:space="preserve">The most common symptoms at the intestinal level are constipation, diarrhea, pain, and bloating. The frequency of chronic constipation is higher than chronic diarrhea in this group of patients (25%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NHANES study found that 25% of diabetics had gastrointestinal symptoms, but unlike previous studies, this one reported that only chronic diarrhea was more prevalent in diabetics than non-diabetics (11.2%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6.0%,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the prevalence of chronic constipation there were no differences between diabetics and non-diabetics. Furthermore, diabetic patients with chronic diarrhea tended to use more hypoglycemic drugs, mainly metformin; and diabetics with chronic constipation had reduced kidney function. No significant relationship was found between intestinal symptoms and the presence of retinopathy, glycosylated hemoglobin levels, and duration of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lastRenderedPageBreak/>
        <w:t xml:space="preserve">Diarrhea usually lasts more than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watery, </w:t>
      </w:r>
      <w:proofErr w:type="gramStart"/>
      <w:r>
        <w:rPr>
          <w:rFonts w:ascii="Book Antiqua" w:eastAsia="Book Antiqua" w:hAnsi="Book Antiqua" w:cs="Book Antiqua"/>
          <w:color w:val="000000"/>
        </w:rPr>
        <w:t>not associated with pain, not bloody,</w:t>
      </w:r>
      <w:proofErr w:type="gramEnd"/>
      <w:r>
        <w:rPr>
          <w:rFonts w:ascii="Book Antiqua" w:eastAsia="Book Antiqua" w:hAnsi="Book Antiqua" w:cs="Book Antiqua"/>
          <w:color w:val="000000"/>
        </w:rPr>
        <w:t xml:space="preserve"> and its presentation related to the duration of diabetes is variable. It is more common in women and develops about 8 years after the diagnosis of diabetes. It occurs with a frequency interval of normal stools or even constipation, with a sudden increase in volume and frequency. Nocturnal diarrhea and fecal incontinence are two of the most distinctive findings of diabetic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Rectum and anus disorders</w:t>
      </w:r>
    </w:p>
    <w:p w:rsidR="00A77B3E" w:rsidRDefault="0057096A">
      <w:pPr>
        <w:spacing w:line="360" w:lineRule="auto"/>
        <w:jc w:val="both"/>
      </w:pPr>
      <w:r>
        <w:rPr>
          <w:rFonts w:ascii="Book Antiqua" w:eastAsia="Book Antiqua" w:hAnsi="Book Antiqua" w:cs="Book Antiqua"/>
          <w:color w:val="000000"/>
        </w:rPr>
        <w:t xml:space="preserve">Fecal incontinence occurs more frequently in diabetic patients it’s related to the duration of diabetes and the presence of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complications. In diabetic patients, internal anal sphincter tone and anal contraction pressures are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prevalence of fecal incontinence varies in a range of 7%-15%; however, it is often not voluntarily manifested by patients. Intestinal disorders such as diarrhea are an independent risk factor for fecal incontinence. Besides, smoking, obesity, advanced age, sedentary lifestyle, and female sex are also risk factors for fecal </w:t>
      </w:r>
      <w:proofErr w:type="gramStart"/>
      <w:r>
        <w:rPr>
          <w:rFonts w:ascii="Book Antiqua" w:eastAsia="Book Antiqua" w:hAnsi="Book Antiqua" w:cs="Book Antiqua"/>
          <w:color w:val="000000"/>
        </w:rPr>
        <w:t>incontinence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SYMPTOMATIC EVALUATION SCALES</w:t>
      </w:r>
    </w:p>
    <w:p w:rsidR="00A77B3E" w:rsidRDefault="0057096A">
      <w:pPr>
        <w:spacing w:line="360" w:lineRule="auto"/>
        <w:jc w:val="both"/>
      </w:pPr>
      <w:r>
        <w:rPr>
          <w:rFonts w:ascii="Book Antiqua" w:eastAsia="Book Antiqua" w:hAnsi="Book Antiqua" w:cs="Book Antiqua"/>
          <w:color w:val="000000"/>
        </w:rPr>
        <w:t xml:space="preserve">Due to the need to monitor gastrointestinal symptoms in patients, the use of questionnaires is preferred. These questionnaires have been changing in recent years; despite this, some studies related to treatment continue to use non-validated tools for gastrointestinal symptoms evaluation. Although the questionnaires are considered the standard for symptomatic evaluation, they are affected by recall bias, which is why these may not be optimal for monitoring changes in symptoms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questionnaires should specify the terms to be used, use an explicit language, evaluate all relevant symptoms, produce comparable results when evaluated in patients with stable symptoms, and detect clinically significant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The most widely used questionnaires are the Gastrointestinal Symptom Severity Index (PAGI-SYM),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Cardinal Symptom Index (GCSI), Gastrointestinal </w:t>
      </w:r>
      <w:r>
        <w:rPr>
          <w:rFonts w:ascii="Book Antiqua" w:eastAsia="Book Antiqua" w:hAnsi="Book Antiqua" w:cs="Book Antiqua"/>
          <w:color w:val="000000"/>
        </w:rPr>
        <w:lastRenderedPageBreak/>
        <w:t>Symptom Rating Scale (GSRS), Assessment of Constipation Symptom (PAC-SYM), and the Assessment of Constipation Quality of Life (PAC-QOL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PAGI-SYM assesses the severity of symptoms of the upper gastrointestinal tract. It contains 20 items and is divided into 6 sections: heartburn-regurgitation, postprandial fullness-early satiety, nausea-vomiting, abdominal distention, upper and lower abdominal pain. It's useful in the evaluation of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dyspepsia, and </w:t>
      </w:r>
      <w:proofErr w:type="spellStart"/>
      <w:proofErr w:type="gramStart"/>
      <w:r>
        <w:rPr>
          <w:rFonts w:ascii="Book Antiqua" w:eastAsia="Book Antiqua" w:hAnsi="Book Antiqua" w:cs="Book Antiqua"/>
          <w:color w:val="000000"/>
        </w:rPr>
        <w:t>gastroparesis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24,28]</w:t>
      </w:r>
      <w:r>
        <w:rPr>
          <w:rFonts w:ascii="Book Antiqua" w:eastAsia="Book Antiqua" w:hAnsi="Book Antiqua" w:cs="Book Antiqua"/>
          <w:color w:val="000000"/>
        </w:rPr>
        <w:t xml:space="preserve">. GCSI encompasses three scales that measure nausea-vomiting, postprandial fullness-early satiety, and abdominal distension. It's a 2-wk reminder, helps in assessing the severity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symptoms. To assess the response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to the treatment, the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Cardinal Symptom Index-Daily Diary (ANMS GCSI-DD) has been </w:t>
      </w:r>
      <w:proofErr w:type="gramStart"/>
      <w:r>
        <w:rPr>
          <w:rFonts w:ascii="Book Antiqua" w:eastAsia="Book Antiqua" w:hAnsi="Book Antiqua" w:cs="Book Antiqua"/>
          <w:color w:val="000000"/>
        </w:rPr>
        <w:t>created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GSRS contains 15 items combined into 5 groups: reflux, abdominal pain, indigestion, diarrhea, and constipation. It provides a broader perspective than the previous questionnaire; however, more research is still needed for an adequate correlation between the questionnaire scores and the objective measures of gastrointestinal disorders. Nevertheless, this instrument is not very sensitive for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PAC-SYM and PAC-</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were developed to assess the severity of symptoms and the quality of life in patients with constipation. The first is composed of 12 items and three groups: abdominal, rectal symptoms, and stool characteristics. The M-PAC-SYM questionnaire has been developed for patients with chronic constipation and could be more useful for the evaluation of functional constipation related to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DIAGNOSIS</w:t>
      </w:r>
    </w:p>
    <w:p w:rsidR="00A77B3E" w:rsidRDefault="0057096A">
      <w:pPr>
        <w:spacing w:line="360" w:lineRule="auto"/>
        <w:jc w:val="both"/>
      </w:pPr>
      <w:r>
        <w:rPr>
          <w:rFonts w:ascii="Book Antiqua" w:eastAsia="Book Antiqua" w:hAnsi="Book Antiqua" w:cs="Book Antiqua"/>
          <w:b/>
          <w:bCs/>
          <w:i/>
          <w:iCs/>
          <w:color w:val="000000"/>
        </w:rPr>
        <w:t>Esophageal disorders</w:t>
      </w:r>
    </w:p>
    <w:p w:rsidR="00A77B3E" w:rsidRDefault="0057096A">
      <w:pPr>
        <w:spacing w:line="360" w:lineRule="auto"/>
        <w:jc w:val="both"/>
      </w:pPr>
      <w:r>
        <w:rPr>
          <w:rFonts w:ascii="Book Antiqua" w:eastAsia="Book Antiqua" w:hAnsi="Book Antiqua" w:cs="Book Antiqua"/>
          <w:color w:val="000000"/>
        </w:rPr>
        <w:t xml:space="preserve">The investigation of esophageal symptoms in diabetic patients is carried out in the same way as in non-diabetic patients. The typical </w:t>
      </w:r>
      <w:proofErr w:type="gramStart"/>
      <w:r>
        <w:rPr>
          <w:rFonts w:ascii="Book Antiqua" w:eastAsia="Book Antiqua" w:hAnsi="Book Antiqua" w:cs="Book Antiqua"/>
          <w:color w:val="000000"/>
        </w:rPr>
        <w:t xml:space="preserve">symptoms of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is</w:t>
      </w:r>
      <w:proofErr w:type="gramEnd"/>
      <w:r>
        <w:rPr>
          <w:rFonts w:ascii="Book Antiqua" w:eastAsia="Book Antiqua" w:hAnsi="Book Antiqua" w:cs="Book Antiqua"/>
          <w:color w:val="000000"/>
        </w:rPr>
        <w:t xml:space="preserve"> sufficient for the diagnosis. Endoscopy and response to </w:t>
      </w:r>
      <w:proofErr w:type="spellStart"/>
      <w:r>
        <w:rPr>
          <w:rFonts w:ascii="Book Antiqua" w:eastAsia="Book Antiqua" w:hAnsi="Book Antiqua" w:cs="Book Antiqua"/>
          <w:color w:val="000000"/>
        </w:rPr>
        <w:t>antisecretory</w:t>
      </w:r>
      <w:proofErr w:type="spellEnd"/>
      <w:r>
        <w:rPr>
          <w:rFonts w:ascii="Book Antiqua" w:eastAsia="Book Antiqua" w:hAnsi="Book Antiqua" w:cs="Book Antiqua"/>
          <w:color w:val="000000"/>
        </w:rPr>
        <w:t xml:space="preserve"> therapy are not recommended as a diagnostic means. However, endoscopy shows its usefulness in the </w:t>
      </w:r>
      <w:r>
        <w:rPr>
          <w:rFonts w:ascii="Book Antiqua" w:eastAsia="Book Antiqua" w:hAnsi="Book Antiqua" w:cs="Book Antiqua"/>
          <w:color w:val="000000"/>
        </w:rPr>
        <w:lastRenderedPageBreak/>
        <w:t xml:space="preserve">evaluation of complications in the mucosa, as well as in the detection of </w:t>
      </w:r>
      <w:proofErr w:type="spellStart"/>
      <w:r>
        <w:rPr>
          <w:rFonts w:ascii="Book Antiqua" w:eastAsia="Book Antiqua" w:hAnsi="Book Antiqua" w:cs="Book Antiqua"/>
          <w:color w:val="000000"/>
        </w:rPr>
        <w:t>candidal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esophagitis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Esophageal motility disorders can be evaluated with </w:t>
      </w:r>
      <w:proofErr w:type="spellStart"/>
      <w:r>
        <w:rPr>
          <w:rFonts w:ascii="Book Antiqua" w:eastAsia="Book Antiqua" w:hAnsi="Book Antiqua" w:cs="Book Antiqua"/>
          <w:color w:val="000000"/>
        </w:rPr>
        <w:t>manometry</w:t>
      </w:r>
      <w:proofErr w:type="spellEnd"/>
      <w:r>
        <w:rPr>
          <w:rFonts w:ascii="Book Antiqua" w:eastAsia="Book Antiqua" w:hAnsi="Book Antiqua" w:cs="Book Antiqua"/>
          <w:color w:val="000000"/>
        </w:rPr>
        <w:t xml:space="preserve">, and a video fluoroscopic swallowing exam. pH measurement studies can be useful in the evaluation of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with or without impedance monitoring, which allows the evaluation of air and liquid transit (see Figure 4)</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rsidR="00A77B3E" w:rsidRDefault="0057096A">
      <w:pPr>
        <w:spacing w:line="360" w:lineRule="auto"/>
        <w:ind w:firstLine="480"/>
        <w:jc w:val="both"/>
      </w:pPr>
      <w:proofErr w:type="spellStart"/>
      <w:r>
        <w:rPr>
          <w:rFonts w:ascii="Book Antiqua" w:eastAsia="Book Antiqua" w:hAnsi="Book Antiqua" w:cs="Book Antiqua"/>
          <w:color w:val="000000"/>
        </w:rPr>
        <w:t>Manometry</w:t>
      </w:r>
      <w:proofErr w:type="spellEnd"/>
      <w:r>
        <w:rPr>
          <w:rFonts w:ascii="Book Antiqua" w:eastAsia="Book Antiqua" w:hAnsi="Book Antiqua" w:cs="Book Antiqua"/>
          <w:color w:val="000000"/>
        </w:rPr>
        <w:t xml:space="preserve"> would show delays in esophageal transit times and reduced pressure in the lower esophageal sphincter. </w:t>
      </w:r>
      <w:proofErr w:type="spellStart"/>
      <w:r>
        <w:rPr>
          <w:rFonts w:ascii="Book Antiqua" w:eastAsia="Book Antiqua" w:hAnsi="Book Antiqua" w:cs="Book Antiqua"/>
          <w:color w:val="000000"/>
        </w:rPr>
        <w:t>Manometry</w:t>
      </w:r>
      <w:proofErr w:type="spellEnd"/>
      <w:r>
        <w:rPr>
          <w:rFonts w:ascii="Book Antiqua" w:eastAsia="Book Antiqua" w:hAnsi="Book Antiqua" w:cs="Book Antiqua"/>
          <w:color w:val="000000"/>
        </w:rPr>
        <w:t xml:space="preserve"> plus pH measurement serves for a better assess esophageal </w:t>
      </w:r>
      <w:proofErr w:type="gramStart"/>
      <w:r>
        <w:rPr>
          <w:rFonts w:ascii="Book Antiqua" w:eastAsia="Book Antiqua" w:hAnsi="Book Antiqua" w:cs="Book Antiqua"/>
          <w:color w:val="000000"/>
        </w:rPr>
        <w:t>motility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Gastric disorders</w:t>
      </w:r>
    </w:p>
    <w:p w:rsidR="00A77B3E" w:rsidRDefault="0057096A">
      <w:pPr>
        <w:spacing w:line="360" w:lineRule="auto"/>
        <w:jc w:val="both"/>
      </w:pPr>
      <w:r>
        <w:rPr>
          <w:rFonts w:ascii="Book Antiqua" w:eastAsia="Book Antiqua" w:hAnsi="Book Antiqua" w:cs="Book Antiqua"/>
          <w:color w:val="000000"/>
        </w:rPr>
        <w:t xml:space="preserve">Gastric emptying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is the method of choice to evaluate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In this method, the patient eats a food radiolabelled with Technetium-99, after which gastric emptying is measured. It can also be used to measure the transit time of the intestine and colon. Indications for gastric emptying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include insulin-dependent diabetes and post-prandial symptoms or diabetes with poor glycemic control, non-ulcer-associated dyspepsia, </w:t>
      </w:r>
      <w:proofErr w:type="gramStart"/>
      <w:r>
        <w:rPr>
          <w:rFonts w:ascii="Book Antiqua" w:eastAsia="Book Antiqua" w:hAnsi="Book Antiqua" w:cs="Book Antiqua"/>
          <w:color w:val="000000"/>
        </w:rPr>
        <w:t>severe</w:t>
      </w:r>
      <w:proofErr w:type="gramEnd"/>
      <w:r>
        <w:rPr>
          <w:rFonts w:ascii="Book Antiqua" w:eastAsia="Book Antiqua" w:hAnsi="Book Antiqua" w:cs="Book Antiqua"/>
          <w:color w:val="000000"/>
        </w:rPr>
        <w:t xml:space="preserve"> esophagitis caused by reflux, nausea, vomiting, weight loss, upper abdominal discomfort, new early satiety, and evaluate treatment response with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drugs. After the ingestion of radiolabeled foods, liquids diffuse rapidly through the stomach, while solids are mainly concentrated in the </w:t>
      </w:r>
      <w:proofErr w:type="gramStart"/>
      <w:r>
        <w:rPr>
          <w:rFonts w:ascii="Book Antiqua" w:eastAsia="Book Antiqua" w:hAnsi="Book Antiqua" w:cs="Book Antiqua"/>
          <w:color w:val="000000"/>
        </w:rPr>
        <w:t>fundus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Normal results are gastric residual less than 60% at 2 h and less than 10% at 4 h. Higher values indicate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Gastric retention of more than 60% at 2 h has a sensitivity of 100% and specificity of 20%. Gastric retention of more than 10% at 4 h has a sensitivity of 100% and specificity of 70% for </w:t>
      </w:r>
      <w:proofErr w:type="spellStart"/>
      <w:proofErr w:type="gramStart"/>
      <w:r>
        <w:rPr>
          <w:rFonts w:ascii="Book Antiqua" w:eastAsia="Book Antiqua" w:hAnsi="Book Antiqua" w:cs="Book Antiqua"/>
          <w:color w:val="000000"/>
        </w:rPr>
        <w:t>gastroparesis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In the breath test, the non-radioactive isotope C13 is bound to a digestible substance, generally </w:t>
      </w:r>
      <w:proofErr w:type="spellStart"/>
      <w:r>
        <w:rPr>
          <w:rFonts w:ascii="Book Antiqua" w:eastAsia="Book Antiqua" w:hAnsi="Book Antiqua" w:cs="Book Antiqua"/>
          <w:color w:val="000000"/>
        </w:rPr>
        <w:t>octanoic</w:t>
      </w:r>
      <w:proofErr w:type="spellEnd"/>
      <w:r>
        <w:rPr>
          <w:rFonts w:ascii="Book Antiqua" w:eastAsia="Book Antiqua" w:hAnsi="Book Antiqua" w:cs="Book Antiqua"/>
          <w:color w:val="000000"/>
        </w:rPr>
        <w:t xml:space="preserve"> acid; which is mixed with solid food, absorbed in the proximal small intestine, with subsequent </w:t>
      </w:r>
      <w:proofErr w:type="spellStart"/>
      <w:r>
        <w:rPr>
          <w:rFonts w:ascii="Book Antiqua" w:eastAsia="Book Antiqua" w:hAnsi="Book Antiqua" w:cs="Book Antiqua"/>
          <w:color w:val="000000"/>
        </w:rPr>
        <w:t>metabolization</w:t>
      </w:r>
      <w:proofErr w:type="spellEnd"/>
      <w:r>
        <w:rPr>
          <w:rFonts w:ascii="Book Antiqua" w:eastAsia="Book Antiqua" w:hAnsi="Book Antiqua" w:cs="Book Antiqua"/>
          <w:color w:val="000000"/>
        </w:rPr>
        <w:t xml:space="preserve"> in the liver towards C13-C02, which is measurable in exhalation. The breath test has a sensitivity of 89% and a specificity of 80%. Compared to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the test is easier to perform and does not </w:t>
      </w:r>
      <w:r>
        <w:rPr>
          <w:rFonts w:ascii="Book Antiqua" w:eastAsia="Book Antiqua" w:hAnsi="Book Antiqua" w:cs="Book Antiqua"/>
          <w:color w:val="000000"/>
        </w:rPr>
        <w:lastRenderedPageBreak/>
        <w:t xml:space="preserve">use radiation; however, concomitant diseases such as celiac disease affect </w:t>
      </w:r>
      <w:proofErr w:type="gramStart"/>
      <w:r>
        <w:rPr>
          <w:rFonts w:ascii="Book Antiqua" w:eastAsia="Book Antiqua" w:hAnsi="Book Antiqua" w:cs="Book Antiqua"/>
          <w:color w:val="000000"/>
        </w:rPr>
        <w:t>profitability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This test is carried out over a period of 4 h after 8-h fasting. Breath samples are collected before meals and collect breath samples every 30 min (see Figure 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wireless capsule continuously measures pressure, pH, and temperature as it moves through the gastrointestinal tract. The test involves a standardized meal and subsequent ingestion of the capsule. The data from the capsule is transmitted to a receiving unit. With this method, it has been observed that around 44% of type 1 diabetic patients with some degree of sensory-motor neuropathy had abnormal transit in one or more segments, independent of the presence of gastrointestinal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change in pH across the segments may represent fermentation in the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region that may influence colonic transit times. The test is limited to specialized centers and has high costs. It has only 52.5% concordant results with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so in patients with suspected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additional investigations will be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Other methods are the radiopaque markers (capsules containing plastic elements), which are ingested by the patient and followed through the gastrointestinal tract using plain abdominal radiographs. It is a widely available and useful test to detect significant variations in the time of intestinal transit and gastric emptying. Like the test mentioned above, a normal test does not exclude delayed gastric emptying, so additional tests are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aforementioned tests should be performed when the presence of mechanical obstruction that could produce symptoms similar to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has been ruled </w:t>
      </w:r>
      <w:proofErr w:type="gramStart"/>
      <w:r>
        <w:rPr>
          <w:rFonts w:ascii="Book Antiqua" w:eastAsia="Book Antiqua" w:hAnsi="Book Antiqua" w:cs="Book Antiqua"/>
          <w:color w:val="000000"/>
        </w:rPr>
        <w:t>out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Intestinal disorders</w:t>
      </w:r>
    </w:p>
    <w:p w:rsidR="00A77B3E" w:rsidRDefault="0057096A">
      <w:pPr>
        <w:spacing w:line="360" w:lineRule="auto"/>
        <w:jc w:val="both"/>
      </w:pPr>
      <w:r>
        <w:rPr>
          <w:rFonts w:ascii="Book Antiqua" w:eastAsia="Book Antiqua" w:hAnsi="Book Antiqua" w:cs="Book Antiqua"/>
          <w:color w:val="000000"/>
        </w:rPr>
        <w:t xml:space="preserve">Due to one of the fundamental causes of gastrointestinal symptoms is an intestinal bacterial overgrowth, his diagnostic standard is the aspiration and culture of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fluid. It requires the use of endoscopy and a high probability of external contamination and false-negative results. Breath tests may help, but they do not have adequate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23,28,37]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lastRenderedPageBreak/>
        <w:t xml:space="preserve">In constipation, we can use </w:t>
      </w:r>
      <w:proofErr w:type="spellStart"/>
      <w:r>
        <w:rPr>
          <w:rFonts w:ascii="Book Antiqua" w:eastAsia="Book Antiqua" w:hAnsi="Book Antiqua" w:cs="Book Antiqua"/>
          <w:color w:val="000000"/>
        </w:rPr>
        <w:t>anorectal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manometry</w:t>
      </w:r>
      <w:proofErr w:type="spellEnd"/>
      <w:r>
        <w:rPr>
          <w:rFonts w:ascii="Book Antiqua" w:eastAsia="Book Antiqua" w:hAnsi="Book Antiqua" w:cs="Book Antiqua"/>
          <w:color w:val="000000"/>
        </w:rPr>
        <w:t xml:space="preserve"> for the evaluation of defecation disorder. The measurement of intestinal transit using the tests described above may be justified too. A thorough investigation should be conducted to rule out malignancy (see Figure 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Medication used by patients should be considered as a possible cause of diarrhea and constipation. Furthermore, due to the higher prevalence of the celiac disease in diabetic patients than in the general population, screening using serological tests is </w:t>
      </w:r>
      <w:bookmarkStart w:id="4" w:name="OLE_LINK216"/>
      <w:bookmarkStart w:id="5" w:name="OLE_LINK217"/>
      <w:proofErr w:type="gramStart"/>
      <w:r>
        <w:rPr>
          <w:rFonts w:ascii="Book Antiqua" w:eastAsia="Book Antiqua" w:hAnsi="Book Antiqua" w:cs="Book Antiqua"/>
          <w:color w:val="000000"/>
        </w:rPr>
        <w:t>justified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 xml:space="preserve">TREATMENT </w:t>
      </w:r>
    </w:p>
    <w:bookmarkEnd w:id="4"/>
    <w:bookmarkEnd w:id="5"/>
    <w:p w:rsidR="00A77B3E" w:rsidRDefault="0057096A">
      <w:pPr>
        <w:spacing w:line="360" w:lineRule="auto"/>
        <w:jc w:val="both"/>
      </w:pPr>
      <w:r>
        <w:rPr>
          <w:rFonts w:ascii="Book Antiqua" w:eastAsia="Book Antiqua" w:hAnsi="Book Antiqua" w:cs="Book Antiqua"/>
          <w:color w:val="000000"/>
        </w:rPr>
        <w:t xml:space="preserve">There is currently no cure for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Therefore, the goals of treatment are to delay his progression of the disease, relieve symptoms, control complications, and restore function</w:t>
      </w:r>
      <w:r w:rsidRPr="00AD1837">
        <w:rPr>
          <w:rFonts w:ascii="Book Antiqua" w:eastAsia="Book Antiqua" w:hAnsi="Book Antiqua" w:cs="Book Antiqua"/>
          <w:color w:val="000000"/>
        </w:rPr>
        <w:t>.</w:t>
      </w:r>
      <w:r>
        <w:rPr>
          <w:rFonts w:ascii="Book Antiqua" w:eastAsia="Book Antiqua" w:hAnsi="Book Antiqua" w:cs="Book Antiqua"/>
          <w:color w:val="000000"/>
        </w:rPr>
        <w:t xml:space="preserve"> The management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is multidisciplinary. It requires the participation of multiple specialists such as the gastroenterologist, endocrinologist, nutritionist, psychologist, interventional radiologist, and </w:t>
      </w:r>
      <w:proofErr w:type="gramStart"/>
      <w:r>
        <w:rPr>
          <w:rFonts w:ascii="Book Antiqua" w:eastAsia="Book Antiqua" w:hAnsi="Book Antiqua" w:cs="Book Antiqua"/>
          <w:color w:val="000000"/>
        </w:rPr>
        <w:t>surgeon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In a didactic way, we have divided the management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and diabetic </w:t>
      </w:r>
      <w:proofErr w:type="spellStart"/>
      <w:r>
        <w:rPr>
          <w:rFonts w:ascii="Book Antiqua" w:eastAsia="Book Antiqua" w:hAnsi="Book Antiqua" w:cs="Book Antiqua"/>
          <w:color w:val="000000"/>
        </w:rPr>
        <w:t>enteropathy</w:t>
      </w:r>
      <w:proofErr w:type="spellEnd"/>
      <w:r>
        <w:rPr>
          <w:rFonts w:ascii="Book Antiqua" w:eastAsia="Book Antiqua" w:hAnsi="Book Antiqua" w:cs="Book Antiqua"/>
          <w:color w:val="000000"/>
        </w:rPr>
        <w:t>, taking into account that both forms of the disease can coexist.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Management of diabetic gastroparesis</w:t>
      </w:r>
    </w:p>
    <w:p w:rsidR="00A77B3E" w:rsidRDefault="0057096A">
      <w:pPr>
        <w:spacing w:line="360" w:lineRule="auto"/>
        <w:jc w:val="both"/>
      </w:pPr>
      <w:r>
        <w:rPr>
          <w:rFonts w:ascii="Book Antiqua" w:eastAsia="Book Antiqua" w:hAnsi="Book Antiqua" w:cs="Book Antiqua"/>
          <w:color w:val="000000"/>
        </w:rPr>
        <w:t xml:space="preserve">Most patients tend to have a mild-moderate disease and therefore respond to nutritional recommendations, dietary modifications, and adequate glycemic control, as well as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agents or antiemetic medications (with variable efficacy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if there is no response to the initial measurements</w:t>
      </w:r>
      <w:r>
        <w:rPr>
          <w:rFonts w:ascii="Book Antiqua" w:eastAsia="Book Antiqua" w:hAnsi="Book Antiqua" w:cs="Book Antiqua"/>
          <w:color w:val="000000"/>
          <w:szCs w:val="30"/>
          <w:vertAlign w:val="superscript"/>
        </w:rPr>
        <w:t>[3,40]</w:t>
      </w:r>
      <w:r>
        <w:rPr>
          <w:rFonts w:ascii="Book Antiqua" w:eastAsia="Book Antiqua" w:hAnsi="Book Antiqua" w:cs="Book Antiqua"/>
          <w:color w:val="000000"/>
        </w:rPr>
        <w:t xml:space="preserve">. A small percentage of patients have severe disease characterized by inadequate oral tolerance, chronic malnutrition, weight loss, and frequent hospitalizations. Representing management as a therapeutic </w:t>
      </w:r>
      <w:proofErr w:type="gramStart"/>
      <w:r>
        <w:rPr>
          <w:rFonts w:ascii="Book Antiqua" w:eastAsia="Book Antiqua" w:hAnsi="Book Antiqua" w:cs="Book Antiqua"/>
          <w:color w:val="000000"/>
        </w:rPr>
        <w:t>challenge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On the other hand, it is also important to manage the comorbidities that usually occur in patients with diabetic </w:t>
      </w:r>
      <w:proofErr w:type="spellStart"/>
      <w:r>
        <w:rPr>
          <w:rFonts w:ascii="Book Antiqua" w:eastAsia="Book Antiqua" w:hAnsi="Book Antiqua" w:cs="Book Antiqua"/>
          <w:color w:val="000000"/>
        </w:rPr>
        <w:t>gastropareses</w:t>
      </w:r>
      <w:proofErr w:type="spellEnd"/>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intestinal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deficiency of vitamin D, and other micronutrients, bacterial and fungal </w:t>
      </w:r>
      <w:r>
        <w:rPr>
          <w:rFonts w:ascii="Book Antiqua" w:eastAsia="Book Antiqua" w:hAnsi="Book Antiqua" w:cs="Book Antiqua"/>
          <w:color w:val="000000"/>
        </w:rPr>
        <w:lastRenderedPageBreak/>
        <w:t xml:space="preserve">infections of the gastrointestinal tract, and </w:t>
      </w:r>
      <w:proofErr w:type="spellStart"/>
      <w:r>
        <w:rPr>
          <w:rFonts w:ascii="Book Antiqua" w:eastAsia="Book Antiqua" w:hAnsi="Book Antiqua" w:cs="Book Antiqua"/>
          <w:color w:val="000000"/>
        </w:rPr>
        <w:t>macrovascular-microvascular</w:t>
      </w:r>
      <w:proofErr w:type="spellEnd"/>
      <w:r>
        <w:rPr>
          <w:rFonts w:ascii="Book Antiqua" w:eastAsia="Book Antiqua" w:hAnsi="Book Antiqua" w:cs="Book Antiqua"/>
          <w:color w:val="000000"/>
        </w:rPr>
        <w:t xml:space="preserve"> complications of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Nutritional recommendations</w:t>
      </w:r>
    </w:p>
    <w:p w:rsidR="00A77B3E" w:rsidRDefault="0057096A">
      <w:pPr>
        <w:spacing w:line="360" w:lineRule="auto"/>
        <w:jc w:val="both"/>
      </w:pPr>
      <w:r>
        <w:rPr>
          <w:rFonts w:ascii="Book Antiqua" w:eastAsia="Book Antiqua" w:hAnsi="Book Antiqua" w:cs="Book Antiqua"/>
          <w:color w:val="000000"/>
        </w:rPr>
        <w:t xml:space="preserve">Dietary modifications constitute the first-line management for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such as a decrease in particle size diet reduces upper gastrointestinal symptoms in 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even though their efficacy has not been clearly established</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Frequently, 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tend to have a lower caloric intake than recommended, as well as significant micronutrient and macronutrient </w:t>
      </w:r>
      <w:proofErr w:type="gramStart"/>
      <w:r>
        <w:rPr>
          <w:rFonts w:ascii="Book Antiqua" w:eastAsia="Book Antiqua" w:hAnsi="Book Antiqua" w:cs="Book Antiqua"/>
          <w:color w:val="000000"/>
        </w:rPr>
        <w:t>deficiencies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 diet based on a low content of simple sugars and foods rich in fiber, as proposed by the American Diabetes Association (ADA) for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is not usually useful for 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Measures to promote gastric emptying or do not delay it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That is why the consumption of fats, fibers, and carbonated liquids, which should delay gastric emptying, should be </w:t>
      </w:r>
      <w:proofErr w:type="gramStart"/>
      <w:r>
        <w:rPr>
          <w:rFonts w:ascii="Book Antiqua" w:eastAsia="Book Antiqua" w:hAnsi="Book Antiqua" w:cs="Book Antiqua"/>
          <w:color w:val="000000"/>
        </w:rPr>
        <w:t>minimized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 recommended and staggered approach is to start with liquids with high nutritional value, followed by soups and shakes, and later to introduce solid foods that do not delay gastric </w:t>
      </w:r>
      <w:proofErr w:type="gramStart"/>
      <w:r>
        <w:rPr>
          <w:rFonts w:ascii="Book Antiqua" w:eastAsia="Book Antiqua" w:hAnsi="Book Antiqua" w:cs="Book Antiqua"/>
          <w:color w:val="000000"/>
        </w:rPr>
        <w:t>emptying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Low-fat foods should be encouraged 4-5 times per day. Patients should be instructed to drink fluids with meals and sit or walk for 1-2 h after meals.</w:t>
      </w:r>
    </w:p>
    <w:p w:rsidR="00A77B3E" w:rsidRDefault="0057096A">
      <w:pPr>
        <w:spacing w:line="360" w:lineRule="auto"/>
        <w:ind w:firstLine="480"/>
        <w:jc w:val="both"/>
      </w:pPr>
      <w:r>
        <w:rPr>
          <w:rFonts w:ascii="Book Antiqua" w:eastAsia="Book Antiqua" w:hAnsi="Book Antiqua" w:cs="Book Antiqua"/>
          <w:color w:val="000000"/>
        </w:rPr>
        <w:t xml:space="preserve">If all these nutritional recommendations are ineffective, the patient should be suggested to consume the total calories in liquids, soups, or shakes, since fluid emptying is frequently </w:t>
      </w:r>
      <w:proofErr w:type="gramStart"/>
      <w:r>
        <w:rPr>
          <w:rFonts w:ascii="Book Antiqua" w:eastAsia="Book Antiqua" w:hAnsi="Book Antiqua" w:cs="Book Antiqua"/>
          <w:color w:val="000000"/>
        </w:rPr>
        <w:t>preserved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It is necessary to emphasize that all these dietary changes require education to the patients and their families. It has been found that the prevalence of nutritional consultations in diabetic patients with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is less than 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Glycemic control</w:t>
      </w:r>
    </w:p>
    <w:p w:rsidR="00A77B3E" w:rsidRDefault="0057096A">
      <w:pPr>
        <w:spacing w:line="360" w:lineRule="auto"/>
        <w:jc w:val="both"/>
      </w:pPr>
      <w:r>
        <w:rPr>
          <w:rFonts w:ascii="Book Antiqua" w:eastAsia="Book Antiqua" w:hAnsi="Book Antiqua" w:cs="Book Antiqua"/>
          <w:color w:val="000000"/>
        </w:rPr>
        <w:lastRenderedPageBreak/>
        <w:t xml:space="preserve">It is vitally important to optimize glycemic control to minimize the acute symptoms of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and to improve gastric </w:t>
      </w:r>
      <w:proofErr w:type="gramStart"/>
      <w:r>
        <w:rPr>
          <w:rFonts w:ascii="Book Antiqua" w:eastAsia="Book Antiqua" w:hAnsi="Book Antiqua" w:cs="Book Antiqua"/>
          <w:color w:val="000000"/>
        </w:rPr>
        <w:t>emptying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3,44]</w:t>
      </w:r>
      <w:r>
        <w:rPr>
          <w:rFonts w:ascii="Book Antiqua" w:eastAsia="Book Antiqua" w:hAnsi="Book Antiqua" w:cs="Book Antiqua"/>
          <w:color w:val="000000"/>
        </w:rPr>
        <w:t xml:space="preserve">. Random serum to avoid inhibition of gastric myoelectric motility and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treatment used to achieve adequate glycemic control must be </w:t>
      </w:r>
      <w:proofErr w:type="gramStart"/>
      <w:r>
        <w:rPr>
          <w:rFonts w:ascii="Book Antiqua" w:eastAsia="Book Antiqua" w:hAnsi="Book Antiqua" w:cs="Book Antiqua"/>
          <w:color w:val="000000"/>
        </w:rPr>
        <w:t>individualized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3,44]</w:t>
      </w:r>
      <w:r>
        <w:rPr>
          <w:rFonts w:ascii="Book Antiqua" w:eastAsia="Book Antiqua" w:hAnsi="Book Antiqua" w:cs="Book Antiqua"/>
          <w:color w:val="000000"/>
        </w:rPr>
        <w:t xml:space="preserve">. Oral </w:t>
      </w:r>
      <w:proofErr w:type="spellStart"/>
      <w:r>
        <w:rPr>
          <w:rFonts w:ascii="Book Antiqua" w:eastAsia="Book Antiqua" w:hAnsi="Book Antiqua" w:cs="Book Antiqua"/>
          <w:color w:val="000000"/>
        </w:rPr>
        <w:t>antidiabetics</w:t>
      </w:r>
      <w:proofErr w:type="spellEnd"/>
      <w:r>
        <w:rPr>
          <w:rFonts w:ascii="Book Antiqua" w:eastAsia="Book Antiqua" w:hAnsi="Book Antiqua" w:cs="Book Antiqua"/>
          <w:color w:val="000000"/>
        </w:rPr>
        <w:t xml:space="preserve"> are not recommended for patients with type 2 diabetes with clinically significant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The pharmacokinetics of these drugs are affected by delayed gastric emptying; therefore, agents are not ideal for effective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3,44]</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Likewise, the adverse effects of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medications also play an important role, such as gastrointestinal intolerance frequently reported with metformin, hypoglycemia caused by sulfonylureas, diarrhea and abdominal distension due to alpha-</w:t>
      </w:r>
      <w:proofErr w:type="spellStart"/>
      <w:r>
        <w:rPr>
          <w:rFonts w:ascii="Book Antiqua" w:eastAsia="Book Antiqua" w:hAnsi="Book Antiqua" w:cs="Book Antiqua"/>
          <w:color w:val="000000"/>
        </w:rPr>
        <w:t>glucosidase</w:t>
      </w:r>
      <w:proofErr w:type="spellEnd"/>
      <w:r>
        <w:rPr>
          <w:rFonts w:ascii="Book Antiqua" w:eastAsia="Book Antiqua" w:hAnsi="Book Antiqua" w:cs="Book Antiqua"/>
          <w:color w:val="000000"/>
        </w:rPr>
        <w:t xml:space="preserve"> inhibitors, inconsistent effect inhibitors of </w:t>
      </w:r>
      <w:proofErr w:type="spellStart"/>
      <w:r>
        <w:rPr>
          <w:rFonts w:ascii="Book Antiqua" w:eastAsia="Book Antiqua" w:hAnsi="Book Antiqua" w:cs="Book Antiqua"/>
          <w:color w:val="000000"/>
        </w:rPr>
        <w:t>dipeptidyl</w:t>
      </w:r>
      <w:proofErr w:type="spellEnd"/>
      <w:r>
        <w:rPr>
          <w:rFonts w:ascii="Book Antiqua" w:eastAsia="Book Antiqua" w:hAnsi="Book Antiqua" w:cs="Book Antiqua"/>
          <w:color w:val="000000"/>
        </w:rPr>
        <w:t xml:space="preserve"> peptidase-4 on gastric emptying, and an unclear impact of SGLT-2 inhibitors. In relation to injectable therapy, GLP-1 agonists can exacerbate symptoms of delayed gastric </w:t>
      </w:r>
      <w:proofErr w:type="gramStart"/>
      <w:r>
        <w:rPr>
          <w:rFonts w:ascii="Book Antiqua" w:eastAsia="Book Antiqua" w:hAnsi="Book Antiqua" w:cs="Book Antiqua"/>
          <w:color w:val="000000"/>
        </w:rPr>
        <w:t>emptying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by type 1 diabetes and most of the patients with type 2 diabetes will require insulin for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It is recommended to administer prandial insulin after meals to prevent postprandial hypoglycemia if food is not fully consumed. Multiple intakes of small foods, aggressive glucose monitoring, and frequent small doses of rapid-acting </w:t>
      </w:r>
      <w:proofErr w:type="spellStart"/>
      <w:r>
        <w:rPr>
          <w:rFonts w:ascii="Book Antiqua" w:eastAsia="Book Antiqua" w:hAnsi="Book Antiqua" w:cs="Book Antiqua"/>
          <w:color w:val="000000"/>
        </w:rPr>
        <w:t>insulins</w:t>
      </w:r>
      <w:proofErr w:type="spellEnd"/>
      <w:r>
        <w:rPr>
          <w:rFonts w:ascii="Book Antiqua" w:eastAsia="Book Antiqua" w:hAnsi="Book Antiqua" w:cs="Book Antiqua"/>
          <w:color w:val="000000"/>
        </w:rPr>
        <w:t xml:space="preserve"> are recommended to prevent postprandial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Currently, the recommended treatment for glycemic control in 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who receive insulin is continuous subcutaneous insulin infusion, based on optimizing glycemic control and reducing </w:t>
      </w:r>
      <w:proofErr w:type="gramStart"/>
      <w:r>
        <w:rPr>
          <w:rFonts w:ascii="Book Antiqua" w:eastAsia="Book Antiqua" w:hAnsi="Book Antiqua" w:cs="Book Antiqua"/>
          <w:color w:val="000000"/>
        </w:rPr>
        <w:t>hospitalizations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however, we must not forget the economic cost that this usually entails. The use of premixed </w:t>
      </w:r>
      <w:proofErr w:type="spellStart"/>
      <w:r>
        <w:rPr>
          <w:rFonts w:ascii="Book Antiqua" w:eastAsia="Book Antiqua" w:hAnsi="Book Antiqua" w:cs="Book Antiqua"/>
          <w:color w:val="000000"/>
        </w:rPr>
        <w:t>insulins</w:t>
      </w:r>
      <w:proofErr w:type="spellEnd"/>
      <w:r>
        <w:rPr>
          <w:rFonts w:ascii="Book Antiqua" w:eastAsia="Book Antiqua" w:hAnsi="Book Antiqua" w:cs="Book Antiqua"/>
          <w:color w:val="000000"/>
        </w:rPr>
        <w:t xml:space="preserve"> is not recommended in this group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Pharmacologic treatment</w:t>
      </w:r>
    </w:p>
    <w:p w:rsidR="00A77B3E" w:rsidRDefault="0057096A">
      <w:pPr>
        <w:spacing w:line="360" w:lineRule="auto"/>
        <w:jc w:val="both"/>
      </w:pPr>
      <w:r>
        <w:rPr>
          <w:rFonts w:ascii="Book Antiqua" w:eastAsia="Book Antiqua" w:hAnsi="Book Antiqua" w:cs="Book Antiqua"/>
          <w:color w:val="000000"/>
        </w:rPr>
        <w:t xml:space="preserve">The drugs most used in the treatment of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usually include </w:t>
      </w:r>
      <w:proofErr w:type="spellStart"/>
      <w:r>
        <w:rPr>
          <w:rFonts w:ascii="Book Antiqua" w:eastAsia="Book Antiqua" w:hAnsi="Book Antiqua" w:cs="Book Antiqua"/>
          <w:color w:val="000000"/>
        </w:rPr>
        <w:t>prokinetics</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antiemetics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Several novel targeted therapies are still under investigation (see Figure 5).</w:t>
      </w:r>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b/>
          <w:bCs/>
          <w:color w:val="000000"/>
        </w:rPr>
        <w:t>Prokinetics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Metoclopramide is a D-2 receptor antagonist with antiemetic and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effects that increase </w:t>
      </w:r>
      <w:proofErr w:type="spellStart"/>
      <w:r>
        <w:rPr>
          <w:rFonts w:ascii="Book Antiqua" w:eastAsia="Book Antiqua" w:hAnsi="Book Antiqua" w:cs="Book Antiqua"/>
          <w:color w:val="000000"/>
        </w:rPr>
        <w:t>antral</w:t>
      </w:r>
      <w:proofErr w:type="spellEnd"/>
      <w:r>
        <w:rPr>
          <w:rFonts w:ascii="Book Antiqua" w:eastAsia="Book Antiqua" w:hAnsi="Book Antiqua" w:cs="Book Antiqua"/>
          <w:color w:val="000000"/>
        </w:rPr>
        <w:t xml:space="preserve"> contractions and coordinate </w:t>
      </w:r>
      <w:proofErr w:type="spellStart"/>
      <w:r>
        <w:rPr>
          <w:rFonts w:ascii="Book Antiqua" w:eastAsia="Book Antiqua" w:hAnsi="Book Antiqua" w:cs="Book Antiqua"/>
          <w:color w:val="000000"/>
        </w:rPr>
        <w:t>antral</w:t>
      </w:r>
      <w:proofErr w:type="spellEnd"/>
      <w:r>
        <w:rPr>
          <w:rFonts w:ascii="Book Antiqua" w:eastAsia="Book Antiqua" w:hAnsi="Book Antiqua" w:cs="Book Antiqua"/>
          <w:color w:val="000000"/>
        </w:rPr>
        <w:t xml:space="preserve"> and duodenal motility. The maximum daily dose is 40 mg/d. It can be used </w:t>
      </w:r>
      <w:proofErr w:type="spellStart"/>
      <w:r>
        <w:rPr>
          <w:rFonts w:ascii="Book Antiqua" w:eastAsia="Book Antiqua" w:hAnsi="Book Antiqua" w:cs="Book Antiqua"/>
          <w:color w:val="000000"/>
        </w:rPr>
        <w:t>parenterally</w:t>
      </w:r>
      <w:proofErr w:type="spellEnd"/>
      <w:r>
        <w:rPr>
          <w:rFonts w:ascii="Book Antiqua" w:eastAsia="Book Antiqua" w:hAnsi="Book Antiqua" w:cs="Book Antiqua"/>
          <w:color w:val="000000"/>
        </w:rPr>
        <w:t xml:space="preserve"> when symptoms are severe. Among the adverse effects is an increase in serum prolactin concentration. </w:t>
      </w:r>
      <w:proofErr w:type="spellStart"/>
      <w:r>
        <w:rPr>
          <w:rFonts w:ascii="Book Antiqua" w:eastAsia="Book Antiqua" w:hAnsi="Book Antiqua" w:cs="Book Antiqua"/>
          <w:color w:val="000000"/>
        </w:rPr>
        <w:t>Gynecomastia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galactorrhea</w:t>
      </w:r>
      <w:proofErr w:type="spellEnd"/>
      <w:r>
        <w:rPr>
          <w:rFonts w:ascii="Book Antiqua" w:eastAsia="Book Antiqua" w:hAnsi="Book Antiqua" w:cs="Book Antiqua"/>
          <w:color w:val="000000"/>
        </w:rPr>
        <w:t xml:space="preserve"> can occur in adults, adolescents, and children; while, adult women can develop </w:t>
      </w:r>
      <w:proofErr w:type="spellStart"/>
      <w:r>
        <w:rPr>
          <w:rFonts w:ascii="Book Antiqua" w:eastAsia="Book Antiqua" w:hAnsi="Book Antiqua" w:cs="Book Antiqua"/>
          <w:color w:val="000000"/>
        </w:rPr>
        <w:t>oligomenorrhea</w:t>
      </w:r>
      <w:proofErr w:type="spellEnd"/>
      <w:r>
        <w:rPr>
          <w:rFonts w:ascii="Book Antiqua" w:eastAsia="Book Antiqua" w:hAnsi="Book Antiqua" w:cs="Book Antiqua"/>
          <w:color w:val="000000"/>
        </w:rPr>
        <w:t xml:space="preserve">. Likewise, it can stimulate aldosterone synthesis and cause uncontrolled hypertension in patients with primary </w:t>
      </w:r>
      <w:proofErr w:type="spellStart"/>
      <w:r>
        <w:rPr>
          <w:rFonts w:ascii="Book Antiqua" w:eastAsia="Book Antiqua" w:hAnsi="Book Antiqua" w:cs="Book Antiqua"/>
          <w:color w:val="000000"/>
        </w:rPr>
        <w:t>hyperaldosteronism</w:t>
      </w:r>
      <w:proofErr w:type="spellEnd"/>
      <w:r>
        <w:rPr>
          <w:rFonts w:ascii="Book Antiqua" w:eastAsia="Book Antiqua" w:hAnsi="Book Antiqua" w:cs="Book Antiqua"/>
          <w:color w:val="000000"/>
        </w:rPr>
        <w:t xml:space="preserve">, and it can also prolong the QT interval in susceptible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is the only drug approved by the United States Food and Drug Administration (FDA) for the management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however, in February 2009, the FDA and the European Medicines Agency established black box warnings for long-term use (more than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metoclopramide due to the risk of irreversible tardive dyskinesia, which has limited its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Domperidone</w:t>
      </w:r>
      <w:proofErr w:type="spellEnd"/>
      <w:r>
        <w:rPr>
          <w:rFonts w:ascii="Book Antiqua" w:eastAsia="Book Antiqua" w:hAnsi="Book Antiqua" w:cs="Book Antiqua"/>
          <w:color w:val="000000"/>
        </w:rPr>
        <w:t xml:space="preserve"> is another dopamine 2 receptor antagonist, identical to metoclopramide, with equal efficacy to the latter, but with fewer adverse effects on the central nervous system; because it does not cross the blood-brain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Daily doses between 10-30 </w:t>
      </w:r>
      <w:proofErr w:type="gramStart"/>
      <w:r>
        <w:rPr>
          <w:rFonts w:ascii="Book Antiqua" w:eastAsia="Book Antiqua" w:hAnsi="Book Antiqua" w:cs="Book Antiqua"/>
          <w:color w:val="000000"/>
        </w:rPr>
        <w:t>mg,</w:t>
      </w:r>
      <w:proofErr w:type="gramEnd"/>
      <w:r>
        <w:rPr>
          <w:rFonts w:ascii="Book Antiqua" w:eastAsia="Book Antiqua" w:hAnsi="Book Antiqua" w:cs="Book Antiqua"/>
          <w:color w:val="000000"/>
        </w:rPr>
        <w:t xml:space="preserve"> administered 30 min before meals and at bedtime, have been found to reduce gastrointestinal upset and hospitalizations due to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Erythromycin is a macrolide with an agonist effect on </w:t>
      </w:r>
      <w:proofErr w:type="spellStart"/>
      <w:r>
        <w:rPr>
          <w:rFonts w:ascii="Book Antiqua" w:eastAsia="Book Antiqua" w:hAnsi="Book Antiqua" w:cs="Book Antiqua"/>
          <w:color w:val="000000"/>
        </w:rPr>
        <w:t>motilin</w:t>
      </w:r>
      <w:proofErr w:type="spellEnd"/>
      <w:r>
        <w:rPr>
          <w:rFonts w:ascii="Book Antiqua" w:eastAsia="Book Antiqua" w:hAnsi="Book Antiqua" w:cs="Book Antiqua"/>
          <w:color w:val="000000"/>
        </w:rPr>
        <w:t xml:space="preserve"> receptors in the gastrointestinal tract. It increases gastric emptying in a dose-dependent manner. It has been shown to stimulate gastric emptying in 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Daily dose 50-100 mg administered 3 times a day, in combination with low-volume diets can be effective for controlling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Cases of QT interval prolongation have also been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p>
    <w:p w:rsidR="00A77B3E" w:rsidRDefault="0057096A">
      <w:pPr>
        <w:spacing w:line="360" w:lineRule="auto"/>
        <w:ind w:firstLine="480"/>
        <w:jc w:val="both"/>
      </w:pPr>
      <w:proofErr w:type="spellStart"/>
      <w:r>
        <w:rPr>
          <w:rFonts w:ascii="Book Antiqua" w:eastAsia="Book Antiqua" w:hAnsi="Book Antiqua" w:cs="Book Antiqua"/>
          <w:color w:val="000000"/>
        </w:rPr>
        <w:t>Cisapride</w:t>
      </w:r>
      <w:proofErr w:type="spellEnd"/>
      <w:r>
        <w:rPr>
          <w:rFonts w:ascii="Book Antiqua" w:eastAsia="Book Antiqua" w:hAnsi="Book Antiqua" w:cs="Book Antiqua"/>
          <w:color w:val="000000"/>
        </w:rPr>
        <w:t xml:space="preserve"> is a potent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agent that, acting in the stomach through 5-hydroxytryptamine receptors, accelerates gastric emptying from solid foods and improves dyspeptic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lastRenderedPageBreak/>
        <w:t xml:space="preserve">There are future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drugs in development, among which </w:t>
      </w:r>
      <w:proofErr w:type="spellStart"/>
      <w:r>
        <w:rPr>
          <w:rFonts w:ascii="Book Antiqua" w:eastAsia="Book Antiqua" w:hAnsi="Book Antiqua" w:cs="Book Antiqua"/>
          <w:color w:val="000000"/>
        </w:rPr>
        <w:t>motilin</w:t>
      </w:r>
      <w:proofErr w:type="spellEnd"/>
      <w:r>
        <w:rPr>
          <w:rFonts w:ascii="Book Antiqua" w:eastAsia="Book Antiqua" w:hAnsi="Book Antiqua" w:cs="Book Antiqua"/>
          <w:color w:val="000000"/>
        </w:rPr>
        <w:t xml:space="preserve"> agonists, ghrelin agonists, and new type 4 5-hydroxytryptamine receptor </w:t>
      </w:r>
      <w:proofErr w:type="gramStart"/>
      <w:r>
        <w:rPr>
          <w:rFonts w:ascii="Book Antiqua" w:eastAsia="Book Antiqua" w:hAnsi="Book Antiqua" w:cs="Book Antiqua"/>
          <w:color w:val="000000"/>
        </w:rPr>
        <w:t>agonists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proofErr w:type="spellStart"/>
      <w:r>
        <w:rPr>
          <w:rFonts w:ascii="Book Antiqua" w:eastAsia="Book Antiqua" w:hAnsi="Book Antiqua" w:cs="Book Antiqua"/>
          <w:b/>
          <w:bCs/>
          <w:color w:val="000000"/>
        </w:rPr>
        <w:t>Antiemetics</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Both nausea and vomiting are often the most disabling symptoms in 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Antiemetic drugs can be serotonin antagonists such as </w:t>
      </w:r>
      <w:proofErr w:type="spellStart"/>
      <w:r>
        <w:rPr>
          <w:rFonts w:ascii="Book Antiqua" w:eastAsia="Book Antiqua" w:hAnsi="Book Antiqua" w:cs="Book Antiqua"/>
          <w:color w:val="000000"/>
        </w:rPr>
        <w:t>ondansetron</w:t>
      </w:r>
      <w:proofErr w:type="spellEnd"/>
      <w:r>
        <w:rPr>
          <w:rFonts w:ascii="Book Antiqua" w:eastAsia="Book Antiqua" w:hAnsi="Book Antiqua" w:cs="Book Antiqua"/>
          <w:color w:val="000000"/>
        </w:rPr>
        <w:t xml:space="preserve">, at doses of 4-8 mg twice a day, or type 1 histamine receptor antagonists, such as </w:t>
      </w:r>
      <w:proofErr w:type="spellStart"/>
      <w:r>
        <w:rPr>
          <w:rFonts w:ascii="Book Antiqua" w:eastAsia="Book Antiqua" w:hAnsi="Book Antiqua" w:cs="Book Antiqua"/>
          <w:color w:val="000000"/>
        </w:rPr>
        <w:t>dimenhydrinate</w:t>
      </w:r>
      <w:proofErr w:type="spellEnd"/>
      <w:r>
        <w:rPr>
          <w:rFonts w:ascii="Book Antiqua" w:eastAsia="Book Antiqua" w:hAnsi="Book Antiqua" w:cs="Book Antiqua"/>
          <w:color w:val="000000"/>
        </w:rPr>
        <w:t xml:space="preserve"> at a dose of 50 mg 4 times a day. Both classes of drugs are often used alone or in combination with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i/>
          <w:iCs/>
          <w:color w:val="000000"/>
        </w:rPr>
        <w:t>Other treatment modalities</w:t>
      </w:r>
    </w:p>
    <w:p w:rsidR="00A77B3E" w:rsidRDefault="0057096A">
      <w:pPr>
        <w:spacing w:line="360" w:lineRule="auto"/>
        <w:jc w:val="both"/>
      </w:pPr>
      <w:proofErr w:type="spellStart"/>
      <w:r>
        <w:rPr>
          <w:rFonts w:ascii="Book Antiqua" w:eastAsia="Book Antiqua" w:hAnsi="Book Antiqua" w:cs="Book Antiqua"/>
          <w:color w:val="000000"/>
        </w:rPr>
        <w:t>Botulinum</w:t>
      </w:r>
      <w:proofErr w:type="spellEnd"/>
      <w:r>
        <w:rPr>
          <w:rFonts w:ascii="Book Antiqua" w:eastAsia="Book Antiqua" w:hAnsi="Book Antiqua" w:cs="Book Antiqua"/>
          <w:color w:val="000000"/>
        </w:rPr>
        <w:t xml:space="preserve"> toxin, a potent inhibitor of neuromuscular transmission, has been postulated to improve gastric emptying and symptoms for several months; however, double-blind randomized studies have shown that improves gastric emptying, it does not improve symptoms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Likewise, there has been an interest in the pylorus role in delayed gastric emptying, which is why some authors propose gastric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(G-POEM) as a treatment modality in refractory patients, be it surgical or endoscopic. P. </w:t>
      </w:r>
      <w:proofErr w:type="spellStart"/>
      <w:r>
        <w:rPr>
          <w:rFonts w:ascii="Book Antiqua" w:eastAsia="Book Antiqua" w:hAnsi="Book Antiqua" w:cs="Book Antiqua"/>
          <w:color w:val="000000"/>
        </w:rPr>
        <w:t>Mekaroonkamol</w:t>
      </w:r>
      <w:proofErr w:type="spellEnd"/>
      <w:r>
        <w:rPr>
          <w:rFonts w:ascii="Book Antiqua" w:eastAsia="Book Antiqua" w:hAnsi="Book Antiqua" w:cs="Book Antiqua"/>
          <w:color w:val="000000"/>
        </w:rPr>
        <w:t xml:space="preserve"> reported 03 cases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refractory to conventional treatment, of varied etiology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postinfectious</w:t>
      </w:r>
      <w:proofErr w:type="spellEnd"/>
      <w:r>
        <w:rPr>
          <w:rFonts w:ascii="Book Antiqua" w:eastAsia="Book Antiqua" w:hAnsi="Book Antiqua" w:cs="Book Antiqua"/>
          <w:color w:val="000000"/>
        </w:rPr>
        <w:t xml:space="preserve">, postsurgical, or idiopathic) that progressed favorably after undergoing G-POEM as salvage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For the select group of patients with severe and refractory disease, gastric electrical stimulation may be an option. It has been shown to improve nausea, vomiting, quality of life, and nutritional status after sixth month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A significant number of patients fail medical management and require surgical treatment. The main role of surgery is the relief of symptoms, decompression of the stomach, access to enteral nutrition, and stimulating gastric </w:t>
      </w:r>
      <w:proofErr w:type="gramStart"/>
      <w:r>
        <w:rPr>
          <w:rFonts w:ascii="Book Antiqua" w:eastAsia="Book Antiqua" w:hAnsi="Book Antiqua" w:cs="Book Antiqua"/>
          <w:color w:val="000000"/>
        </w:rPr>
        <w:t>emptying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MANAGEMENT OF DIABETIC ENTEROPATHY</w:t>
      </w:r>
    </w:p>
    <w:p w:rsidR="00A77B3E" w:rsidRDefault="0057096A">
      <w:pPr>
        <w:spacing w:line="360" w:lineRule="auto"/>
        <w:jc w:val="both"/>
      </w:pPr>
      <w:r>
        <w:rPr>
          <w:rFonts w:ascii="Book Antiqua" w:eastAsia="Book Antiqua" w:hAnsi="Book Antiqua" w:cs="Book Antiqua"/>
          <w:color w:val="000000"/>
        </w:rPr>
        <w:lastRenderedPageBreak/>
        <w:t xml:space="preserve">The alteration of the intestine by diabetes mellitus has a variety of presentations: chronic diarrhea (involvement of the small intestine), constipation when it affects the colon, and also fecal incontinence (see </w:t>
      </w:r>
      <w:r>
        <w:rPr>
          <w:rFonts w:ascii="Book Antiqua" w:eastAsia="Book Antiqua" w:hAnsi="Book Antiqua" w:cs="Book Antiqua"/>
          <w:caps/>
          <w:color w:val="000000"/>
        </w:rPr>
        <w:t>f</w:t>
      </w:r>
      <w:r>
        <w:rPr>
          <w:rFonts w:ascii="Book Antiqua" w:eastAsia="Book Antiqua" w:hAnsi="Book Antiqua" w:cs="Book Antiqua"/>
          <w:color w:val="000000"/>
        </w:rPr>
        <w:t xml:space="preserve">igure 4). All of them are explained by the </w:t>
      </w:r>
      <w:proofErr w:type="spellStart"/>
      <w:r>
        <w:rPr>
          <w:rFonts w:ascii="Book Antiqua" w:eastAsia="Book Antiqua" w:hAnsi="Book Antiqua" w:cs="Book Antiqua"/>
          <w:color w:val="000000"/>
        </w:rPr>
        <w:t>multisystemic</w:t>
      </w:r>
      <w:proofErr w:type="spellEnd"/>
      <w:r>
        <w:rPr>
          <w:rFonts w:ascii="Book Antiqua" w:eastAsia="Book Antiqua" w:hAnsi="Book Antiqua" w:cs="Book Antiqua"/>
          <w:color w:val="000000"/>
        </w:rPr>
        <w:t xml:space="preserve"> nature of the disease (autonomic neuropathy, infectious involvement, and autoimmune disease when in the presence of type 1 diabetes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40,51,54]</w:t>
      </w:r>
      <w:r>
        <w:rPr>
          <w:rFonts w:ascii="Book Antiqua" w:eastAsia="Book Antiqua" w:hAnsi="Book Antiqua" w:cs="Book Antiqua"/>
          <w:color w:val="000000"/>
        </w:rPr>
        <w:t>.</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i/>
          <w:iCs/>
          <w:color w:val="000000"/>
        </w:rPr>
        <w:t>Chronic diarrhea</w:t>
      </w:r>
    </w:p>
    <w:p w:rsidR="00A77B3E" w:rsidRDefault="0057096A">
      <w:pPr>
        <w:spacing w:line="360" w:lineRule="auto"/>
        <w:jc w:val="both"/>
      </w:pPr>
      <w:r>
        <w:rPr>
          <w:rFonts w:ascii="Book Antiqua" w:eastAsia="Book Antiqua" w:hAnsi="Book Antiqua" w:cs="Book Antiqua"/>
          <w:color w:val="000000"/>
        </w:rPr>
        <w:t>The prevalence of chronic diarrhea in diabetic patients ranges from 3.7% to 22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compared to the general population, they have around twice the risk of having diarrhea (11%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An important part of the management is to assess the hydration status and electrolyte imbalance that management would need. As in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the goal is to achieve good glycemic control and diet management. If these initial measures fail, drug therapy with opioid group </w:t>
      </w:r>
      <w:proofErr w:type="spellStart"/>
      <w:r>
        <w:rPr>
          <w:rFonts w:ascii="Book Antiqua" w:eastAsia="Book Antiqua" w:hAnsi="Book Antiqua" w:cs="Book Antiqua"/>
          <w:color w:val="000000"/>
        </w:rPr>
        <w:t>antidiarrheals</w:t>
      </w:r>
      <w:proofErr w:type="spellEnd"/>
      <w:r>
        <w:rPr>
          <w:rFonts w:ascii="Book Antiqua" w:eastAsia="Book Antiqua" w:hAnsi="Book Antiqua" w:cs="Book Antiqua"/>
          <w:color w:val="000000"/>
        </w:rPr>
        <w:t xml:space="preserve"> is an option they can be administered with caution due to their toxicity: </w:t>
      </w:r>
      <w:proofErr w:type="spellStart"/>
      <w:r>
        <w:rPr>
          <w:rFonts w:ascii="Book Antiqua" w:eastAsia="Book Antiqua" w:hAnsi="Book Antiqua" w:cs="Book Antiqua"/>
          <w:color w:val="000000"/>
        </w:rPr>
        <w:t>megacolon</w:t>
      </w:r>
      <w:proofErr w:type="spellEnd"/>
      <w:r>
        <w:rPr>
          <w:rFonts w:ascii="Book Antiqua" w:eastAsia="Book Antiqua" w:hAnsi="Book Antiqua" w:cs="Book Antiqua"/>
          <w:color w:val="000000"/>
        </w:rPr>
        <w:t xml:space="preserve"> and the potential worsening of bacterial </w:t>
      </w:r>
      <w:proofErr w:type="gramStart"/>
      <w:r>
        <w:rPr>
          <w:rFonts w:ascii="Book Antiqua" w:eastAsia="Book Antiqua" w:hAnsi="Book Antiqua" w:cs="Book Antiqua"/>
          <w:color w:val="000000"/>
        </w:rPr>
        <w:t>overgrowth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For small intestinal bacterial overgrowth, antibiotic therapy should be started.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is the best research-based agent for this disorder works selectively on the gastrointestinal tract, lowers resistance, and improves symptoms in 33% to 99%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Somatostatin</w:t>
      </w:r>
      <w:proofErr w:type="spellEnd"/>
      <w:r>
        <w:rPr>
          <w:rFonts w:ascii="Book Antiqua" w:eastAsia="Book Antiqua" w:hAnsi="Book Antiqua" w:cs="Book Antiqua"/>
          <w:color w:val="000000"/>
        </w:rPr>
        <w:t xml:space="preserve"> analogs like </w:t>
      </w:r>
      <w:proofErr w:type="spellStart"/>
      <w:r>
        <w:rPr>
          <w:rFonts w:ascii="Book Antiqua" w:eastAsia="Book Antiqua" w:hAnsi="Book Antiqua" w:cs="Book Antiqua"/>
          <w:color w:val="000000"/>
        </w:rPr>
        <w:t>octreotide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also improve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Another common cause of diarrhea in diabetic patients is the use of drugs such as metformin, which reduces the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absorption of bile salts, artificial sweeteners through an osmotic mechanism (seen mainly with sorbitol intake greater than 20 g), it is split by the intestinal flora that produces hydrogen and short-chain fatty acids, which are the cause of diarrhea associated with this </w:t>
      </w:r>
      <w:proofErr w:type="gramStart"/>
      <w:r>
        <w:rPr>
          <w:rFonts w:ascii="Book Antiqua" w:eastAsia="Book Antiqua" w:hAnsi="Book Antiqua" w:cs="Book Antiqua"/>
          <w:color w:val="000000"/>
        </w:rPr>
        <w:t>substance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Nevertheless, there is no specific treatment for chronic diarrhea in diabetic patients. If a slow transit is targeted, the option would be </w:t>
      </w:r>
      <w:proofErr w:type="spellStart"/>
      <w:r>
        <w:rPr>
          <w:rFonts w:ascii="Book Antiqua" w:eastAsia="Book Antiqua" w:hAnsi="Book Antiqua" w:cs="Book Antiqua"/>
          <w:color w:val="000000"/>
        </w:rPr>
        <w:t>prokinetics</w:t>
      </w:r>
      <w:proofErr w:type="spellEnd"/>
      <w:r>
        <w:rPr>
          <w:rFonts w:ascii="Book Antiqua" w:eastAsia="Book Antiqua" w:hAnsi="Book Antiqua" w:cs="Book Antiqua"/>
          <w:color w:val="000000"/>
        </w:rPr>
        <w:t xml:space="preserve">, while if the symptoms are in favor of rapid transit, the choice would be opiates. The use of </w:t>
      </w:r>
      <w:proofErr w:type="spellStart"/>
      <w:r>
        <w:rPr>
          <w:rFonts w:ascii="Book Antiqua" w:eastAsia="Book Antiqua" w:hAnsi="Book Antiqua" w:cs="Book Antiqua"/>
          <w:color w:val="000000"/>
        </w:rPr>
        <w:t>somatostatin</w:t>
      </w:r>
      <w:proofErr w:type="spellEnd"/>
      <w:r>
        <w:rPr>
          <w:rFonts w:ascii="Book Antiqua" w:eastAsia="Book Antiqua" w:hAnsi="Book Antiqua" w:cs="Book Antiqua"/>
          <w:color w:val="000000"/>
        </w:rPr>
        <w:t xml:space="preserve"> analogs that inhibit water secretion, increase absorptive capacity, and suppress the release of </w:t>
      </w:r>
      <w:r>
        <w:rPr>
          <w:rFonts w:ascii="Book Antiqua" w:eastAsia="Book Antiqua" w:hAnsi="Book Antiqua" w:cs="Book Antiqua"/>
          <w:color w:val="000000"/>
        </w:rPr>
        <w:lastRenderedPageBreak/>
        <w:t xml:space="preserve">hormones with gastrointestinal action; is indicated in the failure of conventional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Constipation</w:t>
      </w:r>
    </w:p>
    <w:p w:rsidR="00A77B3E" w:rsidRDefault="0057096A">
      <w:pPr>
        <w:spacing w:line="360" w:lineRule="auto"/>
        <w:jc w:val="both"/>
      </w:pPr>
      <w:r>
        <w:rPr>
          <w:rFonts w:ascii="Book Antiqua" w:eastAsia="Book Antiqua" w:hAnsi="Book Antiqua" w:cs="Book Antiqua"/>
          <w:color w:val="000000"/>
        </w:rPr>
        <w:t xml:space="preserve">When constipation is the main complaint, good hydration, high-fiber meals, and routine physical activities are the first recommendations to make. Randomized placebo-controlled clinical trials are showing that the intake of natural </w:t>
      </w:r>
      <w:proofErr w:type="spellStart"/>
      <w:r>
        <w:rPr>
          <w:rFonts w:ascii="Book Antiqua" w:eastAsia="Book Antiqua" w:hAnsi="Book Antiqua" w:cs="Book Antiqua"/>
          <w:color w:val="000000"/>
        </w:rPr>
        <w:t>psyllium</w:t>
      </w:r>
      <w:proofErr w:type="spellEnd"/>
      <w:r>
        <w:rPr>
          <w:rFonts w:ascii="Book Antiqua" w:eastAsia="Book Antiqua" w:hAnsi="Book Antiqua" w:cs="Book Antiqua"/>
          <w:color w:val="000000"/>
        </w:rPr>
        <w:t xml:space="preserve"> (10 g twice a day) or flaxseed (10 g twice a day) reduces constipation symptoms and improves glycemic control in people with diabetes type 2. There are no studies specifically investigating the effects of laxatives in people with constipation as a complication due to diabetic </w:t>
      </w:r>
      <w:proofErr w:type="spellStart"/>
      <w:proofErr w:type="gram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Treatment focuses on its symptomatic management, with the use of a diet that promotes softening of the stool, and the use of laxatives that increase intestinal transit.</w:t>
      </w:r>
    </w:p>
    <w:p w:rsidR="00A77B3E" w:rsidRDefault="0057096A">
      <w:pPr>
        <w:spacing w:line="360" w:lineRule="auto"/>
        <w:ind w:firstLine="480"/>
        <w:jc w:val="both"/>
      </w:pPr>
      <w:r>
        <w:rPr>
          <w:rFonts w:ascii="Book Antiqua" w:eastAsia="Book Antiqua" w:hAnsi="Book Antiqua" w:cs="Book Antiqua"/>
          <w:color w:val="000000"/>
        </w:rPr>
        <w:t xml:space="preserve">Although without much solid evidence, we can suggest starting using osmotic laxatives such as polyethylene glycol; if insufficient, stimulant laxatives such as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can be added. </w:t>
      </w:r>
      <w:proofErr w:type="spellStart"/>
      <w:r>
        <w:rPr>
          <w:rFonts w:ascii="Book Antiqua" w:eastAsia="Book Antiqua" w:hAnsi="Book Antiqua" w:cs="Book Antiqua"/>
          <w:color w:val="000000"/>
        </w:rPr>
        <w:t>Lubiprostone</w:t>
      </w:r>
      <w:proofErr w:type="spellEnd"/>
      <w:r>
        <w:rPr>
          <w:rFonts w:ascii="Book Antiqua" w:eastAsia="Book Antiqua" w:hAnsi="Book Antiqua" w:cs="Book Antiqua"/>
          <w:color w:val="000000"/>
        </w:rPr>
        <w:t xml:space="preserve">, a chloride channel activator, increases secretion from the colon, reducing colonic transit time and increasing the number of spontaneous bowel movements in people with diabetes-related </w:t>
      </w:r>
      <w:proofErr w:type="gramStart"/>
      <w:r>
        <w:rPr>
          <w:rFonts w:ascii="Book Antiqua" w:eastAsia="Book Antiqua" w:hAnsi="Book Antiqua" w:cs="Book Antiqua"/>
          <w:color w:val="000000"/>
        </w:rPr>
        <w:t>constipation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48,59]</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Fecal incontinence</w:t>
      </w:r>
    </w:p>
    <w:p w:rsidR="00A77B3E" w:rsidRDefault="0057096A">
      <w:pPr>
        <w:spacing w:line="360" w:lineRule="auto"/>
        <w:jc w:val="both"/>
      </w:pPr>
      <w:r>
        <w:rPr>
          <w:rFonts w:ascii="Book Antiqua" w:eastAsia="Book Antiqua" w:hAnsi="Book Antiqua" w:cs="Book Antiqua"/>
          <w:color w:val="000000"/>
        </w:rPr>
        <w:t xml:space="preserve">In the management of fecal incontinence, which is often aggravated by diarrhea, a priority is identifying an underlying cause of diarrhea and addressing it. Often improves on its own within good glycemic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Otherwise, a dietary intervention might be recommended, and as it is largely associated with neuropathy and reduced sensitivity of the anal canal, </w:t>
      </w:r>
      <w:proofErr w:type="spellStart"/>
      <w:r>
        <w:rPr>
          <w:rFonts w:ascii="Book Antiqua" w:eastAsia="Book Antiqua" w:hAnsi="Book Antiqua" w:cs="Book Antiqua"/>
          <w:color w:val="000000"/>
        </w:rPr>
        <w:t>loperamide</w:t>
      </w:r>
      <w:proofErr w:type="spellEnd"/>
      <w:r>
        <w:rPr>
          <w:rFonts w:ascii="Book Antiqua" w:eastAsia="Book Antiqua" w:hAnsi="Book Antiqua" w:cs="Book Antiqua"/>
          <w:color w:val="000000"/>
        </w:rPr>
        <w:t xml:space="preserve">, suppositories, or enemas should be considered. Treatment of refractory cases is very complex and may even require a </w:t>
      </w:r>
      <w:proofErr w:type="gramStart"/>
      <w:r>
        <w:rPr>
          <w:rFonts w:ascii="Book Antiqua" w:eastAsia="Book Antiqua" w:hAnsi="Book Antiqua" w:cs="Book Antiqua"/>
          <w:color w:val="000000"/>
        </w:rPr>
        <w:t>stoma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48,51]</w:t>
      </w:r>
      <w:r>
        <w:rPr>
          <w:rFonts w:ascii="Book Antiqua" w:eastAsia="Book Antiqua" w:hAnsi="Book Antiqua" w:cs="Book Antiqua"/>
          <w:color w:val="000000"/>
        </w:rPr>
        <w:t>.</w:t>
      </w:r>
    </w:p>
    <w:p w:rsidR="00A77B3E" w:rsidRDefault="0057096A">
      <w:pPr>
        <w:spacing w:line="360" w:lineRule="auto"/>
        <w:ind w:firstLine="480"/>
        <w:jc w:val="both"/>
      </w:pPr>
      <w:proofErr w:type="spellStart"/>
      <w:r>
        <w:rPr>
          <w:rFonts w:ascii="Book Antiqua" w:eastAsia="Book Antiqua" w:hAnsi="Book Antiqua" w:cs="Book Antiqua"/>
          <w:color w:val="000000"/>
        </w:rPr>
        <w:t>Neuromodulatory</w:t>
      </w:r>
      <w:proofErr w:type="spellEnd"/>
      <w:r>
        <w:rPr>
          <w:rFonts w:ascii="Book Antiqua" w:eastAsia="Book Antiqua" w:hAnsi="Book Antiqua" w:cs="Book Antiqua"/>
          <w:color w:val="000000"/>
        </w:rPr>
        <w:t xml:space="preserve"> electrical stimulation of the sacral nerve is an emerging technique of treatment for fecal incontinence and possible sensitivity in the anal canal. </w:t>
      </w:r>
      <w:r>
        <w:rPr>
          <w:rFonts w:ascii="Book Antiqua" w:eastAsia="Book Antiqua" w:hAnsi="Book Antiqua" w:cs="Book Antiqua"/>
          <w:color w:val="000000"/>
        </w:rPr>
        <w:lastRenderedPageBreak/>
        <w:t xml:space="preserve">However, it has not been specifically investigated in people with diabetic </w:t>
      </w:r>
      <w:proofErr w:type="spellStart"/>
      <w:proofErr w:type="gram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caps/>
          <w:color w:val="000000"/>
          <w:u w:val="single"/>
        </w:rPr>
        <w:t>CONCLUSION</w:t>
      </w:r>
    </w:p>
    <w:p w:rsidR="00A77B3E" w:rsidRDefault="0057096A">
      <w:pPr>
        <w:spacing w:line="360" w:lineRule="auto"/>
        <w:jc w:val="both"/>
      </w:pPr>
      <w:r>
        <w:rPr>
          <w:rFonts w:ascii="Book Antiqua" w:eastAsia="Book Antiqua" w:hAnsi="Book Antiqua" w:cs="Book Antiqua"/>
          <w:color w:val="000000"/>
        </w:rPr>
        <w:t xml:space="preserve">Diabetes mellitus is a chronic disease with a rising prevalence worldwide, as are its complications, including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Its pathophysiology integrates hyperglycemia, vagal dysfunction, loss of expression of neural nitric oxide synthase in the </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xml:space="preserve"> plexus, alterations in the interstitial cell network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and oxidative stress. The clinical features are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constipation, abdominal pain, and diarrhea. Among the diagnostic studies, </w:t>
      </w:r>
      <w:proofErr w:type="spellStart"/>
      <w:r>
        <w:rPr>
          <w:rFonts w:ascii="Book Antiqua" w:eastAsia="Book Antiqua" w:hAnsi="Book Antiqua" w:cs="Book Antiqua"/>
          <w:color w:val="000000"/>
        </w:rPr>
        <w:t>manometry</w:t>
      </w:r>
      <w:proofErr w:type="spellEnd"/>
      <w:r>
        <w:rPr>
          <w:rFonts w:ascii="Book Antiqua" w:eastAsia="Book Antiqua" w:hAnsi="Book Antiqua" w:cs="Book Antiqua"/>
          <w:color w:val="000000"/>
        </w:rPr>
        <w:t xml:space="preserve"> together with pH measurement (evaluating esophageal motility), gastric emptying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breath test (evaluating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aspiration, and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culture (evaluating bacterial overgrowth) stand out. There is no definitive treatment for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The multidisciplinary approach is considered to seek to slow the progression of the disease, alleviate symptoms, and restore function. A diet low in simple sugars and high in fiber is recommended; optimize glycemic control, with a target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of less than 180 mg/</w:t>
      </w:r>
      <w:proofErr w:type="spellStart"/>
      <w:r>
        <w:rPr>
          <w:rFonts w:ascii="Book Antiqua" w:eastAsia="Book Antiqua" w:hAnsi="Book Antiqua" w:cs="Book Antiqua"/>
          <w:color w:val="000000"/>
        </w:rPr>
        <w:t>d</w:t>
      </w:r>
      <w:r>
        <w:rPr>
          <w:rFonts w:ascii="Book Antiqua" w:eastAsia="Book Antiqua" w:hAnsi="Book Antiqua" w:cs="Book Antiqua"/>
          <w:caps/>
          <w:color w:val="000000"/>
        </w:rPr>
        <w:t>l</w:t>
      </w:r>
      <w:proofErr w:type="spellEnd"/>
      <w:r>
        <w:rPr>
          <w:rFonts w:ascii="Book Antiqua" w:eastAsia="Book Antiqua" w:hAnsi="Book Antiqua" w:cs="Book Antiqua"/>
          <w:color w:val="000000"/>
        </w:rPr>
        <w:t xml:space="preserve">. Regarding drug therapy, </w:t>
      </w:r>
      <w:proofErr w:type="spellStart"/>
      <w:r>
        <w:rPr>
          <w:rFonts w:ascii="Book Antiqua" w:eastAsia="Book Antiqua" w:hAnsi="Book Antiqua" w:cs="Book Antiqua"/>
          <w:color w:val="000000"/>
        </w:rPr>
        <w:t>prokinetics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antiemetics</w:t>
      </w:r>
      <w:proofErr w:type="spellEnd"/>
      <w:r>
        <w:rPr>
          <w:rFonts w:ascii="Book Antiqua" w:eastAsia="Book Antiqua" w:hAnsi="Book Antiqua" w:cs="Book Antiqua"/>
          <w:color w:val="000000"/>
        </w:rPr>
        <w:t xml:space="preserve"> are included, and if bacterial overgrowth occurs, antibiotic treatment with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Current evidence is accumulating among the new approaches, including the use of </w:t>
      </w:r>
      <w:proofErr w:type="spellStart"/>
      <w:r>
        <w:rPr>
          <w:rFonts w:ascii="Book Antiqua" w:eastAsia="Book Antiqua" w:hAnsi="Book Antiqua" w:cs="Book Antiqua"/>
          <w:color w:val="000000"/>
        </w:rPr>
        <w:t>botulinum</w:t>
      </w:r>
      <w:proofErr w:type="spellEnd"/>
      <w:r>
        <w:rPr>
          <w:rFonts w:ascii="Book Antiqua" w:eastAsia="Book Antiqua" w:hAnsi="Book Antiqua" w:cs="Book Antiqua"/>
          <w:color w:val="000000"/>
        </w:rPr>
        <w:t xml:space="preserve"> toxin, </w:t>
      </w:r>
      <w:proofErr w:type="spellStart"/>
      <w:r>
        <w:rPr>
          <w:rFonts w:ascii="Book Antiqua" w:eastAsia="Book Antiqua" w:hAnsi="Book Antiqua" w:cs="Book Antiqua"/>
          <w:color w:val="000000"/>
        </w:rPr>
        <w:t>pyroloplasty</w:t>
      </w:r>
      <w:proofErr w:type="spellEnd"/>
      <w:r>
        <w:rPr>
          <w:rFonts w:ascii="Book Antiqua" w:eastAsia="Book Antiqua" w:hAnsi="Book Antiqua" w:cs="Book Antiqua"/>
          <w:color w:val="000000"/>
        </w:rPr>
        <w:t>, and electrical gastric stimulation in selected patients. Although there are new techniques for diagnosis, but it does not appear a definitive cure in the near future, remaining a concern, well designed clinical trials are needed in this field.</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aps/>
          <w:color w:val="000000"/>
          <w:u w:val="single"/>
        </w:rPr>
        <w:t>ACKNOWLEDGEMENTS</w:t>
      </w:r>
    </w:p>
    <w:p w:rsidR="00A77B3E" w:rsidRDefault="0057096A">
      <w:pPr>
        <w:spacing w:line="360" w:lineRule="auto"/>
        <w:jc w:val="both"/>
      </w:pPr>
      <w:r>
        <w:rPr>
          <w:rFonts w:ascii="Book Antiqua" w:eastAsia="Book Antiqua" w:hAnsi="Book Antiqua" w:cs="Book Antiqua"/>
          <w:color w:val="000000"/>
        </w:rPr>
        <w:t xml:space="preserve">The research team appreciates the contributions, suggestions, and corrections made by Dr. Julio </w:t>
      </w:r>
      <w:proofErr w:type="spellStart"/>
      <w:r>
        <w:rPr>
          <w:rFonts w:ascii="Book Antiqua" w:eastAsia="Book Antiqua" w:hAnsi="Book Antiqua" w:cs="Book Antiqua"/>
          <w:color w:val="000000"/>
        </w:rPr>
        <w:t>Hilario</w:t>
      </w:r>
      <w:proofErr w:type="spellEnd"/>
      <w:r>
        <w:rPr>
          <w:rFonts w:ascii="Book Antiqua" w:eastAsia="Book Antiqua" w:hAnsi="Book Antiqua" w:cs="Book Antiqua"/>
          <w:color w:val="000000"/>
        </w:rPr>
        <w:t xml:space="preserve"> Vargas, to publish this manuscript.</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olor w:val="000000"/>
        </w:rPr>
        <w:t>REFERENCES</w:t>
      </w:r>
    </w:p>
    <w:p w:rsidR="00A77B3E" w:rsidRDefault="0057096A">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Chapman A,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U, Malik RA, </w:t>
      </w:r>
      <w:proofErr w:type="spellStart"/>
      <w:r>
        <w:rPr>
          <w:rFonts w:ascii="Book Antiqua" w:eastAsia="Book Antiqua" w:hAnsi="Book Antiqua" w:cs="Book Antiqua"/>
          <w:color w:val="000000"/>
        </w:rPr>
        <w:t>Azmi</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 xml:space="preserve">The Investigation and Treatment of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850-861 [PMID: 29748143 DOI: 10.1016/j.clinthera.2018.04.012]</w:t>
      </w:r>
    </w:p>
    <w:p w:rsidR="00A77B3E" w:rsidRDefault="0057096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Borgoño</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Insulins</w:t>
      </w:r>
      <w:proofErr w:type="spellEnd"/>
      <w:r>
        <w:rPr>
          <w:rFonts w:ascii="Book Antiqua" w:eastAsia="Book Antiqua" w:hAnsi="Book Antiqua" w:cs="Book Antiqua"/>
          <w:color w:val="000000"/>
        </w:rPr>
        <w:t xml:space="preserve">: past, present, and future.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1-24 [PMID: 22575404 DOI: 10.1016/j.ecl.2012.03.002]</w:t>
      </w:r>
    </w:p>
    <w:p w:rsidR="00A77B3E" w:rsidRDefault="0057096A">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Quianzon</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Cheikh</w:t>
      </w:r>
      <w:proofErr w:type="spellEnd"/>
      <w:r>
        <w:rPr>
          <w:rFonts w:ascii="Book Antiqua" w:eastAsia="Book Antiqua" w:hAnsi="Book Antiqua" w:cs="Book Antiqua"/>
          <w:color w:val="000000"/>
        </w:rPr>
        <w:t xml:space="preserve"> I. History of insulin.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Community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Intern Med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xml:space="preserve"> [PMID: 23882369 DOI: 10.3402/jchimp.v2i2.18701]</w:t>
      </w:r>
    </w:p>
    <w:p w:rsidR="00A77B3E" w:rsidRDefault="0057096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Shen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Lamm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Vachaparambil</w:t>
      </w:r>
      <w:proofErr w:type="spellEnd"/>
      <w:r>
        <w:rPr>
          <w:rFonts w:ascii="Book Antiqua" w:eastAsia="Book Antiqua" w:hAnsi="Book Antiqua" w:cs="Book Antiqua"/>
          <w:color w:val="000000"/>
        </w:rPr>
        <w:t xml:space="preserve"> CT, Chen H,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Nondiabetic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15-25 [PMID: 30396524 DOI: 10.1016/j.giec.2018.08.002]</w:t>
      </w:r>
    </w:p>
    <w:p w:rsidR="00A77B3E" w:rsidRDefault="0057096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Krishnasamy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TL.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Principles and Current Trends in Management.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1-42 [PMID: 29934758 DOI: 10.1007/s13300-018-0454-9]</w:t>
      </w:r>
    </w:p>
    <w:p w:rsidR="00A77B3E" w:rsidRDefault="0057096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Saeedi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Petersohn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Salpea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Malanda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Unwin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Colagiuri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Motala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Ogurtsova</w:t>
      </w:r>
      <w:proofErr w:type="spellEnd"/>
      <w:r>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p w:rsidR="00A77B3E" w:rsidRDefault="0057096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Jung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Choung</w:t>
      </w:r>
      <w:proofErr w:type="spellEnd"/>
      <w:r>
        <w:rPr>
          <w:rFonts w:ascii="Book Antiqua" w:eastAsia="Book Antiqua" w:hAnsi="Book Antiqua" w:cs="Book Antiqua"/>
          <w:color w:val="000000"/>
        </w:rPr>
        <w:t xml:space="preserve"> RS, Locke GR 3rd, </w:t>
      </w:r>
      <w:proofErr w:type="spellStart"/>
      <w:r>
        <w:rPr>
          <w:rFonts w:ascii="Book Antiqua" w:eastAsia="Book Antiqua" w:hAnsi="Book Antiqua" w:cs="Book Antiqua"/>
          <w:color w:val="000000"/>
        </w:rPr>
        <w:t>Schleck</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Szarka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Mullan</w:t>
      </w:r>
      <w:proofErr w:type="spellEnd"/>
      <w:r>
        <w:rPr>
          <w:rFonts w:ascii="Book Antiqua" w:eastAsia="Book Antiqua" w:hAnsi="Book Antiqua" w:cs="Book Antiqua"/>
          <w:color w:val="000000"/>
        </w:rPr>
        <w:t xml:space="preserve"> B, Talley NJ. </w:t>
      </w:r>
      <w:proofErr w:type="gramStart"/>
      <w:r>
        <w:rPr>
          <w:rFonts w:ascii="Book Antiqua" w:eastAsia="Book Antiqua" w:hAnsi="Book Antiqua" w:cs="Book Antiqua"/>
          <w:color w:val="000000"/>
        </w:rPr>
        <w:t xml:space="preserve">The incidence, prevalence, and outcomes of patients with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in Olmsted County, Minnesota, from 1996 to 2006.</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1225-1233 [PMID: 19249393 DOI: 10.1053/j.gastro.2008.12.047]</w:t>
      </w:r>
    </w:p>
    <w:p w:rsidR="00A77B3E" w:rsidRDefault="0057096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Choung</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Locke GR 3rd, </w:t>
      </w:r>
      <w:proofErr w:type="spellStart"/>
      <w:r>
        <w:rPr>
          <w:rFonts w:ascii="Book Antiqua" w:eastAsia="Book Antiqua" w:hAnsi="Book Antiqua" w:cs="Book Antiqua"/>
          <w:color w:val="000000"/>
        </w:rPr>
        <w:t>Schleck</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Melton LJ 3rd, Talley NJ. Risk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in subjects with type 1 and </w:t>
      </w:r>
      <w:proofErr w:type="gramStart"/>
      <w:r>
        <w:rPr>
          <w:rFonts w:ascii="Book Antiqua" w:eastAsia="Book Antiqua" w:hAnsi="Book Antiqua" w:cs="Book Antiqua"/>
          <w:color w:val="000000"/>
        </w:rPr>
        <w:t>2 diabetes in the general population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82-88 [PMID: 22085818 DOI: 10.1038/ajg.2011.310]</w:t>
      </w:r>
    </w:p>
    <w:p w:rsidR="00A77B3E" w:rsidRDefault="0057096A">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Koch KL</w:t>
      </w:r>
      <w:r>
        <w:rPr>
          <w:rFonts w:ascii="Book Antiqua" w:eastAsia="Book Antiqua" w:hAnsi="Book Antiqua" w:cs="Book Antiqua"/>
          <w:color w:val="000000"/>
        </w:rPr>
        <w:t>, Calles-</w:t>
      </w:r>
      <w:proofErr w:type="spellStart"/>
      <w:r>
        <w:rPr>
          <w:rFonts w:ascii="Book Antiqua" w:eastAsia="Book Antiqua" w:hAnsi="Book Antiqua" w:cs="Book Antiqua"/>
          <w:color w:val="000000"/>
        </w:rPr>
        <w:t>Escandón</w:t>
      </w:r>
      <w:proofErr w:type="spellEnd"/>
      <w:r>
        <w:rPr>
          <w:rFonts w:ascii="Book Antiqua" w:eastAsia="Book Antiqua" w:hAnsi="Book Antiqua" w:cs="Book Antiqua"/>
          <w:color w:val="000000"/>
        </w:rPr>
        <w:t xml:space="preserve"> J.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39-57 [PMID: 25667022 DOI: 10.1016/j.gtc.2014.11.005]</w:t>
      </w:r>
    </w:p>
    <w:p w:rsidR="00A77B3E" w:rsidRDefault="0057096A">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Kurniawan</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Suwandi</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Kholili</w:t>
      </w:r>
      <w:proofErr w:type="spellEnd"/>
      <w:r>
        <w:rPr>
          <w:rFonts w:ascii="Book Antiqua" w:eastAsia="Book Antiqua" w:hAnsi="Book Antiqua" w:cs="Book Antiqua"/>
          <w:color w:val="000000"/>
        </w:rPr>
        <w:t xml:space="preserve"> U.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A Complication of Diabetes Mellitus.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Indones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263-271 [PMID: 31699951]</w:t>
      </w:r>
    </w:p>
    <w:p w:rsidR="00A77B3E" w:rsidRDefault="0057096A">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Goyal</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Mashimo</w:t>
      </w:r>
      <w:proofErr w:type="spellEnd"/>
      <w:r>
        <w:rPr>
          <w:rFonts w:ascii="Book Antiqua" w:eastAsia="Book Antiqua" w:hAnsi="Book Antiqua" w:cs="Book Antiqua"/>
          <w:color w:val="000000"/>
        </w:rPr>
        <w:t xml:space="preserve"> H. Advances in the physiology of gastric emptying.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e13546 [PMID: 30740834 DOI: 10.1111/nmo.13546]</w:t>
      </w:r>
    </w:p>
    <w:p w:rsidR="00A77B3E" w:rsidRDefault="0057096A">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Sullivan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Temperley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Ruban</w:t>
      </w:r>
      <w:proofErr w:type="spellEnd"/>
      <w:r>
        <w:rPr>
          <w:rFonts w:ascii="Book Antiqua" w:eastAsia="Book Antiqua" w:hAnsi="Book Antiqua" w:cs="Book Antiqua"/>
          <w:color w:val="000000"/>
        </w:rPr>
        <w:t xml:space="preserve"> A. Pathophysiology,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Treatment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1615-1631 [PMID: 32350720 DOI: 10.1007/s10620-020-06287-2]</w:t>
      </w:r>
    </w:p>
    <w:p w:rsidR="00A77B3E" w:rsidRDefault="0057096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Rayner</w:t>
      </w:r>
      <w:proofErr w:type="spellEnd"/>
      <w:r>
        <w:rPr>
          <w:rFonts w:ascii="Book Antiqua" w:eastAsia="Book Antiqua" w:hAnsi="Book Antiqua" w:cs="Book Antiqua"/>
          <w:color w:val="000000"/>
        </w:rPr>
        <w:t xml:space="preserve"> CK, Jones KL, Horowitz M. Pathophysiology and management of diabetic </w:t>
      </w:r>
      <w:proofErr w:type="spellStart"/>
      <w:r>
        <w:rPr>
          <w:rFonts w:ascii="Book Antiqua" w:eastAsia="Book Antiqua" w:hAnsi="Book Antiqua" w:cs="Book Antiqua"/>
          <w:color w:val="000000"/>
        </w:rPr>
        <w:t>gastropathy</w:t>
      </w:r>
      <w:proofErr w:type="spellEnd"/>
      <w:r>
        <w:rPr>
          <w:rFonts w:ascii="Book Antiqua" w:eastAsia="Book Antiqua" w:hAnsi="Book Antiqua" w:cs="Book Antiqua"/>
          <w:color w:val="000000"/>
        </w:rPr>
        <w:t xml:space="preserve">: a guide for endocrinologists.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1671-1687 [PMID: 17683169 DOI: 10.2165/00003495-200767120-00003]</w:t>
      </w:r>
    </w:p>
    <w:p w:rsidR="00A77B3E" w:rsidRDefault="0057096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Schvarcz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Palmér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Aman</w:t>
      </w:r>
      <w:proofErr w:type="spellEnd"/>
      <w:r>
        <w:rPr>
          <w:rFonts w:ascii="Book Antiqua" w:eastAsia="Book Antiqua" w:hAnsi="Book Antiqua" w:cs="Book Antiqua"/>
          <w:color w:val="000000"/>
        </w:rPr>
        <w:t xml:space="preserve"> J, Horowitz M, </w:t>
      </w:r>
      <w:proofErr w:type="spellStart"/>
      <w:r>
        <w:rPr>
          <w:rFonts w:ascii="Book Antiqua" w:eastAsia="Book Antiqua" w:hAnsi="Book Antiqua" w:cs="Book Antiqua"/>
          <w:color w:val="000000"/>
        </w:rPr>
        <w:t>Stridsberg</w:t>
      </w:r>
      <w:proofErr w:type="spellEnd"/>
      <w:r>
        <w:rPr>
          <w:rFonts w:ascii="Book Antiqua" w:eastAsia="Book Antiqua" w:hAnsi="Book Antiqua" w:cs="Book Antiqua"/>
          <w:color w:val="000000"/>
        </w:rPr>
        <w:t xml:space="preserve"> M, Berne C. Physiological hyperglycemia slows gastric emptying in normal subjects and patients with insulin-dependent diabetes mellitus.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113</w:t>
      </w:r>
      <w:r>
        <w:rPr>
          <w:rFonts w:ascii="Book Antiqua" w:eastAsia="Book Antiqua" w:hAnsi="Book Antiqua" w:cs="Book Antiqua"/>
          <w:color w:val="000000"/>
        </w:rPr>
        <w:t>: 60-66 [PMID: 9207262 DOI: 10.1016/s0016-5085(97)70080-5]</w:t>
      </w:r>
    </w:p>
    <w:p w:rsidR="00A77B3E" w:rsidRDefault="0057096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Watkins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A, Jaffrey S, </w:t>
      </w:r>
      <w:proofErr w:type="spellStart"/>
      <w:r>
        <w:rPr>
          <w:rFonts w:ascii="Book Antiqua" w:eastAsia="Book Antiqua" w:hAnsi="Book Antiqua" w:cs="Book Antiqua"/>
          <w:color w:val="000000"/>
        </w:rPr>
        <w:t>Blackshaw</w:t>
      </w:r>
      <w:proofErr w:type="spellEnd"/>
      <w:r>
        <w:rPr>
          <w:rFonts w:ascii="Book Antiqua" w:eastAsia="Book Antiqua" w:hAnsi="Book Antiqua" w:cs="Book Antiqua"/>
          <w:color w:val="000000"/>
        </w:rPr>
        <w:t xml:space="preserve"> S, Barrow RK, Snyder SH, Ferris CD. Insulin restores neuronal nitric oxide synthase expression and function that is lost in diabetic </w:t>
      </w:r>
      <w:proofErr w:type="spellStart"/>
      <w:r>
        <w:rPr>
          <w:rFonts w:ascii="Book Antiqua" w:eastAsia="Book Antiqua" w:hAnsi="Book Antiqua" w:cs="Book Antiqua"/>
          <w:color w:val="000000"/>
        </w:rPr>
        <w:t>gastropathy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106</w:t>
      </w:r>
      <w:r>
        <w:rPr>
          <w:rFonts w:ascii="Book Antiqua" w:eastAsia="Book Antiqua" w:hAnsi="Book Antiqua" w:cs="Book Antiqua"/>
          <w:color w:val="000000"/>
        </w:rPr>
        <w:t>: 373-384 [PMID: 10930440 DOI: 10.1172/JCI8273]</w:t>
      </w:r>
    </w:p>
    <w:p w:rsidR="00A77B3E" w:rsidRDefault="0057096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Stevens JE</w:t>
      </w:r>
      <w:r>
        <w:rPr>
          <w:rFonts w:ascii="Book Antiqua" w:eastAsia="Book Antiqua" w:hAnsi="Book Antiqua" w:cs="Book Antiqua"/>
          <w:color w:val="000000"/>
        </w:rPr>
        <w:t xml:space="preserve">, Jones KL, </w:t>
      </w:r>
      <w:proofErr w:type="spellStart"/>
      <w:r>
        <w:rPr>
          <w:rFonts w:ascii="Book Antiqua" w:eastAsia="Book Antiqua" w:hAnsi="Book Antiqua" w:cs="Book Antiqua"/>
          <w:color w:val="000000"/>
        </w:rPr>
        <w:t>Rayner</w:t>
      </w:r>
      <w:proofErr w:type="spellEnd"/>
      <w:r>
        <w:rPr>
          <w:rFonts w:ascii="Book Antiqua" w:eastAsia="Book Antiqua" w:hAnsi="Book Antiqua" w:cs="Book Antiqua"/>
          <w:color w:val="000000"/>
        </w:rPr>
        <w:t xml:space="preserve"> CK, Horowitz M. Pathophysiology and pharmacotherapy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current and future perspectives.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1171-1186 [PMID: 23663133 DOI: 10.1517/14656566.2013.795948]</w:t>
      </w:r>
    </w:p>
    <w:p w:rsidR="00A77B3E" w:rsidRDefault="0057096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Vanormelingen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Tack J, Andrews CN. </w:t>
      </w:r>
      <w:proofErr w:type="gramStart"/>
      <w:r>
        <w:rPr>
          <w:rFonts w:ascii="Book Antiqua" w:eastAsia="Book Antiqua" w:hAnsi="Book Antiqua" w:cs="Book Antiqua"/>
          <w:color w:val="000000"/>
        </w:rPr>
        <w:t xml:space="preserve">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213-230 [PMID: 23363458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/Ldt003]</w:t>
      </w:r>
    </w:p>
    <w:p w:rsidR="00A77B3E" w:rsidRDefault="0057096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Fraser RJ</w:t>
      </w:r>
      <w:r>
        <w:rPr>
          <w:rFonts w:ascii="Book Antiqua" w:eastAsia="Book Antiqua" w:hAnsi="Book Antiqua" w:cs="Book Antiqua"/>
          <w:color w:val="000000"/>
        </w:rPr>
        <w:t xml:space="preserve">, Horowitz M, Maddox AF, Harding PE, Chatterton BE, Dent J.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slows gastric emptying in type 1 (insulin-dependent) diabetes mellitus.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33</w:t>
      </w:r>
      <w:r>
        <w:rPr>
          <w:rFonts w:ascii="Book Antiqua" w:eastAsia="Book Antiqua" w:hAnsi="Book Antiqua" w:cs="Book Antiqua"/>
          <w:color w:val="000000"/>
        </w:rPr>
        <w:t>: 675-680 [PMID: 2076799 DOI: 10.1007/BF00400569]</w:t>
      </w:r>
    </w:p>
    <w:p w:rsidR="00A77B3E" w:rsidRDefault="0057096A">
      <w:pPr>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Meldgaard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Keller J,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SS, Krogh K, </w:t>
      </w:r>
      <w:proofErr w:type="spellStart"/>
      <w:r>
        <w:rPr>
          <w:rFonts w:ascii="Book Antiqua" w:eastAsia="Book Antiqua" w:hAnsi="Book Antiqua" w:cs="Book Antiqua"/>
          <w:color w:val="000000"/>
        </w:rPr>
        <w:t>Borre</w:t>
      </w:r>
      <w:proofErr w:type="spellEnd"/>
      <w:r>
        <w:rPr>
          <w:rFonts w:ascii="Book Antiqua" w:eastAsia="Book Antiqua" w:hAnsi="Book Antiqua" w:cs="Book Antiqua"/>
          <w:color w:val="000000"/>
        </w:rPr>
        <w:t xml:space="preserve"> M, Farmer A, Brock B, Brock C,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Pathophysiology and management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lastRenderedPageBreak/>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1756284819852047 [PMID: 31244895 DOI: 10.1177/1756284819852047]</w:t>
      </w:r>
    </w:p>
    <w:p w:rsidR="00A77B3E" w:rsidRDefault="0057096A">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Nguyen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Snape</w:t>
      </w:r>
      <w:proofErr w:type="spellEnd"/>
      <w:r>
        <w:rPr>
          <w:rFonts w:ascii="Book Antiqua" w:eastAsia="Book Antiqua" w:hAnsi="Book Antiqua" w:cs="Book Antiqua"/>
          <w:color w:val="000000"/>
        </w:rPr>
        <w:t xml:space="preserve"> WJ Jr. Clinical presentation and pathophysiology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21-30 [PMID: 25667020 DOI: 10.1016/j.gtc.2014.11.003]</w:t>
      </w:r>
    </w:p>
    <w:p w:rsidR="00A77B3E" w:rsidRDefault="0057096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Gangula</w:t>
      </w:r>
      <w:proofErr w:type="spellEnd"/>
      <w:r>
        <w:rPr>
          <w:rFonts w:ascii="Book Antiqua" w:eastAsia="Book Antiqua" w:hAnsi="Book Antiqua" w:cs="Book Antiqua"/>
          <w:b/>
          <w:bCs/>
          <w:color w:val="000000"/>
        </w:rPr>
        <w:t xml:space="preserve">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Maner</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Micci</w:t>
      </w:r>
      <w:proofErr w:type="spellEnd"/>
      <w:r>
        <w:rPr>
          <w:rFonts w:ascii="Book Antiqua" w:eastAsia="Book Antiqua" w:hAnsi="Book Antiqua" w:cs="Book Antiqua"/>
          <w:color w:val="000000"/>
        </w:rPr>
        <w:t xml:space="preserve"> MA, Garfield RE,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Diabetes induces sex-dependent changes in neuronal nitric oxide synthase dimerization and function in the rat gastric </w:t>
      </w:r>
      <w:proofErr w:type="spellStart"/>
      <w:r>
        <w:rPr>
          <w:rFonts w:ascii="Book Antiqua" w:eastAsia="Book Antiqua" w:hAnsi="Book Antiqua" w:cs="Book Antiqua"/>
          <w:color w:val="000000"/>
        </w:rPr>
        <w:t>antrum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G725-G733 [PMID: 17347455 DOI: 10.1152/ajpgi.00406.2006]</w:t>
      </w:r>
    </w:p>
    <w:p w:rsidR="00A77B3E" w:rsidRDefault="0057096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Grover M</w:t>
      </w:r>
      <w:r>
        <w:rPr>
          <w:rFonts w:ascii="Book Antiqua" w:eastAsia="Book Antiqua" w:hAnsi="Book Antiqua" w:cs="Book Antiqua"/>
          <w:color w:val="000000"/>
        </w:rPr>
        <w:t xml:space="preserve">, Bernard CE,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Lurken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Faussone-Pellegrini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Parkman HP,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Snape</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Hasler</w:t>
      </w:r>
      <w:proofErr w:type="spellEnd"/>
      <w:r>
        <w:rPr>
          <w:rFonts w:ascii="Book Antiqua" w:eastAsia="Book Antiqua" w:hAnsi="Book Antiqua" w:cs="Book Antiqua"/>
          <w:color w:val="000000"/>
        </w:rPr>
        <w:t xml:space="preserve"> WL, McCallum RW, Nguyen L, Koch KL, Calles J, Lee L,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Ünalp-Arida</w:t>
      </w:r>
      <w:proofErr w:type="spellEnd"/>
      <w:r>
        <w:rPr>
          <w:rFonts w:ascii="Book Antiqua" w:eastAsia="Book Antiqua" w:hAnsi="Book Antiqua" w:cs="Book Antiqua"/>
          <w:color w:val="000000"/>
        </w:rPr>
        <w:t xml:space="preserve"> A, Hamilton FA, </w:t>
      </w:r>
      <w:proofErr w:type="spellStart"/>
      <w:r>
        <w:rPr>
          <w:rFonts w:ascii="Book Antiqua" w:eastAsia="Book Antiqua" w:hAnsi="Book Antiqua" w:cs="Book Antiqua"/>
          <w:color w:val="000000"/>
        </w:rPr>
        <w:t>Farrugia</w:t>
      </w:r>
      <w:proofErr w:type="spellEnd"/>
      <w:r>
        <w:rPr>
          <w:rFonts w:ascii="Book Antiqua" w:eastAsia="Book Antiqua" w:hAnsi="Book Antiqua" w:cs="Book Antiqua"/>
          <w:color w:val="000000"/>
        </w:rPr>
        <w:t xml:space="preserve"> G; NIDDK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Clinical Research Consortium (</w:t>
      </w:r>
      <w:proofErr w:type="spellStart"/>
      <w:r>
        <w:rPr>
          <w:rFonts w:ascii="Book Antiqua" w:eastAsia="Book Antiqua" w:hAnsi="Book Antiqua" w:cs="Book Antiqua"/>
          <w:color w:val="000000"/>
        </w:rPr>
        <w:t>GpCRC</w:t>
      </w:r>
      <w:proofErr w:type="spellEnd"/>
      <w:r>
        <w:rPr>
          <w:rFonts w:ascii="Book Antiqua" w:eastAsia="Book Antiqua" w:hAnsi="Book Antiqua" w:cs="Book Antiqua"/>
          <w:color w:val="000000"/>
        </w:rPr>
        <w:t xml:space="preserve">). Clinical-histological associations in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results from the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Clinical Research Consortium.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531-539, e249 [PMID: 22339929 DOI: 10.1111/j.1365-2982.2012.01894.x]</w:t>
      </w:r>
    </w:p>
    <w:p w:rsidR="00A77B3E" w:rsidRDefault="0057096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Du YT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Rayner</w:t>
      </w:r>
      <w:proofErr w:type="spellEnd"/>
      <w:r>
        <w:rPr>
          <w:rFonts w:ascii="Book Antiqua" w:eastAsia="Book Antiqua" w:hAnsi="Book Antiqua" w:cs="Book Antiqua"/>
          <w:color w:val="000000"/>
        </w:rPr>
        <w:t xml:space="preserve"> CK, Jones KL, Talley NJ, Horowitz M. Gastrointestinal Symptoms in Diabetes: Prevalence, Assessment, Pathogenesis, and Management.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627-637 [PMID: 29463666 DOI: 10.2337/dc17-1536]</w:t>
      </w:r>
    </w:p>
    <w:p w:rsidR="00A77B3E" w:rsidRDefault="0057096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Chedid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Vijayvargiya</w:t>
      </w:r>
      <w:proofErr w:type="spellEnd"/>
      <w:r>
        <w:rPr>
          <w:rFonts w:ascii="Book Antiqua" w:eastAsia="Book Antiqua" w:hAnsi="Book Antiqua" w:cs="Book Antiqua"/>
          <w:color w:val="000000"/>
        </w:rPr>
        <w:t xml:space="preserve"> P, Park SY, </w:t>
      </w:r>
      <w:proofErr w:type="spellStart"/>
      <w:r>
        <w:rPr>
          <w:rFonts w:ascii="Book Antiqua" w:eastAsia="Book Antiqua" w:hAnsi="Book Antiqua" w:cs="Book Antiqua"/>
          <w:color w:val="000000"/>
        </w:rPr>
        <w:t>Szarka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Camilleri</w:t>
      </w:r>
      <w:proofErr w:type="spellEnd"/>
      <w:r>
        <w:rPr>
          <w:rFonts w:ascii="Book Antiqua" w:eastAsia="Book Antiqua" w:hAnsi="Book Antiqua" w:cs="Book Antiqua"/>
          <w:color w:val="000000"/>
        </w:rPr>
        <w:t xml:space="preserve"> M. Characterization of Upper Gastrointestinal Symptoms, Gastric Motor Functions, and Associations in Patients with Diabetes at a Referral Center.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143-154 [PMID: 30166634 DOI: 10.1038/s41395-018-0234-1]</w:t>
      </w:r>
    </w:p>
    <w:p w:rsidR="00A77B3E" w:rsidRDefault="0057096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Iyer</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Borah BJ, </w:t>
      </w:r>
      <w:proofErr w:type="spellStart"/>
      <w:r>
        <w:rPr>
          <w:rFonts w:ascii="Book Antiqua" w:eastAsia="Book Antiqua" w:hAnsi="Book Antiqua" w:cs="Book Antiqua"/>
          <w:color w:val="000000"/>
        </w:rPr>
        <w:t>Heien</w:t>
      </w:r>
      <w:proofErr w:type="spellEnd"/>
      <w:r>
        <w:rPr>
          <w:rFonts w:ascii="Book Antiqua" w:eastAsia="Book Antiqua" w:hAnsi="Book Antiqua" w:cs="Book Antiqua"/>
          <w:color w:val="000000"/>
        </w:rPr>
        <w:t xml:space="preserve"> HC, Das A,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Association of Barrett's esophagus with type II Diabetes Mellitus: results from a large population-based case-control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1108-1114.e5 [PMID: 23591277 DOI: 10.1016/j.cgh.2013.03.024]</w:t>
      </w:r>
    </w:p>
    <w:p w:rsidR="00A77B3E" w:rsidRDefault="0057096A">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George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Z, Khan F, </w:t>
      </w:r>
      <w:proofErr w:type="spellStart"/>
      <w:r>
        <w:rPr>
          <w:rFonts w:ascii="Book Antiqua" w:eastAsia="Book Antiqua" w:hAnsi="Book Antiqua" w:cs="Book Antiqua"/>
          <w:color w:val="000000"/>
        </w:rPr>
        <w:t>Kichler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Gabbard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Ganocy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Fass</w:t>
      </w:r>
      <w:proofErr w:type="spellEnd"/>
      <w:r>
        <w:rPr>
          <w:rFonts w:ascii="Book Antiqua" w:eastAsia="Book Antiqua" w:hAnsi="Book Antiqua" w:cs="Book Antiqua"/>
          <w:color w:val="000000"/>
        </w:rPr>
        <w:t xml:space="preserve"> R. Distribution of Esophageal Motor Disorders in Diabetic Patients With Dysphagia.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890-895 [PMID: 28746079 DOI: 10.1097/MCG.0000000000000894]</w:t>
      </w:r>
    </w:p>
    <w:p w:rsidR="00A77B3E" w:rsidRDefault="0057096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Marathe</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Rayner</w:t>
      </w:r>
      <w:proofErr w:type="spellEnd"/>
      <w:r>
        <w:rPr>
          <w:rFonts w:ascii="Book Antiqua" w:eastAsia="Book Antiqua" w:hAnsi="Book Antiqua" w:cs="Book Antiqua"/>
          <w:color w:val="000000"/>
        </w:rPr>
        <w:t xml:space="preserve"> CK, Wu T, Jones KL, Horowitz M, Feingold KR, </w:t>
      </w:r>
      <w:proofErr w:type="spellStart"/>
      <w:r>
        <w:rPr>
          <w:rFonts w:ascii="Book Antiqua" w:eastAsia="Book Antiqua" w:hAnsi="Book Antiqua" w:cs="Book Antiqua"/>
          <w:color w:val="000000"/>
        </w:rPr>
        <w:t>Anawalt</w:t>
      </w:r>
      <w:proofErr w:type="spellEnd"/>
      <w:r>
        <w:rPr>
          <w:rFonts w:ascii="Book Antiqua" w:eastAsia="Book Antiqua" w:hAnsi="Book Antiqua" w:cs="Book Antiqua"/>
          <w:color w:val="000000"/>
        </w:rPr>
        <w:t xml:space="preserve"> B, Boyce A, </w:t>
      </w:r>
      <w:proofErr w:type="spellStart"/>
      <w:r>
        <w:rPr>
          <w:rFonts w:ascii="Book Antiqua" w:eastAsia="Book Antiqua" w:hAnsi="Book Antiqua" w:cs="Book Antiqua"/>
          <w:color w:val="000000"/>
        </w:rPr>
        <w:t>Chrousos</w:t>
      </w:r>
      <w:proofErr w:type="spellEnd"/>
      <w:r>
        <w:rPr>
          <w:rFonts w:ascii="Book Antiqua" w:eastAsia="Book Antiqua" w:hAnsi="Book Antiqua" w:cs="Book Antiqua"/>
          <w:color w:val="000000"/>
        </w:rPr>
        <w:t xml:space="preserve"> G, de Herder WW, </w:t>
      </w:r>
      <w:proofErr w:type="spellStart"/>
      <w:r>
        <w:rPr>
          <w:rFonts w:ascii="Book Antiqua" w:eastAsia="Book Antiqua" w:hAnsi="Book Antiqua" w:cs="Book Antiqua"/>
          <w:color w:val="000000"/>
        </w:rPr>
        <w:t>Dhatariya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Dungan</w:t>
      </w:r>
      <w:proofErr w:type="spellEnd"/>
      <w:r>
        <w:rPr>
          <w:rFonts w:ascii="Book Antiqua" w:eastAsia="Book Antiqua" w:hAnsi="Book Antiqua" w:cs="Book Antiqua"/>
          <w:color w:val="000000"/>
        </w:rPr>
        <w:t xml:space="preserve"> K, Grossman A, </w:t>
      </w:r>
      <w:proofErr w:type="spellStart"/>
      <w:r>
        <w:rPr>
          <w:rFonts w:ascii="Book Antiqua" w:eastAsia="Book Antiqua" w:hAnsi="Book Antiqua" w:cs="Book Antiqua"/>
          <w:color w:val="000000"/>
        </w:rPr>
        <w:t>Hershman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Hofland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G, Koch C, Kopp P, </w:t>
      </w:r>
      <w:proofErr w:type="spellStart"/>
      <w:r>
        <w:rPr>
          <w:rFonts w:ascii="Book Antiqua" w:eastAsia="Book Antiqua" w:hAnsi="Book Antiqua" w:cs="Book Antiqua"/>
          <w:color w:val="000000"/>
        </w:rPr>
        <w:t>Korbonits</w:t>
      </w:r>
      <w:proofErr w:type="spellEnd"/>
      <w:r>
        <w:rPr>
          <w:rFonts w:ascii="Book Antiqua" w:eastAsia="Book Antiqua" w:hAnsi="Book Antiqua" w:cs="Book Antiqua"/>
          <w:color w:val="000000"/>
        </w:rPr>
        <w:t xml:space="preserve"> M, Kovacs CS, </w:t>
      </w:r>
      <w:proofErr w:type="spellStart"/>
      <w:r>
        <w:rPr>
          <w:rFonts w:ascii="Book Antiqua" w:eastAsia="Book Antiqua" w:hAnsi="Book Antiqua" w:cs="Book Antiqua"/>
          <w:color w:val="000000"/>
        </w:rPr>
        <w:t>Kuohung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Laferrère</w:t>
      </w:r>
      <w:proofErr w:type="spellEnd"/>
      <w:r>
        <w:rPr>
          <w:rFonts w:ascii="Book Antiqua" w:eastAsia="Book Antiqua" w:hAnsi="Book Antiqua" w:cs="Book Antiqua"/>
          <w:color w:val="000000"/>
        </w:rPr>
        <w:t xml:space="preserve"> B, McGee EA, McLachlan R, Morley JE, New M, </w:t>
      </w:r>
      <w:proofErr w:type="spellStart"/>
      <w:r>
        <w:rPr>
          <w:rFonts w:ascii="Book Antiqua" w:eastAsia="Book Antiqua" w:hAnsi="Book Antiqua" w:cs="Book Antiqua"/>
          <w:color w:val="000000"/>
        </w:rPr>
        <w:t>Purnell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Sahay</w:t>
      </w:r>
      <w:proofErr w:type="spellEnd"/>
      <w:r>
        <w:rPr>
          <w:rFonts w:ascii="Book Antiqua" w:eastAsia="Book Antiqua" w:hAnsi="Book Antiqua" w:cs="Book Antiqua"/>
          <w:color w:val="000000"/>
        </w:rPr>
        <w:t xml:space="preserve"> R, Singer F,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Trence</w:t>
      </w:r>
      <w:proofErr w:type="spellEnd"/>
      <w:r>
        <w:rPr>
          <w:rFonts w:ascii="Book Antiqua" w:eastAsia="Book Antiqua" w:hAnsi="Book Antiqua" w:cs="Book Antiqua"/>
          <w:color w:val="000000"/>
        </w:rPr>
        <w:t xml:space="preserve"> DL, Wilson DP. Gastrointestinal Disorders in Diabetes 2000 [PMID: 31986000]</w:t>
      </w:r>
    </w:p>
    <w:p w:rsidR="00A77B3E" w:rsidRDefault="0057096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Meldgaard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SS, Farmer AD, Krogh K, </w:t>
      </w:r>
      <w:proofErr w:type="spellStart"/>
      <w:r>
        <w:rPr>
          <w:rFonts w:ascii="Book Antiqua" w:eastAsia="Book Antiqua" w:hAnsi="Book Antiqua" w:cs="Book Antiqua"/>
          <w:color w:val="000000"/>
        </w:rPr>
        <w:t>Wendel</w:t>
      </w:r>
      <w:proofErr w:type="spellEnd"/>
      <w:r>
        <w:rPr>
          <w:rFonts w:ascii="Book Antiqua" w:eastAsia="Book Antiqua" w:hAnsi="Book Antiqua" w:cs="Book Antiqua"/>
          <w:color w:val="000000"/>
        </w:rPr>
        <w:t xml:space="preserve"> AA, Brock B,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Brock C. Diabetic </w:t>
      </w:r>
      <w:proofErr w:type="spellStart"/>
      <w:r>
        <w:rPr>
          <w:rFonts w:ascii="Book Antiqua" w:eastAsia="Book Antiqua" w:hAnsi="Book Antiqua" w:cs="Book Antiqua"/>
          <w:color w:val="000000"/>
        </w:rPr>
        <w:t>Enteropathy</w:t>
      </w:r>
      <w:proofErr w:type="spellEnd"/>
      <w:r>
        <w:rPr>
          <w:rFonts w:ascii="Book Antiqua" w:eastAsia="Book Antiqua" w:hAnsi="Book Antiqua" w:cs="Book Antiqua"/>
          <w:color w:val="000000"/>
        </w:rPr>
        <w:t xml:space="preserve">: From Molecule to Mechanism-Based Treatment.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3827301 [PMID: 30306092 DOI: 10.1155/2018/3827301]</w:t>
      </w:r>
    </w:p>
    <w:p w:rsidR="00A77B3E" w:rsidRDefault="0057096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Vijayvargiya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Jameie-Oskooei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Camilleri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Chedid</w:t>
      </w:r>
      <w:proofErr w:type="spellEnd"/>
      <w:r>
        <w:rPr>
          <w:rFonts w:ascii="Book Antiqua" w:eastAsia="Book Antiqua" w:hAnsi="Book Antiqua" w:cs="Book Antiqua"/>
          <w:color w:val="000000"/>
        </w:rPr>
        <w:t xml:space="preserve"> V, Erwin PJ, </w:t>
      </w:r>
      <w:proofErr w:type="spellStart"/>
      <w:r>
        <w:rPr>
          <w:rFonts w:ascii="Book Antiqua" w:eastAsia="Book Antiqua" w:hAnsi="Book Antiqua" w:cs="Book Antiqua"/>
          <w:color w:val="000000"/>
        </w:rPr>
        <w:t>Murad</w:t>
      </w:r>
      <w:proofErr w:type="spellEnd"/>
      <w:r>
        <w:rPr>
          <w:rFonts w:ascii="Book Antiqua" w:eastAsia="Book Antiqua" w:hAnsi="Book Antiqua" w:cs="Book Antiqua"/>
          <w:color w:val="000000"/>
        </w:rPr>
        <w:t xml:space="preserve"> MH. Association between delayed gastric emptying and upper gastrointestinal symptoms: a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804-813 [PMID: 29860241 DOI: 10.1136/gutjnl-2018-316405]</w:t>
      </w:r>
    </w:p>
    <w:p w:rsidR="00A77B3E" w:rsidRDefault="0057096A">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Aleppo G</w:t>
      </w:r>
      <w:r>
        <w:rPr>
          <w:rFonts w:ascii="Book Antiqua" w:eastAsia="Book Antiqua" w:hAnsi="Book Antiqua" w:cs="Book Antiqua"/>
          <w:color w:val="000000"/>
        </w:rPr>
        <w:t xml:space="preserve">, Calhoun P, Foster NC, </w:t>
      </w:r>
      <w:proofErr w:type="spellStart"/>
      <w:r>
        <w:rPr>
          <w:rFonts w:ascii="Book Antiqua" w:eastAsia="Book Antiqua" w:hAnsi="Book Antiqua" w:cs="Book Antiqua"/>
          <w:color w:val="000000"/>
        </w:rPr>
        <w:t>Maahs</w:t>
      </w:r>
      <w:proofErr w:type="spellEnd"/>
      <w:r>
        <w:rPr>
          <w:rFonts w:ascii="Book Antiqua" w:eastAsia="Book Antiqua" w:hAnsi="Book Antiqua" w:cs="Book Antiqua"/>
          <w:color w:val="000000"/>
        </w:rPr>
        <w:t xml:space="preserve"> DM, Shah VN, Miller KM; T1D Exchange Clinic Network.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Reported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in adults with type 1 diabetes (T1D) from the T1D Exchange clinic registry.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1669-1673 [PMID: 28989086 DOI: 10.1016/j.jdiacomp.2017.08.014]</w:t>
      </w:r>
    </w:p>
    <w:p w:rsidR="00A77B3E" w:rsidRDefault="0057096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Sommers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Mitsuhashi</w:t>
      </w:r>
      <w:proofErr w:type="spellEnd"/>
      <w:r>
        <w:rPr>
          <w:rFonts w:ascii="Book Antiqua" w:eastAsia="Book Antiqua" w:hAnsi="Book Antiqua" w:cs="Book Antiqua"/>
          <w:color w:val="000000"/>
        </w:rPr>
        <w:t xml:space="preserve"> S, Singh P, Hirsch W, </w:t>
      </w:r>
      <w:proofErr w:type="spellStart"/>
      <w:r>
        <w:rPr>
          <w:rFonts w:ascii="Book Antiqua" w:eastAsia="Book Antiqua" w:hAnsi="Book Antiqua" w:cs="Book Antiqua"/>
          <w:color w:val="000000"/>
        </w:rPr>
        <w:t>Katon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Ballou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V, Cheng V, Friedlander D, </w:t>
      </w:r>
      <w:proofErr w:type="spellStart"/>
      <w:r>
        <w:rPr>
          <w:rFonts w:ascii="Book Antiqua" w:eastAsia="Book Antiqua" w:hAnsi="Book Antiqua" w:cs="Book Antiqua"/>
          <w:color w:val="000000"/>
        </w:rPr>
        <w:t>Iturrino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 Nee J. Prevalence of Chronic Constipation and Chronic Diarrhea in Diabetic Individuals in the United States.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135-142 [PMID: 30410038 DOI: 10.1038/s41395-018-0418-8]</w:t>
      </w:r>
    </w:p>
    <w:p w:rsidR="00A77B3E" w:rsidRDefault="0057096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Mouli</w:t>
      </w:r>
      <w:proofErr w:type="spellEnd"/>
      <w:r>
        <w:rPr>
          <w:rFonts w:ascii="Book Antiqua" w:eastAsia="Book Antiqua" w:hAnsi="Book Antiqua" w:cs="Book Antiqua"/>
          <w:b/>
          <w:bCs/>
          <w:color w:val="000000"/>
        </w:rPr>
        <w:t xml:space="preserve">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Ahuja</w:t>
      </w:r>
      <w:proofErr w:type="spellEnd"/>
      <w:r>
        <w:rPr>
          <w:rFonts w:ascii="Book Antiqua" w:eastAsia="Book Antiqua" w:hAnsi="Book Antiqua" w:cs="Book Antiqua"/>
          <w:color w:val="000000"/>
        </w:rPr>
        <w:t xml:space="preserve"> V. Questionnaire based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disease (GERD) assessment scales.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108-117 [PMID: 21785994 DOI: 10.1007/s12664-011-0105-9]</w:t>
      </w:r>
    </w:p>
    <w:p w:rsidR="00A77B3E" w:rsidRDefault="0057096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Revicki</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Camilleri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Szarka</w:t>
      </w:r>
      <w:proofErr w:type="spellEnd"/>
      <w:r>
        <w:rPr>
          <w:rFonts w:ascii="Book Antiqua" w:eastAsia="Book Antiqua" w:hAnsi="Book Antiqua" w:cs="Book Antiqua"/>
          <w:color w:val="000000"/>
        </w:rPr>
        <w:t xml:space="preserve"> LA, McCormack J, Parkman HP. Evaluating symptom outcomes in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clinical trials: validity and responsiveness of the </w:t>
      </w:r>
      <w:proofErr w:type="spellStart"/>
      <w:r>
        <w:rPr>
          <w:rFonts w:ascii="Book Antiqua" w:eastAsia="Book Antiqua" w:hAnsi="Book Antiqua" w:cs="Book Antiqua"/>
          <w:color w:val="000000"/>
        </w:rPr>
        <w:lastRenderedPageBreak/>
        <w:t>Gastroparesis</w:t>
      </w:r>
      <w:proofErr w:type="spellEnd"/>
      <w:r>
        <w:rPr>
          <w:rFonts w:ascii="Book Antiqua" w:eastAsia="Book Antiqua" w:hAnsi="Book Antiqua" w:cs="Book Antiqua"/>
          <w:color w:val="000000"/>
        </w:rPr>
        <w:t xml:space="preserve"> Cardinal Symptom Index-Daily Diary (GCSI-DD).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456-463, e215-e216 [PMID: 22284754 DOI: 10.1111/j.1365-2982.2012.01879.x]</w:t>
      </w:r>
    </w:p>
    <w:p w:rsidR="00A77B3E" w:rsidRDefault="0057096A">
      <w:pPr>
        <w:spacing w:line="360" w:lineRule="auto"/>
        <w:jc w:val="both"/>
      </w:pPr>
      <w:proofErr w:type="gramStart"/>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Conway PM, </w:t>
      </w:r>
      <w:proofErr w:type="spellStart"/>
      <w:r>
        <w:rPr>
          <w:rFonts w:ascii="Book Antiqua" w:eastAsia="Book Antiqua" w:hAnsi="Book Antiqua" w:cs="Book Antiqua"/>
          <w:color w:val="000000"/>
        </w:rPr>
        <w:t>Basilisco</w:t>
      </w:r>
      <w:proofErr w:type="spellEnd"/>
      <w:r>
        <w:rPr>
          <w:rFonts w:ascii="Book Antiqua" w:eastAsia="Book Antiqua" w:hAnsi="Book Antiqua" w:cs="Book Antiqua"/>
          <w:color w:val="000000"/>
        </w:rPr>
        <w:t xml:space="preserve"> G; Laxative Inadequate Relief Survey (LIRS) Group.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Confirmatory factor analysis of the Patient Assessment of Constipation-Symptoms (PAC-SYM) among patients with chronic constipation.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Life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1597-1605 [PMID: 25522976 DOI: 10.1007/s11136-014-0886-2]</w:t>
      </w:r>
    </w:p>
    <w:p w:rsidR="00A77B3E" w:rsidRDefault="0057096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Alipour</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Khatib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Tabib</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Javadi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Jafari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Aghaghazvini</w:t>
      </w:r>
      <w:proofErr w:type="spellEnd"/>
      <w:r>
        <w:rPr>
          <w:rFonts w:ascii="Book Antiqua" w:eastAsia="Book Antiqua" w:hAnsi="Book Antiqua" w:cs="Book Antiqua"/>
          <w:color w:val="000000"/>
        </w:rPr>
        <w:t xml:space="preserve"> L, Mahmoud-</w:t>
      </w:r>
      <w:proofErr w:type="spellStart"/>
      <w:r>
        <w:rPr>
          <w:rFonts w:ascii="Book Antiqua" w:eastAsia="Book Antiqua" w:hAnsi="Book Antiqua" w:cs="Book Antiqua"/>
          <w:color w:val="000000"/>
        </w:rPr>
        <w:t>Pashazadeh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Nabipour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M. Assessment of the Prevalence of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and Validation of Gastric Emptying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 xml:space="preserve"> for Diagnosis.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Imaging </w:t>
      </w:r>
      <w:proofErr w:type="spellStart"/>
      <w:r>
        <w:rPr>
          <w:rFonts w:ascii="Book Antiqua" w:eastAsia="Book Antiqua" w:hAnsi="Book Antiqua" w:cs="Book Antiqua"/>
          <w:i/>
          <w:iCs/>
          <w:color w:val="000000"/>
        </w:rPr>
        <w:t>Radionucl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17-23 [PMID: 28291006 DOI: 10.4274/mirt.61587]</w:t>
      </w:r>
    </w:p>
    <w:p w:rsidR="00A77B3E" w:rsidRDefault="0057096A">
      <w:pPr>
        <w:spacing w:line="360" w:lineRule="auto"/>
        <w:jc w:val="both"/>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Farrell MB</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Gastric Emptying </w:t>
      </w:r>
      <w:proofErr w:type="spellStart"/>
      <w:r>
        <w:rPr>
          <w:rFonts w:ascii="Book Antiqua" w:eastAsia="Book Antiqua" w:hAnsi="Book Antiqua" w:cs="Book Antiqua"/>
          <w:color w:val="000000"/>
        </w:rPr>
        <w:t>Scintigraphy</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111-119 [PMID: 31167827 DOI: 10.2967/jnmt.117.227892]</w:t>
      </w:r>
    </w:p>
    <w:p w:rsidR="00A77B3E" w:rsidRDefault="0057096A">
      <w:pPr>
        <w:spacing w:line="360" w:lineRule="auto"/>
        <w:jc w:val="both"/>
      </w:pPr>
      <w:proofErr w:type="gramStart"/>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Camilleri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Clinical practice.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356</w:t>
      </w:r>
      <w:r>
        <w:rPr>
          <w:rFonts w:ascii="Book Antiqua" w:eastAsia="Book Antiqua" w:hAnsi="Book Antiqua" w:cs="Book Antiqua"/>
          <w:color w:val="000000"/>
        </w:rPr>
        <w:t>: 820-829 [PMID: 17314341 DOI: 10.1056/NEJMcp062614]</w:t>
      </w:r>
    </w:p>
    <w:p w:rsidR="00A77B3E" w:rsidRDefault="0057096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Farmer AD</w:t>
      </w:r>
      <w:r>
        <w:rPr>
          <w:rFonts w:ascii="Book Antiqua" w:eastAsia="Book Antiqua" w:hAnsi="Book Antiqua" w:cs="Book Antiqua"/>
          <w:color w:val="000000"/>
        </w:rPr>
        <w:t xml:space="preserve">, Pedersen AG, Brock B,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Karmisholt</w:t>
      </w:r>
      <w:proofErr w:type="spellEnd"/>
      <w:r>
        <w:rPr>
          <w:rFonts w:ascii="Book Antiqua" w:eastAsia="Book Antiqua" w:hAnsi="Book Antiqua" w:cs="Book Antiqua"/>
          <w:color w:val="000000"/>
        </w:rPr>
        <w:t xml:space="preserve"> J, Mohammed SD, Scott SM,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Brock C. Type 1 diabetic patients with peripheral neuropathy have pan-enteric prolongation of gastrointestinal transit times and an altered </w:t>
      </w:r>
      <w:proofErr w:type="spellStart"/>
      <w:r>
        <w:rPr>
          <w:rFonts w:ascii="Book Antiqua" w:eastAsia="Book Antiqua" w:hAnsi="Book Antiqua" w:cs="Book Antiqua"/>
          <w:color w:val="000000"/>
        </w:rPr>
        <w:t>caecal</w:t>
      </w:r>
      <w:proofErr w:type="spellEnd"/>
      <w:r>
        <w:rPr>
          <w:rFonts w:ascii="Book Antiqua" w:eastAsia="Book Antiqua" w:hAnsi="Book Antiqua" w:cs="Book Antiqua"/>
          <w:color w:val="000000"/>
        </w:rPr>
        <w:t xml:space="preserve"> pH profile.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709-718 [PMID: 28105520 DOI: 10.1007/s00125-016-4199-6]</w:t>
      </w:r>
    </w:p>
    <w:p w:rsidR="00A77B3E" w:rsidRDefault="0057096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Asha</w:t>
      </w:r>
      <w:proofErr w:type="spellEnd"/>
      <w:r>
        <w:rPr>
          <w:rFonts w:ascii="Book Antiqua" w:eastAsia="Book Antiqua" w:hAnsi="Book Antiqua" w:cs="Book Antiqua"/>
          <w:b/>
          <w:bCs/>
          <w:color w:val="000000"/>
        </w:rPr>
        <w:t xml:space="preserve"> MZ</w:t>
      </w:r>
      <w:r>
        <w:rPr>
          <w:rFonts w:ascii="Book Antiqua" w:eastAsia="Book Antiqua" w:hAnsi="Book Antiqua" w:cs="Book Antiqua"/>
          <w:color w:val="000000"/>
        </w:rPr>
        <w:t xml:space="preserve">, Khalil SFH. Pharmacological Approaches to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 systematic review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trials. </w:t>
      </w:r>
      <w:r>
        <w:rPr>
          <w:rFonts w:ascii="Book Antiqua" w:eastAsia="Book Antiqua" w:hAnsi="Book Antiqua" w:cs="Book Antiqua"/>
          <w:i/>
          <w:iCs/>
          <w:color w:val="000000"/>
        </w:rPr>
        <w:t xml:space="preserve">Sultan </w:t>
      </w:r>
      <w:proofErr w:type="spellStart"/>
      <w:r>
        <w:rPr>
          <w:rFonts w:ascii="Book Antiqua" w:eastAsia="Book Antiqua" w:hAnsi="Book Antiqua" w:cs="Book Antiqua"/>
          <w:i/>
          <w:iCs/>
          <w:color w:val="000000"/>
        </w:rPr>
        <w:t>Qaboos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e291-e304 [PMID: 31897312 DOI: 10.18295/SQUMJ.2019.19.04.004]</w:t>
      </w:r>
    </w:p>
    <w:p w:rsidR="00A77B3E" w:rsidRDefault="0057096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Careyva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Stello</w:t>
      </w:r>
      <w:proofErr w:type="spellEnd"/>
      <w:r>
        <w:rPr>
          <w:rFonts w:ascii="Book Antiqua" w:eastAsia="Book Antiqua" w:hAnsi="Book Antiqua" w:cs="Book Antiqua"/>
          <w:color w:val="000000"/>
        </w:rPr>
        <w:t xml:space="preserve"> B. Diabetes Mellitus: Management of Gastrointestinal Complications. </w:t>
      </w:r>
      <w:r>
        <w:rPr>
          <w:rFonts w:ascii="Book Antiqua" w:eastAsia="Book Antiqua" w:hAnsi="Book Antiqua" w:cs="Book Antiqua"/>
          <w:i/>
          <w:iCs/>
          <w:color w:val="000000"/>
        </w:rPr>
        <w:t xml:space="preserve">Am </w:t>
      </w:r>
      <w:proofErr w:type="spellStart"/>
      <w:proofErr w:type="gramStart"/>
      <w:r>
        <w:rPr>
          <w:rFonts w:ascii="Book Antiqua" w:eastAsia="Book Antiqua" w:hAnsi="Book Antiqua" w:cs="Book Antiqua"/>
          <w:i/>
          <w:iCs/>
          <w:color w:val="000000"/>
        </w:rPr>
        <w:t>Fam</w:t>
      </w:r>
      <w:proofErr w:type="spellEnd"/>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2016; </w:t>
      </w:r>
      <w:r>
        <w:rPr>
          <w:rFonts w:ascii="Book Antiqua" w:eastAsia="Book Antiqua" w:hAnsi="Book Antiqua" w:cs="Book Antiqua"/>
          <w:b/>
          <w:bCs/>
          <w:color w:val="000000"/>
        </w:rPr>
        <w:t>94</w:t>
      </w:r>
      <w:r>
        <w:rPr>
          <w:rFonts w:ascii="Book Antiqua" w:eastAsia="Book Antiqua" w:hAnsi="Book Antiqua" w:cs="Book Antiqua"/>
          <w:color w:val="000000"/>
        </w:rPr>
        <w:t>: 980-986 [PMID: 28075092]</w:t>
      </w:r>
    </w:p>
    <w:p w:rsidR="00A77B3E" w:rsidRDefault="0057096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Kedar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Nikitina</w:t>
      </w:r>
      <w:proofErr w:type="spellEnd"/>
      <w:r>
        <w:rPr>
          <w:rFonts w:ascii="Book Antiqua" w:eastAsia="Book Antiqua" w:hAnsi="Book Antiqua" w:cs="Book Antiqua"/>
          <w:color w:val="000000"/>
        </w:rPr>
        <w:t xml:space="preserve"> Y, Henry OR,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Vedanarayanan</w:t>
      </w:r>
      <w:proofErr w:type="spellEnd"/>
      <w:r>
        <w:rPr>
          <w:rFonts w:ascii="Book Antiqua" w:eastAsia="Book Antiqua" w:hAnsi="Book Antiqua" w:cs="Book Antiqua"/>
          <w:color w:val="000000"/>
        </w:rPr>
        <w:t xml:space="preserve"> V, Griswold ME, </w:t>
      </w:r>
      <w:proofErr w:type="spellStart"/>
      <w:r>
        <w:rPr>
          <w:rFonts w:ascii="Book Antiqua" w:eastAsia="Book Antiqua" w:hAnsi="Book Antiqua" w:cs="Book Antiqua"/>
          <w:color w:val="000000"/>
        </w:rPr>
        <w:t>Subramony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TL. Gastric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and low serum vitamin D levels in patients with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47-53 [PMID: 22956309 DOI: 10.1055/s-0032-1323689]</w:t>
      </w:r>
    </w:p>
    <w:p w:rsidR="00A77B3E" w:rsidRDefault="0057096A">
      <w:pPr>
        <w:spacing w:line="360" w:lineRule="auto"/>
        <w:jc w:val="both"/>
      </w:pPr>
      <w:proofErr w:type="gramStart"/>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Ajumobi</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Griffin RA.</w:t>
      </w:r>
      <w:proofErr w:type="gramEnd"/>
      <w:r>
        <w:rPr>
          <w:rFonts w:ascii="Book Antiqua" w:eastAsia="Book Antiqua" w:hAnsi="Book Antiqua" w:cs="Book Antiqua"/>
          <w:color w:val="000000"/>
        </w:rPr>
        <w:t xml:space="preserve">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evaluation and management. </w:t>
      </w:r>
      <w:proofErr w:type="spellStart"/>
      <w:r w:rsidRPr="00503B19">
        <w:rPr>
          <w:rFonts w:ascii="Book Antiqua" w:eastAsia="Book Antiqua" w:hAnsi="Book Antiqua" w:cs="Book Antiqua"/>
          <w:i/>
          <w:color w:val="000000"/>
        </w:rPr>
        <w:t>Hosp</w:t>
      </w:r>
      <w:proofErr w:type="spellEnd"/>
      <w:r w:rsidRPr="00503B19">
        <w:rPr>
          <w:rFonts w:ascii="Book Antiqua" w:eastAsia="Book Antiqua" w:hAnsi="Book Antiqua" w:cs="Book Antiqua"/>
          <w:i/>
          <w:color w:val="000000"/>
        </w:rPr>
        <w:t xml:space="preserve"> Physician</w:t>
      </w:r>
      <w:r>
        <w:rPr>
          <w:rFonts w:ascii="Book Antiqua" w:eastAsia="Book Antiqua" w:hAnsi="Book Antiqua" w:cs="Book Antiqua"/>
          <w:color w:val="000000"/>
        </w:rPr>
        <w:t xml:space="preserve"> 2008;</w:t>
      </w:r>
      <w:r w:rsidR="00503B19">
        <w:rPr>
          <w:rFonts w:ascii="Book Antiqua" w:eastAsia="Book Antiqua" w:hAnsi="Book Antiqua" w:cs="Book Antiqua"/>
          <w:color w:val="000000"/>
        </w:rPr>
        <w:t xml:space="preserve"> </w:t>
      </w:r>
      <w:r w:rsidRPr="00503B19">
        <w:rPr>
          <w:rFonts w:ascii="Book Antiqua" w:eastAsia="Book Antiqua" w:hAnsi="Book Antiqua" w:cs="Book Antiqua"/>
          <w:b/>
          <w:color w:val="000000"/>
        </w:rPr>
        <w:t>44</w:t>
      </w:r>
      <w:r>
        <w:rPr>
          <w:rFonts w:ascii="Book Antiqua" w:eastAsia="Book Antiqua" w:hAnsi="Book Antiqua" w:cs="Book Antiqua"/>
          <w:color w:val="000000"/>
        </w:rPr>
        <w:t>:</w:t>
      </w:r>
      <w:r w:rsidR="00503B19">
        <w:rPr>
          <w:rFonts w:ascii="Book Antiqua" w:eastAsia="Book Antiqua" w:hAnsi="Book Antiqua" w:cs="Book Antiqua"/>
          <w:color w:val="000000"/>
        </w:rPr>
        <w:t xml:space="preserve"> </w:t>
      </w:r>
      <w:r>
        <w:rPr>
          <w:rFonts w:ascii="Book Antiqua" w:eastAsia="Book Antiqua" w:hAnsi="Book Antiqua" w:cs="Book Antiqua"/>
          <w:color w:val="000000"/>
        </w:rPr>
        <w:t>27</w:t>
      </w:r>
      <w:r w:rsidR="00503B19">
        <w:rPr>
          <w:rFonts w:ascii="Book Antiqua" w:eastAsia="Book Antiqua" w:hAnsi="Book Antiqua" w:cs="Book Antiqua"/>
          <w:color w:val="000000"/>
        </w:rPr>
        <w:t>-</w:t>
      </w:r>
      <w:r>
        <w:rPr>
          <w:rFonts w:ascii="Book Antiqua" w:eastAsia="Book Antiqua" w:hAnsi="Book Antiqua" w:cs="Book Antiqua"/>
          <w:color w:val="000000"/>
        </w:rPr>
        <w:t>35 [DOI: 10.12968/hmed.2012.73.8.451]</w:t>
      </w:r>
    </w:p>
    <w:p w:rsidR="00A77B3E" w:rsidRDefault="0057096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Olausson</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Störsrud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Grundin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Isaksson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Attvall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A small particle size diet reduces upper gastrointestinal symptoms in 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 randomized controlled trial.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375-385 [PMID: 24419482 DOI: 10.1038/ajg.2013.453]</w:t>
      </w:r>
    </w:p>
    <w:p w:rsidR="00A77B3E" w:rsidRDefault="0057096A">
      <w:pPr>
        <w:spacing w:line="360" w:lineRule="auto"/>
        <w:jc w:val="both"/>
      </w:pPr>
      <w:proofErr w:type="gramStart"/>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Jalleh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Marathe</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Rayner</w:t>
      </w:r>
      <w:proofErr w:type="spellEnd"/>
      <w:r>
        <w:rPr>
          <w:rFonts w:ascii="Book Antiqua" w:eastAsia="Book Antiqua" w:hAnsi="Book Antiqua" w:cs="Book Antiqua"/>
          <w:color w:val="000000"/>
        </w:rPr>
        <w:t xml:space="preserve"> CK, Jones KL, Horowitz M.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153 [PMID: 31792708 DOI: 10.1007/s11892-019-1281-8]</w:t>
      </w:r>
    </w:p>
    <w:p w:rsidR="00A77B3E" w:rsidRDefault="0057096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Parkman HP</w:t>
      </w:r>
      <w:r>
        <w:rPr>
          <w:rFonts w:ascii="Book Antiqua" w:eastAsia="Book Antiqua" w:hAnsi="Book Antiqua" w:cs="Book Antiqua"/>
          <w:color w:val="000000"/>
        </w:rPr>
        <w:t xml:space="preserve">, Yates KP, </w:t>
      </w:r>
      <w:proofErr w:type="spellStart"/>
      <w:r>
        <w:rPr>
          <w:rFonts w:ascii="Book Antiqua" w:eastAsia="Book Antiqua" w:hAnsi="Book Antiqua" w:cs="Book Antiqua"/>
          <w:color w:val="000000"/>
        </w:rPr>
        <w:t>Hasler</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Nguyan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Snape</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Farrugia</w:t>
      </w:r>
      <w:proofErr w:type="spellEnd"/>
      <w:r>
        <w:rPr>
          <w:rFonts w:ascii="Book Antiqua" w:eastAsia="Book Antiqua" w:hAnsi="Book Antiqua" w:cs="Book Antiqua"/>
          <w:color w:val="000000"/>
        </w:rPr>
        <w:t xml:space="preserve"> G, Calles J, Koch KL,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TL, McCallum RW, </w:t>
      </w:r>
      <w:proofErr w:type="spellStart"/>
      <w:r>
        <w:rPr>
          <w:rFonts w:ascii="Book Antiqua" w:eastAsia="Book Antiqua" w:hAnsi="Book Antiqua" w:cs="Book Antiqua"/>
          <w:color w:val="000000"/>
        </w:rPr>
        <w:t>Petito</w:t>
      </w:r>
      <w:proofErr w:type="spellEnd"/>
      <w:r>
        <w:rPr>
          <w:rFonts w:ascii="Book Antiqua" w:eastAsia="Book Antiqua" w:hAnsi="Book Antiqua" w:cs="Book Antiqua"/>
          <w:color w:val="000000"/>
        </w:rPr>
        <w:t xml:space="preserve"> D, Parrish CR, Duffy F, Lee L, </w:t>
      </w:r>
      <w:proofErr w:type="spellStart"/>
      <w:r>
        <w:rPr>
          <w:rFonts w:ascii="Book Antiqua" w:eastAsia="Book Antiqua" w:hAnsi="Book Antiqua" w:cs="Book Antiqua"/>
          <w:color w:val="000000"/>
        </w:rPr>
        <w:t>Unalp-Arida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Hamilton F; NIDDK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Clinical Research Consortium. </w:t>
      </w:r>
      <w:proofErr w:type="gramStart"/>
      <w:r>
        <w:rPr>
          <w:rFonts w:ascii="Book Antiqua" w:eastAsia="Book Antiqua" w:hAnsi="Book Antiqua" w:cs="Book Antiqua"/>
          <w:color w:val="000000"/>
        </w:rPr>
        <w:t xml:space="preserve">Dietary intake and nutritional deficiencies in patients with diabetic or idiopathic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486-498, 498.e1-498.e7 [PMID: 21684286 DOI: 10.1053/j.gastro.2011.04.045]</w:t>
      </w:r>
    </w:p>
    <w:p w:rsidR="00A77B3E" w:rsidRDefault="0057096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American Diabetes Association</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3. Prevention or Delay of Type 2 Diabetes: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S32-S36 [PMID: 31862746 DOI: 10.2337/dc20-S003]</w:t>
      </w:r>
    </w:p>
    <w:p w:rsidR="00A77B3E" w:rsidRDefault="0057096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Bennett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Maruthur</w:t>
      </w:r>
      <w:proofErr w:type="spellEnd"/>
      <w:r>
        <w:rPr>
          <w:rFonts w:ascii="Book Antiqua" w:eastAsia="Book Antiqua" w:hAnsi="Book Antiqua" w:cs="Book Antiqua"/>
          <w:color w:val="000000"/>
        </w:rPr>
        <w:t xml:space="preserve"> NM, Singh S, Segal JB, Wilson LM, </w:t>
      </w:r>
      <w:proofErr w:type="spellStart"/>
      <w:r>
        <w:rPr>
          <w:rFonts w:ascii="Book Antiqua" w:eastAsia="Book Antiqua" w:hAnsi="Book Antiqua" w:cs="Book Antiqua"/>
          <w:color w:val="000000"/>
        </w:rPr>
        <w:t>Chatterjee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Marinopoulos</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Puhan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Ranasinghe</w:t>
      </w:r>
      <w:proofErr w:type="spellEnd"/>
      <w:r>
        <w:rPr>
          <w:rFonts w:ascii="Book Antiqua" w:eastAsia="Book Antiqua" w:hAnsi="Book Antiqua" w:cs="Book Antiqua"/>
          <w:color w:val="000000"/>
        </w:rPr>
        <w:t xml:space="preserve"> P, Block L, Nicholson WK, </w:t>
      </w:r>
      <w:proofErr w:type="spellStart"/>
      <w:r>
        <w:rPr>
          <w:rFonts w:ascii="Book Antiqua" w:eastAsia="Book Antiqua" w:hAnsi="Book Antiqua" w:cs="Book Antiqua"/>
          <w:color w:val="000000"/>
        </w:rPr>
        <w:t>Hutfless</w:t>
      </w:r>
      <w:proofErr w:type="spellEnd"/>
      <w:r>
        <w:rPr>
          <w:rFonts w:ascii="Book Antiqua" w:eastAsia="Book Antiqua" w:hAnsi="Book Antiqua" w:cs="Book Antiqua"/>
          <w:color w:val="000000"/>
        </w:rPr>
        <w:t xml:space="preserve"> S, Bass EB, Bolen S. Comparative effectiveness and safety of medications for type 2 diabetes: an update including new drugs and 2-drug combinations.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154</w:t>
      </w:r>
      <w:r>
        <w:rPr>
          <w:rFonts w:ascii="Book Antiqua" w:eastAsia="Book Antiqua" w:hAnsi="Book Antiqua" w:cs="Book Antiqua"/>
          <w:color w:val="000000"/>
        </w:rPr>
        <w:t>: 602-613 [PMID: 21403054 DOI: 10.7326/0003-4819-154-9-201105030-00336]</w:t>
      </w:r>
    </w:p>
    <w:p w:rsidR="00A77B3E" w:rsidRDefault="0057096A">
      <w:pPr>
        <w:spacing w:line="360" w:lineRule="auto"/>
        <w:jc w:val="both"/>
      </w:pPr>
      <w:proofErr w:type="gramStart"/>
      <w:r>
        <w:rPr>
          <w:rFonts w:ascii="Book Antiqua" w:eastAsia="Book Antiqua" w:hAnsi="Book Antiqua" w:cs="Book Antiqua"/>
          <w:color w:val="000000"/>
        </w:rPr>
        <w:t xml:space="preserve">48 </w:t>
      </w:r>
      <w:r>
        <w:rPr>
          <w:rFonts w:ascii="Book Antiqua" w:eastAsia="Book Antiqua" w:hAnsi="Book Antiqua" w:cs="Book Antiqua"/>
          <w:b/>
          <w:bCs/>
          <w:color w:val="000000"/>
        </w:rPr>
        <w:t>Sharma D</w:t>
      </w:r>
      <w:r>
        <w:rPr>
          <w:rFonts w:ascii="Book Antiqua" w:eastAsia="Book Antiqua" w:hAnsi="Book Antiqua" w:cs="Book Antiqua"/>
          <w:color w:val="000000"/>
        </w:rPr>
        <w:t xml:space="preserve">, Morrison G, Joseph F, </w:t>
      </w:r>
      <w:proofErr w:type="spellStart"/>
      <w:r>
        <w:rPr>
          <w:rFonts w:ascii="Book Antiqua" w:eastAsia="Book Antiqua" w:hAnsi="Book Antiqua" w:cs="Book Antiqua"/>
          <w:color w:val="000000"/>
        </w:rPr>
        <w:t>Purewal</w:t>
      </w:r>
      <w:proofErr w:type="spellEnd"/>
      <w:r>
        <w:rPr>
          <w:rFonts w:ascii="Book Antiqua" w:eastAsia="Book Antiqua" w:hAnsi="Book Antiqua" w:cs="Book Antiqua"/>
          <w:color w:val="000000"/>
        </w:rPr>
        <w:t xml:space="preserve"> TS, Weston PJ.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role of continuous subcutaneous insulin infusion therapy in patients with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2768-2770 [PMID: 21842427 DOI: 10.1007/s00125-011-2282-6]</w:t>
      </w:r>
    </w:p>
    <w:p w:rsidR="00A77B3E" w:rsidRDefault="0057096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Patterson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 Rothstein R, Koch K, Barnett J. </w:t>
      </w:r>
      <w:proofErr w:type="gramStart"/>
      <w:r>
        <w:rPr>
          <w:rFonts w:ascii="Book Antiqua" w:eastAsia="Book Antiqua" w:hAnsi="Book Antiqua" w:cs="Book Antiqua"/>
          <w:color w:val="000000"/>
        </w:rPr>
        <w:t xml:space="preserve">A double-blind multicenter comparison of </w:t>
      </w:r>
      <w:proofErr w:type="spellStart"/>
      <w:r>
        <w:rPr>
          <w:rFonts w:ascii="Book Antiqua" w:eastAsia="Book Antiqua" w:hAnsi="Book Antiqua" w:cs="Book Antiqua"/>
          <w:color w:val="000000"/>
        </w:rPr>
        <w:t>domperidone</w:t>
      </w:r>
      <w:proofErr w:type="spellEnd"/>
      <w:r>
        <w:rPr>
          <w:rFonts w:ascii="Book Antiqua" w:eastAsia="Book Antiqua" w:hAnsi="Book Antiqua" w:cs="Book Antiqua"/>
          <w:color w:val="000000"/>
        </w:rPr>
        <w:t xml:space="preserve"> and metoclopramide in the treatment of diabetic patients </w:t>
      </w:r>
      <w:r>
        <w:rPr>
          <w:rFonts w:ascii="Book Antiqua" w:eastAsia="Book Antiqua" w:hAnsi="Book Antiqua" w:cs="Book Antiqua"/>
          <w:color w:val="000000"/>
        </w:rPr>
        <w:lastRenderedPageBreak/>
        <w:t xml:space="preserve">with symptoms of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1230-1234 [PMID: 10235199 DOI: 10.1111/j.1572-0241.1999.00456.x]</w:t>
      </w:r>
    </w:p>
    <w:p w:rsidR="00A77B3E" w:rsidRDefault="0057096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Lacy BE</w:t>
      </w:r>
      <w:r>
        <w:rPr>
          <w:rFonts w:ascii="Book Antiqua" w:eastAsia="Book Antiqua" w:hAnsi="Book Antiqua" w:cs="Book Antiqua"/>
          <w:color w:val="000000"/>
        </w:rPr>
        <w:t xml:space="preserve">, Crowell MD, </w:t>
      </w:r>
      <w:proofErr w:type="spellStart"/>
      <w:r>
        <w:rPr>
          <w:rFonts w:ascii="Book Antiqua" w:eastAsia="Book Antiqua" w:hAnsi="Book Antiqua" w:cs="Book Antiqua"/>
          <w:color w:val="000000"/>
        </w:rPr>
        <w:t>Schettler</w:t>
      </w:r>
      <w:proofErr w:type="spellEnd"/>
      <w:r>
        <w:rPr>
          <w:rFonts w:ascii="Book Antiqua" w:eastAsia="Book Antiqua" w:hAnsi="Book Antiqua" w:cs="Book Antiqua"/>
          <w:color w:val="000000"/>
        </w:rPr>
        <w:t xml:space="preserve">-Duncan A, Mathis C,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w:t>
      </w:r>
      <w:proofErr w:type="gramStart"/>
      <w:r>
        <w:rPr>
          <w:rFonts w:ascii="Book Antiqua" w:eastAsia="Book Antiqua" w:hAnsi="Book Antiqua" w:cs="Book Antiqua"/>
          <w:color w:val="000000"/>
        </w:rPr>
        <w:t xml:space="preserve">The treatment of diabetic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botulinum</w:t>
      </w:r>
      <w:proofErr w:type="spellEnd"/>
      <w:r>
        <w:rPr>
          <w:rFonts w:ascii="Book Antiqua" w:eastAsia="Book Antiqua" w:hAnsi="Book Antiqua" w:cs="Book Antiqua"/>
          <w:color w:val="000000"/>
        </w:rPr>
        <w:t xml:space="preserve"> toxin injection of the pylorus.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2341-2347 [PMID: 15451898 DOI: 10.2337/diacare.27.10.2341]</w:t>
      </w:r>
    </w:p>
    <w:p w:rsidR="00A77B3E" w:rsidRDefault="0057096A">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Mekaroonkamol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Li LY, Dacha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Keilin</w:t>
      </w:r>
      <w:proofErr w:type="spellEnd"/>
      <w:r>
        <w:rPr>
          <w:rFonts w:ascii="Book Antiqua" w:eastAsia="Book Antiqua" w:hAnsi="Book Antiqua" w:cs="Book Antiqua"/>
          <w:color w:val="000000"/>
        </w:rPr>
        <w:t xml:space="preserve"> SD, Willingham FF,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Gastric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pyloromyotomy</w:t>
      </w:r>
      <w:proofErr w:type="spellEnd"/>
      <w:r>
        <w:rPr>
          <w:rFonts w:ascii="Book Antiqua" w:eastAsia="Book Antiqua" w:hAnsi="Book Antiqua" w:cs="Book Antiqua"/>
          <w:color w:val="000000"/>
        </w:rPr>
        <w:t xml:space="preserve"> (G-POEM) as a salvage therapy for refractory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a case series of different subtypes.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1272-1277 [PMID: 27197717 DOI: 10.1111/nmo.12854]</w:t>
      </w:r>
    </w:p>
    <w:p w:rsidR="00A77B3E" w:rsidRDefault="0057096A">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Abell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McCallum R, Hocking M, Koch K, </w:t>
      </w:r>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H, Leblanc I, Lindberg G,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J, Nowak T, Quigley EM, </w:t>
      </w:r>
      <w:proofErr w:type="spellStart"/>
      <w:r>
        <w:rPr>
          <w:rFonts w:ascii="Book Antiqua" w:eastAsia="Book Antiqua" w:hAnsi="Book Antiqua" w:cs="Book Antiqua"/>
          <w:color w:val="000000"/>
        </w:rPr>
        <w:t>Tougas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Starkebaum</w:t>
      </w:r>
      <w:proofErr w:type="spellEnd"/>
      <w:r>
        <w:rPr>
          <w:rFonts w:ascii="Book Antiqua" w:eastAsia="Book Antiqua" w:hAnsi="Book Antiqua" w:cs="Book Antiqua"/>
          <w:color w:val="000000"/>
        </w:rPr>
        <w:t xml:space="preserve"> W. Gastric electrical stimulation for medically refractory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421-428 [PMID: 12891544 DOI: 10.1016/s0016-5085(03)00878-3]</w:t>
      </w:r>
    </w:p>
    <w:p w:rsidR="00A77B3E" w:rsidRDefault="0057096A">
      <w:pPr>
        <w:spacing w:line="360" w:lineRule="auto"/>
        <w:jc w:val="both"/>
      </w:pPr>
      <w:proofErr w:type="gramStart"/>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Abell</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Johnson WD, </w:t>
      </w:r>
      <w:proofErr w:type="spellStart"/>
      <w:r>
        <w:rPr>
          <w:rFonts w:ascii="Book Antiqua" w:eastAsia="Book Antiqua" w:hAnsi="Book Antiqua" w:cs="Book Antiqua"/>
          <w:color w:val="000000"/>
        </w:rPr>
        <w:t>Kedar</w:t>
      </w:r>
      <w:proofErr w:type="spellEnd"/>
      <w:r>
        <w:rPr>
          <w:rFonts w:ascii="Book Antiqua" w:eastAsia="Book Antiqua" w:hAnsi="Book Antiqua" w:cs="Book Antiqua"/>
          <w:color w:val="000000"/>
        </w:rPr>
        <w:t xml:space="preserve"> A, Runnels JM, Thompson J, Weeks ES, </w:t>
      </w:r>
      <w:proofErr w:type="spellStart"/>
      <w:r>
        <w:rPr>
          <w:rFonts w:ascii="Book Antiqua" w:eastAsia="Book Antiqua" w:hAnsi="Book Antiqua" w:cs="Book Antiqua"/>
          <w:color w:val="000000"/>
        </w:rPr>
        <w:t>Minocha</w:t>
      </w:r>
      <w:proofErr w:type="spellEnd"/>
      <w:r>
        <w:rPr>
          <w:rFonts w:ascii="Book Antiqua" w:eastAsia="Book Antiqua" w:hAnsi="Book Antiqua" w:cs="Book Antiqua"/>
          <w:color w:val="000000"/>
        </w:rPr>
        <w:t xml:space="preserve"> A, Griswold ME.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double-masked, randomized, placebo-controlled trial of temporary endoscopic mucosal gastric electrical stimulation for </w:t>
      </w:r>
      <w:proofErr w:type="spellStart"/>
      <w:r>
        <w:rPr>
          <w:rFonts w:ascii="Book Antiqua" w:eastAsia="Book Antiqua" w:hAnsi="Book Antiqua" w:cs="Book Antiqua"/>
          <w:color w:val="000000"/>
        </w:rPr>
        <w:t>gastroparesis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496-503.e3 [PMID: 21872708 DOI: 10.1016/j.gie.2011.05.022]</w:t>
      </w:r>
    </w:p>
    <w:p w:rsidR="00A77B3E" w:rsidRDefault="0057096A">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Lysy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Israeli E, </w:t>
      </w:r>
      <w:proofErr w:type="spellStart"/>
      <w:r>
        <w:rPr>
          <w:rFonts w:ascii="Book Antiqua" w:eastAsia="Book Antiqua" w:hAnsi="Book Antiqua" w:cs="Book Antiqua"/>
          <w:color w:val="000000"/>
        </w:rPr>
        <w:t>Goldin</w:t>
      </w:r>
      <w:proofErr w:type="spellEnd"/>
      <w:r>
        <w:rPr>
          <w:rFonts w:ascii="Book Antiqua" w:eastAsia="Book Antiqua" w:hAnsi="Book Antiqua" w:cs="Book Antiqua"/>
          <w:color w:val="000000"/>
        </w:rPr>
        <w:t xml:space="preserve"> E. </w:t>
      </w:r>
      <w:proofErr w:type="gramStart"/>
      <w:r>
        <w:rPr>
          <w:rFonts w:ascii="Book Antiqua" w:eastAsia="Book Antiqua" w:hAnsi="Book Antiqua" w:cs="Book Antiqua"/>
          <w:color w:val="000000"/>
        </w:rPr>
        <w:t>The prevalence of chronic diarrhea among diabetic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2165-2170 [PMID: 10445544 DOI: 10.1111/j.1572-0241.1999.01289.x]</w:t>
      </w:r>
    </w:p>
    <w:p w:rsidR="00A77B3E" w:rsidRDefault="0057096A">
      <w:pPr>
        <w:spacing w:line="360" w:lineRule="auto"/>
        <w:jc w:val="both"/>
      </w:pPr>
      <w:proofErr w:type="gramStart"/>
      <w:r>
        <w:rPr>
          <w:rFonts w:ascii="Book Antiqua" w:eastAsia="Book Antiqua" w:hAnsi="Book Antiqua" w:cs="Book Antiqua"/>
          <w:color w:val="000000"/>
        </w:rPr>
        <w:t xml:space="preserve">55 </w:t>
      </w:r>
      <w:r>
        <w:rPr>
          <w:rFonts w:ascii="Book Antiqua" w:eastAsia="Book Antiqua" w:hAnsi="Book Antiqua" w:cs="Book Antiqua"/>
          <w:b/>
          <w:bCs/>
          <w:color w:val="000000"/>
        </w:rPr>
        <w:t>Pimentel M</w:t>
      </w:r>
      <w:r>
        <w:rPr>
          <w:rFonts w:ascii="Book Antiqua" w:eastAsia="Book Antiqua" w:hAnsi="Book Antiqua" w:cs="Book Antiqua"/>
          <w:color w:val="000000"/>
        </w:rPr>
        <w:t xml:space="preserve">. Review of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as treatment for SIBO and IBS.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349-358 [PMID: 19243285 DOI: 10.1517/13543780902780175]</w:t>
      </w:r>
    </w:p>
    <w:p w:rsidR="00A77B3E" w:rsidRDefault="0057096A">
      <w:pPr>
        <w:spacing w:line="360" w:lineRule="auto"/>
        <w:jc w:val="both"/>
      </w:pPr>
      <w:proofErr w:type="gramStart"/>
      <w:r>
        <w:rPr>
          <w:rFonts w:ascii="Book Antiqua" w:eastAsia="Book Antiqua" w:hAnsi="Book Antiqua" w:cs="Book Antiqua"/>
          <w:color w:val="000000"/>
        </w:rPr>
        <w:t xml:space="preserve">56 </w:t>
      </w:r>
      <w:r>
        <w:rPr>
          <w:rFonts w:ascii="Book Antiqua" w:eastAsia="Book Antiqua" w:hAnsi="Book Antiqua" w:cs="Book Antiqua"/>
          <w:b/>
          <w:bCs/>
          <w:color w:val="000000"/>
        </w:rPr>
        <w:t>Ebert EC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Gastrointestinal complications of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 Mon</w:t>
      </w:r>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620-663 [PMID: 16458726 DOI: 10.1016/j.disamonth.2005.11.002]</w:t>
      </w:r>
    </w:p>
    <w:p w:rsidR="00A77B3E" w:rsidRDefault="0057096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Noureddin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Mohsen J, </w:t>
      </w:r>
      <w:proofErr w:type="spellStart"/>
      <w:r>
        <w:rPr>
          <w:rFonts w:ascii="Book Antiqua" w:eastAsia="Book Antiqua" w:hAnsi="Book Antiqua" w:cs="Book Antiqua"/>
          <w:color w:val="000000"/>
        </w:rPr>
        <w:t>Payman</w:t>
      </w:r>
      <w:proofErr w:type="spellEnd"/>
      <w:r>
        <w:rPr>
          <w:rFonts w:ascii="Book Antiqua" w:eastAsia="Book Antiqua" w:hAnsi="Book Antiqua" w:cs="Book Antiqua"/>
          <w:color w:val="000000"/>
        </w:rPr>
        <w:t xml:space="preserve"> A. Effects of </w:t>
      </w:r>
      <w:proofErr w:type="spellStart"/>
      <w:r>
        <w:rPr>
          <w:rFonts w:ascii="Book Antiqua" w:eastAsia="Book Antiqua" w:hAnsi="Book Antiqua" w:cs="Book Antiqua"/>
          <w:color w:val="000000"/>
        </w:rPr>
        <w:t>psyllium</w:t>
      </w:r>
      <w:proofErr w:type="spellEnd"/>
      <w:r>
        <w:rPr>
          <w:rFonts w:ascii="Book Antiqua" w:eastAsia="Book Antiqua" w:hAnsi="Book Antiqua" w:cs="Book Antiqua"/>
          <w:color w:val="000000"/>
        </w:rPr>
        <w:t xml:space="preserve"> vs. placebo on constipation, weight,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lipids: A randomized trial in patients with type 2 diabetes and chronic constipation.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1-7 [PMID: 30219432 DOI: 10.1016/j.ctim.2018.07.004]</w:t>
      </w:r>
    </w:p>
    <w:p w:rsidR="00A77B3E" w:rsidRDefault="0057096A">
      <w:pPr>
        <w:spacing w:line="360" w:lineRule="auto"/>
        <w:jc w:val="both"/>
      </w:pPr>
      <w:proofErr w:type="gramStart"/>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Soltanian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Janghorbani</w:t>
      </w:r>
      <w:proofErr w:type="spellEnd"/>
      <w:r>
        <w:rPr>
          <w:rFonts w:ascii="Book Antiqua" w:eastAsia="Book Antiqua" w:hAnsi="Book Antiqua" w:cs="Book Antiqua"/>
          <w:color w:val="000000"/>
        </w:rPr>
        <w:t xml:space="preserve"> 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randomized trial of the effects of flaxseed to manage constipation, weight,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and lipids in constipated patients with type 2 diabetes.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36 [PMID: 29760761 DOI: 10.1186/s12986-018-0273-z]</w:t>
      </w:r>
    </w:p>
    <w:p w:rsidR="00A77B3E" w:rsidRDefault="0057096A">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Christie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Shroff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Shahnavaz</w:t>
      </w:r>
      <w:proofErr w:type="spellEnd"/>
      <w:r>
        <w:rPr>
          <w:rFonts w:ascii="Book Antiqua" w:eastAsia="Book Antiqua" w:hAnsi="Book Antiqua" w:cs="Book Antiqua"/>
          <w:color w:val="000000"/>
        </w:rPr>
        <w:t xml:space="preserve"> N, Carter LA, Harrison MS, Dietz-</w:t>
      </w:r>
      <w:proofErr w:type="spellStart"/>
      <w:r>
        <w:rPr>
          <w:rFonts w:ascii="Book Antiqua" w:eastAsia="Book Antiqua" w:hAnsi="Book Antiqua" w:cs="Book Antiqua"/>
          <w:color w:val="000000"/>
        </w:rPr>
        <w:t>Lindo</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Hanfelt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Srinivasan</w:t>
      </w:r>
      <w:proofErr w:type="spellEnd"/>
      <w:r>
        <w:rPr>
          <w:rFonts w:ascii="Book Antiqua" w:eastAsia="Book Antiqua" w:hAnsi="Book Antiqua" w:cs="Book Antiqua"/>
          <w:color w:val="000000"/>
        </w:rPr>
        <w:t xml:space="preserve"> S.</w:t>
      </w:r>
      <w:proofErr w:type="gramEnd"/>
      <w:r>
        <w:rPr>
          <w:rFonts w:ascii="Book Antiqua" w:eastAsia="Book Antiqua" w:hAnsi="Book Antiqua" w:cs="Book Antiqua"/>
          <w:color w:val="000000"/>
        </w:rPr>
        <w:t xml:space="preserve"> A Randomized, Double-Blind, Placebo-Controlled Trial to Examine the Effectiveness of </w:t>
      </w:r>
      <w:proofErr w:type="spellStart"/>
      <w:r>
        <w:rPr>
          <w:rFonts w:ascii="Book Antiqua" w:eastAsia="Book Antiqua" w:hAnsi="Book Antiqua" w:cs="Book Antiqua"/>
          <w:color w:val="000000"/>
        </w:rPr>
        <w:t>Lubiprostone</w:t>
      </w:r>
      <w:proofErr w:type="spellEnd"/>
      <w:r>
        <w:rPr>
          <w:rFonts w:ascii="Book Antiqua" w:eastAsia="Book Antiqua" w:hAnsi="Book Antiqua" w:cs="Book Antiqua"/>
          <w:color w:val="000000"/>
        </w:rPr>
        <w:t xml:space="preserve"> on Constipation Symptoms and Colon Transit Time in Diabetic Patients.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356-364 [PMID: 27922028 DOI: 10.1038/ajg.2016.531]</w:t>
      </w:r>
    </w:p>
    <w:p w:rsidR="00A77B3E" w:rsidRDefault="0057096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Haas S</w:t>
      </w:r>
      <w:r>
        <w:rPr>
          <w:rFonts w:ascii="Book Antiqua" w:eastAsia="Book Antiqua" w:hAnsi="Book Antiqua" w:cs="Book Antiqua"/>
          <w:color w:val="000000"/>
        </w:rPr>
        <w:t xml:space="preserve">, Brock C, Krogh K, Gram M, </w:t>
      </w:r>
      <w:proofErr w:type="spellStart"/>
      <w:r>
        <w:rPr>
          <w:rFonts w:ascii="Book Antiqua" w:eastAsia="Book Antiqua" w:hAnsi="Book Antiqua" w:cs="Book Antiqua"/>
          <w:color w:val="000000"/>
        </w:rPr>
        <w:t>Lundby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Does Sacral Nerve Stimulation Improve Continence Through Enhanced Sensitivity of the Anal Canal? </w:t>
      </w:r>
      <w:proofErr w:type="gramStart"/>
      <w:r>
        <w:rPr>
          <w:rFonts w:ascii="Book Antiqua" w:eastAsia="Book Antiqua" w:hAnsi="Book Antiqua" w:cs="Book Antiqua"/>
          <w:color w:val="000000"/>
        </w:rPr>
        <w:t>A Pilot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1039-1046 [PMID: 27749479 DOI: 10.1097/DCR.0000000000000677]</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57096A">
      <w:pPr>
        <w:spacing w:line="360" w:lineRule="auto"/>
        <w:jc w:val="both"/>
      </w:pPr>
      <w:r>
        <w:rPr>
          <w:rFonts w:ascii="Book Antiqua" w:eastAsia="Book Antiqua" w:hAnsi="Book Antiqua" w:cs="Book Antiqua"/>
          <w:b/>
          <w:color w:val="000000"/>
        </w:rPr>
        <w:lastRenderedPageBreak/>
        <w:t>Footnotes</w:t>
      </w:r>
    </w:p>
    <w:p w:rsidR="00A77B3E" w:rsidRDefault="0057096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r>
        <w:rPr>
          <w:rFonts w:ascii="Book Antiqua" w:eastAsia="Book Antiqua" w:hAnsi="Book Antiqua" w:cs="Book Antiqua"/>
          <w:b/>
          <w:bCs/>
          <w:color w:val="000000"/>
        </w:rPr>
        <w:t xml:space="preserve"> </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Open-Access: </w:t>
      </w:r>
      <w:bookmarkStart w:id="6" w:name="OLE_LINK242"/>
      <w:bookmarkStart w:id="7" w:name="OLE_LINK24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rsidR="00A77B3E" w:rsidRDefault="005709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12, 2021</w:t>
      </w:r>
    </w:p>
    <w:p w:rsidR="00A77B3E" w:rsidRDefault="0057096A">
      <w:pPr>
        <w:spacing w:line="360" w:lineRule="auto"/>
        <w:jc w:val="both"/>
      </w:pPr>
      <w:r>
        <w:rPr>
          <w:rFonts w:ascii="Book Antiqua" w:eastAsia="Book Antiqua" w:hAnsi="Book Antiqua" w:cs="Book Antiqua"/>
          <w:b/>
          <w:color w:val="000000"/>
        </w:rPr>
        <w:t xml:space="preserve">Article in press: </w:t>
      </w:r>
      <w:r w:rsidR="008779A2" w:rsidRPr="004A570E">
        <w:rPr>
          <w:rFonts w:ascii="Book Antiqua" w:eastAsia="Book Antiqua" w:hAnsi="Book Antiqua" w:cs="Book Antiqua"/>
          <w:bCs/>
          <w:color w:val="000000"/>
        </w:rPr>
        <w:t>May 27, 2021</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rsidR="00A77B3E" w:rsidRDefault="005709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Peru</w:t>
      </w:r>
    </w:p>
    <w:p w:rsidR="00A77B3E" w:rsidRDefault="0057096A">
      <w:pPr>
        <w:spacing w:line="360" w:lineRule="auto"/>
        <w:jc w:val="both"/>
      </w:pPr>
      <w:r>
        <w:rPr>
          <w:rFonts w:ascii="Book Antiqua" w:eastAsia="Book Antiqua" w:hAnsi="Book Antiqua" w:cs="Book Antiqua"/>
          <w:b/>
          <w:color w:val="000000"/>
        </w:rPr>
        <w:t>Peer-review report’s scientific quality classification</w:t>
      </w:r>
    </w:p>
    <w:p w:rsidR="00A77B3E" w:rsidRDefault="0057096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57096A">
      <w:pPr>
        <w:spacing w:line="360" w:lineRule="auto"/>
        <w:jc w:val="both"/>
      </w:pPr>
      <w:r>
        <w:rPr>
          <w:rFonts w:ascii="Book Antiqua" w:eastAsia="Book Antiqua" w:hAnsi="Book Antiqua" w:cs="Book Antiqua"/>
          <w:color w:val="000000"/>
        </w:rPr>
        <w:t>Grade B (Very good): B, B</w:t>
      </w:r>
    </w:p>
    <w:p w:rsidR="00A77B3E" w:rsidRDefault="0057096A">
      <w:pPr>
        <w:spacing w:line="360" w:lineRule="auto"/>
        <w:jc w:val="both"/>
      </w:pPr>
      <w:r>
        <w:rPr>
          <w:rFonts w:ascii="Book Antiqua" w:eastAsia="Book Antiqua" w:hAnsi="Book Antiqua" w:cs="Book Antiqua"/>
          <w:color w:val="000000"/>
        </w:rPr>
        <w:t>Grade C (Good): 0</w:t>
      </w:r>
    </w:p>
    <w:p w:rsidR="00A77B3E" w:rsidRDefault="0057096A">
      <w:pPr>
        <w:spacing w:line="360" w:lineRule="auto"/>
        <w:jc w:val="both"/>
      </w:pPr>
      <w:r>
        <w:rPr>
          <w:rFonts w:ascii="Book Antiqua" w:eastAsia="Book Antiqua" w:hAnsi="Book Antiqua" w:cs="Book Antiqua"/>
          <w:color w:val="000000"/>
        </w:rPr>
        <w:t>Grade D (Fair): 0</w:t>
      </w:r>
    </w:p>
    <w:p w:rsidR="00A77B3E" w:rsidRDefault="0057096A">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Pr="00272C40" w:rsidRDefault="0057096A">
      <w:pPr>
        <w:spacing w:line="360" w:lineRule="auto"/>
        <w:jc w:val="both"/>
        <w:rPr>
          <w:lang w:eastAsia="zh-CN"/>
        </w:rPr>
        <w:sectPr w:rsidR="00A77B3E" w:rsidRPr="00272C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Aureliano</w:t>
      </w:r>
      <w:proofErr w:type="spellEnd"/>
      <w:r>
        <w:rPr>
          <w:rFonts w:ascii="Book Antiqua" w:eastAsia="Book Antiqua" w:hAnsi="Book Antiqua" w:cs="Book Antiqua"/>
          <w:color w:val="000000"/>
        </w:rPr>
        <w:t xml:space="preserve"> M, Zhang DM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72C40">
        <w:rPr>
          <w:rFonts w:ascii="Book Antiqua" w:hAnsi="Book Antiqua" w:cs="Book Antiqua" w:hint="eastAsia"/>
          <w:b/>
          <w:color w:val="000000"/>
          <w:lang w:eastAsia="zh-CN"/>
        </w:rPr>
        <w:t>A</w:t>
      </w:r>
      <w:r>
        <w:rPr>
          <w:rFonts w:ascii="Book Antiqua" w:eastAsia="Book Antiqua" w:hAnsi="Book Antiqua" w:cs="Book Antiqua"/>
          <w:b/>
          <w:color w:val="000000"/>
        </w:rPr>
        <w:t xml:space="preserve"> P-Editor: </w:t>
      </w:r>
      <w:r w:rsidR="00272C40" w:rsidRPr="00272C40">
        <w:rPr>
          <w:rFonts w:ascii="Book Antiqua" w:hAnsi="Book Antiqua" w:cs="Book Antiqua" w:hint="eastAsia"/>
          <w:color w:val="000000"/>
          <w:lang w:eastAsia="zh-CN"/>
        </w:rPr>
        <w:t>Ma YJ</w:t>
      </w:r>
    </w:p>
    <w:p w:rsidR="00A77B3E" w:rsidRDefault="0057096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5C2066" w:rsidRPr="005C2066" w:rsidRDefault="00834C23">
      <w:pPr>
        <w:spacing w:line="360" w:lineRule="auto"/>
        <w:jc w:val="both"/>
        <w:rPr>
          <w:lang w:eastAsia="zh-CN"/>
        </w:rPr>
      </w:pPr>
      <w:r>
        <w:rPr>
          <w:noProof/>
          <w:lang w:eastAsia="zh-CN"/>
        </w:rPr>
        <w:drawing>
          <wp:inline distT="0" distB="0" distL="0" distR="0" wp14:anchorId="27282B0B" wp14:editId="5A2163D4">
            <wp:extent cx="5486400" cy="30981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98165"/>
                    </a:xfrm>
                    <a:prstGeom prst="rect">
                      <a:avLst/>
                    </a:prstGeom>
                  </pic:spPr>
                </pic:pic>
              </a:graphicData>
            </a:graphic>
          </wp:inline>
        </w:drawing>
      </w:r>
    </w:p>
    <w:p w:rsidR="00A77B3E" w:rsidRDefault="0057096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Timeline. </w:t>
      </w:r>
      <w:r>
        <w:rPr>
          <w:rFonts w:ascii="Book Antiqua" w:eastAsia="Book Antiqua" w:hAnsi="Book Antiqua" w:cs="Book Antiqua"/>
          <w:color w:val="000000"/>
        </w:rPr>
        <w:t xml:space="preserve">Since the discovery of insulin until </w:t>
      </w:r>
      <w:proofErr w:type="gramStart"/>
      <w:r>
        <w:rPr>
          <w:rFonts w:ascii="Book Antiqua" w:eastAsia="Book Antiqua" w:hAnsi="Book Antiqua" w:cs="Book Antiqua"/>
          <w:color w:val="000000"/>
        </w:rPr>
        <w:t>nowadays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rsidR="005C2066" w:rsidRPr="005C2066" w:rsidRDefault="005C2066">
      <w:pPr>
        <w:spacing w:line="360" w:lineRule="auto"/>
        <w:jc w:val="both"/>
        <w:rPr>
          <w:lang w:eastAsia="zh-CN"/>
        </w:rPr>
      </w:pPr>
      <w:r>
        <w:rPr>
          <w:rFonts w:ascii="Book Antiqua" w:hAnsi="Book Antiqua" w:cs="Book Antiqua"/>
          <w:color w:val="000000"/>
          <w:lang w:eastAsia="zh-CN"/>
        </w:rPr>
        <w:br w:type="page"/>
      </w:r>
      <w:r w:rsidR="00C7129F" w:rsidRPr="00C7129F">
        <w:rPr>
          <w:rFonts w:ascii="Book Antiqua" w:hAnsi="Book Antiqua" w:cs="Book Antiqua"/>
          <w:noProof/>
          <w:color w:val="000000"/>
          <w:lang w:eastAsia="zh-CN"/>
        </w:rPr>
        <w:lastRenderedPageBreak/>
        <w:drawing>
          <wp:inline distT="0" distB="0" distL="0" distR="0" wp14:anchorId="2DF63F05" wp14:editId="5ADC6E0B">
            <wp:extent cx="4611757" cy="4611757"/>
            <wp:effectExtent l="0" t="0" r="0" b="0"/>
            <wp:docPr id="6" name="图片 6" descr="C:\Users\Admin\Desktop\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图片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4333" cy="4614333"/>
                    </a:xfrm>
                    <a:prstGeom prst="rect">
                      <a:avLst/>
                    </a:prstGeom>
                    <a:noFill/>
                    <a:ln>
                      <a:noFill/>
                    </a:ln>
                  </pic:spPr>
                </pic:pic>
              </a:graphicData>
            </a:graphic>
          </wp:inline>
        </w:drawing>
      </w:r>
    </w:p>
    <w:p w:rsidR="00A77B3E" w:rsidRDefault="0057096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Control of gut motor function.</w:t>
      </w:r>
      <w:r>
        <w:rPr>
          <w:rFonts w:ascii="Book Antiqua" w:eastAsia="Book Antiqua" w:hAnsi="Book Antiqua" w:cs="Book Antiqua"/>
          <w:color w:val="000000"/>
        </w:rPr>
        <w:t xml:space="preserve"> The motor function of the gut is controlled by parasympathetic and sympathetic nervous systems, </w:t>
      </w:r>
      <w:r w:rsidR="005C2066">
        <w:rPr>
          <w:rFonts w:ascii="Book Antiqua" w:eastAsia="Book Antiqua" w:hAnsi="Book Antiqua" w:cs="Book Antiqua"/>
          <w:color w:val="000000"/>
        </w:rPr>
        <w:t>e</w:t>
      </w:r>
      <w:r>
        <w:rPr>
          <w:rFonts w:ascii="Book Antiqua" w:eastAsia="Book Antiqua" w:hAnsi="Book Antiqua" w:cs="Book Antiqua"/>
          <w:color w:val="000000"/>
        </w:rPr>
        <w:t xml:space="preserve">nteric neurons and </w:t>
      </w:r>
      <w:r w:rsidR="005C2066">
        <w:rPr>
          <w:rFonts w:ascii="Book Antiqua" w:eastAsia="Book Antiqua" w:hAnsi="Book Antiqua" w:cs="Book Antiqua"/>
          <w:color w:val="000000"/>
        </w:rPr>
        <w:t>in</w:t>
      </w:r>
      <w:r>
        <w:rPr>
          <w:rFonts w:ascii="Book Antiqua" w:eastAsia="Book Antiqua" w:hAnsi="Book Antiqua" w:cs="Book Antiqua"/>
          <w:color w:val="000000"/>
        </w:rPr>
        <w:t xml:space="preserve">terstitial cell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r w:rsidR="005C2066">
        <w:rPr>
          <w:rFonts w:ascii="Book Antiqua" w:eastAsia="Book Antiqua" w:hAnsi="Book Antiqua" w:cs="Book Antiqua"/>
          <w:color w:val="000000"/>
        </w:rPr>
        <w:t>s</w:t>
      </w:r>
      <w:r>
        <w:rPr>
          <w:rFonts w:ascii="Book Antiqua" w:eastAsia="Book Antiqua" w:hAnsi="Book Antiqua" w:cs="Book Antiqua"/>
          <w:color w:val="000000"/>
        </w:rPr>
        <w:t xml:space="preserve">mooth muscle cells. </w:t>
      </w:r>
      <w:r w:rsidR="005C2066">
        <w:rPr>
          <w:rFonts w:ascii="Book Antiqua" w:eastAsia="Book Antiqua" w:hAnsi="Book Antiqua" w:cs="Book Antiqua"/>
          <w:color w:val="000000"/>
        </w:rPr>
        <w:t>ICC</w:t>
      </w:r>
      <w:r w:rsidR="005C2066">
        <w:rPr>
          <w:rFonts w:ascii="Book Antiqua" w:hAnsi="Book Antiqua" w:cs="Book Antiqua" w:hint="eastAsia"/>
          <w:color w:val="000000"/>
          <w:lang w:eastAsia="zh-CN"/>
        </w:rPr>
        <w:t xml:space="preserve">: </w:t>
      </w:r>
      <w:r w:rsidR="005C2066" w:rsidRPr="005C2066">
        <w:rPr>
          <w:rFonts w:ascii="Book Antiqua" w:eastAsia="Book Antiqua" w:hAnsi="Book Antiqua" w:cs="Book Antiqua"/>
          <w:caps/>
          <w:color w:val="000000"/>
        </w:rPr>
        <w:t>i</w:t>
      </w:r>
      <w:r w:rsidR="005C2066">
        <w:rPr>
          <w:rFonts w:ascii="Book Antiqua" w:eastAsia="Book Antiqua" w:hAnsi="Book Antiqua" w:cs="Book Antiqua"/>
          <w:color w:val="000000"/>
        </w:rPr>
        <w:t xml:space="preserve">nterstitial cell of </w:t>
      </w:r>
      <w:proofErr w:type="spellStart"/>
      <w:r w:rsidR="005C2066">
        <w:rPr>
          <w:rFonts w:ascii="Book Antiqua" w:eastAsia="Book Antiqua" w:hAnsi="Book Antiqua" w:cs="Book Antiqua"/>
          <w:color w:val="000000"/>
        </w:rPr>
        <w:t>Cajal</w:t>
      </w:r>
      <w:proofErr w:type="spellEnd"/>
      <w:r w:rsidR="005C2066">
        <w:rPr>
          <w:rFonts w:ascii="Book Antiqua" w:hAnsi="Book Antiqua" w:cs="Book Antiqua" w:hint="eastAsia"/>
          <w:color w:val="000000"/>
          <w:lang w:eastAsia="zh-CN"/>
        </w:rPr>
        <w:t>;</w:t>
      </w:r>
      <w:r w:rsidR="005C2066">
        <w:rPr>
          <w:rFonts w:ascii="Book Antiqua" w:eastAsia="Book Antiqua" w:hAnsi="Book Antiqua" w:cs="Book Antiqua"/>
          <w:color w:val="000000"/>
        </w:rPr>
        <w:t xml:space="preserve"> </w:t>
      </w:r>
      <w:r>
        <w:rPr>
          <w:rFonts w:ascii="Book Antiqua" w:eastAsia="Book Antiqua" w:hAnsi="Book Antiqua" w:cs="Book Antiqua"/>
          <w:color w:val="000000"/>
        </w:rPr>
        <w:t>ICC</w:t>
      </w:r>
      <w:r>
        <w:rPr>
          <w:rFonts w:ascii="Book Antiqua" w:eastAsia="Book Antiqua" w:hAnsi="Book Antiqua" w:cs="Book Antiqua"/>
          <w:color w:val="000000"/>
          <w:szCs w:val="30"/>
          <w:vertAlign w:val="subscript"/>
        </w:rPr>
        <w:t>SM</w:t>
      </w:r>
      <w:r>
        <w:rPr>
          <w:rFonts w:ascii="Book Antiqua" w:eastAsia="Book Antiqua" w:hAnsi="Book Antiqua" w:cs="Book Antiqua"/>
          <w:color w:val="000000"/>
        </w:rPr>
        <w:t>: ICC-</w:t>
      </w:r>
      <w:proofErr w:type="spellStart"/>
      <w:r>
        <w:rPr>
          <w:rFonts w:ascii="Book Antiqua" w:eastAsia="Book Antiqua" w:hAnsi="Book Antiqua" w:cs="Book Antiqua"/>
          <w:color w:val="000000"/>
        </w:rPr>
        <w:t>submucosal</w:t>
      </w:r>
      <w:proofErr w:type="spellEnd"/>
      <w:r>
        <w:rPr>
          <w:rFonts w:ascii="Book Antiqua" w:eastAsia="Book Antiqua" w:hAnsi="Book Antiqua" w:cs="Book Antiqua"/>
          <w:color w:val="000000"/>
        </w:rPr>
        <w:t>; ICC</w:t>
      </w:r>
      <w:r>
        <w:rPr>
          <w:rFonts w:ascii="Book Antiqua" w:eastAsia="Book Antiqua" w:hAnsi="Book Antiqua" w:cs="Book Antiqua"/>
          <w:color w:val="000000"/>
          <w:szCs w:val="30"/>
          <w:vertAlign w:val="subscript"/>
        </w:rPr>
        <w:t>DMP</w:t>
      </w:r>
      <w:r>
        <w:rPr>
          <w:rFonts w:ascii="Book Antiqua" w:eastAsia="Book Antiqua" w:hAnsi="Book Antiqua" w:cs="Book Antiqua"/>
          <w:color w:val="000000"/>
        </w:rPr>
        <w:t>: ICC-deep muscular plexus; ICC</w:t>
      </w:r>
      <w:r>
        <w:rPr>
          <w:rFonts w:ascii="Book Antiqua" w:eastAsia="Book Antiqua" w:hAnsi="Book Antiqua" w:cs="Book Antiqua"/>
          <w:color w:val="000000"/>
          <w:szCs w:val="30"/>
          <w:vertAlign w:val="subscript"/>
        </w:rPr>
        <w:t>MY</w:t>
      </w:r>
      <w:r>
        <w:rPr>
          <w:rFonts w:ascii="Book Antiqua" w:eastAsia="Book Antiqua" w:hAnsi="Book Antiqua" w:cs="Book Antiqua"/>
          <w:color w:val="000000"/>
        </w:rPr>
        <w:t>: ICC-</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ICC</w:t>
      </w:r>
      <w:r>
        <w:rPr>
          <w:rFonts w:ascii="Book Antiqua" w:eastAsia="Book Antiqua" w:hAnsi="Book Antiqua" w:cs="Book Antiqua"/>
          <w:color w:val="000000"/>
          <w:szCs w:val="30"/>
          <w:vertAlign w:val="subscript"/>
        </w:rPr>
        <w:t>IM</w:t>
      </w:r>
      <w:r>
        <w:rPr>
          <w:rFonts w:ascii="Book Antiqua" w:eastAsia="Book Antiqua" w:hAnsi="Book Antiqua" w:cs="Book Antiqua"/>
          <w:color w:val="000000"/>
        </w:rPr>
        <w:t xml:space="preserve">: ICC-intramuscular. </w:t>
      </w:r>
    </w:p>
    <w:p w:rsidR="005C2066" w:rsidRPr="00132FC5" w:rsidRDefault="00132FC5">
      <w:pPr>
        <w:spacing w:line="360" w:lineRule="auto"/>
        <w:jc w:val="both"/>
        <w:rPr>
          <w:lang w:eastAsia="zh-CN"/>
        </w:rPr>
      </w:pPr>
      <w:r>
        <w:rPr>
          <w:lang w:eastAsia="zh-CN"/>
        </w:rPr>
        <w:br w:type="page"/>
      </w:r>
      <w:r w:rsidR="00AD1837">
        <w:rPr>
          <w:noProof/>
          <w:lang w:eastAsia="zh-CN"/>
        </w:rPr>
        <w:lastRenderedPageBreak/>
        <w:drawing>
          <wp:inline distT="0" distB="0" distL="0" distR="0" wp14:anchorId="557683EC" wp14:editId="3EAFCC1A">
            <wp:extent cx="5440116" cy="55182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0740" cy="5539125"/>
                    </a:xfrm>
                    <a:prstGeom prst="rect">
                      <a:avLst/>
                    </a:prstGeom>
                  </pic:spPr>
                </pic:pic>
              </a:graphicData>
            </a:graphic>
          </wp:inline>
        </w:drawing>
      </w:r>
    </w:p>
    <w:p w:rsidR="00A77B3E" w:rsidRDefault="0057096A">
      <w:pPr>
        <w:spacing w:line="360" w:lineRule="auto"/>
        <w:jc w:val="both"/>
      </w:pPr>
      <w:r>
        <w:rPr>
          <w:rFonts w:ascii="Book Antiqua" w:eastAsia="Book Antiqua" w:hAnsi="Book Antiqua" w:cs="Book Antiqua"/>
          <w:b/>
          <w:bCs/>
          <w:color w:val="000000"/>
        </w:rPr>
        <w:t xml:space="preserve">Figure 3 Pathophysiology of diabetic </w:t>
      </w:r>
      <w:proofErr w:type="spellStart"/>
      <w:r>
        <w:rPr>
          <w:rFonts w:ascii="Book Antiqua" w:eastAsia="Book Antiqua" w:hAnsi="Book Antiqua" w:cs="Book Antiqua"/>
          <w:b/>
          <w:bCs/>
          <w:color w:val="000000"/>
        </w:rPr>
        <w:t>gastroparesis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Dysfunction in the Sympathetic nervous system (Celiac Ganglion), parasympathetic nervous system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and enteric nervous system (</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xml:space="preserv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Results in the dysfunction of emptying mechanism of the </w:t>
      </w:r>
      <w:proofErr w:type="spellStart"/>
      <w:r>
        <w:rPr>
          <w:rFonts w:ascii="Book Antiqua" w:eastAsia="Book Antiqua" w:hAnsi="Book Antiqua" w:cs="Book Antiqua"/>
          <w:color w:val="000000"/>
        </w:rPr>
        <w:t>antral</w:t>
      </w:r>
      <w:proofErr w:type="spellEnd"/>
      <w:r>
        <w:rPr>
          <w:rFonts w:ascii="Book Antiqua" w:eastAsia="Book Antiqua" w:hAnsi="Book Antiqua" w:cs="Book Antiqua"/>
          <w:color w:val="000000"/>
        </w:rPr>
        <w:t xml:space="preserve"> pump: phase of propulsion, emptying, and </w:t>
      </w:r>
      <w:proofErr w:type="spellStart"/>
      <w:r>
        <w:rPr>
          <w:rFonts w:ascii="Book Antiqua" w:eastAsia="Book Antiqua" w:hAnsi="Book Antiqua" w:cs="Book Antiqua"/>
          <w:color w:val="000000"/>
        </w:rPr>
        <w:t>retropulsion</w:t>
      </w:r>
      <w:proofErr w:type="spellEnd"/>
      <w:r>
        <w:rPr>
          <w:rFonts w:ascii="Book Antiqua" w:eastAsia="Book Antiqua" w:hAnsi="Book Antiqua" w:cs="Book Antiqua"/>
          <w:color w:val="000000"/>
        </w:rPr>
        <w:t xml:space="preserve"> (green arrows), decrease of relaxes to accommodate meal (black arrows), loss of Nitric Oxide synthase in the enteric nerves (fundus, pylori), loss of ICC, Type 2 Macrophage altered function with loss of </w:t>
      </w:r>
      <w:proofErr w:type="spellStart"/>
      <w:r>
        <w:rPr>
          <w:rFonts w:ascii="Book Antiqua" w:eastAsia="Book Antiqua" w:hAnsi="Book Antiqua" w:cs="Book Antiqua"/>
          <w:color w:val="000000"/>
        </w:rPr>
        <w:t>cytoprotective</w:t>
      </w:r>
      <w:proofErr w:type="spellEnd"/>
      <w:r>
        <w:rPr>
          <w:rFonts w:ascii="Book Antiqua" w:eastAsia="Book Antiqua" w:hAnsi="Book Antiqua" w:cs="Book Antiqua"/>
          <w:color w:val="000000"/>
        </w:rPr>
        <w:t xml:space="preserve"> to ICC, smooth muscle atrophy, and increased smooth muscle fibrosis. NO: Nitric oxide; VIP: Vasoactive inhibitory peptide; ICC: Interstitial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cell.</w:t>
      </w:r>
    </w:p>
    <w:p w:rsidR="00132FC5" w:rsidRDefault="00132FC5">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FE1646">
        <w:rPr>
          <w:noProof/>
          <w:lang w:eastAsia="zh-CN"/>
        </w:rPr>
        <w:lastRenderedPageBreak/>
        <w:drawing>
          <wp:inline distT="0" distB="0" distL="0" distR="0" wp14:anchorId="679E51FB" wp14:editId="2045929E">
            <wp:extent cx="5486400" cy="29673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967355"/>
                    </a:xfrm>
                    <a:prstGeom prst="rect">
                      <a:avLst/>
                    </a:prstGeom>
                  </pic:spPr>
                </pic:pic>
              </a:graphicData>
            </a:graphic>
          </wp:inline>
        </w:drawing>
      </w:r>
    </w:p>
    <w:p w:rsidR="00A77B3E" w:rsidRDefault="0057096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4 Diagnostic </w:t>
      </w:r>
      <w:proofErr w:type="gramStart"/>
      <w:r>
        <w:rPr>
          <w:rFonts w:ascii="Book Antiqua" w:eastAsia="Book Antiqua" w:hAnsi="Book Antiqua" w:cs="Book Antiqua"/>
          <w:b/>
          <w:bCs/>
          <w:color w:val="000000"/>
        </w:rPr>
        <w:t>algorithm</w:t>
      </w:r>
      <w:proofErr w:type="gramEnd"/>
      <w:r>
        <w:rPr>
          <w:rFonts w:ascii="Book Antiqua" w:eastAsia="Book Antiqua" w:hAnsi="Book Antiqua" w:cs="Book Antiqua"/>
          <w:b/>
          <w:bCs/>
          <w:color w:val="000000"/>
        </w:rPr>
        <w:t xml:space="preserve"> for diabetic </w:t>
      </w:r>
      <w:proofErr w:type="spellStart"/>
      <w:r>
        <w:rPr>
          <w:rFonts w:ascii="Book Antiqua" w:eastAsia="Book Antiqua" w:hAnsi="Book Antiqua" w:cs="Book Antiqua"/>
          <w:b/>
          <w:bCs/>
          <w:color w:val="000000"/>
        </w:rPr>
        <w:t>gastroenteropathy</w:t>
      </w:r>
      <w:proofErr w:type="spellEnd"/>
      <w:r>
        <w:rPr>
          <w:rFonts w:ascii="Book Antiqua" w:eastAsia="Book Antiqua" w:hAnsi="Book Antiqua" w:cs="Book Antiqua"/>
          <w:b/>
          <w:bCs/>
          <w:color w:val="000000"/>
        </w:rPr>
        <w:t xml:space="preserve">. </w:t>
      </w:r>
    </w:p>
    <w:p w:rsidR="00132FC5" w:rsidRPr="00132FC5" w:rsidRDefault="00132FC5">
      <w:pPr>
        <w:spacing w:line="360" w:lineRule="auto"/>
        <w:jc w:val="both"/>
        <w:rPr>
          <w:lang w:eastAsia="zh-CN"/>
        </w:rPr>
      </w:pPr>
      <w:r>
        <w:rPr>
          <w:rFonts w:ascii="Book Antiqua" w:hAnsi="Book Antiqua" w:cs="Book Antiqua"/>
          <w:b/>
          <w:bCs/>
          <w:color w:val="000000"/>
          <w:lang w:eastAsia="zh-CN"/>
        </w:rPr>
        <w:br w:type="page"/>
      </w:r>
      <w:r w:rsidR="00C775BE">
        <w:rPr>
          <w:noProof/>
          <w:lang w:eastAsia="zh-CN"/>
        </w:rPr>
        <w:lastRenderedPageBreak/>
        <w:drawing>
          <wp:inline distT="0" distB="0" distL="0" distR="0" wp14:anchorId="29DF3830" wp14:editId="5ED8F542">
            <wp:extent cx="5985164" cy="2743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85164" cy="2743200"/>
                    </a:xfrm>
                    <a:prstGeom prst="rect">
                      <a:avLst/>
                    </a:prstGeom>
                  </pic:spPr>
                </pic:pic>
              </a:graphicData>
            </a:graphic>
          </wp:inline>
        </w:drawing>
      </w:r>
    </w:p>
    <w:p w:rsidR="002A46BC" w:rsidRDefault="0057096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5 Management of diabetic </w:t>
      </w:r>
      <w:proofErr w:type="spellStart"/>
      <w:r>
        <w:rPr>
          <w:rFonts w:ascii="Book Antiqua" w:eastAsia="Book Antiqua" w:hAnsi="Book Antiqua" w:cs="Book Antiqua"/>
          <w:b/>
          <w:bCs/>
          <w:color w:val="000000"/>
        </w:rPr>
        <w:t>gastroenteropathy</w:t>
      </w:r>
      <w:proofErr w:type="spellEnd"/>
      <w:r>
        <w:rPr>
          <w:rFonts w:ascii="Book Antiqua" w:eastAsia="Book Antiqua" w:hAnsi="Book Antiqua" w:cs="Book Antiqua"/>
          <w:b/>
          <w:bCs/>
          <w:color w:val="000000"/>
        </w:rPr>
        <w:t>.</w:t>
      </w:r>
    </w:p>
    <w:p w:rsidR="002A46BC" w:rsidRDefault="002A46BC" w:rsidP="002A46BC">
      <w:pPr>
        <w:ind w:leftChars="100" w:left="240"/>
        <w:jc w:val="center"/>
        <w:rPr>
          <w:rFonts w:ascii="Book Antiqua" w:hAnsi="Book Antiqua"/>
          <w:lang w:eastAsia="zh-CN"/>
        </w:rPr>
      </w:pPr>
      <w:r>
        <w:rPr>
          <w:rFonts w:ascii="Book Antiqua" w:eastAsia="Book Antiqua" w:hAnsi="Book Antiqua" w:cs="Book Antiqua"/>
          <w:b/>
          <w:bCs/>
          <w:color w:val="000000"/>
        </w:rPr>
        <w:br w:type="page"/>
      </w: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r>
        <w:rPr>
          <w:rFonts w:ascii="Book Antiqua" w:hAnsi="Book Antiqua"/>
          <w:noProof/>
          <w:lang w:eastAsia="zh-CN"/>
        </w:rPr>
        <w:drawing>
          <wp:inline distT="0" distB="0" distL="0" distR="0" wp14:anchorId="391882FC" wp14:editId="7C65D0B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A46BC" w:rsidRDefault="002A46BC" w:rsidP="002A46BC">
      <w:pPr>
        <w:ind w:leftChars="100" w:left="240"/>
        <w:jc w:val="center"/>
        <w:rPr>
          <w:rFonts w:ascii="Book Antiqua" w:hAnsi="Book Antiqua"/>
          <w:lang w:eastAsia="zh-CN"/>
        </w:rPr>
      </w:pPr>
    </w:p>
    <w:p w:rsidR="002A46BC" w:rsidRPr="00763D22" w:rsidRDefault="002A46BC" w:rsidP="002A46B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2A46BC" w:rsidRPr="00763D22" w:rsidRDefault="002A46BC" w:rsidP="002A46B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A46BC" w:rsidRPr="00763D22" w:rsidRDefault="002A46BC" w:rsidP="002A46B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A46BC" w:rsidRPr="00763D22" w:rsidRDefault="002A46BC" w:rsidP="002A46B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A46BC" w:rsidRPr="00763D22" w:rsidRDefault="002A46BC" w:rsidP="002A46B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A46BC" w:rsidRPr="00763D22" w:rsidRDefault="002A46BC" w:rsidP="002A46B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r>
        <w:rPr>
          <w:rFonts w:ascii="Book Antiqua" w:hAnsi="Book Antiqua"/>
          <w:noProof/>
          <w:lang w:eastAsia="zh-CN"/>
        </w:rPr>
        <w:drawing>
          <wp:inline distT="0" distB="0" distL="0" distR="0" wp14:anchorId="6904EE25" wp14:editId="7D30F06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Default="002A46BC" w:rsidP="002A46BC">
      <w:pPr>
        <w:ind w:leftChars="100" w:left="240"/>
        <w:jc w:val="center"/>
        <w:rPr>
          <w:rFonts w:ascii="Book Antiqua" w:hAnsi="Book Antiqua"/>
          <w:lang w:eastAsia="zh-CN"/>
        </w:rPr>
      </w:pPr>
    </w:p>
    <w:p w:rsidR="002A46BC" w:rsidRPr="00763D22" w:rsidRDefault="002A46BC" w:rsidP="002A46BC">
      <w:pPr>
        <w:ind w:leftChars="100" w:left="240"/>
        <w:jc w:val="right"/>
        <w:rPr>
          <w:rFonts w:ascii="Book Antiqua" w:hAnsi="Book Antiqua"/>
          <w:color w:val="000000" w:themeColor="text1"/>
          <w:lang w:eastAsia="zh-CN"/>
        </w:rPr>
      </w:pPr>
    </w:p>
    <w:p w:rsidR="002A46BC" w:rsidRPr="00763D22" w:rsidRDefault="002A46BC" w:rsidP="002A46B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A77B3E" w:rsidRDefault="00A77B3E">
      <w:pPr>
        <w:spacing w:line="360" w:lineRule="auto"/>
        <w:jc w:val="both"/>
      </w:pPr>
      <w:bookmarkStart w:id="8" w:name="_GoBack"/>
      <w:bookmarkEnd w:id="8"/>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5D" w:rsidRDefault="00832F5D" w:rsidP="005C1498">
      <w:r>
        <w:separator/>
      </w:r>
    </w:p>
  </w:endnote>
  <w:endnote w:type="continuationSeparator" w:id="0">
    <w:p w:rsidR="00832F5D" w:rsidRDefault="00832F5D" w:rsidP="005C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16014"/>
      <w:docPartObj>
        <w:docPartGallery w:val="Page Numbers (Bottom of Page)"/>
        <w:docPartUnique/>
      </w:docPartObj>
    </w:sdtPr>
    <w:sdtEndPr/>
    <w:sdtContent>
      <w:sdt>
        <w:sdtPr>
          <w:id w:val="98381352"/>
          <w:docPartObj>
            <w:docPartGallery w:val="Page Numbers (Top of Page)"/>
            <w:docPartUnique/>
          </w:docPartObj>
        </w:sdtPr>
        <w:sdtEndPr/>
        <w:sdtContent>
          <w:p w:rsidR="005C1498" w:rsidRDefault="005C1498" w:rsidP="005C1498">
            <w:pPr>
              <w:pStyle w:val="a5"/>
              <w:jc w:val="right"/>
            </w:pPr>
            <w:r w:rsidRPr="005C1498">
              <w:rPr>
                <w:rFonts w:ascii="Book Antiqua" w:hAnsi="Book Antiqua"/>
                <w:sz w:val="24"/>
                <w:szCs w:val="24"/>
                <w:lang w:val="zh-CN" w:eastAsia="zh-CN"/>
              </w:rPr>
              <w:t xml:space="preserve"> </w:t>
            </w:r>
            <w:r w:rsidRPr="005C1498">
              <w:rPr>
                <w:rFonts w:ascii="Book Antiqua" w:hAnsi="Book Antiqua"/>
                <w:b/>
                <w:bCs/>
                <w:sz w:val="24"/>
                <w:szCs w:val="24"/>
              </w:rPr>
              <w:fldChar w:fldCharType="begin"/>
            </w:r>
            <w:r w:rsidRPr="005C1498">
              <w:rPr>
                <w:rFonts w:ascii="Book Antiqua" w:hAnsi="Book Antiqua"/>
                <w:b/>
                <w:bCs/>
                <w:sz w:val="24"/>
                <w:szCs w:val="24"/>
              </w:rPr>
              <w:instrText>PAGE</w:instrText>
            </w:r>
            <w:r w:rsidRPr="005C1498">
              <w:rPr>
                <w:rFonts w:ascii="Book Antiqua" w:hAnsi="Book Antiqua"/>
                <w:b/>
                <w:bCs/>
                <w:sz w:val="24"/>
                <w:szCs w:val="24"/>
              </w:rPr>
              <w:fldChar w:fldCharType="separate"/>
            </w:r>
            <w:r w:rsidR="002A46BC">
              <w:rPr>
                <w:rFonts w:ascii="Book Antiqua" w:hAnsi="Book Antiqua"/>
                <w:b/>
                <w:bCs/>
                <w:noProof/>
                <w:sz w:val="24"/>
                <w:szCs w:val="24"/>
              </w:rPr>
              <w:t>38</w:t>
            </w:r>
            <w:r w:rsidRPr="005C1498">
              <w:rPr>
                <w:rFonts w:ascii="Book Antiqua" w:hAnsi="Book Antiqua"/>
                <w:b/>
                <w:bCs/>
                <w:sz w:val="24"/>
                <w:szCs w:val="24"/>
              </w:rPr>
              <w:fldChar w:fldCharType="end"/>
            </w:r>
            <w:r w:rsidRPr="005C1498">
              <w:rPr>
                <w:rFonts w:ascii="Book Antiqua" w:hAnsi="Book Antiqua"/>
                <w:sz w:val="24"/>
                <w:szCs w:val="24"/>
                <w:lang w:val="zh-CN" w:eastAsia="zh-CN"/>
              </w:rPr>
              <w:t xml:space="preserve"> / </w:t>
            </w:r>
            <w:r w:rsidRPr="005C1498">
              <w:rPr>
                <w:rFonts w:ascii="Book Antiqua" w:hAnsi="Book Antiqua"/>
                <w:b/>
                <w:bCs/>
                <w:sz w:val="24"/>
                <w:szCs w:val="24"/>
              </w:rPr>
              <w:fldChar w:fldCharType="begin"/>
            </w:r>
            <w:r w:rsidRPr="005C1498">
              <w:rPr>
                <w:rFonts w:ascii="Book Antiqua" w:hAnsi="Book Antiqua"/>
                <w:b/>
                <w:bCs/>
                <w:sz w:val="24"/>
                <w:szCs w:val="24"/>
              </w:rPr>
              <w:instrText>NUMPAGES</w:instrText>
            </w:r>
            <w:r w:rsidRPr="005C1498">
              <w:rPr>
                <w:rFonts w:ascii="Book Antiqua" w:hAnsi="Book Antiqua"/>
                <w:b/>
                <w:bCs/>
                <w:sz w:val="24"/>
                <w:szCs w:val="24"/>
              </w:rPr>
              <w:fldChar w:fldCharType="separate"/>
            </w:r>
            <w:r w:rsidR="002A46BC">
              <w:rPr>
                <w:rFonts w:ascii="Book Antiqua" w:hAnsi="Book Antiqua"/>
                <w:b/>
                <w:bCs/>
                <w:noProof/>
                <w:sz w:val="24"/>
                <w:szCs w:val="24"/>
              </w:rPr>
              <w:t>38</w:t>
            </w:r>
            <w:r w:rsidRPr="005C1498">
              <w:rPr>
                <w:rFonts w:ascii="Book Antiqua" w:hAnsi="Book Antiqua"/>
                <w:b/>
                <w:bCs/>
                <w:sz w:val="24"/>
                <w:szCs w:val="24"/>
              </w:rPr>
              <w:fldChar w:fldCharType="end"/>
            </w:r>
          </w:p>
        </w:sdtContent>
      </w:sdt>
    </w:sdtContent>
  </w:sdt>
  <w:p w:rsidR="005C1498" w:rsidRDefault="005C14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5D" w:rsidRDefault="00832F5D" w:rsidP="005C1498">
      <w:r>
        <w:separator/>
      </w:r>
    </w:p>
  </w:footnote>
  <w:footnote w:type="continuationSeparator" w:id="0">
    <w:p w:rsidR="00832F5D" w:rsidRDefault="00832F5D" w:rsidP="005C1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264D"/>
    <w:rsid w:val="00132FC5"/>
    <w:rsid w:val="001334E4"/>
    <w:rsid w:val="0016640A"/>
    <w:rsid w:val="00272C40"/>
    <w:rsid w:val="002A46BC"/>
    <w:rsid w:val="0030740D"/>
    <w:rsid w:val="003A167E"/>
    <w:rsid w:val="003E7EF8"/>
    <w:rsid w:val="0045446A"/>
    <w:rsid w:val="00454708"/>
    <w:rsid w:val="004A570E"/>
    <w:rsid w:val="00503B19"/>
    <w:rsid w:val="0057096A"/>
    <w:rsid w:val="005732FA"/>
    <w:rsid w:val="005A41A3"/>
    <w:rsid w:val="005A4D03"/>
    <w:rsid w:val="005C1498"/>
    <w:rsid w:val="005C2066"/>
    <w:rsid w:val="006507FF"/>
    <w:rsid w:val="006B2E9B"/>
    <w:rsid w:val="00726DA8"/>
    <w:rsid w:val="00796CE1"/>
    <w:rsid w:val="007D11C6"/>
    <w:rsid w:val="00823BDE"/>
    <w:rsid w:val="00832F5D"/>
    <w:rsid w:val="00834C23"/>
    <w:rsid w:val="008779A2"/>
    <w:rsid w:val="00927B10"/>
    <w:rsid w:val="00966F70"/>
    <w:rsid w:val="009A161F"/>
    <w:rsid w:val="009B32FB"/>
    <w:rsid w:val="00A15682"/>
    <w:rsid w:val="00A77B3E"/>
    <w:rsid w:val="00AA3B01"/>
    <w:rsid w:val="00AD1837"/>
    <w:rsid w:val="00AD279A"/>
    <w:rsid w:val="00C238E1"/>
    <w:rsid w:val="00C7129F"/>
    <w:rsid w:val="00C775BE"/>
    <w:rsid w:val="00CA2A55"/>
    <w:rsid w:val="00DC0C5B"/>
    <w:rsid w:val="00DD00CF"/>
    <w:rsid w:val="00E61A35"/>
    <w:rsid w:val="00FE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C2066"/>
    <w:rPr>
      <w:sz w:val="18"/>
      <w:szCs w:val="18"/>
    </w:rPr>
  </w:style>
  <w:style w:type="character" w:customStyle="1" w:styleId="Char">
    <w:name w:val="批注框文本 Char"/>
    <w:basedOn w:val="a0"/>
    <w:link w:val="a3"/>
    <w:rsid w:val="005C2066"/>
    <w:rPr>
      <w:sz w:val="18"/>
      <w:szCs w:val="18"/>
    </w:rPr>
  </w:style>
  <w:style w:type="paragraph" w:styleId="a4">
    <w:name w:val="header"/>
    <w:basedOn w:val="a"/>
    <w:link w:val="Char0"/>
    <w:rsid w:val="005C14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C1498"/>
    <w:rPr>
      <w:sz w:val="18"/>
      <w:szCs w:val="18"/>
    </w:rPr>
  </w:style>
  <w:style w:type="paragraph" w:styleId="a5">
    <w:name w:val="footer"/>
    <w:basedOn w:val="a"/>
    <w:link w:val="Char1"/>
    <w:uiPriority w:val="99"/>
    <w:rsid w:val="005C1498"/>
    <w:pPr>
      <w:tabs>
        <w:tab w:val="center" w:pos="4153"/>
        <w:tab w:val="right" w:pos="8306"/>
      </w:tabs>
      <w:snapToGrid w:val="0"/>
    </w:pPr>
    <w:rPr>
      <w:sz w:val="18"/>
      <w:szCs w:val="18"/>
    </w:rPr>
  </w:style>
  <w:style w:type="character" w:customStyle="1" w:styleId="Char1">
    <w:name w:val="页脚 Char"/>
    <w:basedOn w:val="a0"/>
    <w:link w:val="a5"/>
    <w:uiPriority w:val="99"/>
    <w:rsid w:val="005C1498"/>
    <w:rPr>
      <w:sz w:val="18"/>
      <w:szCs w:val="18"/>
    </w:rPr>
  </w:style>
  <w:style w:type="character" w:styleId="a6">
    <w:name w:val="Hyperlink"/>
    <w:basedOn w:val="a0"/>
    <w:unhideWhenUsed/>
    <w:rsid w:val="002A4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6/794.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38</Pages>
  <Words>9283</Words>
  <Characters>52917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42</cp:revision>
  <dcterms:created xsi:type="dcterms:W3CDTF">2021-05-11T08:27:00Z</dcterms:created>
  <dcterms:modified xsi:type="dcterms:W3CDTF">2021-06-03T07:50:00Z</dcterms:modified>
</cp:coreProperties>
</file>