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0F3D"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 xml:space="preserve">Name of Journal: </w:t>
      </w:r>
      <w:r w:rsidRPr="00B329D9">
        <w:rPr>
          <w:rFonts w:ascii="Book Antiqua" w:eastAsia="Book Antiqua" w:hAnsi="Book Antiqua" w:cs="Book Antiqua"/>
          <w:i/>
          <w:color w:val="000000"/>
        </w:rPr>
        <w:t>World Journal of Orthopedics</w:t>
      </w:r>
    </w:p>
    <w:p w14:paraId="35515307"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 xml:space="preserve">Manuscript NO: </w:t>
      </w:r>
      <w:r w:rsidRPr="00B329D9">
        <w:rPr>
          <w:rFonts w:ascii="Book Antiqua" w:eastAsia="Book Antiqua" w:hAnsi="Book Antiqua" w:cs="Book Antiqua"/>
          <w:color w:val="000000"/>
        </w:rPr>
        <w:t>62805</w:t>
      </w:r>
    </w:p>
    <w:p w14:paraId="0BEB1268"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 xml:space="preserve">Manuscript Type: </w:t>
      </w:r>
      <w:r w:rsidRPr="00B329D9">
        <w:rPr>
          <w:rFonts w:ascii="Book Antiqua" w:eastAsia="Book Antiqua" w:hAnsi="Book Antiqua" w:cs="Book Antiqua"/>
          <w:color w:val="000000"/>
        </w:rPr>
        <w:t>SYSTEMATIC REVIEWS</w:t>
      </w:r>
    </w:p>
    <w:p w14:paraId="542DDFFE" w14:textId="77777777" w:rsidR="00A77B3E" w:rsidRPr="00B329D9" w:rsidRDefault="00A77B3E" w:rsidP="00B329D9">
      <w:pPr>
        <w:adjustRightInd w:val="0"/>
        <w:snapToGrid w:val="0"/>
        <w:spacing w:line="360" w:lineRule="auto"/>
        <w:jc w:val="both"/>
        <w:rPr>
          <w:rFonts w:ascii="Book Antiqua" w:hAnsi="Book Antiqua"/>
        </w:rPr>
      </w:pPr>
    </w:p>
    <w:p w14:paraId="7EF706A9" w14:textId="77777777" w:rsidR="00A77B3E" w:rsidRPr="00B329D9" w:rsidRDefault="002B3072" w:rsidP="00B329D9">
      <w:pPr>
        <w:adjustRightInd w:val="0"/>
        <w:snapToGrid w:val="0"/>
        <w:spacing w:line="360" w:lineRule="auto"/>
        <w:jc w:val="both"/>
        <w:rPr>
          <w:rFonts w:ascii="Book Antiqua" w:hAnsi="Book Antiqua"/>
        </w:rPr>
      </w:pPr>
      <w:bookmarkStart w:id="0" w:name="OLE_LINK2873"/>
      <w:bookmarkStart w:id="1" w:name="OLE_LINK2874"/>
      <w:r w:rsidRPr="00B329D9">
        <w:rPr>
          <w:rFonts w:ascii="Book Antiqua" w:eastAsia="Book Antiqua" w:hAnsi="Book Antiqua" w:cs="Book Antiqua"/>
          <w:b/>
          <w:bCs/>
          <w:color w:val="000000"/>
        </w:rPr>
        <w:t>Endoscopic fasciotomy for chronic exertional compartment syndrome of the forearm: Systematic review of outcomes and complications</w:t>
      </w:r>
    </w:p>
    <w:bookmarkEnd w:id="0"/>
    <w:bookmarkEnd w:id="1"/>
    <w:p w14:paraId="65C7771B" w14:textId="77777777" w:rsidR="00A77B3E" w:rsidRPr="00B329D9" w:rsidRDefault="00A77B3E" w:rsidP="00B329D9">
      <w:pPr>
        <w:adjustRightInd w:val="0"/>
        <w:snapToGrid w:val="0"/>
        <w:spacing w:line="360" w:lineRule="auto"/>
        <w:jc w:val="both"/>
        <w:rPr>
          <w:rFonts w:ascii="Book Antiqua" w:hAnsi="Book Antiqua"/>
        </w:rPr>
      </w:pPr>
    </w:p>
    <w:p w14:paraId="30312E70"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 xml:space="preserve">Marwan Y </w:t>
      </w:r>
      <w:r w:rsidRPr="00B329D9">
        <w:rPr>
          <w:rFonts w:ascii="Book Antiqua" w:eastAsia="Book Antiqua" w:hAnsi="Book Antiqua" w:cs="Book Antiqua"/>
          <w:i/>
          <w:iCs/>
          <w:color w:val="000000"/>
        </w:rPr>
        <w:t>et al.</w:t>
      </w:r>
      <w:r w:rsidRPr="00B329D9">
        <w:rPr>
          <w:rFonts w:ascii="Book Antiqua" w:eastAsia="Book Antiqua" w:hAnsi="Book Antiqua" w:cs="Book Antiqua"/>
          <w:color w:val="000000"/>
        </w:rPr>
        <w:t xml:space="preserve"> Endoscopic fasciotomy of the forearm</w:t>
      </w:r>
    </w:p>
    <w:p w14:paraId="69CF3A2E" w14:textId="77777777" w:rsidR="00A77B3E" w:rsidRPr="00B329D9" w:rsidRDefault="00A77B3E" w:rsidP="00B329D9">
      <w:pPr>
        <w:adjustRightInd w:val="0"/>
        <w:snapToGrid w:val="0"/>
        <w:spacing w:line="360" w:lineRule="auto"/>
        <w:jc w:val="both"/>
        <w:rPr>
          <w:rFonts w:ascii="Book Antiqua" w:hAnsi="Book Antiqua"/>
        </w:rPr>
      </w:pPr>
    </w:p>
    <w:p w14:paraId="4DF7D917"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 xml:space="preserve">Yousef Marwan, Abdullah </w:t>
      </w:r>
      <w:proofErr w:type="spellStart"/>
      <w:r w:rsidRPr="00B329D9">
        <w:rPr>
          <w:rFonts w:ascii="Book Antiqua" w:eastAsia="Book Antiqua" w:hAnsi="Book Antiqua" w:cs="Book Antiqua"/>
          <w:color w:val="000000"/>
        </w:rPr>
        <w:t>Addar</w:t>
      </w:r>
      <w:proofErr w:type="spellEnd"/>
      <w:r w:rsidRPr="00B329D9">
        <w:rPr>
          <w:rFonts w:ascii="Book Antiqua" w:eastAsia="Book Antiqua" w:hAnsi="Book Antiqua" w:cs="Book Antiqua"/>
          <w:color w:val="000000"/>
        </w:rPr>
        <w:t xml:space="preserve">, Nizar </w:t>
      </w:r>
      <w:proofErr w:type="spellStart"/>
      <w:r w:rsidRPr="00B329D9">
        <w:rPr>
          <w:rFonts w:ascii="Book Antiqua" w:eastAsia="Book Antiqua" w:hAnsi="Book Antiqua" w:cs="Book Antiqua"/>
          <w:color w:val="000000"/>
        </w:rPr>
        <w:t>Algarni</w:t>
      </w:r>
      <w:proofErr w:type="spellEnd"/>
      <w:r w:rsidRPr="00B329D9">
        <w:rPr>
          <w:rFonts w:ascii="Book Antiqua" w:eastAsia="Book Antiqua" w:hAnsi="Book Antiqua" w:cs="Book Antiqua"/>
          <w:color w:val="000000"/>
        </w:rPr>
        <w:t xml:space="preserve">, Nabil </w:t>
      </w:r>
      <w:proofErr w:type="spellStart"/>
      <w:r w:rsidRPr="00B329D9">
        <w:rPr>
          <w:rFonts w:ascii="Book Antiqua" w:eastAsia="Book Antiqua" w:hAnsi="Book Antiqua" w:cs="Book Antiqua"/>
          <w:color w:val="000000"/>
        </w:rPr>
        <w:t>Algarni</w:t>
      </w:r>
      <w:proofErr w:type="spellEnd"/>
      <w:r w:rsidRPr="00B329D9">
        <w:rPr>
          <w:rFonts w:ascii="Book Antiqua" w:eastAsia="Book Antiqua" w:hAnsi="Book Antiqua" w:cs="Book Antiqua"/>
          <w:color w:val="000000"/>
        </w:rPr>
        <w:t>, Mark Burman, Paul A Martineau</w:t>
      </w:r>
    </w:p>
    <w:p w14:paraId="38503427" w14:textId="77777777" w:rsidR="00A77B3E" w:rsidRPr="00B329D9" w:rsidRDefault="00A77B3E" w:rsidP="00B329D9">
      <w:pPr>
        <w:adjustRightInd w:val="0"/>
        <w:snapToGrid w:val="0"/>
        <w:spacing w:line="360" w:lineRule="auto"/>
        <w:jc w:val="both"/>
        <w:rPr>
          <w:rFonts w:ascii="Book Antiqua" w:hAnsi="Book Antiqua"/>
        </w:rPr>
      </w:pPr>
    </w:p>
    <w:p w14:paraId="77ED8C1D"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Yousef Marwan, Abdullah </w:t>
      </w:r>
      <w:proofErr w:type="spellStart"/>
      <w:r w:rsidRPr="00B329D9">
        <w:rPr>
          <w:rFonts w:ascii="Book Antiqua" w:eastAsia="Book Antiqua" w:hAnsi="Book Antiqua" w:cs="Book Antiqua"/>
          <w:b/>
          <w:bCs/>
          <w:color w:val="000000"/>
        </w:rPr>
        <w:t>Addar</w:t>
      </w:r>
      <w:proofErr w:type="spellEnd"/>
      <w:r w:rsidRPr="00B329D9">
        <w:rPr>
          <w:rFonts w:ascii="Book Antiqua" w:eastAsia="Book Antiqua" w:hAnsi="Book Antiqua" w:cs="Book Antiqua"/>
          <w:b/>
          <w:bCs/>
          <w:color w:val="000000"/>
        </w:rPr>
        <w:t xml:space="preserve">, Nizar </w:t>
      </w:r>
      <w:proofErr w:type="spellStart"/>
      <w:r w:rsidRPr="00B329D9">
        <w:rPr>
          <w:rFonts w:ascii="Book Antiqua" w:eastAsia="Book Antiqua" w:hAnsi="Book Antiqua" w:cs="Book Antiqua"/>
          <w:b/>
          <w:bCs/>
          <w:color w:val="000000"/>
        </w:rPr>
        <w:t>Algarni</w:t>
      </w:r>
      <w:proofErr w:type="spellEnd"/>
      <w:r w:rsidRPr="00B329D9">
        <w:rPr>
          <w:rFonts w:ascii="Book Antiqua" w:eastAsia="Book Antiqua" w:hAnsi="Book Antiqua" w:cs="Book Antiqua"/>
          <w:b/>
          <w:bCs/>
          <w:color w:val="000000"/>
        </w:rPr>
        <w:t xml:space="preserve">, Mark Burman, Paul A Martineau, </w:t>
      </w:r>
      <w:r w:rsidRPr="00B329D9">
        <w:rPr>
          <w:rFonts w:ascii="Book Antiqua" w:eastAsia="Book Antiqua" w:hAnsi="Book Antiqua" w:cs="Book Antiqua"/>
          <w:color w:val="000000"/>
        </w:rPr>
        <w:t xml:space="preserve">Division of </w:t>
      </w:r>
      <w:proofErr w:type="spellStart"/>
      <w:r w:rsidRPr="00B329D9">
        <w:rPr>
          <w:rFonts w:ascii="Book Antiqua" w:eastAsia="Book Antiqua" w:hAnsi="Book Antiqua" w:cs="Book Antiqua"/>
          <w:color w:val="000000"/>
        </w:rPr>
        <w:t>Orthopaedic</w:t>
      </w:r>
      <w:proofErr w:type="spellEnd"/>
      <w:r w:rsidRPr="00B329D9">
        <w:rPr>
          <w:rFonts w:ascii="Book Antiqua" w:eastAsia="Book Antiqua" w:hAnsi="Book Antiqua" w:cs="Book Antiqua"/>
          <w:color w:val="000000"/>
        </w:rPr>
        <w:t xml:space="preserve"> Surgery, McGill University Health Centre, Montreal H3G-1A4, Quebec, Canada</w:t>
      </w:r>
    </w:p>
    <w:p w14:paraId="6F252D78" w14:textId="77777777" w:rsidR="00A77B3E" w:rsidRPr="00B329D9" w:rsidRDefault="00A77B3E" w:rsidP="00B329D9">
      <w:pPr>
        <w:adjustRightInd w:val="0"/>
        <w:snapToGrid w:val="0"/>
        <w:spacing w:line="360" w:lineRule="auto"/>
        <w:jc w:val="both"/>
        <w:rPr>
          <w:rFonts w:ascii="Book Antiqua" w:hAnsi="Book Antiqua"/>
        </w:rPr>
      </w:pPr>
    </w:p>
    <w:p w14:paraId="004E3508"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Nabil </w:t>
      </w:r>
      <w:proofErr w:type="spellStart"/>
      <w:r w:rsidRPr="00B329D9">
        <w:rPr>
          <w:rFonts w:ascii="Book Antiqua" w:eastAsia="Book Antiqua" w:hAnsi="Book Antiqua" w:cs="Book Antiqua"/>
          <w:b/>
          <w:bCs/>
          <w:color w:val="000000"/>
        </w:rPr>
        <w:t>Algarni</w:t>
      </w:r>
      <w:proofErr w:type="spellEnd"/>
      <w:r w:rsidRPr="00B329D9">
        <w:rPr>
          <w:rFonts w:ascii="Book Antiqua" w:eastAsia="Book Antiqua" w:hAnsi="Book Antiqua" w:cs="Book Antiqua"/>
          <w:b/>
          <w:bCs/>
          <w:color w:val="000000"/>
        </w:rPr>
        <w:t xml:space="preserve">, </w:t>
      </w:r>
      <w:r w:rsidRPr="00B329D9">
        <w:rPr>
          <w:rFonts w:ascii="Book Antiqua" w:eastAsia="Book Antiqua" w:hAnsi="Book Antiqua" w:cs="Book Antiqua"/>
          <w:color w:val="000000"/>
        </w:rPr>
        <w:t xml:space="preserve">Department of </w:t>
      </w:r>
      <w:proofErr w:type="spellStart"/>
      <w:r w:rsidRPr="00B329D9">
        <w:rPr>
          <w:rFonts w:ascii="Book Antiqua" w:eastAsia="Book Antiqua" w:hAnsi="Book Antiqua" w:cs="Book Antiqua"/>
          <w:color w:val="000000"/>
        </w:rPr>
        <w:t>Orthopaedic</w:t>
      </w:r>
      <w:proofErr w:type="spellEnd"/>
      <w:r w:rsidRPr="00B329D9">
        <w:rPr>
          <w:rFonts w:ascii="Book Antiqua" w:eastAsia="Book Antiqua" w:hAnsi="Book Antiqua" w:cs="Book Antiqua"/>
          <w:color w:val="000000"/>
        </w:rPr>
        <w:t xml:space="preserve"> Surgery, King Fahad Medical City, Riyadh 00966, Saudi Arabia</w:t>
      </w:r>
    </w:p>
    <w:p w14:paraId="53551EB1" w14:textId="77777777" w:rsidR="00A77B3E" w:rsidRPr="00B329D9" w:rsidRDefault="00A77B3E" w:rsidP="00B329D9">
      <w:pPr>
        <w:adjustRightInd w:val="0"/>
        <w:snapToGrid w:val="0"/>
        <w:spacing w:line="360" w:lineRule="auto"/>
        <w:jc w:val="both"/>
        <w:rPr>
          <w:rFonts w:ascii="Book Antiqua" w:hAnsi="Book Antiqua"/>
        </w:rPr>
      </w:pPr>
    </w:p>
    <w:p w14:paraId="03873B48" w14:textId="104A94DE"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Author contributions: </w:t>
      </w:r>
      <w:r w:rsidRPr="00B329D9">
        <w:rPr>
          <w:rFonts w:ascii="Book Antiqua" w:eastAsia="Book Antiqua" w:hAnsi="Book Antiqua" w:cs="Book Antiqua"/>
          <w:color w:val="000000"/>
        </w:rPr>
        <w:t xml:space="preserve">Marwan Y, </w:t>
      </w:r>
      <w:proofErr w:type="spellStart"/>
      <w:r w:rsidRPr="00B329D9">
        <w:rPr>
          <w:rFonts w:ascii="Book Antiqua" w:eastAsia="Book Antiqua" w:hAnsi="Book Antiqua" w:cs="Book Antiqua"/>
          <w:color w:val="000000"/>
        </w:rPr>
        <w:t>Addar</w:t>
      </w:r>
      <w:proofErr w:type="spellEnd"/>
      <w:r w:rsidRPr="00B329D9">
        <w:rPr>
          <w:rFonts w:ascii="Book Antiqua" w:eastAsia="Book Antiqua" w:hAnsi="Book Antiqua" w:cs="Book Antiqua"/>
          <w:color w:val="000000"/>
        </w:rPr>
        <w:t xml:space="preserve"> A and </w:t>
      </w:r>
      <w:proofErr w:type="spellStart"/>
      <w:r w:rsidRPr="00B329D9">
        <w:rPr>
          <w:rFonts w:ascii="Book Antiqua" w:eastAsia="Book Antiqua" w:hAnsi="Book Antiqua" w:cs="Book Antiqua"/>
          <w:color w:val="000000"/>
        </w:rPr>
        <w:t>Algarni</w:t>
      </w:r>
      <w:proofErr w:type="spellEnd"/>
      <w:r w:rsidRPr="00B329D9">
        <w:rPr>
          <w:rFonts w:ascii="Book Antiqua" w:eastAsia="Book Antiqua" w:hAnsi="Book Antiqua" w:cs="Book Antiqua"/>
          <w:color w:val="000000"/>
        </w:rPr>
        <w:t xml:space="preserve"> N participated in all steps of the project, including planning, literature search, data extraction, data analysis, data interpretation and manuscript preparation; </w:t>
      </w:r>
      <w:proofErr w:type="spellStart"/>
      <w:r w:rsidRPr="00B329D9">
        <w:rPr>
          <w:rFonts w:ascii="Book Antiqua" w:eastAsia="Book Antiqua" w:hAnsi="Book Antiqua" w:cs="Book Antiqua"/>
          <w:color w:val="000000"/>
        </w:rPr>
        <w:t>Algarni</w:t>
      </w:r>
      <w:proofErr w:type="spellEnd"/>
      <w:r w:rsidRPr="00B329D9">
        <w:rPr>
          <w:rFonts w:ascii="Book Antiqua" w:eastAsia="Book Antiqua" w:hAnsi="Book Antiqua" w:cs="Book Antiqua"/>
          <w:color w:val="000000"/>
        </w:rPr>
        <w:t xml:space="preserve"> N participated in planning, data analysis, data interpretation and manuscript preparation; Burman M and Martineau PA supervised all steps of the project; </w:t>
      </w:r>
      <w:r w:rsidR="00F74AB7">
        <w:rPr>
          <w:rFonts w:ascii="Book Antiqua" w:eastAsia="Book Antiqua" w:hAnsi="Book Antiqua" w:cs="Book Antiqua"/>
          <w:color w:val="000000"/>
        </w:rPr>
        <w:t>a</w:t>
      </w:r>
      <w:r w:rsidRPr="00B329D9">
        <w:rPr>
          <w:rFonts w:ascii="Book Antiqua" w:eastAsia="Book Antiqua" w:hAnsi="Book Antiqua" w:cs="Book Antiqua"/>
          <w:color w:val="000000"/>
        </w:rPr>
        <w:t xml:space="preserve">ll authors have read and approved the final version of the manuscript. </w:t>
      </w:r>
    </w:p>
    <w:p w14:paraId="75F9E5E3" w14:textId="77777777" w:rsidR="00A77B3E" w:rsidRPr="00B329D9" w:rsidRDefault="00A77B3E" w:rsidP="00B329D9">
      <w:pPr>
        <w:adjustRightInd w:val="0"/>
        <w:snapToGrid w:val="0"/>
        <w:spacing w:line="360" w:lineRule="auto"/>
        <w:jc w:val="both"/>
        <w:rPr>
          <w:rFonts w:ascii="Book Antiqua" w:hAnsi="Book Antiqua"/>
        </w:rPr>
      </w:pPr>
    </w:p>
    <w:p w14:paraId="0EF5202B" w14:textId="198C0465"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Corresponding author: Yousef Marwan, BM </w:t>
      </w:r>
      <w:proofErr w:type="spellStart"/>
      <w:r w:rsidRPr="00B329D9">
        <w:rPr>
          <w:rFonts w:ascii="Book Antiqua" w:eastAsia="Book Antiqua" w:hAnsi="Book Antiqua" w:cs="Book Antiqua"/>
          <w:b/>
          <w:bCs/>
          <w:color w:val="000000"/>
        </w:rPr>
        <w:t>BCh</w:t>
      </w:r>
      <w:proofErr w:type="spellEnd"/>
      <w:r w:rsidRPr="00B329D9">
        <w:rPr>
          <w:rFonts w:ascii="Book Antiqua" w:eastAsia="Book Antiqua" w:hAnsi="Book Antiqua" w:cs="Book Antiqua"/>
          <w:b/>
          <w:bCs/>
          <w:color w:val="000000"/>
        </w:rPr>
        <w:t>, BSc, FRCS</w:t>
      </w:r>
      <w:r w:rsidR="00B329D9">
        <w:rPr>
          <w:rFonts w:ascii="Book Antiqua" w:eastAsia="Book Antiqua" w:hAnsi="Book Antiqua" w:cs="Book Antiqua"/>
          <w:b/>
          <w:bCs/>
          <w:color w:val="000000"/>
        </w:rPr>
        <w:t>C</w:t>
      </w:r>
      <w:r w:rsidRPr="00B329D9">
        <w:rPr>
          <w:rFonts w:ascii="Book Antiqua" w:eastAsia="Book Antiqua" w:hAnsi="Book Antiqua" w:cs="Book Antiqua"/>
          <w:b/>
          <w:bCs/>
          <w:color w:val="000000"/>
        </w:rPr>
        <w:t xml:space="preserve">, Academic Fellow, </w:t>
      </w:r>
      <w:r w:rsidRPr="00B329D9">
        <w:rPr>
          <w:rFonts w:ascii="Book Antiqua" w:eastAsia="Book Antiqua" w:hAnsi="Book Antiqua" w:cs="Book Antiqua"/>
          <w:color w:val="000000"/>
        </w:rPr>
        <w:t xml:space="preserve">Division of </w:t>
      </w:r>
      <w:proofErr w:type="spellStart"/>
      <w:r w:rsidRPr="00B329D9">
        <w:rPr>
          <w:rFonts w:ascii="Book Antiqua" w:eastAsia="Book Antiqua" w:hAnsi="Book Antiqua" w:cs="Book Antiqua"/>
          <w:color w:val="000000"/>
        </w:rPr>
        <w:t>Orthopaedic</w:t>
      </w:r>
      <w:proofErr w:type="spellEnd"/>
      <w:r w:rsidRPr="00B329D9">
        <w:rPr>
          <w:rFonts w:ascii="Book Antiqua" w:eastAsia="Book Antiqua" w:hAnsi="Book Antiqua" w:cs="Book Antiqua"/>
          <w:color w:val="000000"/>
        </w:rPr>
        <w:t xml:space="preserve"> Surgery, McGill University Health Centre, 1650 Cedar Avenue, B5-159.6, Montreal H3G-1A4, Quebec, Canada. yousefmarwan@hotmail.com</w:t>
      </w:r>
    </w:p>
    <w:p w14:paraId="6CDFB7E8" w14:textId="77777777" w:rsidR="00A77B3E" w:rsidRPr="00B329D9" w:rsidRDefault="00A77B3E" w:rsidP="00B329D9">
      <w:pPr>
        <w:adjustRightInd w:val="0"/>
        <w:snapToGrid w:val="0"/>
        <w:spacing w:line="360" w:lineRule="auto"/>
        <w:jc w:val="both"/>
        <w:rPr>
          <w:rFonts w:ascii="Book Antiqua" w:hAnsi="Book Antiqua"/>
        </w:rPr>
      </w:pPr>
    </w:p>
    <w:p w14:paraId="5D9F3884"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Received: </w:t>
      </w:r>
      <w:r w:rsidRPr="00B329D9">
        <w:rPr>
          <w:rFonts w:ascii="Book Antiqua" w:eastAsia="Book Antiqua" w:hAnsi="Book Antiqua" w:cs="Book Antiqua"/>
          <w:color w:val="000000"/>
        </w:rPr>
        <w:t>January 19, 2021</w:t>
      </w:r>
    </w:p>
    <w:p w14:paraId="4047F5E5"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Revised: </w:t>
      </w:r>
      <w:r w:rsidRPr="00B329D9">
        <w:rPr>
          <w:rFonts w:ascii="Book Antiqua" w:eastAsia="Book Antiqua" w:hAnsi="Book Antiqua" w:cs="Book Antiqua"/>
          <w:color w:val="000000"/>
        </w:rPr>
        <w:t>February 18, 2021</w:t>
      </w:r>
    </w:p>
    <w:p w14:paraId="23B13925" w14:textId="5A93A96F"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Accepted: </w:t>
      </w:r>
      <w:r w:rsidR="00DB1F07" w:rsidRPr="00DB1F07">
        <w:rPr>
          <w:rFonts w:ascii="Book Antiqua" w:eastAsia="Book Antiqua" w:hAnsi="Book Antiqua" w:cs="Book Antiqua"/>
          <w:color w:val="000000"/>
        </w:rPr>
        <w:t>April 22, 2021</w:t>
      </w:r>
    </w:p>
    <w:p w14:paraId="60EA09F2"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Published online: </w:t>
      </w:r>
    </w:p>
    <w:p w14:paraId="0D8C6A06" w14:textId="77777777" w:rsidR="00A77B3E" w:rsidRPr="00B329D9" w:rsidRDefault="00A77B3E" w:rsidP="00B329D9">
      <w:pPr>
        <w:adjustRightInd w:val="0"/>
        <w:snapToGrid w:val="0"/>
        <w:spacing w:line="360" w:lineRule="auto"/>
        <w:jc w:val="both"/>
        <w:rPr>
          <w:rFonts w:ascii="Book Antiqua" w:hAnsi="Book Antiqua"/>
        </w:rPr>
        <w:sectPr w:rsidR="00A77B3E" w:rsidRPr="00B329D9">
          <w:footerReference w:type="default" r:id="rId6"/>
          <w:pgSz w:w="12240" w:h="15840"/>
          <w:pgMar w:top="1440" w:right="1440" w:bottom="1440" w:left="1440" w:header="720" w:footer="720" w:gutter="0"/>
          <w:cols w:space="720"/>
          <w:docGrid w:linePitch="360"/>
        </w:sectPr>
      </w:pPr>
    </w:p>
    <w:p w14:paraId="5ECC2B3D"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lastRenderedPageBreak/>
        <w:t>Abstract</w:t>
      </w:r>
    </w:p>
    <w:p w14:paraId="59A3B2CD"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BACKGROUND</w:t>
      </w:r>
    </w:p>
    <w:p w14:paraId="780F5509"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Endoscopic fasciotomy of the forearm for chronic exertional compartment syndrome (CECS) has gained popularity recently.</w:t>
      </w:r>
    </w:p>
    <w:p w14:paraId="7F3E300E" w14:textId="77777777" w:rsidR="00A77B3E" w:rsidRPr="00B329D9" w:rsidRDefault="00A77B3E" w:rsidP="00B329D9">
      <w:pPr>
        <w:adjustRightInd w:val="0"/>
        <w:snapToGrid w:val="0"/>
        <w:spacing w:line="360" w:lineRule="auto"/>
        <w:jc w:val="both"/>
        <w:rPr>
          <w:rFonts w:ascii="Book Antiqua" w:hAnsi="Book Antiqua"/>
        </w:rPr>
      </w:pPr>
    </w:p>
    <w:p w14:paraId="0FC6779C"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AIM</w:t>
      </w:r>
    </w:p>
    <w:p w14:paraId="4BE74C26"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To systematically review the literature of endoscopic fasciotomy for CECS of the forearm, aiming to assess the outcomes and complications of the different endoscopic fasciotomy techniques described in the literature.</w:t>
      </w:r>
    </w:p>
    <w:p w14:paraId="03613BA7" w14:textId="77777777" w:rsidR="00A77B3E" w:rsidRPr="00B329D9" w:rsidRDefault="00A77B3E" w:rsidP="00B329D9">
      <w:pPr>
        <w:adjustRightInd w:val="0"/>
        <w:snapToGrid w:val="0"/>
        <w:spacing w:line="360" w:lineRule="auto"/>
        <w:jc w:val="both"/>
        <w:rPr>
          <w:rFonts w:ascii="Book Antiqua" w:hAnsi="Book Antiqua"/>
        </w:rPr>
      </w:pPr>
    </w:p>
    <w:p w14:paraId="443A3415"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METHODS</w:t>
      </w:r>
    </w:p>
    <w:p w14:paraId="07ECEF3C"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On January 18, 2021, PubMed and EMBASE were searched by 3 reviewers independently, and all relevant studies published up to that date were considered based on predetermined inclusion/exclusion criteria. The subject headings “endoscopic fasciotomy” and “compartment syndrome” and their related key terms were used. The Preferred Reporting Item for Systematic Reviews and Meta-Analyses statement was used to screen the articles.</w:t>
      </w:r>
    </w:p>
    <w:p w14:paraId="27A28FF7" w14:textId="77777777" w:rsidR="00A77B3E" w:rsidRPr="00B329D9" w:rsidRDefault="00A77B3E" w:rsidP="00B329D9">
      <w:pPr>
        <w:adjustRightInd w:val="0"/>
        <w:snapToGrid w:val="0"/>
        <w:spacing w:line="360" w:lineRule="auto"/>
        <w:jc w:val="both"/>
        <w:rPr>
          <w:rFonts w:ascii="Book Antiqua" w:hAnsi="Book Antiqua"/>
        </w:rPr>
      </w:pPr>
    </w:p>
    <w:p w14:paraId="2279AEEE"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RESULTS</w:t>
      </w:r>
    </w:p>
    <w:p w14:paraId="31389CC8" w14:textId="183DB2D6"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 xml:space="preserve">A total of seven studies including 183 patients (355 forearms) were included. The mean age of the patients was 31.2 years (range: 15-42 years). The postoperative follow-up duration ranged from 6 </w:t>
      </w:r>
      <w:proofErr w:type="spellStart"/>
      <w:r w:rsidRPr="00B329D9">
        <w:rPr>
          <w:rFonts w:ascii="Book Antiqua" w:eastAsia="Book Antiqua" w:hAnsi="Book Antiqua" w:cs="Book Antiqua"/>
          <w:color w:val="000000"/>
        </w:rPr>
        <w:t>wk</w:t>
      </w:r>
      <w:proofErr w:type="spellEnd"/>
      <w:r w:rsidRPr="00B329D9">
        <w:rPr>
          <w:rFonts w:ascii="Book Antiqua" w:eastAsia="Book Antiqua" w:hAnsi="Book Antiqua" w:cs="Book Antiqua"/>
          <w:color w:val="000000"/>
        </w:rPr>
        <w:t xml:space="preserve"> to 4.9 years. All patients were able to return to sport activities between postoperative week</w:t>
      </w:r>
      <w:r w:rsidR="00F74AB7">
        <w:rPr>
          <w:rFonts w:ascii="Book Antiqua" w:eastAsia="Book Antiqua" w:hAnsi="Book Antiqua" w:cs="Book Antiqua"/>
          <w:color w:val="000000"/>
        </w:rPr>
        <w:t>s</w:t>
      </w:r>
      <w:r w:rsidRPr="00B329D9">
        <w:rPr>
          <w:rFonts w:ascii="Book Antiqua" w:eastAsia="Book Antiqua" w:hAnsi="Book Antiqua" w:cs="Book Antiqua"/>
          <w:color w:val="000000"/>
        </w:rPr>
        <w:t xml:space="preserve"> 1 to 8. Recurrence of the compartment syndrome occurred in three patients, giving a rate of 1.6% per patient and 0.8% per forearm. The overall complication rate was 8.7% per patient, and 4.5% per forearm. The most common reported complication was hematoma (7 forearms; 2.0%).</w:t>
      </w:r>
    </w:p>
    <w:p w14:paraId="63E36099" w14:textId="77777777" w:rsidR="00A77B3E" w:rsidRPr="00B329D9" w:rsidRDefault="00A77B3E" w:rsidP="00B329D9">
      <w:pPr>
        <w:adjustRightInd w:val="0"/>
        <w:snapToGrid w:val="0"/>
        <w:spacing w:line="360" w:lineRule="auto"/>
        <w:jc w:val="both"/>
        <w:rPr>
          <w:rFonts w:ascii="Book Antiqua" w:hAnsi="Book Antiqua"/>
        </w:rPr>
      </w:pPr>
    </w:p>
    <w:p w14:paraId="24FDB369"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CONCLUSION</w:t>
      </w:r>
    </w:p>
    <w:p w14:paraId="33D89737"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lastRenderedPageBreak/>
        <w:t>Endoscopic fasciotomy for CECS of the forearm has favorable short- and mid-term outcomes with very low recurrence and complication rates. This, however, needs to be confirmed in larger, long-term follow-up, prospective, comparative studies between open, mini-open and endoscopic fasciotomy techniques.</w:t>
      </w:r>
    </w:p>
    <w:p w14:paraId="172DEB2E" w14:textId="77777777" w:rsidR="00A77B3E" w:rsidRPr="00B329D9" w:rsidRDefault="00A77B3E" w:rsidP="00B329D9">
      <w:pPr>
        <w:adjustRightInd w:val="0"/>
        <w:snapToGrid w:val="0"/>
        <w:spacing w:line="360" w:lineRule="auto"/>
        <w:jc w:val="both"/>
        <w:rPr>
          <w:rFonts w:ascii="Book Antiqua" w:hAnsi="Book Antiqua"/>
        </w:rPr>
      </w:pPr>
    </w:p>
    <w:p w14:paraId="57A40127"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Key Words: </w:t>
      </w:r>
      <w:r w:rsidRPr="00B329D9">
        <w:rPr>
          <w:rFonts w:ascii="Book Antiqua" w:eastAsia="Book Antiqua" w:hAnsi="Book Antiqua" w:cs="Book Antiqua"/>
          <w:color w:val="000000"/>
        </w:rPr>
        <w:t>Exertional compartment syndrome; Compartment syndrome; Fasciotomy; Forearm; Endoscopy</w:t>
      </w:r>
    </w:p>
    <w:p w14:paraId="49CD0CE9" w14:textId="77777777" w:rsidR="00A77B3E" w:rsidRPr="00B329D9" w:rsidRDefault="00A77B3E" w:rsidP="00B329D9">
      <w:pPr>
        <w:adjustRightInd w:val="0"/>
        <w:snapToGrid w:val="0"/>
        <w:spacing w:line="360" w:lineRule="auto"/>
        <w:jc w:val="both"/>
        <w:rPr>
          <w:rFonts w:ascii="Book Antiqua" w:hAnsi="Book Antiqua"/>
        </w:rPr>
      </w:pPr>
    </w:p>
    <w:p w14:paraId="5A751505"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 xml:space="preserve">Marwan Y, </w:t>
      </w:r>
      <w:proofErr w:type="spellStart"/>
      <w:r w:rsidRPr="00B329D9">
        <w:rPr>
          <w:rFonts w:ascii="Book Antiqua" w:eastAsia="Book Antiqua" w:hAnsi="Book Antiqua" w:cs="Book Antiqua"/>
          <w:color w:val="000000"/>
        </w:rPr>
        <w:t>Addar</w:t>
      </w:r>
      <w:proofErr w:type="spellEnd"/>
      <w:r w:rsidRPr="00B329D9">
        <w:rPr>
          <w:rFonts w:ascii="Book Antiqua" w:eastAsia="Book Antiqua" w:hAnsi="Book Antiqua" w:cs="Book Antiqua"/>
          <w:color w:val="000000"/>
        </w:rPr>
        <w:t xml:space="preserve"> A, </w:t>
      </w:r>
      <w:proofErr w:type="spellStart"/>
      <w:r w:rsidRPr="00B329D9">
        <w:rPr>
          <w:rFonts w:ascii="Book Antiqua" w:eastAsia="Book Antiqua" w:hAnsi="Book Antiqua" w:cs="Book Antiqua"/>
          <w:color w:val="000000"/>
        </w:rPr>
        <w:t>Algarni</w:t>
      </w:r>
      <w:proofErr w:type="spellEnd"/>
      <w:r w:rsidRPr="00B329D9">
        <w:rPr>
          <w:rFonts w:ascii="Book Antiqua" w:eastAsia="Book Antiqua" w:hAnsi="Book Antiqua" w:cs="Book Antiqua"/>
          <w:color w:val="000000"/>
        </w:rPr>
        <w:t xml:space="preserve"> N, </w:t>
      </w:r>
      <w:proofErr w:type="spellStart"/>
      <w:r w:rsidRPr="00B329D9">
        <w:rPr>
          <w:rFonts w:ascii="Book Antiqua" w:eastAsia="Book Antiqua" w:hAnsi="Book Antiqua" w:cs="Book Antiqua"/>
          <w:color w:val="000000"/>
        </w:rPr>
        <w:t>Algarni</w:t>
      </w:r>
      <w:proofErr w:type="spellEnd"/>
      <w:r w:rsidRPr="00B329D9">
        <w:rPr>
          <w:rFonts w:ascii="Book Antiqua" w:eastAsia="Book Antiqua" w:hAnsi="Book Antiqua" w:cs="Book Antiqua"/>
          <w:color w:val="000000"/>
        </w:rPr>
        <w:t xml:space="preserve"> N, Burman M, Martineau PA. Endoscopic fasciotomy for chronic exertional compartment syndrome of the forearm: Systematic review of outcomes and complications. </w:t>
      </w:r>
      <w:r w:rsidRPr="00B329D9">
        <w:rPr>
          <w:rFonts w:ascii="Book Antiqua" w:eastAsia="Book Antiqua" w:hAnsi="Book Antiqua" w:cs="Book Antiqua"/>
          <w:i/>
          <w:iCs/>
          <w:color w:val="000000"/>
        </w:rPr>
        <w:t xml:space="preserve">World J </w:t>
      </w:r>
      <w:proofErr w:type="spellStart"/>
      <w:r w:rsidRPr="00B329D9">
        <w:rPr>
          <w:rFonts w:ascii="Book Antiqua" w:eastAsia="Book Antiqua" w:hAnsi="Book Antiqua" w:cs="Book Antiqua"/>
          <w:i/>
          <w:iCs/>
          <w:color w:val="000000"/>
        </w:rPr>
        <w:t>Orthop</w:t>
      </w:r>
      <w:proofErr w:type="spellEnd"/>
      <w:r w:rsidRPr="00B329D9">
        <w:rPr>
          <w:rFonts w:ascii="Book Antiqua" w:eastAsia="Book Antiqua" w:hAnsi="Book Antiqua" w:cs="Book Antiqua"/>
          <w:color w:val="000000"/>
        </w:rPr>
        <w:t xml:space="preserve"> 2021; In press</w:t>
      </w:r>
    </w:p>
    <w:p w14:paraId="58B43A81" w14:textId="77777777" w:rsidR="00A77B3E" w:rsidRPr="00B329D9" w:rsidRDefault="00A77B3E" w:rsidP="00B329D9">
      <w:pPr>
        <w:adjustRightInd w:val="0"/>
        <w:snapToGrid w:val="0"/>
        <w:spacing w:line="360" w:lineRule="auto"/>
        <w:jc w:val="both"/>
        <w:rPr>
          <w:rFonts w:ascii="Book Antiqua" w:hAnsi="Book Antiqua"/>
        </w:rPr>
      </w:pPr>
    </w:p>
    <w:p w14:paraId="153550F7"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Core Tip: </w:t>
      </w:r>
      <w:r w:rsidRPr="00B329D9">
        <w:rPr>
          <w:rFonts w:ascii="Book Antiqua" w:eastAsia="Book Antiqua" w:hAnsi="Book Antiqua" w:cs="Book Antiqua"/>
          <w:color w:val="000000"/>
        </w:rPr>
        <w:t>Endoscopic fasciotomy of the forearm for chronic exertional compartment syndrome (CECS) has gained popularity recently. This study reviewed the literature of endoscopic fasciotomy for CECS of the forearm, summarizing the outcomes and complications of the different endoscopic fasciotomy techniques described.</w:t>
      </w:r>
    </w:p>
    <w:p w14:paraId="7FC40F14" w14:textId="77777777" w:rsidR="00F74AB7" w:rsidRDefault="00F74AB7" w:rsidP="00B329D9">
      <w:pPr>
        <w:adjustRightInd w:val="0"/>
        <w:snapToGrid w:val="0"/>
        <w:spacing w:line="360" w:lineRule="auto"/>
        <w:jc w:val="both"/>
        <w:rPr>
          <w:rFonts w:ascii="Book Antiqua" w:hAnsi="Book Antiqua"/>
        </w:rPr>
        <w:sectPr w:rsidR="00F74AB7">
          <w:pgSz w:w="12240" w:h="15840"/>
          <w:pgMar w:top="1440" w:right="1440" w:bottom="1440" w:left="1440" w:header="720" w:footer="720" w:gutter="0"/>
          <w:cols w:space="720"/>
          <w:docGrid w:linePitch="360"/>
        </w:sectPr>
      </w:pPr>
    </w:p>
    <w:p w14:paraId="1165007B"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aps/>
          <w:color w:val="000000"/>
          <w:u w:val="single"/>
        </w:rPr>
        <w:lastRenderedPageBreak/>
        <w:t>INTRODUCTION</w:t>
      </w:r>
    </w:p>
    <w:p w14:paraId="6AD01B1D"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 xml:space="preserve">Chronic exertional compartment syndrome (CECS) is a condition where there is an exercise-induced increase in pressure within fascial compartments after muscle hyperemia and expansion, resulting in poor tissue perfusion followed by ischemic pain, functional loss, and possible neurologic </w:t>
      </w:r>
      <w:proofErr w:type="gramStart"/>
      <w:r w:rsidRPr="00B329D9">
        <w:rPr>
          <w:rFonts w:ascii="Book Antiqua" w:eastAsia="Book Antiqua" w:hAnsi="Book Antiqua" w:cs="Book Antiqua"/>
          <w:color w:val="000000"/>
        </w:rPr>
        <w:t>compromise</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1,2]</w:t>
      </w:r>
      <w:r w:rsidRPr="00B329D9">
        <w:rPr>
          <w:rFonts w:ascii="Book Antiqua" w:eastAsia="Book Antiqua" w:hAnsi="Book Antiqua" w:cs="Book Antiqua"/>
          <w:color w:val="000000"/>
        </w:rPr>
        <w:t>.</w:t>
      </w:r>
      <w:r w:rsidRPr="00B329D9">
        <w:rPr>
          <w:rFonts w:ascii="Book Antiqua" w:eastAsia="Book Antiqua" w:hAnsi="Book Antiqua" w:cs="Book Antiqua"/>
          <w:color w:val="000000"/>
          <w:vertAlign w:val="superscript"/>
        </w:rPr>
        <w:t xml:space="preserve"> </w:t>
      </w:r>
      <w:r w:rsidRPr="00B329D9">
        <w:rPr>
          <w:rFonts w:ascii="Book Antiqua" w:eastAsia="Book Antiqua" w:hAnsi="Book Antiqua" w:cs="Book Antiqua"/>
          <w:color w:val="000000"/>
        </w:rPr>
        <w:t xml:space="preserve">The symptoms of this condition are exercise-induced, and typically resolve when the activity ceases leaving no permanent damage to the </w:t>
      </w:r>
      <w:proofErr w:type="gramStart"/>
      <w:r w:rsidRPr="00B329D9">
        <w:rPr>
          <w:rFonts w:ascii="Book Antiqua" w:eastAsia="Book Antiqua" w:hAnsi="Book Antiqua" w:cs="Book Antiqua"/>
          <w:color w:val="000000"/>
        </w:rPr>
        <w:t>tissue</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1,2]</w:t>
      </w:r>
      <w:r w:rsidRPr="00B329D9">
        <w:rPr>
          <w:rFonts w:ascii="Book Antiqua" w:eastAsia="Book Antiqua" w:hAnsi="Book Antiqua" w:cs="Book Antiqua"/>
          <w:color w:val="000000"/>
        </w:rPr>
        <w:t xml:space="preserve">. During exercise, the intramuscular pressure elevates to a point that the tissues within the affected compartment become swollen, tight, and painful, preventing further </w:t>
      </w:r>
      <w:proofErr w:type="gramStart"/>
      <w:r w:rsidRPr="00B329D9">
        <w:rPr>
          <w:rFonts w:ascii="Book Antiqua" w:eastAsia="Book Antiqua" w:hAnsi="Book Antiqua" w:cs="Book Antiqua"/>
          <w:color w:val="000000"/>
        </w:rPr>
        <w:t>activities</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w:t>
      </w:r>
      <w:r w:rsidRPr="00B329D9">
        <w:rPr>
          <w:rFonts w:ascii="Book Antiqua" w:eastAsia="Book Antiqua" w:hAnsi="Book Antiqua" w:cs="Book Antiqua"/>
          <w:color w:val="000000"/>
        </w:rPr>
        <w:t xml:space="preserve">. While the leg is the most involved, CECS can affect the shoulder, arm, forearm, hand, gluteus, thigh, and </w:t>
      </w:r>
      <w:proofErr w:type="gramStart"/>
      <w:r w:rsidRPr="00B329D9">
        <w:rPr>
          <w:rFonts w:ascii="Book Antiqua" w:eastAsia="Book Antiqua" w:hAnsi="Book Antiqua" w:cs="Book Antiqua"/>
          <w:color w:val="000000"/>
        </w:rPr>
        <w:t>foot</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w:t>
      </w:r>
      <w:r w:rsidRPr="00B329D9">
        <w:rPr>
          <w:rFonts w:ascii="Book Antiqua" w:eastAsia="Book Antiqua" w:hAnsi="Book Antiqua" w:cs="Book Antiqua"/>
          <w:color w:val="000000"/>
        </w:rPr>
        <w:t>.</w:t>
      </w:r>
    </w:p>
    <w:p w14:paraId="4CAD1CB9" w14:textId="10E2364F" w:rsidR="00A77B3E" w:rsidRPr="00B329D9" w:rsidRDefault="002B3072" w:rsidP="00B329D9">
      <w:pPr>
        <w:adjustRightInd w:val="0"/>
        <w:snapToGrid w:val="0"/>
        <w:spacing w:line="360" w:lineRule="auto"/>
        <w:ind w:firstLine="480"/>
        <w:jc w:val="both"/>
        <w:rPr>
          <w:rFonts w:ascii="Book Antiqua" w:hAnsi="Book Antiqua"/>
        </w:rPr>
      </w:pPr>
      <w:r w:rsidRPr="00B329D9">
        <w:rPr>
          <w:rFonts w:ascii="Book Antiqua" w:eastAsia="Book Antiqua" w:hAnsi="Book Antiqua" w:cs="Book Antiqua"/>
          <w:color w:val="000000"/>
        </w:rPr>
        <w:t xml:space="preserve">In the forearm, CECS is seen in people who perform activities and sports that require prolonged, repetitive and forceful gripping, such as cyclists, arm wrestlers, rowers, rock climbers and </w:t>
      </w:r>
      <w:proofErr w:type="gramStart"/>
      <w:r w:rsidRPr="00B329D9">
        <w:rPr>
          <w:rFonts w:ascii="Book Antiqua" w:eastAsia="Book Antiqua" w:hAnsi="Book Antiqua" w:cs="Book Antiqua"/>
          <w:color w:val="000000"/>
        </w:rPr>
        <w:t>weightlifters</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2-5]</w:t>
      </w:r>
      <w:r w:rsidRPr="00B329D9">
        <w:rPr>
          <w:rFonts w:ascii="Book Antiqua" w:eastAsia="Book Antiqua" w:hAnsi="Book Antiqua" w:cs="Book Antiqua"/>
          <w:color w:val="000000"/>
        </w:rPr>
        <w:t xml:space="preserve">. Patients with CECS present with predictable and reproducible atraumatic exercise-induced pain, cramping and tightness that is typically localized to the affected </w:t>
      </w:r>
      <w:proofErr w:type="gramStart"/>
      <w:r w:rsidRPr="00B329D9">
        <w:rPr>
          <w:rFonts w:ascii="Book Antiqua" w:eastAsia="Book Antiqua" w:hAnsi="Book Antiqua" w:cs="Book Antiqua"/>
          <w:color w:val="000000"/>
        </w:rPr>
        <w:t>compartment</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w:t>
      </w:r>
      <w:r w:rsidRPr="00B329D9">
        <w:rPr>
          <w:rFonts w:ascii="Book Antiqua" w:eastAsia="Book Antiqua" w:hAnsi="Book Antiqua" w:cs="Book Antiqua"/>
          <w:color w:val="000000"/>
        </w:rPr>
        <w:t>. They may also complain of transient numbness, tingling, or weakness (</w:t>
      </w:r>
      <w:r w:rsidRPr="00B329D9">
        <w:rPr>
          <w:rFonts w:ascii="Book Antiqua" w:eastAsia="Book Antiqua" w:hAnsi="Book Antiqua" w:cs="Book Antiqua"/>
          <w:i/>
          <w:iCs/>
          <w:color w:val="000000"/>
        </w:rPr>
        <w:t>e.g.</w:t>
      </w:r>
      <w:r w:rsidR="00F74AB7">
        <w:rPr>
          <w:rFonts w:ascii="Book Antiqua" w:eastAsia="Book Antiqua" w:hAnsi="Book Antiqua" w:cs="Book Antiqua"/>
          <w:i/>
          <w:iCs/>
          <w:color w:val="000000"/>
        </w:rPr>
        <w:t>,</w:t>
      </w:r>
      <w:r w:rsidRPr="00B329D9">
        <w:rPr>
          <w:rFonts w:ascii="Book Antiqua" w:eastAsia="Book Antiqua" w:hAnsi="Book Antiqua" w:cs="Book Antiqua"/>
          <w:color w:val="000000"/>
        </w:rPr>
        <w:t xml:space="preserve"> loss of grip strength) in the distributions of nerves within the involved compartment, which usually resolve with </w:t>
      </w:r>
      <w:proofErr w:type="gramStart"/>
      <w:r w:rsidRPr="00B329D9">
        <w:rPr>
          <w:rFonts w:ascii="Book Antiqua" w:eastAsia="Book Antiqua" w:hAnsi="Book Antiqua" w:cs="Book Antiqua"/>
          <w:color w:val="000000"/>
        </w:rPr>
        <w:t>rest</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w:t>
      </w:r>
      <w:r w:rsidRPr="00B329D9">
        <w:rPr>
          <w:rFonts w:ascii="Book Antiqua" w:eastAsia="Book Antiqua" w:hAnsi="Book Antiqua" w:cs="Book Antiqua"/>
          <w:color w:val="000000"/>
        </w:rPr>
        <w:t>. In severe cases of CECS, these symptoms can significantly affect the quality of life, and can be dangerous occasionally (</w:t>
      </w:r>
      <w:r w:rsidRPr="00B329D9">
        <w:rPr>
          <w:rFonts w:ascii="Book Antiqua" w:eastAsia="Book Antiqua" w:hAnsi="Book Antiqua" w:cs="Book Antiqua"/>
          <w:i/>
          <w:iCs/>
          <w:color w:val="000000"/>
        </w:rPr>
        <w:t>e.g.</w:t>
      </w:r>
      <w:r w:rsidR="00F74AB7">
        <w:rPr>
          <w:rFonts w:ascii="Book Antiqua" w:eastAsia="Book Antiqua" w:hAnsi="Book Antiqua" w:cs="Book Antiqua"/>
          <w:i/>
          <w:iCs/>
          <w:color w:val="000000"/>
        </w:rPr>
        <w:t>,</w:t>
      </w:r>
      <w:r w:rsidRPr="00B329D9">
        <w:rPr>
          <w:rFonts w:ascii="Book Antiqua" w:eastAsia="Book Antiqua" w:hAnsi="Book Antiqua" w:cs="Book Antiqua"/>
          <w:color w:val="000000"/>
        </w:rPr>
        <w:t xml:space="preserve"> motocross riders may be unable to hold the handlebar grips while </w:t>
      </w:r>
      <w:proofErr w:type="gramStart"/>
      <w:r w:rsidRPr="00B329D9">
        <w:rPr>
          <w:rFonts w:ascii="Book Antiqua" w:eastAsia="Book Antiqua" w:hAnsi="Book Antiqua" w:cs="Book Antiqua"/>
          <w:color w:val="000000"/>
        </w:rPr>
        <w:t>riding)</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2,3]</w:t>
      </w:r>
      <w:r w:rsidRPr="00B329D9">
        <w:rPr>
          <w:rFonts w:ascii="Book Antiqua" w:eastAsia="Book Antiqua" w:hAnsi="Book Antiqua" w:cs="Book Antiqua"/>
          <w:color w:val="000000"/>
        </w:rPr>
        <w:t>.</w:t>
      </w:r>
    </w:p>
    <w:p w14:paraId="2833C258" w14:textId="77777777" w:rsidR="00A77B3E" w:rsidRPr="00B329D9" w:rsidRDefault="002B3072" w:rsidP="00B329D9">
      <w:pPr>
        <w:adjustRightInd w:val="0"/>
        <w:snapToGrid w:val="0"/>
        <w:spacing w:line="360" w:lineRule="auto"/>
        <w:ind w:firstLine="480"/>
        <w:jc w:val="both"/>
        <w:rPr>
          <w:rFonts w:ascii="Book Antiqua" w:hAnsi="Book Antiqua"/>
        </w:rPr>
      </w:pPr>
      <w:r w:rsidRPr="00B329D9">
        <w:rPr>
          <w:rFonts w:ascii="Book Antiqua" w:eastAsia="Book Antiqua" w:hAnsi="Book Antiqua" w:cs="Book Antiqua"/>
          <w:color w:val="000000"/>
        </w:rPr>
        <w:t xml:space="preserve">Although the diagnosis of CECS can be made based on history and physical examination, few diagnostic tests can help confirm </w:t>
      </w:r>
      <w:proofErr w:type="gramStart"/>
      <w:r w:rsidRPr="00B329D9">
        <w:rPr>
          <w:rFonts w:ascii="Book Antiqua" w:eastAsia="Book Antiqua" w:hAnsi="Book Antiqua" w:cs="Book Antiqua"/>
          <w:color w:val="000000"/>
        </w:rPr>
        <w:t>it</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1-3,6-11]</w:t>
      </w:r>
      <w:r w:rsidRPr="00B329D9">
        <w:rPr>
          <w:rFonts w:ascii="Book Antiqua" w:eastAsia="Book Antiqua" w:hAnsi="Book Antiqua" w:cs="Book Antiqua"/>
          <w:color w:val="000000"/>
        </w:rPr>
        <w:t>.</w:t>
      </w:r>
      <w:r w:rsidRPr="00B329D9">
        <w:rPr>
          <w:rFonts w:ascii="Book Antiqua" w:eastAsia="Book Antiqua" w:hAnsi="Book Antiqua" w:cs="Book Antiqua"/>
          <w:color w:val="000000"/>
          <w:vertAlign w:val="superscript"/>
        </w:rPr>
        <w:t xml:space="preserve"> </w:t>
      </w:r>
      <w:r w:rsidRPr="00B329D9">
        <w:rPr>
          <w:rFonts w:ascii="Book Antiqua" w:eastAsia="Book Antiqua" w:hAnsi="Book Antiqua" w:cs="Book Antiqua"/>
          <w:color w:val="000000"/>
        </w:rPr>
        <w:t xml:space="preserve">Dynamic </w:t>
      </w:r>
      <w:proofErr w:type="spellStart"/>
      <w:r w:rsidRPr="00B329D9">
        <w:rPr>
          <w:rFonts w:ascii="Book Antiqua" w:eastAsia="Book Antiqua" w:hAnsi="Book Antiqua" w:cs="Book Antiqua"/>
          <w:color w:val="000000"/>
        </w:rPr>
        <w:t>intracompartmental</w:t>
      </w:r>
      <w:proofErr w:type="spellEnd"/>
      <w:r w:rsidRPr="00B329D9">
        <w:rPr>
          <w:rFonts w:ascii="Book Antiqua" w:eastAsia="Book Antiqua" w:hAnsi="Book Antiqua" w:cs="Book Antiqua"/>
          <w:color w:val="000000"/>
        </w:rPr>
        <w:t xml:space="preserve"> pressure measurement (</w:t>
      </w:r>
      <w:r w:rsidRPr="00B329D9">
        <w:rPr>
          <w:rFonts w:ascii="Book Antiqua" w:eastAsia="Book Antiqua" w:hAnsi="Book Antiqua" w:cs="Book Antiqua"/>
          <w:i/>
          <w:iCs/>
          <w:color w:val="000000"/>
        </w:rPr>
        <w:t>i.e.</w:t>
      </w:r>
      <w:r w:rsidRPr="00B329D9">
        <w:rPr>
          <w:rFonts w:ascii="Book Antiqua" w:eastAsia="Book Antiqua" w:hAnsi="Book Antiqua" w:cs="Book Antiqua"/>
          <w:color w:val="000000"/>
        </w:rPr>
        <w:t xml:space="preserve"> at rest and after exercise) is widely used as an objective diagnostic test of CECS of the forearm; however, no clear consensus on the cut-off diagnostic values </w:t>
      </w:r>
      <w:proofErr w:type="gramStart"/>
      <w:r w:rsidRPr="00B329D9">
        <w:rPr>
          <w:rFonts w:ascii="Book Antiqua" w:eastAsia="Book Antiqua" w:hAnsi="Book Antiqua" w:cs="Book Antiqua"/>
          <w:color w:val="000000"/>
        </w:rPr>
        <w:t>exist</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3,6-9]</w:t>
      </w:r>
      <w:r w:rsidRPr="00B329D9">
        <w:rPr>
          <w:rFonts w:ascii="Book Antiqua" w:eastAsia="Book Antiqua" w:hAnsi="Book Antiqua" w:cs="Book Antiqua"/>
          <w:color w:val="000000"/>
        </w:rPr>
        <w:t xml:space="preserve">. </w:t>
      </w:r>
      <w:proofErr w:type="spellStart"/>
      <w:r w:rsidRPr="00B329D9">
        <w:rPr>
          <w:rFonts w:ascii="Book Antiqua" w:eastAsia="Book Antiqua" w:hAnsi="Book Antiqua" w:cs="Book Antiqua"/>
          <w:color w:val="000000"/>
        </w:rPr>
        <w:t>Intracompartmental</w:t>
      </w:r>
      <w:proofErr w:type="spellEnd"/>
      <w:r w:rsidRPr="00B329D9">
        <w:rPr>
          <w:rFonts w:ascii="Book Antiqua" w:eastAsia="Book Antiqua" w:hAnsi="Book Antiqua" w:cs="Book Antiqua"/>
          <w:color w:val="000000"/>
        </w:rPr>
        <w:t xml:space="preserve"> pressure of ≥ 30 mmHg at 5 min after exercise and/or ≥ 30 mmHg difference between the </w:t>
      </w:r>
      <w:proofErr w:type="spellStart"/>
      <w:r w:rsidRPr="00B329D9">
        <w:rPr>
          <w:rFonts w:ascii="Book Antiqua" w:eastAsia="Book Antiqua" w:hAnsi="Book Antiqua" w:cs="Book Antiqua"/>
          <w:color w:val="000000"/>
        </w:rPr>
        <w:t>intracompartmental</w:t>
      </w:r>
      <w:proofErr w:type="spellEnd"/>
      <w:r w:rsidRPr="00B329D9">
        <w:rPr>
          <w:rFonts w:ascii="Book Antiqua" w:eastAsia="Book Antiqua" w:hAnsi="Book Antiqua" w:cs="Book Antiqua"/>
          <w:color w:val="000000"/>
        </w:rPr>
        <w:t xml:space="preserve"> pressure and the diastolic blood pressure is the most commonly used criteria to diagnose CECS of the </w:t>
      </w:r>
      <w:proofErr w:type="gramStart"/>
      <w:r w:rsidRPr="00B329D9">
        <w:rPr>
          <w:rFonts w:ascii="Book Antiqua" w:eastAsia="Book Antiqua" w:hAnsi="Book Antiqua" w:cs="Book Antiqua"/>
          <w:color w:val="000000"/>
        </w:rPr>
        <w:t>forearm</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3,8,9]</w:t>
      </w:r>
      <w:r w:rsidRPr="00B329D9">
        <w:rPr>
          <w:rFonts w:ascii="Book Antiqua" w:eastAsia="Book Antiqua" w:hAnsi="Book Antiqua" w:cs="Book Antiqua"/>
          <w:color w:val="000000"/>
        </w:rPr>
        <w:t xml:space="preserve">. In addition to compartment pressure measurements, few authors reported the use of ultrasonography and magnetic resonance imaging (MRI) </w:t>
      </w:r>
      <w:r w:rsidRPr="00B329D9">
        <w:rPr>
          <w:rFonts w:ascii="Book Antiqua" w:eastAsia="Book Antiqua" w:hAnsi="Book Antiqua" w:cs="Book Antiqua"/>
          <w:color w:val="000000"/>
        </w:rPr>
        <w:lastRenderedPageBreak/>
        <w:t xml:space="preserve">to help establish a diagnosis of CECS, nevertheless, the findings of these radiologic tests are not </w:t>
      </w:r>
      <w:proofErr w:type="gramStart"/>
      <w:r w:rsidRPr="00B329D9">
        <w:rPr>
          <w:rFonts w:ascii="Book Antiqua" w:eastAsia="Book Antiqua" w:hAnsi="Book Antiqua" w:cs="Book Antiqua"/>
          <w:color w:val="000000"/>
        </w:rPr>
        <w:t>specific</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1-3,10-12]</w:t>
      </w:r>
      <w:r w:rsidRPr="00B329D9">
        <w:rPr>
          <w:rFonts w:ascii="Book Antiqua" w:eastAsia="Book Antiqua" w:hAnsi="Book Antiqua" w:cs="Book Antiqua"/>
          <w:color w:val="000000"/>
        </w:rPr>
        <w:t>.</w:t>
      </w:r>
    </w:p>
    <w:p w14:paraId="64B37B57" w14:textId="77777777" w:rsidR="00A77B3E" w:rsidRPr="00B329D9" w:rsidRDefault="002B3072" w:rsidP="00B329D9">
      <w:pPr>
        <w:adjustRightInd w:val="0"/>
        <w:snapToGrid w:val="0"/>
        <w:spacing w:line="360" w:lineRule="auto"/>
        <w:ind w:firstLine="480"/>
        <w:jc w:val="both"/>
        <w:rPr>
          <w:rFonts w:ascii="Book Antiqua" w:hAnsi="Book Antiqua"/>
        </w:rPr>
      </w:pPr>
      <w:r w:rsidRPr="00B329D9">
        <w:rPr>
          <w:rFonts w:ascii="Book Antiqua" w:eastAsia="Book Antiqua" w:hAnsi="Book Antiqua" w:cs="Book Antiqua"/>
          <w:color w:val="000000"/>
        </w:rPr>
        <w:t xml:space="preserve">The treatment of CECS can be nonsurgical or </w:t>
      </w:r>
      <w:proofErr w:type="gramStart"/>
      <w:r w:rsidRPr="00B329D9">
        <w:rPr>
          <w:rFonts w:ascii="Book Antiqua" w:eastAsia="Book Antiqua" w:hAnsi="Book Antiqua" w:cs="Book Antiqua"/>
          <w:color w:val="000000"/>
        </w:rPr>
        <w:t>surgical</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w:t>
      </w:r>
      <w:r w:rsidRPr="00B329D9">
        <w:rPr>
          <w:rFonts w:ascii="Book Antiqua" w:eastAsia="Book Antiqua" w:hAnsi="Book Antiqua" w:cs="Book Antiqua"/>
          <w:color w:val="000000"/>
        </w:rPr>
        <w:t xml:space="preserve">. Nonsurgical treatment in the form of activity modification, physical therapy and pain control can be successful in up to 80% of the </w:t>
      </w:r>
      <w:proofErr w:type="gramStart"/>
      <w:r w:rsidRPr="00B329D9">
        <w:rPr>
          <w:rFonts w:ascii="Book Antiqua" w:eastAsia="Book Antiqua" w:hAnsi="Book Antiqua" w:cs="Book Antiqua"/>
          <w:color w:val="000000"/>
        </w:rPr>
        <w:t>cases</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3,13]</w:t>
      </w:r>
      <w:r w:rsidRPr="00B329D9">
        <w:rPr>
          <w:rFonts w:ascii="Book Antiqua" w:eastAsia="Book Antiqua" w:hAnsi="Book Antiqua" w:cs="Book Antiqua"/>
          <w:color w:val="000000"/>
        </w:rPr>
        <w:t xml:space="preserve">. Patients who have no improvement in symptoms after at least 3 </w:t>
      </w:r>
      <w:proofErr w:type="spellStart"/>
      <w:r w:rsidRPr="00B329D9">
        <w:rPr>
          <w:rFonts w:ascii="Book Antiqua" w:eastAsia="Book Antiqua" w:hAnsi="Book Antiqua" w:cs="Book Antiqua"/>
          <w:color w:val="000000"/>
        </w:rPr>
        <w:t>mo</w:t>
      </w:r>
      <w:proofErr w:type="spellEnd"/>
      <w:r w:rsidRPr="00B329D9">
        <w:rPr>
          <w:rFonts w:ascii="Book Antiqua" w:eastAsia="Book Antiqua" w:hAnsi="Book Antiqua" w:cs="Book Antiqua"/>
          <w:color w:val="000000"/>
        </w:rPr>
        <w:t xml:space="preserve"> despite nonoperative treatment are usually indicated for surgical management in the form of forearm </w:t>
      </w:r>
      <w:proofErr w:type="gramStart"/>
      <w:r w:rsidRPr="00B329D9">
        <w:rPr>
          <w:rFonts w:ascii="Book Antiqua" w:eastAsia="Book Antiqua" w:hAnsi="Book Antiqua" w:cs="Book Antiqua"/>
          <w:color w:val="000000"/>
        </w:rPr>
        <w:t>fasciotomy</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w:t>
      </w:r>
      <w:r w:rsidRPr="00B329D9">
        <w:rPr>
          <w:rFonts w:ascii="Book Antiqua" w:eastAsia="Book Antiqua" w:hAnsi="Book Antiqua" w:cs="Book Antiqua"/>
          <w:color w:val="000000"/>
        </w:rPr>
        <w:t>. Regardless of the surgical technique used to perform the fasciotomy, the rate of resolution of symptoms and return to sports activities reaches 90</w:t>
      </w:r>
      <w:proofErr w:type="gramStart"/>
      <w:r w:rsidRPr="00B329D9">
        <w:rPr>
          <w:rFonts w:ascii="Book Antiqua" w:eastAsia="Book Antiqua" w:hAnsi="Book Antiqua" w:cs="Book Antiqua"/>
          <w:color w:val="000000"/>
        </w:rPr>
        <w:t>%</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w:t>
      </w:r>
      <w:r w:rsidRPr="00B329D9">
        <w:rPr>
          <w:rFonts w:ascii="Book Antiqua" w:eastAsia="Book Antiqua" w:hAnsi="Book Antiqua" w:cs="Book Antiqua"/>
          <w:color w:val="000000"/>
        </w:rPr>
        <w:t>.</w:t>
      </w:r>
    </w:p>
    <w:p w14:paraId="548F9C7C" w14:textId="77777777" w:rsidR="00A77B3E" w:rsidRPr="00B329D9" w:rsidRDefault="002B3072" w:rsidP="00B329D9">
      <w:pPr>
        <w:adjustRightInd w:val="0"/>
        <w:snapToGrid w:val="0"/>
        <w:spacing w:line="360" w:lineRule="auto"/>
        <w:ind w:firstLine="480"/>
        <w:jc w:val="both"/>
        <w:rPr>
          <w:rFonts w:ascii="Book Antiqua" w:hAnsi="Book Antiqua"/>
        </w:rPr>
      </w:pPr>
      <w:r w:rsidRPr="00B329D9">
        <w:rPr>
          <w:rFonts w:ascii="Book Antiqua" w:eastAsia="Book Antiqua" w:hAnsi="Book Antiqua" w:cs="Book Antiqua"/>
          <w:color w:val="000000"/>
        </w:rPr>
        <w:t xml:space="preserve">Recently, endoscopic fasciotomy of the forearm for CECS has gained </w:t>
      </w:r>
      <w:proofErr w:type="gramStart"/>
      <w:r w:rsidRPr="00B329D9">
        <w:rPr>
          <w:rFonts w:ascii="Book Antiqua" w:eastAsia="Book Antiqua" w:hAnsi="Book Antiqua" w:cs="Book Antiqua"/>
          <w:color w:val="000000"/>
        </w:rPr>
        <w:t>popularity</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10,11,14-16]</w:t>
      </w:r>
      <w:r w:rsidRPr="00B329D9">
        <w:rPr>
          <w:rFonts w:ascii="Book Antiqua" w:eastAsia="Book Antiqua" w:hAnsi="Book Antiqua" w:cs="Book Antiqua"/>
          <w:color w:val="000000"/>
        </w:rPr>
        <w:t xml:space="preserve">. Authors suggest that this surgical technique result in reduced time to return to competitive sports and decreased surgical scarring and </w:t>
      </w:r>
      <w:proofErr w:type="gramStart"/>
      <w:r w:rsidRPr="00B329D9">
        <w:rPr>
          <w:rFonts w:ascii="Book Antiqua" w:eastAsia="Book Antiqua" w:hAnsi="Book Antiqua" w:cs="Book Antiqua"/>
          <w:color w:val="000000"/>
        </w:rPr>
        <w:t>complications</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w:t>
      </w:r>
      <w:r w:rsidRPr="00B329D9">
        <w:rPr>
          <w:rFonts w:ascii="Book Antiqua" w:eastAsia="Book Antiqua" w:hAnsi="Book Antiqua" w:cs="Book Antiqua"/>
          <w:color w:val="000000"/>
        </w:rPr>
        <w:t xml:space="preserve">. Endoscopic fasciotomy techniques have evolved because the expansile muscle bellies which result in the compartment syndrome when swollen lie in the proximal third of the forearm, thus, fasciotomies distal to this region might not be </w:t>
      </w:r>
      <w:proofErr w:type="gramStart"/>
      <w:r w:rsidRPr="00B329D9">
        <w:rPr>
          <w:rFonts w:ascii="Book Antiqua" w:eastAsia="Book Antiqua" w:hAnsi="Book Antiqua" w:cs="Book Antiqua"/>
          <w:color w:val="000000"/>
        </w:rPr>
        <w:t>required</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2]</w:t>
      </w:r>
      <w:r w:rsidRPr="00B329D9">
        <w:rPr>
          <w:rFonts w:ascii="Book Antiqua" w:eastAsia="Book Antiqua" w:hAnsi="Book Antiqua" w:cs="Book Antiqua"/>
          <w:color w:val="000000"/>
        </w:rPr>
        <w:t>. In this study, we aim to systematically review the literature of endoscopic fasciotomy for CECS of the forearm. We intend to assess the outcomes and complications of the different endoscopic fasciotomy techniques described in the literature. We hypothesize that overall outcomes are favorable in regards of return to sports and functional outcomes, as well as rate of recurrence and complications is low.</w:t>
      </w:r>
    </w:p>
    <w:p w14:paraId="24731FC2" w14:textId="77777777" w:rsidR="00A77B3E" w:rsidRPr="00B329D9" w:rsidRDefault="00A77B3E" w:rsidP="00B329D9">
      <w:pPr>
        <w:adjustRightInd w:val="0"/>
        <w:snapToGrid w:val="0"/>
        <w:spacing w:line="360" w:lineRule="auto"/>
        <w:ind w:firstLine="480"/>
        <w:jc w:val="both"/>
        <w:rPr>
          <w:rFonts w:ascii="Book Antiqua" w:hAnsi="Book Antiqua"/>
        </w:rPr>
      </w:pPr>
    </w:p>
    <w:p w14:paraId="6F961FBA"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aps/>
          <w:color w:val="000000"/>
          <w:u w:val="single"/>
        </w:rPr>
        <w:t>MATERIALS AND METHODS</w:t>
      </w:r>
    </w:p>
    <w:p w14:paraId="6D4C22FF" w14:textId="26BD2375"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i/>
          <w:iCs/>
          <w:color w:val="000000"/>
        </w:rPr>
        <w:t xml:space="preserve">Search </w:t>
      </w:r>
      <w:r w:rsidR="00F74AB7">
        <w:rPr>
          <w:rFonts w:ascii="Book Antiqua" w:eastAsia="Book Antiqua" w:hAnsi="Book Antiqua" w:cs="Book Antiqua"/>
          <w:b/>
          <w:bCs/>
          <w:i/>
          <w:iCs/>
          <w:color w:val="000000"/>
        </w:rPr>
        <w:t>s</w:t>
      </w:r>
      <w:r w:rsidRPr="00B329D9">
        <w:rPr>
          <w:rFonts w:ascii="Book Antiqua" w:eastAsia="Book Antiqua" w:hAnsi="Book Antiqua" w:cs="Book Antiqua"/>
          <w:b/>
          <w:bCs/>
          <w:i/>
          <w:iCs/>
          <w:color w:val="000000"/>
        </w:rPr>
        <w:t>trategy</w:t>
      </w:r>
    </w:p>
    <w:p w14:paraId="1CE7775E"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 xml:space="preserve">PubMed and EMBASE databases were searched independently by three authors (Marwan Y, </w:t>
      </w:r>
      <w:proofErr w:type="spellStart"/>
      <w:r w:rsidRPr="00B329D9">
        <w:rPr>
          <w:rFonts w:ascii="Book Antiqua" w:eastAsia="Book Antiqua" w:hAnsi="Book Antiqua" w:cs="Book Antiqua"/>
          <w:color w:val="000000"/>
        </w:rPr>
        <w:t>Addar</w:t>
      </w:r>
      <w:proofErr w:type="spellEnd"/>
      <w:r w:rsidRPr="00B329D9">
        <w:rPr>
          <w:rFonts w:ascii="Book Antiqua" w:eastAsia="Book Antiqua" w:hAnsi="Book Antiqua" w:cs="Book Antiqua"/>
          <w:color w:val="000000"/>
        </w:rPr>
        <w:t xml:space="preserve"> A, </w:t>
      </w:r>
      <w:proofErr w:type="spellStart"/>
      <w:r w:rsidRPr="00B329D9">
        <w:rPr>
          <w:rFonts w:ascii="Book Antiqua" w:eastAsia="Book Antiqua" w:hAnsi="Book Antiqua" w:cs="Book Antiqua"/>
          <w:color w:val="000000"/>
        </w:rPr>
        <w:t>Algarni</w:t>
      </w:r>
      <w:proofErr w:type="spellEnd"/>
      <w:r w:rsidRPr="00B329D9">
        <w:rPr>
          <w:rFonts w:ascii="Book Antiqua" w:eastAsia="Book Antiqua" w:hAnsi="Book Antiqua" w:cs="Book Antiqua"/>
          <w:color w:val="000000"/>
        </w:rPr>
        <w:t xml:space="preserve"> N) for relevant articles on January 18, 2021. The search was limited to English language only. The subject headings “endoscopic fasciotomy” and “compartment syndrome” and their related key terms were used. The articles were screened based on the Preferred Reporting Item for Systematic Reviews and Meta-Analyses statement.</w:t>
      </w:r>
    </w:p>
    <w:p w14:paraId="76DB05D2" w14:textId="77777777" w:rsidR="00A77B3E" w:rsidRPr="00B329D9" w:rsidRDefault="00A77B3E" w:rsidP="00B329D9">
      <w:pPr>
        <w:adjustRightInd w:val="0"/>
        <w:snapToGrid w:val="0"/>
        <w:spacing w:line="360" w:lineRule="auto"/>
        <w:jc w:val="both"/>
        <w:rPr>
          <w:rFonts w:ascii="Book Antiqua" w:hAnsi="Book Antiqua"/>
        </w:rPr>
      </w:pPr>
    </w:p>
    <w:p w14:paraId="4B7B3DBA"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i/>
          <w:iCs/>
          <w:color w:val="000000"/>
        </w:rPr>
        <w:t>Inclusion and exclusion criteria</w:t>
      </w:r>
    </w:p>
    <w:p w14:paraId="51FBECE6" w14:textId="410615D2"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The following inclusion criteria were used in our systematic review: (1) Clinical studies; (2) All level of evidence; (3) Endoscopic fasciotomy done for CECS of the forearm; (4) All endoscopic fasciotomy techniques; and (5) No restriction to date of publication. Studies were excluded if they met any of the following criteria: (1) Non-English articles; (2) Open fasciotomy; (3) Endoscopic fasciotomy of other anatomic regions (</w:t>
      </w:r>
      <w:r w:rsidRPr="00B329D9">
        <w:rPr>
          <w:rFonts w:ascii="Book Antiqua" w:eastAsia="Book Antiqua" w:hAnsi="Book Antiqua" w:cs="Book Antiqua"/>
          <w:i/>
          <w:iCs/>
          <w:color w:val="000000"/>
        </w:rPr>
        <w:t>e.g.</w:t>
      </w:r>
      <w:r w:rsidR="00F74AB7">
        <w:rPr>
          <w:rFonts w:ascii="Book Antiqua" w:eastAsia="Book Antiqua" w:hAnsi="Book Antiqua" w:cs="Book Antiqua"/>
          <w:i/>
          <w:iCs/>
          <w:color w:val="000000"/>
        </w:rPr>
        <w:t>,</w:t>
      </w:r>
      <w:r w:rsidRPr="00B329D9">
        <w:rPr>
          <w:rFonts w:ascii="Book Antiqua" w:eastAsia="Book Antiqua" w:hAnsi="Book Antiqua" w:cs="Book Antiqua"/>
          <w:color w:val="000000"/>
        </w:rPr>
        <w:t xml:space="preserve"> leg and foot); (4) Articles published in abstract form only; (5) Review articles; (6) Technique articles; and (7) Cadaveric studies.</w:t>
      </w:r>
    </w:p>
    <w:p w14:paraId="48BC15B6" w14:textId="77777777" w:rsidR="00A77B3E" w:rsidRPr="00B329D9" w:rsidRDefault="00A77B3E" w:rsidP="00B329D9">
      <w:pPr>
        <w:adjustRightInd w:val="0"/>
        <w:snapToGrid w:val="0"/>
        <w:spacing w:line="360" w:lineRule="auto"/>
        <w:jc w:val="both"/>
        <w:rPr>
          <w:rFonts w:ascii="Book Antiqua" w:hAnsi="Book Antiqua"/>
        </w:rPr>
      </w:pPr>
    </w:p>
    <w:p w14:paraId="7299BF01"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i/>
          <w:iCs/>
          <w:color w:val="000000"/>
        </w:rPr>
        <w:t>Data collection/extraction</w:t>
      </w:r>
    </w:p>
    <w:p w14:paraId="0F418C0B" w14:textId="43A9C1FC"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 xml:space="preserve">Independent screening of the titles and abstracts of the included studies were carried out by the same three authors (Marwan Y, </w:t>
      </w:r>
      <w:proofErr w:type="spellStart"/>
      <w:r w:rsidRPr="00B329D9">
        <w:rPr>
          <w:rFonts w:ascii="Book Antiqua" w:eastAsia="Book Antiqua" w:hAnsi="Book Antiqua" w:cs="Book Antiqua"/>
          <w:color w:val="000000"/>
        </w:rPr>
        <w:t>Addar</w:t>
      </w:r>
      <w:proofErr w:type="spellEnd"/>
      <w:r w:rsidRPr="00B329D9">
        <w:rPr>
          <w:rFonts w:ascii="Book Antiqua" w:eastAsia="Book Antiqua" w:hAnsi="Book Antiqua" w:cs="Book Antiqua"/>
          <w:color w:val="000000"/>
        </w:rPr>
        <w:t xml:space="preserve"> A, </w:t>
      </w:r>
      <w:proofErr w:type="spellStart"/>
      <w:r w:rsidRPr="00B329D9">
        <w:rPr>
          <w:rFonts w:ascii="Book Antiqua" w:eastAsia="Book Antiqua" w:hAnsi="Book Antiqua" w:cs="Book Antiqua"/>
          <w:color w:val="000000"/>
        </w:rPr>
        <w:t>Algarni</w:t>
      </w:r>
      <w:proofErr w:type="spellEnd"/>
      <w:r w:rsidRPr="00B329D9">
        <w:rPr>
          <w:rFonts w:ascii="Book Antiqua" w:eastAsia="Book Antiqua" w:hAnsi="Book Antiqua" w:cs="Book Antiqua"/>
          <w:color w:val="000000"/>
        </w:rPr>
        <w:t xml:space="preserve"> N). Articles were included in the full-text review stage if any of the three authors believed it should, and more were excluded during this stage. The data was then retrieved from the included studies and entered/organized in Microsoft Excel 2013 (Microsoft, Redmond, WA</w:t>
      </w:r>
      <w:r w:rsidR="00F74AB7">
        <w:rPr>
          <w:rFonts w:ascii="Book Antiqua" w:eastAsia="Book Antiqua" w:hAnsi="Book Antiqua" w:cs="Book Antiqua"/>
          <w:color w:val="000000"/>
        </w:rPr>
        <w:t>, United States</w:t>
      </w:r>
      <w:r w:rsidRPr="00B329D9">
        <w:rPr>
          <w:rFonts w:ascii="Book Antiqua" w:eastAsia="Book Antiqua" w:hAnsi="Book Antiqua" w:cs="Book Antiqua"/>
          <w:color w:val="000000"/>
        </w:rPr>
        <w:t>) independently by the same three authors. The information was categorized into basic background/clinical data (</w:t>
      </w:r>
      <w:r w:rsidRPr="00B329D9">
        <w:rPr>
          <w:rFonts w:ascii="Book Antiqua" w:eastAsia="Book Antiqua" w:hAnsi="Book Antiqua" w:cs="Book Antiqua"/>
          <w:i/>
          <w:iCs/>
          <w:color w:val="000000"/>
        </w:rPr>
        <w:t>e.g.</w:t>
      </w:r>
      <w:r w:rsidR="00F74AB7">
        <w:rPr>
          <w:rFonts w:ascii="Book Antiqua" w:eastAsia="Book Antiqua" w:hAnsi="Book Antiqua" w:cs="Book Antiqua"/>
          <w:i/>
          <w:iCs/>
          <w:color w:val="000000"/>
        </w:rPr>
        <w:t>,</w:t>
      </w:r>
      <w:r w:rsidRPr="00B329D9">
        <w:rPr>
          <w:rFonts w:ascii="Book Antiqua" w:eastAsia="Book Antiqua" w:hAnsi="Book Antiqua" w:cs="Book Antiqua"/>
          <w:color w:val="000000"/>
        </w:rPr>
        <w:t xml:space="preserve"> title, authors, year of publication, country of publication, sample size, gender, age, sports, risk factor and preoperative assessment), surgical technique (</w:t>
      </w:r>
      <w:r w:rsidRPr="00B329D9">
        <w:rPr>
          <w:rFonts w:ascii="Book Antiqua" w:eastAsia="Book Antiqua" w:hAnsi="Book Antiqua" w:cs="Book Antiqua"/>
          <w:i/>
          <w:iCs/>
          <w:color w:val="000000"/>
        </w:rPr>
        <w:t>e.g.</w:t>
      </w:r>
      <w:r w:rsidR="00F74AB7">
        <w:rPr>
          <w:rFonts w:ascii="Book Antiqua" w:eastAsia="Book Antiqua" w:hAnsi="Book Antiqua" w:cs="Book Antiqua"/>
          <w:i/>
          <w:iCs/>
          <w:color w:val="000000"/>
        </w:rPr>
        <w:t>,</w:t>
      </w:r>
      <w:r w:rsidRPr="00B329D9">
        <w:rPr>
          <w:rFonts w:ascii="Book Antiqua" w:eastAsia="Book Antiqua" w:hAnsi="Book Antiqua" w:cs="Book Antiqua"/>
          <w:color w:val="000000"/>
        </w:rPr>
        <w:t xml:space="preserve"> equipment, incision and other surgical details) and postoperative outcomes and complications (</w:t>
      </w:r>
      <w:r w:rsidRPr="00B329D9">
        <w:rPr>
          <w:rFonts w:ascii="Book Antiqua" w:eastAsia="Book Antiqua" w:hAnsi="Book Antiqua" w:cs="Book Antiqua"/>
          <w:i/>
          <w:iCs/>
          <w:color w:val="000000"/>
        </w:rPr>
        <w:t>e.g.</w:t>
      </w:r>
      <w:r w:rsidR="00F74AB7">
        <w:rPr>
          <w:rFonts w:ascii="Book Antiqua" w:eastAsia="Book Antiqua" w:hAnsi="Book Antiqua" w:cs="Book Antiqua"/>
          <w:i/>
          <w:iCs/>
          <w:color w:val="000000"/>
        </w:rPr>
        <w:t>,</w:t>
      </w:r>
      <w:r w:rsidRPr="00B329D9">
        <w:rPr>
          <w:rFonts w:ascii="Book Antiqua" w:eastAsia="Book Antiqua" w:hAnsi="Book Antiqua" w:cs="Book Antiqua"/>
          <w:color w:val="000000"/>
        </w:rPr>
        <w:t xml:space="preserve"> follow-up duration, recurrence, complications, return to sports, pain and functional scores). The primary outcome of this review was the recurrence rate, while return to sports, pain improvement, functional scores improvement and complications were the secondary outcomes. Meta-analysis was not done due to the heterogeneity of the included studies; however, a qualitative assessment of the data was done.</w:t>
      </w:r>
    </w:p>
    <w:p w14:paraId="60A62D14" w14:textId="77777777" w:rsidR="00A77B3E" w:rsidRPr="00B329D9" w:rsidRDefault="00A77B3E" w:rsidP="00B329D9">
      <w:pPr>
        <w:adjustRightInd w:val="0"/>
        <w:snapToGrid w:val="0"/>
        <w:spacing w:line="360" w:lineRule="auto"/>
        <w:jc w:val="both"/>
        <w:rPr>
          <w:rFonts w:ascii="Book Antiqua" w:hAnsi="Book Antiqua"/>
        </w:rPr>
      </w:pPr>
    </w:p>
    <w:p w14:paraId="621C431D"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aps/>
          <w:color w:val="000000"/>
          <w:u w:val="single"/>
        </w:rPr>
        <w:t>RESULTS</w:t>
      </w:r>
    </w:p>
    <w:p w14:paraId="71478A1F"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lastRenderedPageBreak/>
        <w:t xml:space="preserve">The initial search revealed a total of 59 article (Figure 1). A total of 39, 8 and 5 articles were excluded after title, abstract and full-text review, respectively. Therefore, seven articles were included for final </w:t>
      </w:r>
      <w:proofErr w:type="gramStart"/>
      <w:r w:rsidRPr="00B329D9">
        <w:rPr>
          <w:rFonts w:ascii="Book Antiqua" w:eastAsia="Book Antiqua" w:hAnsi="Book Antiqua" w:cs="Book Antiqua"/>
          <w:color w:val="000000"/>
        </w:rPr>
        <w:t>analysis</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10,11,14-18]</w:t>
      </w:r>
      <w:r w:rsidRPr="00B329D9">
        <w:rPr>
          <w:rFonts w:ascii="Book Antiqua" w:eastAsia="Book Antiqua" w:hAnsi="Book Antiqua" w:cs="Book Antiqua"/>
          <w:color w:val="000000"/>
        </w:rPr>
        <w:t xml:space="preserve">. These articles were published from Asia, Europe and the United States. Additional screening of the references of the seven articles did not reveal more relevant studies that meet our inclusion criteria. The three reviewers (Marwan Y, </w:t>
      </w:r>
      <w:proofErr w:type="spellStart"/>
      <w:r w:rsidRPr="00B329D9">
        <w:rPr>
          <w:rFonts w:ascii="Book Antiqua" w:eastAsia="Book Antiqua" w:hAnsi="Book Antiqua" w:cs="Book Antiqua"/>
          <w:color w:val="000000"/>
        </w:rPr>
        <w:t>Addar</w:t>
      </w:r>
      <w:proofErr w:type="spellEnd"/>
      <w:r w:rsidRPr="00B329D9">
        <w:rPr>
          <w:rFonts w:ascii="Book Antiqua" w:eastAsia="Book Antiqua" w:hAnsi="Book Antiqua" w:cs="Book Antiqua"/>
          <w:color w:val="000000"/>
        </w:rPr>
        <w:t xml:space="preserve"> A, </w:t>
      </w:r>
      <w:proofErr w:type="spellStart"/>
      <w:r w:rsidRPr="00B329D9">
        <w:rPr>
          <w:rFonts w:ascii="Book Antiqua" w:eastAsia="Book Antiqua" w:hAnsi="Book Antiqua" w:cs="Book Antiqua"/>
          <w:color w:val="000000"/>
        </w:rPr>
        <w:t>Algarni</w:t>
      </w:r>
      <w:proofErr w:type="spellEnd"/>
      <w:r w:rsidRPr="00B329D9">
        <w:rPr>
          <w:rFonts w:ascii="Book Antiqua" w:eastAsia="Book Antiqua" w:hAnsi="Book Antiqua" w:cs="Book Antiqua"/>
          <w:color w:val="000000"/>
        </w:rPr>
        <w:t xml:space="preserve"> N) had no disagreements throughout the stages of the systematic review.</w:t>
      </w:r>
    </w:p>
    <w:p w14:paraId="608AB840" w14:textId="77777777" w:rsidR="00A77B3E" w:rsidRPr="00B329D9" w:rsidRDefault="002B3072" w:rsidP="00B329D9">
      <w:pPr>
        <w:adjustRightInd w:val="0"/>
        <w:snapToGrid w:val="0"/>
        <w:spacing w:line="360" w:lineRule="auto"/>
        <w:ind w:firstLine="480"/>
        <w:jc w:val="both"/>
        <w:rPr>
          <w:rFonts w:ascii="Book Antiqua" w:hAnsi="Book Antiqua"/>
        </w:rPr>
      </w:pPr>
      <w:r w:rsidRPr="00B329D9">
        <w:rPr>
          <w:rFonts w:ascii="Book Antiqua" w:eastAsia="Book Antiqua" w:hAnsi="Book Antiqua" w:cs="Book Antiqua"/>
          <w:color w:val="000000"/>
        </w:rPr>
        <w:t>Table 1 summarizes the background information and clinical features of the included studies and patients. A hundred and eighty-three patients (355 forearms) underwent endoscopic fasciotomy for CECS of the forearm, of whom 178 (97.3%) were males. The mean age of the patients was 31.2 years (range: 15-42 years). Only four (2.2%) patients were not motorcycle/motocross riders/racers. To help in establishing the diagnosis of CECS, six out of the seven studies used compartment pressure measurements (29 patients; 15.8%), while MRI was used in two studies (155 patients; 84.7%). The visual analogue scale (VAS) score was used to assess the severity of pain in three out of the seven studies (159 patients; 86.9%); however, scale range differed among these studies (one used a scale of 1 to 10, while two used a scale of 0 to 10). On the other hand, the Disabilities of the Arm, Shoulder and Hand (DASH) score was used in a single study (3 patients; 1.6%), and the quick DASH score was used in another study (21 patients; 11.5%).</w:t>
      </w:r>
    </w:p>
    <w:p w14:paraId="44CB6C28" w14:textId="77777777" w:rsidR="00A77B3E" w:rsidRPr="00B329D9" w:rsidRDefault="002B3072" w:rsidP="00B329D9">
      <w:pPr>
        <w:adjustRightInd w:val="0"/>
        <w:snapToGrid w:val="0"/>
        <w:spacing w:line="360" w:lineRule="auto"/>
        <w:ind w:firstLine="720"/>
        <w:jc w:val="both"/>
        <w:rPr>
          <w:rFonts w:ascii="Book Antiqua" w:hAnsi="Book Antiqua"/>
        </w:rPr>
      </w:pPr>
      <w:r w:rsidRPr="00B329D9">
        <w:rPr>
          <w:rFonts w:ascii="Book Antiqua" w:eastAsia="Book Antiqua" w:hAnsi="Book Antiqua" w:cs="Book Antiqua"/>
          <w:color w:val="000000"/>
        </w:rPr>
        <w:t xml:space="preserve">Table 2 demonstrates the surgical techniques used in the included studies. Each group of surgeons used different set of tools; however, the basic setup consisted of an endoscope and a cutting instrument like blade or electrocautery. Skin incision ranged from one to three, based on surgeon preference, surgical set used and the involved compartment. Interestingly, the largest series of patients underwent fasciotomy of the superficial flexor compartment only without consideration of releasing other compartments of the </w:t>
      </w:r>
      <w:proofErr w:type="gramStart"/>
      <w:r w:rsidRPr="00B329D9">
        <w:rPr>
          <w:rFonts w:ascii="Book Antiqua" w:eastAsia="Book Antiqua" w:hAnsi="Book Antiqua" w:cs="Book Antiqua"/>
          <w:color w:val="000000"/>
        </w:rPr>
        <w:t>forearm</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11]</w:t>
      </w:r>
      <w:r w:rsidRPr="00B329D9">
        <w:rPr>
          <w:rFonts w:ascii="Book Antiqua" w:eastAsia="Book Antiqua" w:hAnsi="Book Antiqua" w:cs="Book Antiqua"/>
          <w:color w:val="000000"/>
        </w:rPr>
        <w:t xml:space="preserve">. A single case had compartment syndrome of the mobile wad only, therefore, release of the brachioradialis fascia was done </w:t>
      </w:r>
      <w:proofErr w:type="gramStart"/>
      <w:r w:rsidRPr="00B329D9">
        <w:rPr>
          <w:rFonts w:ascii="Book Antiqua" w:eastAsia="Book Antiqua" w:hAnsi="Book Antiqua" w:cs="Book Antiqua"/>
          <w:color w:val="000000"/>
        </w:rPr>
        <w:t>only</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10]</w:t>
      </w:r>
      <w:r w:rsidRPr="00B329D9">
        <w:rPr>
          <w:rFonts w:ascii="Book Antiqua" w:eastAsia="Book Antiqua" w:hAnsi="Book Antiqua" w:cs="Book Antiqua"/>
          <w:color w:val="000000"/>
        </w:rPr>
        <w:t>.</w:t>
      </w:r>
    </w:p>
    <w:p w14:paraId="4B010C81" w14:textId="77777777" w:rsidR="00A77B3E" w:rsidRPr="00B329D9" w:rsidRDefault="002B3072" w:rsidP="00B329D9">
      <w:pPr>
        <w:adjustRightInd w:val="0"/>
        <w:snapToGrid w:val="0"/>
        <w:spacing w:line="360" w:lineRule="auto"/>
        <w:ind w:firstLine="720"/>
        <w:jc w:val="both"/>
        <w:rPr>
          <w:rFonts w:ascii="Book Antiqua" w:hAnsi="Book Antiqua"/>
        </w:rPr>
      </w:pPr>
      <w:r w:rsidRPr="00B329D9">
        <w:rPr>
          <w:rFonts w:ascii="Book Antiqua" w:eastAsia="Book Antiqua" w:hAnsi="Book Antiqua" w:cs="Book Antiqua"/>
          <w:color w:val="000000"/>
        </w:rPr>
        <w:lastRenderedPageBreak/>
        <w:t xml:space="preserve">The outcomes and complications of endoscopic fasciotomy for CECS of the forearm are demonstrated in Table 3. The follow-up duration of the 183 patients ranged from 6 </w:t>
      </w:r>
      <w:proofErr w:type="spellStart"/>
      <w:r w:rsidRPr="00B329D9">
        <w:rPr>
          <w:rFonts w:ascii="Book Antiqua" w:eastAsia="Book Antiqua" w:hAnsi="Book Antiqua" w:cs="Book Antiqua"/>
          <w:color w:val="000000"/>
        </w:rPr>
        <w:t>wk</w:t>
      </w:r>
      <w:proofErr w:type="spellEnd"/>
      <w:r w:rsidRPr="00B329D9">
        <w:rPr>
          <w:rFonts w:ascii="Book Antiqua" w:eastAsia="Book Antiqua" w:hAnsi="Book Antiqua" w:cs="Book Antiqua"/>
          <w:color w:val="000000"/>
        </w:rPr>
        <w:t xml:space="preserve"> to 4.9 years. In two studies (5 patients; 2.7%), the mean VAS score at final follow-up ranged from 0.0 to 0.75 out of 10. Another study (154 patients; 84.1%) reported a final follow-up mean VAS score of 1.0 out of 10 at rest and 1.7 out of 10 following stress. In addition, the postoperative DASH score ranged from 2.15% to 5.39% in two studies (4 patients; 2.2%), and the mean quick DASH score was 1% in a single study (21 patients; 11.5%). All patients were able to return to sport activities, and this was between postoperative week 1 to 8. Recurrence of the compartment syndrome occurred in three patients, giving a rate of 1.6% per patient and 0.8% per forearm. The overall complication rate was 8.7% per patient, and 4.5% per forearm. The most common reported complication was hematoma (7 forearms; 2.0%).</w:t>
      </w:r>
    </w:p>
    <w:p w14:paraId="02497FC4" w14:textId="77777777" w:rsidR="00A77B3E" w:rsidRPr="00B329D9" w:rsidRDefault="00A77B3E" w:rsidP="00B329D9">
      <w:pPr>
        <w:adjustRightInd w:val="0"/>
        <w:snapToGrid w:val="0"/>
        <w:spacing w:line="360" w:lineRule="auto"/>
        <w:ind w:firstLine="720"/>
        <w:jc w:val="both"/>
        <w:rPr>
          <w:rFonts w:ascii="Book Antiqua" w:hAnsi="Book Antiqua"/>
        </w:rPr>
      </w:pPr>
    </w:p>
    <w:p w14:paraId="58B73FF1"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aps/>
          <w:color w:val="000000"/>
          <w:u w:val="single"/>
        </w:rPr>
        <w:t>DISCUSSION</w:t>
      </w:r>
    </w:p>
    <w:p w14:paraId="091CF42C"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 xml:space="preserve">The current systematic review has explored the outcomes and complications of endoscopic fasciotomy for CECS in 355 forearms of 183 patients. Regardless of the technique/equipment used to perform the endoscopic fasciotomy, the outcomes were excellent. The recurrence and complication rates were less than 1% and less than 5% per forearm, respectively. No serious complications were reported. Additionally, no patients were unable to return to their preoperative level of sports activities, and return to sports was between 1 </w:t>
      </w:r>
      <w:proofErr w:type="spellStart"/>
      <w:r w:rsidRPr="00B329D9">
        <w:rPr>
          <w:rFonts w:ascii="Book Antiqua" w:eastAsia="Book Antiqua" w:hAnsi="Book Antiqua" w:cs="Book Antiqua"/>
          <w:color w:val="000000"/>
        </w:rPr>
        <w:t>wk</w:t>
      </w:r>
      <w:proofErr w:type="spellEnd"/>
      <w:r w:rsidRPr="00B329D9">
        <w:rPr>
          <w:rFonts w:ascii="Book Antiqua" w:eastAsia="Book Antiqua" w:hAnsi="Book Antiqua" w:cs="Book Antiqua"/>
          <w:color w:val="000000"/>
        </w:rPr>
        <w:t xml:space="preserve"> to 8 </w:t>
      </w:r>
      <w:proofErr w:type="spellStart"/>
      <w:r w:rsidRPr="00B329D9">
        <w:rPr>
          <w:rFonts w:ascii="Book Antiqua" w:eastAsia="Book Antiqua" w:hAnsi="Book Antiqua" w:cs="Book Antiqua"/>
          <w:color w:val="000000"/>
        </w:rPr>
        <w:t>wk</w:t>
      </w:r>
      <w:proofErr w:type="spellEnd"/>
      <w:r w:rsidRPr="00B329D9">
        <w:rPr>
          <w:rFonts w:ascii="Book Antiqua" w:eastAsia="Book Antiqua" w:hAnsi="Book Antiqua" w:cs="Book Antiqua"/>
          <w:color w:val="000000"/>
        </w:rPr>
        <w:t xml:space="preserve"> postoperatively. Resolution of pain and improvement in functional scores were also excellent.</w:t>
      </w:r>
    </w:p>
    <w:p w14:paraId="36CFEA84" w14:textId="77777777" w:rsidR="00A77B3E" w:rsidRPr="00B329D9" w:rsidRDefault="002B3072" w:rsidP="00B329D9">
      <w:pPr>
        <w:adjustRightInd w:val="0"/>
        <w:snapToGrid w:val="0"/>
        <w:spacing w:line="360" w:lineRule="auto"/>
        <w:ind w:firstLine="480"/>
        <w:jc w:val="both"/>
        <w:rPr>
          <w:rFonts w:ascii="Book Antiqua" w:hAnsi="Book Antiqua"/>
        </w:rPr>
      </w:pPr>
      <w:r w:rsidRPr="00B329D9">
        <w:rPr>
          <w:rFonts w:ascii="Book Antiqua" w:eastAsia="Book Antiqua" w:hAnsi="Book Antiqua" w:cs="Book Antiqua"/>
          <w:color w:val="000000"/>
        </w:rPr>
        <w:t xml:space="preserve">Surgical treatment for CECS has high success rate, regardless of the surgical technique </w:t>
      </w:r>
      <w:proofErr w:type="gramStart"/>
      <w:r w:rsidRPr="00B329D9">
        <w:rPr>
          <w:rFonts w:ascii="Book Antiqua" w:eastAsia="Book Antiqua" w:hAnsi="Book Antiqua" w:cs="Book Antiqua"/>
          <w:color w:val="000000"/>
        </w:rPr>
        <w:t>used</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w:t>
      </w:r>
      <w:r w:rsidRPr="00B329D9">
        <w:rPr>
          <w:rFonts w:ascii="Book Antiqua" w:eastAsia="Book Antiqua" w:hAnsi="Book Antiqua" w:cs="Book Antiqua"/>
          <w:color w:val="000000"/>
        </w:rPr>
        <w:t xml:space="preserve">. Compared to patients who undergo surgical intervention for CECS of the forearm, authors have shown that all patients who underwent nonoperative management continued to struggle and were no longer able to perform sports and activities at the same level of their pre-morbid </w:t>
      </w:r>
      <w:proofErr w:type="gramStart"/>
      <w:r w:rsidRPr="00B329D9">
        <w:rPr>
          <w:rFonts w:ascii="Book Antiqua" w:eastAsia="Book Antiqua" w:hAnsi="Book Antiqua" w:cs="Book Antiqua"/>
          <w:color w:val="000000"/>
        </w:rPr>
        <w:t>condition</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1,19]</w:t>
      </w:r>
      <w:r w:rsidRPr="00B329D9">
        <w:rPr>
          <w:rFonts w:ascii="Book Antiqua" w:eastAsia="Book Antiqua" w:hAnsi="Book Antiqua" w:cs="Book Antiqua"/>
          <w:color w:val="000000"/>
        </w:rPr>
        <w:t>. Surgical intervention is, therefore, recommended for those who wish to continue to practice high level of sports activities.</w:t>
      </w:r>
    </w:p>
    <w:p w14:paraId="61649C13" w14:textId="6283BAE9" w:rsidR="00A77B3E" w:rsidRPr="00B329D9" w:rsidRDefault="002B3072" w:rsidP="00B329D9">
      <w:pPr>
        <w:adjustRightInd w:val="0"/>
        <w:snapToGrid w:val="0"/>
        <w:spacing w:line="360" w:lineRule="auto"/>
        <w:ind w:firstLine="480"/>
        <w:jc w:val="both"/>
        <w:rPr>
          <w:rFonts w:ascii="Book Antiqua" w:hAnsi="Book Antiqua"/>
        </w:rPr>
      </w:pPr>
      <w:r w:rsidRPr="00B329D9">
        <w:rPr>
          <w:rFonts w:ascii="Book Antiqua" w:eastAsia="Book Antiqua" w:hAnsi="Book Antiqua" w:cs="Book Antiqua"/>
          <w:color w:val="000000"/>
        </w:rPr>
        <w:lastRenderedPageBreak/>
        <w:t xml:space="preserve">Wide open fasciotomy of the forearm is thought to be the best surgical intervention for CECS, allowing full release of the fascia, better visualization of neurovascular structures, and peripheral nerve decompression if needed; thus, may have lower rate of </w:t>
      </w:r>
      <w:proofErr w:type="gramStart"/>
      <w:r w:rsidRPr="00B329D9">
        <w:rPr>
          <w:rFonts w:ascii="Book Antiqua" w:eastAsia="Book Antiqua" w:hAnsi="Book Antiqua" w:cs="Book Antiqua"/>
          <w:color w:val="000000"/>
        </w:rPr>
        <w:t>complications</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1-3,20,21]</w:t>
      </w:r>
      <w:r w:rsidRPr="00B329D9">
        <w:rPr>
          <w:rFonts w:ascii="Book Antiqua" w:eastAsia="Book Antiqua" w:hAnsi="Book Antiqua" w:cs="Book Antiqua"/>
          <w:color w:val="000000"/>
        </w:rPr>
        <w:t>. Based on the available literature on open forearm fasciotomy for CECS and our current systematic review of endoscopic fasciotomy, this is not necessarily true. The rate of patients with full resolution of CECS symptoms following open or mini-open fasciotomy of the forearm ranged between around 85% to 98</w:t>
      </w:r>
      <w:proofErr w:type="gramStart"/>
      <w:r w:rsidRPr="00B329D9">
        <w:rPr>
          <w:rFonts w:ascii="Book Antiqua" w:eastAsia="Book Antiqua" w:hAnsi="Book Antiqua" w:cs="Book Antiqua"/>
          <w:color w:val="000000"/>
        </w:rPr>
        <w:t>%</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2,9,20-23]</w:t>
      </w:r>
      <w:r w:rsidRPr="00B329D9">
        <w:rPr>
          <w:rFonts w:ascii="Book Antiqua" w:eastAsia="Book Antiqua" w:hAnsi="Book Antiqua" w:cs="Book Antiqua"/>
          <w:color w:val="000000"/>
        </w:rPr>
        <w:t>, while the rate after endoscopic fasciotomy was around 99%</w:t>
      </w:r>
      <w:r w:rsidRPr="00B329D9">
        <w:rPr>
          <w:rFonts w:ascii="Book Antiqua" w:eastAsia="Book Antiqua" w:hAnsi="Book Antiqua" w:cs="Book Antiqua"/>
          <w:color w:val="000000"/>
          <w:vertAlign w:val="superscript"/>
        </w:rPr>
        <w:t>[2,10,11,14-18]</w:t>
      </w:r>
      <w:r w:rsidRPr="00B329D9">
        <w:rPr>
          <w:rFonts w:ascii="Book Antiqua" w:eastAsia="Book Antiqua" w:hAnsi="Book Antiqua" w:cs="Book Antiqua"/>
          <w:color w:val="000000"/>
        </w:rPr>
        <w:t>. Moreover, complication rate of open and mini-open fasciotomy ranged between around 14% to 21</w:t>
      </w:r>
      <w:proofErr w:type="gramStart"/>
      <w:r w:rsidRPr="00B329D9">
        <w:rPr>
          <w:rFonts w:ascii="Book Antiqua" w:eastAsia="Book Antiqua" w:hAnsi="Book Antiqua" w:cs="Book Antiqua"/>
          <w:color w:val="000000"/>
        </w:rPr>
        <w:t>%</w:t>
      </w:r>
      <w:r w:rsidRPr="00B329D9">
        <w:rPr>
          <w:rFonts w:ascii="Book Antiqua" w:eastAsia="Book Antiqua" w:hAnsi="Book Antiqua" w:cs="Book Antiqua"/>
          <w:color w:val="000000"/>
          <w:vertAlign w:val="superscript"/>
        </w:rPr>
        <w:t>[</w:t>
      </w:r>
      <w:proofErr w:type="gramEnd"/>
      <w:r w:rsidRPr="00B329D9">
        <w:rPr>
          <w:rFonts w:ascii="Book Antiqua" w:eastAsia="Book Antiqua" w:hAnsi="Book Antiqua" w:cs="Book Antiqua"/>
          <w:color w:val="000000"/>
          <w:vertAlign w:val="superscript"/>
        </w:rPr>
        <w:t>2,9,20-23]</w:t>
      </w:r>
      <w:r w:rsidRPr="00B329D9">
        <w:rPr>
          <w:rFonts w:ascii="Book Antiqua" w:eastAsia="Book Antiqua" w:hAnsi="Book Antiqua" w:cs="Book Antiqua"/>
          <w:color w:val="000000"/>
        </w:rPr>
        <w:t>, while the rate following endoscopic fasciotomy was less than 10%</w:t>
      </w:r>
      <w:r w:rsidRPr="00B329D9">
        <w:rPr>
          <w:rFonts w:ascii="Book Antiqua" w:eastAsia="Book Antiqua" w:hAnsi="Book Antiqua" w:cs="Book Antiqua"/>
          <w:color w:val="000000"/>
          <w:vertAlign w:val="superscript"/>
        </w:rPr>
        <w:t>[2,10,11,14-18]</w:t>
      </w:r>
      <w:r w:rsidRPr="00B329D9">
        <w:rPr>
          <w:rFonts w:ascii="Book Antiqua" w:eastAsia="Book Antiqua" w:hAnsi="Book Antiqua" w:cs="Book Antiqua"/>
          <w:color w:val="000000"/>
        </w:rPr>
        <w:t>. Although these differences have not been proven with high-quality, comparative, prospective studies, endoscopic fasciotomy may provide superior outcomes compared to open fasciotomy.</w:t>
      </w:r>
    </w:p>
    <w:p w14:paraId="6BC461BC" w14:textId="77777777" w:rsidR="00A77B3E" w:rsidRPr="00B329D9" w:rsidRDefault="002B3072" w:rsidP="00B329D9">
      <w:pPr>
        <w:adjustRightInd w:val="0"/>
        <w:snapToGrid w:val="0"/>
        <w:spacing w:line="360" w:lineRule="auto"/>
        <w:ind w:firstLine="720"/>
        <w:jc w:val="both"/>
        <w:rPr>
          <w:rFonts w:ascii="Book Antiqua" w:hAnsi="Book Antiqua"/>
        </w:rPr>
      </w:pPr>
      <w:r w:rsidRPr="00B329D9">
        <w:rPr>
          <w:rFonts w:ascii="Book Antiqua" w:eastAsia="Book Antiqua" w:hAnsi="Book Antiqua" w:cs="Book Antiqua"/>
          <w:color w:val="000000"/>
        </w:rPr>
        <w:t>Although this study provides valuable information, several limitations exist. The studies found in the literature and included in the current systematic review are either case series or case reports. Despite the lack of high-quality, high-level of evidence studies, valuable information has been extracted which should help guide future research about endoscopic forearm fasciotomy. Also, as most of the available studies were case reports, cases with unsatisfactory outcomes might have been underreported. Another limitation is that the short period of postoperative follow-up for some of the included studies. A long-term follow-up is needed specially to determine recurrence of the CECS after resuming sports for a longer period post endoscopic fasciotomy. In addition, poor documentation of relevant functional outcomes was noted in the available studies.</w:t>
      </w:r>
    </w:p>
    <w:p w14:paraId="67E66B85" w14:textId="77777777" w:rsidR="00A77B3E" w:rsidRPr="00B329D9" w:rsidRDefault="00A77B3E" w:rsidP="00B329D9">
      <w:pPr>
        <w:adjustRightInd w:val="0"/>
        <w:snapToGrid w:val="0"/>
        <w:spacing w:line="360" w:lineRule="auto"/>
        <w:ind w:firstLine="720"/>
        <w:jc w:val="both"/>
        <w:rPr>
          <w:rFonts w:ascii="Book Antiqua" w:hAnsi="Book Antiqua"/>
        </w:rPr>
      </w:pPr>
    </w:p>
    <w:p w14:paraId="0DB7C1D5"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aps/>
          <w:color w:val="000000"/>
          <w:u w:val="single"/>
        </w:rPr>
        <w:t>CONCLUSION</w:t>
      </w:r>
    </w:p>
    <w:p w14:paraId="5D93CD29"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 xml:space="preserve">Endoscopic fasciotomy for CECS of the forearm has favorable short- and mid-term outcomes with very low recurrence and complication rates. This, however, needs to be </w:t>
      </w:r>
      <w:r w:rsidRPr="00B329D9">
        <w:rPr>
          <w:rFonts w:ascii="Book Antiqua" w:eastAsia="Book Antiqua" w:hAnsi="Book Antiqua" w:cs="Book Antiqua"/>
          <w:color w:val="000000"/>
        </w:rPr>
        <w:lastRenderedPageBreak/>
        <w:t>confirmed in larger, long-term follow-up, prospective, comparative studies between open, mini-open and endoscopic fasciotomy techniques.</w:t>
      </w:r>
    </w:p>
    <w:p w14:paraId="0A32945C" w14:textId="77777777" w:rsidR="00A77B3E" w:rsidRPr="00B329D9" w:rsidRDefault="00A77B3E" w:rsidP="00B329D9">
      <w:pPr>
        <w:adjustRightInd w:val="0"/>
        <w:snapToGrid w:val="0"/>
        <w:spacing w:line="360" w:lineRule="auto"/>
        <w:jc w:val="both"/>
        <w:rPr>
          <w:rFonts w:ascii="Book Antiqua" w:hAnsi="Book Antiqua"/>
        </w:rPr>
      </w:pPr>
    </w:p>
    <w:p w14:paraId="51724791"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aps/>
          <w:color w:val="000000"/>
          <w:u w:val="single"/>
        </w:rPr>
        <w:t>ARTICLE HIGHLIGHTS</w:t>
      </w:r>
    </w:p>
    <w:p w14:paraId="28305DB8"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i/>
          <w:color w:val="000000"/>
        </w:rPr>
        <w:t>Research background</w:t>
      </w:r>
    </w:p>
    <w:p w14:paraId="62881FBA"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Chronic exertional compartment syndrome (CECS) of the forearm can limit the quality of life and sport activities. Endoscopic forearm fasciotomy has been described to manage this condition.</w:t>
      </w:r>
    </w:p>
    <w:p w14:paraId="1B361224" w14:textId="77777777" w:rsidR="00A77B3E" w:rsidRPr="00B329D9" w:rsidRDefault="00A77B3E" w:rsidP="00B329D9">
      <w:pPr>
        <w:adjustRightInd w:val="0"/>
        <w:snapToGrid w:val="0"/>
        <w:spacing w:line="360" w:lineRule="auto"/>
        <w:jc w:val="both"/>
        <w:rPr>
          <w:rFonts w:ascii="Book Antiqua" w:hAnsi="Book Antiqua"/>
        </w:rPr>
      </w:pPr>
    </w:p>
    <w:p w14:paraId="0462B451"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i/>
          <w:color w:val="000000"/>
        </w:rPr>
        <w:t>Research motivation</w:t>
      </w:r>
    </w:p>
    <w:p w14:paraId="59AC349B"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The literature of endoscopic forearm fasciotomy for CECS has not been analyzed in detail.</w:t>
      </w:r>
    </w:p>
    <w:p w14:paraId="3E6B0C74" w14:textId="77777777" w:rsidR="00A77B3E" w:rsidRPr="00B329D9" w:rsidRDefault="00A77B3E" w:rsidP="00B329D9">
      <w:pPr>
        <w:adjustRightInd w:val="0"/>
        <w:snapToGrid w:val="0"/>
        <w:spacing w:line="360" w:lineRule="auto"/>
        <w:jc w:val="both"/>
        <w:rPr>
          <w:rFonts w:ascii="Book Antiqua" w:hAnsi="Book Antiqua"/>
        </w:rPr>
      </w:pPr>
    </w:p>
    <w:p w14:paraId="2BC9986E"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i/>
          <w:color w:val="000000"/>
        </w:rPr>
        <w:t>Research objectives</w:t>
      </w:r>
    </w:p>
    <w:p w14:paraId="6FE98914"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To systematically review the literature if endoscopic fasciotomy for the management of CECS of the forearm.</w:t>
      </w:r>
    </w:p>
    <w:p w14:paraId="6D3CAB4A" w14:textId="77777777" w:rsidR="00A77B3E" w:rsidRPr="00B329D9" w:rsidRDefault="00A77B3E" w:rsidP="00B329D9">
      <w:pPr>
        <w:adjustRightInd w:val="0"/>
        <w:snapToGrid w:val="0"/>
        <w:spacing w:line="360" w:lineRule="auto"/>
        <w:jc w:val="both"/>
        <w:rPr>
          <w:rFonts w:ascii="Book Antiqua" w:hAnsi="Book Antiqua"/>
        </w:rPr>
      </w:pPr>
    </w:p>
    <w:p w14:paraId="4B842CCB"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i/>
          <w:color w:val="000000"/>
        </w:rPr>
        <w:t>Research methods</w:t>
      </w:r>
    </w:p>
    <w:p w14:paraId="28B74BC7"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PubMed and EMBASE were searched, and all relevant studies were considered for analysis based on predetermined inclusion/exclusion criteria. The subject headings “endoscopic fasciotomy” and “compartment syndrome” and their related key terms were used.</w:t>
      </w:r>
    </w:p>
    <w:p w14:paraId="1AE2D794" w14:textId="77777777" w:rsidR="00A77B3E" w:rsidRPr="00B329D9" w:rsidRDefault="00A77B3E" w:rsidP="00B329D9">
      <w:pPr>
        <w:adjustRightInd w:val="0"/>
        <w:snapToGrid w:val="0"/>
        <w:spacing w:line="360" w:lineRule="auto"/>
        <w:jc w:val="both"/>
        <w:rPr>
          <w:rFonts w:ascii="Book Antiqua" w:hAnsi="Book Antiqua"/>
        </w:rPr>
      </w:pPr>
    </w:p>
    <w:p w14:paraId="0B750AC8"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i/>
          <w:color w:val="000000"/>
        </w:rPr>
        <w:t>Research results</w:t>
      </w:r>
    </w:p>
    <w:p w14:paraId="242B4F1C"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A total of seven studies including 183 patients (355 forearms) were included. All patients were able to return to sport activities between postoperative week 1 to 8. Recurrence of the compartment syndrome occurred in three patients. The overall complication rate was 8.7% per patient, and 4.5% per forearm.</w:t>
      </w:r>
    </w:p>
    <w:p w14:paraId="2C869E58" w14:textId="77777777" w:rsidR="00A77B3E" w:rsidRPr="00B329D9" w:rsidRDefault="00A77B3E" w:rsidP="00B329D9">
      <w:pPr>
        <w:adjustRightInd w:val="0"/>
        <w:snapToGrid w:val="0"/>
        <w:spacing w:line="360" w:lineRule="auto"/>
        <w:jc w:val="both"/>
        <w:rPr>
          <w:rFonts w:ascii="Book Antiqua" w:hAnsi="Book Antiqua"/>
        </w:rPr>
      </w:pPr>
    </w:p>
    <w:p w14:paraId="43756026"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i/>
          <w:color w:val="000000"/>
        </w:rPr>
        <w:lastRenderedPageBreak/>
        <w:t>Research conclusions</w:t>
      </w:r>
    </w:p>
    <w:p w14:paraId="08F664E7"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Outcome of endoscopic fasciotomy for CECS of the forearm are favorable, with low recurrence and complication rates.</w:t>
      </w:r>
    </w:p>
    <w:p w14:paraId="6F89B640" w14:textId="77777777" w:rsidR="00A77B3E" w:rsidRPr="00B329D9" w:rsidRDefault="00A77B3E" w:rsidP="00B329D9">
      <w:pPr>
        <w:adjustRightInd w:val="0"/>
        <w:snapToGrid w:val="0"/>
        <w:spacing w:line="360" w:lineRule="auto"/>
        <w:jc w:val="both"/>
        <w:rPr>
          <w:rFonts w:ascii="Book Antiqua" w:hAnsi="Book Antiqua"/>
        </w:rPr>
      </w:pPr>
    </w:p>
    <w:p w14:paraId="1121A845"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i/>
          <w:color w:val="000000"/>
        </w:rPr>
        <w:t>Research perspectives</w:t>
      </w:r>
    </w:p>
    <w:p w14:paraId="53410BA6"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Future larger, long-term follow-up, prospective, comparative studies between open, mini-open and endoscopic fasciotomy techniques are needed.</w:t>
      </w:r>
    </w:p>
    <w:p w14:paraId="0168BC12" w14:textId="77777777" w:rsidR="00A77B3E" w:rsidRPr="00B329D9" w:rsidRDefault="00A77B3E" w:rsidP="00B329D9">
      <w:pPr>
        <w:adjustRightInd w:val="0"/>
        <w:snapToGrid w:val="0"/>
        <w:spacing w:line="360" w:lineRule="auto"/>
        <w:jc w:val="both"/>
        <w:rPr>
          <w:rFonts w:ascii="Book Antiqua" w:hAnsi="Book Antiqua"/>
        </w:rPr>
      </w:pPr>
    </w:p>
    <w:p w14:paraId="2A03AD12"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REFERENCES</w:t>
      </w:r>
    </w:p>
    <w:p w14:paraId="4617F6CD"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bookmarkStart w:id="2" w:name="OLE_LINK2871"/>
      <w:bookmarkStart w:id="3" w:name="OLE_LINK2872"/>
      <w:r w:rsidRPr="00B329D9">
        <w:rPr>
          <w:rFonts w:ascii="Book Antiqua" w:hAnsi="Book Antiqua"/>
          <w:color w:val="201F35"/>
        </w:rPr>
        <w:t xml:space="preserve">1 </w:t>
      </w:r>
      <w:proofErr w:type="spellStart"/>
      <w:r w:rsidRPr="00B329D9">
        <w:rPr>
          <w:rFonts w:ascii="Book Antiqua" w:hAnsi="Book Antiqua"/>
          <w:b/>
          <w:bCs/>
          <w:color w:val="201F35"/>
        </w:rPr>
        <w:t>Fraipont</w:t>
      </w:r>
      <w:proofErr w:type="spellEnd"/>
      <w:r w:rsidRPr="00B329D9">
        <w:rPr>
          <w:rFonts w:ascii="Book Antiqua" w:hAnsi="Book Antiqua"/>
          <w:b/>
          <w:bCs/>
          <w:color w:val="201F35"/>
        </w:rPr>
        <w:t xml:space="preserve"> MJ</w:t>
      </w:r>
      <w:r w:rsidRPr="00B329D9">
        <w:rPr>
          <w:rFonts w:ascii="Book Antiqua" w:hAnsi="Book Antiqua"/>
          <w:color w:val="201F35"/>
        </w:rPr>
        <w:t xml:space="preserve">, Adamson GJ. Chronic exertional compartment syndrome. </w:t>
      </w:r>
      <w:r w:rsidRPr="00B329D9">
        <w:rPr>
          <w:rFonts w:ascii="Book Antiqua" w:hAnsi="Book Antiqua"/>
          <w:i/>
          <w:iCs/>
          <w:color w:val="201F35"/>
        </w:rPr>
        <w:t xml:space="preserve">J Am </w:t>
      </w:r>
      <w:proofErr w:type="spellStart"/>
      <w:r w:rsidRPr="00B329D9">
        <w:rPr>
          <w:rFonts w:ascii="Book Antiqua" w:hAnsi="Book Antiqua"/>
          <w:i/>
          <w:iCs/>
          <w:color w:val="201F35"/>
        </w:rPr>
        <w:t>Acad</w:t>
      </w:r>
      <w:proofErr w:type="spellEnd"/>
      <w:r w:rsidRPr="00B329D9">
        <w:rPr>
          <w:rFonts w:ascii="Book Antiqua" w:hAnsi="Book Antiqua"/>
          <w:i/>
          <w:iCs/>
          <w:color w:val="201F35"/>
        </w:rPr>
        <w:t xml:space="preserve"> </w:t>
      </w:r>
      <w:proofErr w:type="spellStart"/>
      <w:r w:rsidRPr="00B329D9">
        <w:rPr>
          <w:rFonts w:ascii="Book Antiqua" w:hAnsi="Book Antiqua"/>
          <w:i/>
          <w:iCs/>
          <w:color w:val="201F35"/>
        </w:rPr>
        <w:t>Orthop</w:t>
      </w:r>
      <w:proofErr w:type="spellEnd"/>
      <w:r w:rsidRPr="00B329D9">
        <w:rPr>
          <w:rFonts w:ascii="Book Antiqua" w:hAnsi="Book Antiqua"/>
          <w:i/>
          <w:iCs/>
          <w:color w:val="201F35"/>
        </w:rPr>
        <w:t xml:space="preserve"> Surg</w:t>
      </w:r>
      <w:r w:rsidRPr="00B329D9">
        <w:rPr>
          <w:rFonts w:ascii="Book Antiqua" w:hAnsi="Book Antiqua"/>
          <w:color w:val="201F35"/>
        </w:rPr>
        <w:t xml:space="preserve"> 2003; </w:t>
      </w:r>
      <w:r w:rsidRPr="00B329D9">
        <w:rPr>
          <w:rFonts w:ascii="Book Antiqua" w:hAnsi="Book Antiqua"/>
          <w:b/>
          <w:bCs/>
          <w:color w:val="201F35"/>
        </w:rPr>
        <w:t>11</w:t>
      </w:r>
      <w:r w:rsidRPr="00B329D9">
        <w:rPr>
          <w:rFonts w:ascii="Book Antiqua" w:hAnsi="Book Antiqua"/>
          <w:color w:val="201F35"/>
        </w:rPr>
        <w:t>: 268-276 [PMID: 12889865 DOI: 10.5435/00124635-200307000-00006]</w:t>
      </w:r>
    </w:p>
    <w:p w14:paraId="206402D2"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2 </w:t>
      </w:r>
      <w:r w:rsidRPr="00B329D9">
        <w:rPr>
          <w:rFonts w:ascii="Book Antiqua" w:hAnsi="Book Antiqua"/>
          <w:b/>
          <w:bCs/>
          <w:color w:val="201F35"/>
        </w:rPr>
        <w:t>Liu B</w:t>
      </w:r>
      <w:r w:rsidRPr="00B329D9">
        <w:rPr>
          <w:rFonts w:ascii="Book Antiqua" w:hAnsi="Book Antiqua"/>
          <w:color w:val="201F35"/>
        </w:rPr>
        <w:t xml:space="preserve">, </w:t>
      </w:r>
      <w:proofErr w:type="spellStart"/>
      <w:r w:rsidRPr="00B329D9">
        <w:rPr>
          <w:rFonts w:ascii="Book Antiqua" w:hAnsi="Book Antiqua"/>
          <w:color w:val="201F35"/>
        </w:rPr>
        <w:t>Barrazueta</w:t>
      </w:r>
      <w:proofErr w:type="spellEnd"/>
      <w:r w:rsidRPr="00B329D9">
        <w:rPr>
          <w:rFonts w:ascii="Book Antiqua" w:hAnsi="Book Antiqua"/>
          <w:color w:val="201F35"/>
        </w:rPr>
        <w:t xml:space="preserve"> G, </w:t>
      </w:r>
      <w:proofErr w:type="spellStart"/>
      <w:r w:rsidRPr="00B329D9">
        <w:rPr>
          <w:rFonts w:ascii="Book Antiqua" w:hAnsi="Book Antiqua"/>
          <w:color w:val="201F35"/>
        </w:rPr>
        <w:t>Ruchelsman</w:t>
      </w:r>
      <w:proofErr w:type="spellEnd"/>
      <w:r w:rsidRPr="00B329D9">
        <w:rPr>
          <w:rFonts w:ascii="Book Antiqua" w:hAnsi="Book Antiqua"/>
          <w:color w:val="201F35"/>
        </w:rPr>
        <w:t xml:space="preserve"> DE. Chronic Exertional Compartment Syndrome in Athletes. </w:t>
      </w:r>
      <w:r w:rsidRPr="00B329D9">
        <w:rPr>
          <w:rFonts w:ascii="Book Antiqua" w:hAnsi="Book Antiqua"/>
          <w:i/>
          <w:iCs/>
          <w:color w:val="201F35"/>
        </w:rPr>
        <w:t>J Hand Surg Am</w:t>
      </w:r>
      <w:r w:rsidRPr="00B329D9">
        <w:rPr>
          <w:rFonts w:ascii="Book Antiqua" w:hAnsi="Book Antiqua"/>
          <w:color w:val="201F35"/>
        </w:rPr>
        <w:t xml:space="preserve"> 2017; </w:t>
      </w:r>
      <w:r w:rsidRPr="00B329D9">
        <w:rPr>
          <w:rFonts w:ascii="Book Antiqua" w:hAnsi="Book Antiqua"/>
          <w:b/>
          <w:bCs/>
          <w:color w:val="201F35"/>
        </w:rPr>
        <w:t>42</w:t>
      </w:r>
      <w:r w:rsidRPr="00B329D9">
        <w:rPr>
          <w:rFonts w:ascii="Book Antiqua" w:hAnsi="Book Antiqua"/>
          <w:color w:val="201F35"/>
        </w:rPr>
        <w:t>: 917-923 [PMID: 29101975 DOI: 10.1016/j.jhsa.2017.09.009]</w:t>
      </w:r>
    </w:p>
    <w:p w14:paraId="37CCFECB"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3 </w:t>
      </w:r>
      <w:proofErr w:type="spellStart"/>
      <w:r w:rsidRPr="00B329D9">
        <w:rPr>
          <w:rFonts w:ascii="Book Antiqua" w:hAnsi="Book Antiqua"/>
          <w:b/>
          <w:bCs/>
          <w:color w:val="201F35"/>
        </w:rPr>
        <w:t>Humpherys</w:t>
      </w:r>
      <w:proofErr w:type="spellEnd"/>
      <w:r w:rsidRPr="00B329D9">
        <w:rPr>
          <w:rFonts w:ascii="Book Antiqua" w:hAnsi="Book Antiqua"/>
          <w:b/>
          <w:bCs/>
          <w:color w:val="201F35"/>
        </w:rPr>
        <w:t xml:space="preserve"> J</w:t>
      </w:r>
      <w:r w:rsidRPr="00B329D9">
        <w:rPr>
          <w:rFonts w:ascii="Book Antiqua" w:hAnsi="Book Antiqua"/>
          <w:color w:val="201F35"/>
        </w:rPr>
        <w:t xml:space="preserve">, Lum Z, Cohen J. Diagnosis and Treatment of Chronic Exertional Compartment Syndrome of the Forearm in Motocross Riders. </w:t>
      </w:r>
      <w:r w:rsidRPr="00B329D9">
        <w:rPr>
          <w:rFonts w:ascii="Book Antiqua" w:hAnsi="Book Antiqua"/>
          <w:i/>
          <w:iCs/>
          <w:color w:val="201F35"/>
        </w:rPr>
        <w:t>JBJS Rev</w:t>
      </w:r>
      <w:r w:rsidRPr="00B329D9">
        <w:rPr>
          <w:rFonts w:ascii="Book Antiqua" w:hAnsi="Book Antiqua"/>
          <w:color w:val="201F35"/>
        </w:rPr>
        <w:t xml:space="preserve"> 2018; </w:t>
      </w:r>
      <w:r w:rsidRPr="00B329D9">
        <w:rPr>
          <w:rFonts w:ascii="Book Antiqua" w:hAnsi="Book Antiqua"/>
          <w:b/>
          <w:bCs/>
          <w:color w:val="201F35"/>
        </w:rPr>
        <w:t>6</w:t>
      </w:r>
      <w:r w:rsidRPr="00B329D9">
        <w:rPr>
          <w:rFonts w:ascii="Book Antiqua" w:hAnsi="Book Antiqua"/>
          <w:color w:val="201F35"/>
        </w:rPr>
        <w:t>: e3 [PMID: 29315124 DOI: 10.2106/JBJS.RVW.17.00023]</w:t>
      </w:r>
    </w:p>
    <w:p w14:paraId="4E5776AE"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4 </w:t>
      </w:r>
      <w:r w:rsidRPr="00B329D9">
        <w:rPr>
          <w:rFonts w:ascii="Book Antiqua" w:hAnsi="Book Antiqua"/>
          <w:b/>
          <w:bCs/>
          <w:color w:val="201F35"/>
        </w:rPr>
        <w:t>Bird CB</w:t>
      </w:r>
      <w:r w:rsidRPr="00B329D9">
        <w:rPr>
          <w:rFonts w:ascii="Book Antiqua" w:hAnsi="Book Antiqua"/>
          <w:color w:val="201F35"/>
        </w:rPr>
        <w:t xml:space="preserve">, McCoy JW Jr. Weight-lifting as a cause of compartment syndrome in the forearm. A case </w:t>
      </w:r>
      <w:proofErr w:type="gramStart"/>
      <w:r w:rsidRPr="00B329D9">
        <w:rPr>
          <w:rFonts w:ascii="Book Antiqua" w:hAnsi="Book Antiqua"/>
          <w:color w:val="201F35"/>
        </w:rPr>
        <w:t>report</w:t>
      </w:r>
      <w:proofErr w:type="gramEnd"/>
      <w:r w:rsidRPr="00B329D9">
        <w:rPr>
          <w:rFonts w:ascii="Book Antiqua" w:hAnsi="Book Antiqua"/>
          <w:color w:val="201F35"/>
        </w:rPr>
        <w:t xml:space="preserve">. </w:t>
      </w:r>
      <w:r w:rsidRPr="00B329D9">
        <w:rPr>
          <w:rFonts w:ascii="Book Antiqua" w:hAnsi="Book Antiqua"/>
          <w:i/>
          <w:iCs/>
          <w:color w:val="201F35"/>
        </w:rPr>
        <w:t>J Bone Joint Surg Am</w:t>
      </w:r>
      <w:r w:rsidRPr="00B329D9">
        <w:rPr>
          <w:rFonts w:ascii="Book Antiqua" w:hAnsi="Book Antiqua"/>
          <w:color w:val="201F35"/>
        </w:rPr>
        <w:t xml:space="preserve"> 1983; </w:t>
      </w:r>
      <w:r w:rsidRPr="00B329D9">
        <w:rPr>
          <w:rFonts w:ascii="Book Antiqua" w:hAnsi="Book Antiqua"/>
          <w:b/>
          <w:bCs/>
          <w:color w:val="201F35"/>
        </w:rPr>
        <w:t>65</w:t>
      </w:r>
      <w:r w:rsidRPr="00B329D9">
        <w:rPr>
          <w:rFonts w:ascii="Book Antiqua" w:hAnsi="Book Antiqua"/>
          <w:color w:val="201F35"/>
        </w:rPr>
        <w:t>: 406 [PMID: 6826606]</w:t>
      </w:r>
    </w:p>
    <w:p w14:paraId="0C70CF40"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5 </w:t>
      </w:r>
      <w:proofErr w:type="spellStart"/>
      <w:r w:rsidRPr="00B329D9">
        <w:rPr>
          <w:rFonts w:ascii="Book Antiqua" w:hAnsi="Book Antiqua"/>
          <w:b/>
          <w:bCs/>
          <w:color w:val="201F35"/>
        </w:rPr>
        <w:t>Goubier</w:t>
      </w:r>
      <w:proofErr w:type="spellEnd"/>
      <w:r w:rsidRPr="00B329D9">
        <w:rPr>
          <w:rFonts w:ascii="Book Antiqua" w:hAnsi="Book Antiqua"/>
          <w:b/>
          <w:bCs/>
          <w:color w:val="201F35"/>
        </w:rPr>
        <w:t xml:space="preserve"> JN</w:t>
      </w:r>
      <w:r w:rsidRPr="00B329D9">
        <w:rPr>
          <w:rFonts w:ascii="Book Antiqua" w:hAnsi="Book Antiqua"/>
          <w:color w:val="201F35"/>
        </w:rPr>
        <w:t xml:space="preserve">, </w:t>
      </w:r>
      <w:proofErr w:type="spellStart"/>
      <w:r w:rsidRPr="00B329D9">
        <w:rPr>
          <w:rFonts w:ascii="Book Antiqua" w:hAnsi="Book Antiqua"/>
          <w:color w:val="201F35"/>
        </w:rPr>
        <w:t>Saillant</w:t>
      </w:r>
      <w:proofErr w:type="spellEnd"/>
      <w:r w:rsidRPr="00B329D9">
        <w:rPr>
          <w:rFonts w:ascii="Book Antiqua" w:hAnsi="Book Antiqua"/>
          <w:color w:val="201F35"/>
        </w:rPr>
        <w:t xml:space="preserve"> G. Chronic compartment syndrome of the forearm in competitive motor cyclists: a report of two cases. </w:t>
      </w:r>
      <w:r w:rsidRPr="00B329D9">
        <w:rPr>
          <w:rFonts w:ascii="Book Antiqua" w:hAnsi="Book Antiqua"/>
          <w:i/>
          <w:iCs/>
          <w:color w:val="201F35"/>
        </w:rPr>
        <w:t>Br J Sports Med</w:t>
      </w:r>
      <w:r w:rsidRPr="00B329D9">
        <w:rPr>
          <w:rFonts w:ascii="Book Antiqua" w:hAnsi="Book Antiqua"/>
          <w:color w:val="201F35"/>
        </w:rPr>
        <w:t xml:space="preserve"> 2003; </w:t>
      </w:r>
      <w:r w:rsidRPr="00B329D9">
        <w:rPr>
          <w:rFonts w:ascii="Book Antiqua" w:hAnsi="Book Antiqua"/>
          <w:b/>
          <w:bCs/>
          <w:color w:val="201F35"/>
        </w:rPr>
        <w:t>37</w:t>
      </w:r>
      <w:r w:rsidRPr="00B329D9">
        <w:rPr>
          <w:rFonts w:ascii="Book Antiqua" w:hAnsi="Book Antiqua"/>
          <w:color w:val="201F35"/>
        </w:rPr>
        <w:t>: 452-3; discussion 453-4 [PMID: 14514541 DOI: 10.1136/bjsm.37.5.452]</w:t>
      </w:r>
    </w:p>
    <w:p w14:paraId="5ECB7C27"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6 </w:t>
      </w:r>
      <w:proofErr w:type="spellStart"/>
      <w:r w:rsidRPr="00B329D9">
        <w:rPr>
          <w:rFonts w:ascii="Book Antiqua" w:hAnsi="Book Antiqua"/>
          <w:b/>
          <w:bCs/>
          <w:color w:val="201F35"/>
        </w:rPr>
        <w:t>Boody</w:t>
      </w:r>
      <w:proofErr w:type="spellEnd"/>
      <w:r w:rsidRPr="00B329D9">
        <w:rPr>
          <w:rFonts w:ascii="Book Antiqua" w:hAnsi="Book Antiqua"/>
          <w:b/>
          <w:bCs/>
          <w:color w:val="201F35"/>
        </w:rPr>
        <w:t xml:space="preserve"> AR</w:t>
      </w:r>
      <w:r w:rsidRPr="00B329D9">
        <w:rPr>
          <w:rFonts w:ascii="Book Antiqua" w:hAnsi="Book Antiqua"/>
          <w:color w:val="201F35"/>
        </w:rPr>
        <w:t xml:space="preserve">, </w:t>
      </w:r>
      <w:proofErr w:type="spellStart"/>
      <w:r w:rsidRPr="00B329D9">
        <w:rPr>
          <w:rFonts w:ascii="Book Antiqua" w:hAnsi="Book Antiqua"/>
          <w:color w:val="201F35"/>
        </w:rPr>
        <w:t>Wongworawat</w:t>
      </w:r>
      <w:proofErr w:type="spellEnd"/>
      <w:r w:rsidRPr="00B329D9">
        <w:rPr>
          <w:rFonts w:ascii="Book Antiqua" w:hAnsi="Book Antiqua"/>
          <w:color w:val="201F35"/>
        </w:rPr>
        <w:t xml:space="preserve"> MD. Accuracy in the measurement of compartment pressures: a comparison of three commonly used devices. </w:t>
      </w:r>
      <w:r w:rsidRPr="00B329D9">
        <w:rPr>
          <w:rFonts w:ascii="Book Antiqua" w:hAnsi="Book Antiqua"/>
          <w:i/>
          <w:iCs/>
          <w:color w:val="201F35"/>
        </w:rPr>
        <w:t>J Bone Joint Surg Am</w:t>
      </w:r>
      <w:r w:rsidRPr="00B329D9">
        <w:rPr>
          <w:rFonts w:ascii="Book Antiqua" w:hAnsi="Book Antiqua"/>
          <w:color w:val="201F35"/>
        </w:rPr>
        <w:t xml:space="preserve"> 2005; </w:t>
      </w:r>
      <w:r w:rsidRPr="00B329D9">
        <w:rPr>
          <w:rFonts w:ascii="Book Antiqua" w:hAnsi="Book Antiqua"/>
          <w:b/>
          <w:bCs/>
          <w:color w:val="201F35"/>
        </w:rPr>
        <w:t>87</w:t>
      </w:r>
      <w:r w:rsidRPr="00B329D9">
        <w:rPr>
          <w:rFonts w:ascii="Book Antiqua" w:hAnsi="Book Antiqua"/>
          <w:color w:val="201F35"/>
        </w:rPr>
        <w:t>: 2415-2422 [PMID: 16264116 DOI: 10.2106/JBJS.D.02826]</w:t>
      </w:r>
    </w:p>
    <w:p w14:paraId="3F66BCF5"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7 </w:t>
      </w:r>
      <w:r w:rsidRPr="00B329D9">
        <w:rPr>
          <w:rFonts w:ascii="Book Antiqua" w:hAnsi="Book Antiqua"/>
          <w:b/>
          <w:bCs/>
          <w:color w:val="201F35"/>
        </w:rPr>
        <w:t>Pedowitz RA</w:t>
      </w:r>
      <w:r w:rsidRPr="00B329D9">
        <w:rPr>
          <w:rFonts w:ascii="Book Antiqua" w:hAnsi="Book Antiqua"/>
          <w:color w:val="201F35"/>
        </w:rPr>
        <w:t xml:space="preserve">, </w:t>
      </w:r>
      <w:proofErr w:type="spellStart"/>
      <w:r w:rsidRPr="00B329D9">
        <w:rPr>
          <w:rFonts w:ascii="Book Antiqua" w:hAnsi="Book Antiqua"/>
          <w:color w:val="201F35"/>
        </w:rPr>
        <w:t>Hargens</w:t>
      </w:r>
      <w:proofErr w:type="spellEnd"/>
      <w:r w:rsidRPr="00B329D9">
        <w:rPr>
          <w:rFonts w:ascii="Book Antiqua" w:hAnsi="Book Antiqua"/>
          <w:color w:val="201F35"/>
        </w:rPr>
        <w:t xml:space="preserve"> AR, Mubarak SJ, </w:t>
      </w:r>
      <w:proofErr w:type="spellStart"/>
      <w:r w:rsidRPr="00B329D9">
        <w:rPr>
          <w:rFonts w:ascii="Book Antiqua" w:hAnsi="Book Antiqua"/>
          <w:color w:val="201F35"/>
        </w:rPr>
        <w:t>Gershuni</w:t>
      </w:r>
      <w:proofErr w:type="spellEnd"/>
      <w:r w:rsidRPr="00B329D9">
        <w:rPr>
          <w:rFonts w:ascii="Book Antiqua" w:hAnsi="Book Antiqua"/>
          <w:color w:val="201F35"/>
        </w:rPr>
        <w:t xml:space="preserve"> DH. Modified criteria for the objective diagnosis of chronic compartment syndrome of the leg. </w:t>
      </w:r>
      <w:r w:rsidRPr="00B329D9">
        <w:rPr>
          <w:rFonts w:ascii="Book Antiqua" w:hAnsi="Book Antiqua"/>
          <w:i/>
          <w:iCs/>
          <w:color w:val="201F35"/>
        </w:rPr>
        <w:t>Am J Sports Med</w:t>
      </w:r>
      <w:r w:rsidRPr="00B329D9">
        <w:rPr>
          <w:rFonts w:ascii="Book Antiqua" w:hAnsi="Book Antiqua"/>
          <w:color w:val="201F35"/>
        </w:rPr>
        <w:t xml:space="preserve"> 1990; </w:t>
      </w:r>
      <w:r w:rsidRPr="00B329D9">
        <w:rPr>
          <w:rFonts w:ascii="Book Antiqua" w:hAnsi="Book Antiqua"/>
          <w:b/>
          <w:bCs/>
          <w:color w:val="201F35"/>
        </w:rPr>
        <w:t>18</w:t>
      </w:r>
      <w:r w:rsidRPr="00B329D9">
        <w:rPr>
          <w:rFonts w:ascii="Book Antiqua" w:hAnsi="Book Antiqua"/>
          <w:color w:val="201F35"/>
        </w:rPr>
        <w:t>: 35-40 [PMID: 2301689 DOI: 10.1177/036354659001800106]</w:t>
      </w:r>
    </w:p>
    <w:p w14:paraId="636BE635"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lastRenderedPageBreak/>
        <w:t xml:space="preserve">8 </w:t>
      </w:r>
      <w:proofErr w:type="spellStart"/>
      <w:r w:rsidRPr="00B329D9">
        <w:rPr>
          <w:rFonts w:ascii="Book Antiqua" w:hAnsi="Book Antiqua"/>
          <w:b/>
          <w:bCs/>
          <w:color w:val="201F35"/>
        </w:rPr>
        <w:t>Whitesides</w:t>
      </w:r>
      <w:proofErr w:type="spellEnd"/>
      <w:r w:rsidRPr="00B329D9">
        <w:rPr>
          <w:rFonts w:ascii="Book Antiqua" w:hAnsi="Book Antiqua"/>
          <w:b/>
          <w:bCs/>
          <w:color w:val="201F35"/>
        </w:rPr>
        <w:t xml:space="preserve"> TE</w:t>
      </w:r>
      <w:r w:rsidRPr="00B329D9">
        <w:rPr>
          <w:rFonts w:ascii="Book Antiqua" w:hAnsi="Book Antiqua"/>
          <w:color w:val="201F35"/>
        </w:rPr>
        <w:t xml:space="preserve">, Heckman MM. Acute Compartment Syndrome: Update on Diagnosis and Treatment. </w:t>
      </w:r>
      <w:r w:rsidRPr="00B329D9">
        <w:rPr>
          <w:rFonts w:ascii="Book Antiqua" w:hAnsi="Book Antiqua"/>
          <w:i/>
          <w:iCs/>
          <w:color w:val="201F35"/>
        </w:rPr>
        <w:t xml:space="preserve">J Am </w:t>
      </w:r>
      <w:proofErr w:type="spellStart"/>
      <w:r w:rsidRPr="00B329D9">
        <w:rPr>
          <w:rFonts w:ascii="Book Antiqua" w:hAnsi="Book Antiqua"/>
          <w:i/>
          <w:iCs/>
          <w:color w:val="201F35"/>
        </w:rPr>
        <w:t>Acad</w:t>
      </w:r>
      <w:proofErr w:type="spellEnd"/>
      <w:r w:rsidRPr="00B329D9">
        <w:rPr>
          <w:rFonts w:ascii="Book Antiqua" w:hAnsi="Book Antiqua"/>
          <w:i/>
          <w:iCs/>
          <w:color w:val="201F35"/>
        </w:rPr>
        <w:t xml:space="preserve"> </w:t>
      </w:r>
      <w:proofErr w:type="spellStart"/>
      <w:r w:rsidRPr="00B329D9">
        <w:rPr>
          <w:rFonts w:ascii="Book Antiqua" w:hAnsi="Book Antiqua"/>
          <w:i/>
          <w:iCs/>
          <w:color w:val="201F35"/>
        </w:rPr>
        <w:t>Orthop</w:t>
      </w:r>
      <w:proofErr w:type="spellEnd"/>
      <w:r w:rsidRPr="00B329D9">
        <w:rPr>
          <w:rFonts w:ascii="Book Antiqua" w:hAnsi="Book Antiqua"/>
          <w:i/>
          <w:iCs/>
          <w:color w:val="201F35"/>
        </w:rPr>
        <w:t xml:space="preserve"> Surg</w:t>
      </w:r>
      <w:r w:rsidRPr="00B329D9">
        <w:rPr>
          <w:rFonts w:ascii="Book Antiqua" w:hAnsi="Book Antiqua"/>
          <w:color w:val="201F35"/>
        </w:rPr>
        <w:t xml:space="preserve"> 1996; </w:t>
      </w:r>
      <w:r w:rsidRPr="00B329D9">
        <w:rPr>
          <w:rFonts w:ascii="Book Antiqua" w:hAnsi="Book Antiqua"/>
          <w:b/>
          <w:bCs/>
          <w:color w:val="201F35"/>
        </w:rPr>
        <w:t>4</w:t>
      </w:r>
      <w:r w:rsidRPr="00B329D9">
        <w:rPr>
          <w:rFonts w:ascii="Book Antiqua" w:hAnsi="Book Antiqua"/>
          <w:color w:val="201F35"/>
        </w:rPr>
        <w:t>: 209-218 [PMID: 10795056 DOI: 10.5435/00124635-199607000-00005]</w:t>
      </w:r>
    </w:p>
    <w:p w14:paraId="3D6B6BFA"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9 </w:t>
      </w:r>
      <w:r w:rsidRPr="00B329D9">
        <w:rPr>
          <w:rFonts w:ascii="Book Antiqua" w:hAnsi="Book Antiqua"/>
          <w:b/>
          <w:bCs/>
          <w:color w:val="201F35"/>
        </w:rPr>
        <w:t>Brown JS</w:t>
      </w:r>
      <w:r w:rsidRPr="00B329D9">
        <w:rPr>
          <w:rFonts w:ascii="Book Antiqua" w:hAnsi="Book Antiqua"/>
          <w:color w:val="201F35"/>
        </w:rPr>
        <w:t xml:space="preserve">, Wheeler PC, Boyd KT, Barnes MR, Allen MJ. Chronic exertional compartment syndrome of the forearm: a case series of 12 patients treated with fasciotomy. </w:t>
      </w:r>
      <w:r w:rsidRPr="00B329D9">
        <w:rPr>
          <w:rFonts w:ascii="Book Antiqua" w:hAnsi="Book Antiqua"/>
          <w:i/>
          <w:iCs/>
          <w:color w:val="201F35"/>
        </w:rPr>
        <w:t>J Hand Surg Eur Vol</w:t>
      </w:r>
      <w:r w:rsidRPr="00B329D9">
        <w:rPr>
          <w:rFonts w:ascii="Book Antiqua" w:hAnsi="Book Antiqua"/>
          <w:color w:val="201F35"/>
        </w:rPr>
        <w:t xml:space="preserve"> 2011; </w:t>
      </w:r>
      <w:r w:rsidRPr="00B329D9">
        <w:rPr>
          <w:rFonts w:ascii="Book Antiqua" w:hAnsi="Book Antiqua"/>
          <w:b/>
          <w:bCs/>
          <w:color w:val="201F35"/>
        </w:rPr>
        <w:t>36</w:t>
      </w:r>
      <w:r w:rsidRPr="00B329D9">
        <w:rPr>
          <w:rFonts w:ascii="Book Antiqua" w:hAnsi="Book Antiqua"/>
          <w:color w:val="201F35"/>
        </w:rPr>
        <w:t>: 413-419 [PMID: 21339238 DOI: 10.1177/1753193410397900]</w:t>
      </w:r>
    </w:p>
    <w:p w14:paraId="5D1A1ECD"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10 </w:t>
      </w:r>
      <w:r w:rsidRPr="00B329D9">
        <w:rPr>
          <w:rFonts w:ascii="Book Antiqua" w:hAnsi="Book Antiqua"/>
          <w:b/>
          <w:bCs/>
          <w:color w:val="201F35"/>
        </w:rPr>
        <w:t>Abe Y</w:t>
      </w:r>
      <w:r w:rsidRPr="00B329D9">
        <w:rPr>
          <w:rFonts w:ascii="Book Antiqua" w:hAnsi="Book Antiqua"/>
          <w:color w:val="201F35"/>
        </w:rPr>
        <w:t xml:space="preserve">, </w:t>
      </w:r>
      <w:proofErr w:type="spellStart"/>
      <w:r w:rsidRPr="00B329D9">
        <w:rPr>
          <w:rFonts w:ascii="Book Antiqua" w:hAnsi="Book Antiqua"/>
          <w:color w:val="201F35"/>
        </w:rPr>
        <w:t>Fujii</w:t>
      </w:r>
      <w:proofErr w:type="spellEnd"/>
      <w:r w:rsidRPr="00B329D9">
        <w:rPr>
          <w:rFonts w:ascii="Book Antiqua" w:hAnsi="Book Antiqua"/>
          <w:color w:val="201F35"/>
        </w:rPr>
        <w:t xml:space="preserve"> K. Chronic Compartment Syndrome of the Mobile Wad: A Case Report. </w:t>
      </w:r>
      <w:r w:rsidRPr="00B329D9">
        <w:rPr>
          <w:rFonts w:ascii="Book Antiqua" w:hAnsi="Book Antiqua"/>
          <w:i/>
          <w:iCs/>
          <w:color w:val="201F35"/>
        </w:rPr>
        <w:t>J Hand Surg Asian Pac Vol</w:t>
      </w:r>
      <w:r w:rsidRPr="00B329D9">
        <w:rPr>
          <w:rFonts w:ascii="Book Antiqua" w:hAnsi="Book Antiqua"/>
          <w:color w:val="201F35"/>
        </w:rPr>
        <w:t xml:space="preserve"> 2017; </w:t>
      </w:r>
      <w:r w:rsidRPr="00B329D9">
        <w:rPr>
          <w:rFonts w:ascii="Book Antiqua" w:hAnsi="Book Antiqua"/>
          <w:b/>
          <w:bCs/>
          <w:color w:val="201F35"/>
        </w:rPr>
        <w:t>22</w:t>
      </w:r>
      <w:r w:rsidRPr="00B329D9">
        <w:rPr>
          <w:rFonts w:ascii="Book Antiqua" w:hAnsi="Book Antiqua"/>
          <w:color w:val="201F35"/>
        </w:rPr>
        <w:t>: 516-518 [PMID: 29117829 DOI: 10.1142/S0218810417720364]</w:t>
      </w:r>
    </w:p>
    <w:p w14:paraId="4E1C752A"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11 </w:t>
      </w:r>
      <w:proofErr w:type="spellStart"/>
      <w:r w:rsidRPr="00B329D9">
        <w:rPr>
          <w:rFonts w:ascii="Book Antiqua" w:hAnsi="Book Antiqua"/>
          <w:b/>
          <w:bCs/>
          <w:color w:val="201F35"/>
        </w:rPr>
        <w:t>Jans</w:t>
      </w:r>
      <w:proofErr w:type="spellEnd"/>
      <w:r w:rsidRPr="00B329D9">
        <w:rPr>
          <w:rFonts w:ascii="Book Antiqua" w:hAnsi="Book Antiqua"/>
          <w:b/>
          <w:bCs/>
          <w:color w:val="201F35"/>
        </w:rPr>
        <w:t xml:space="preserve"> C</w:t>
      </w:r>
      <w:r w:rsidRPr="00B329D9">
        <w:rPr>
          <w:rFonts w:ascii="Book Antiqua" w:hAnsi="Book Antiqua"/>
          <w:color w:val="201F35"/>
        </w:rPr>
        <w:t xml:space="preserve">, </w:t>
      </w:r>
      <w:proofErr w:type="spellStart"/>
      <w:r w:rsidRPr="00B329D9">
        <w:rPr>
          <w:rFonts w:ascii="Book Antiqua" w:hAnsi="Book Antiqua"/>
          <w:color w:val="201F35"/>
        </w:rPr>
        <w:t>Peersman</w:t>
      </w:r>
      <w:proofErr w:type="spellEnd"/>
      <w:r w:rsidRPr="00B329D9">
        <w:rPr>
          <w:rFonts w:ascii="Book Antiqua" w:hAnsi="Book Antiqua"/>
          <w:color w:val="201F35"/>
        </w:rPr>
        <w:t xml:space="preserve"> G, </w:t>
      </w:r>
      <w:proofErr w:type="spellStart"/>
      <w:r w:rsidRPr="00B329D9">
        <w:rPr>
          <w:rFonts w:ascii="Book Antiqua" w:hAnsi="Book Antiqua"/>
          <w:color w:val="201F35"/>
        </w:rPr>
        <w:t>Peersman</w:t>
      </w:r>
      <w:proofErr w:type="spellEnd"/>
      <w:r w:rsidRPr="00B329D9">
        <w:rPr>
          <w:rFonts w:ascii="Book Antiqua" w:hAnsi="Book Antiqua"/>
          <w:color w:val="201F35"/>
        </w:rPr>
        <w:t xml:space="preserve"> B, Van Den </w:t>
      </w:r>
      <w:proofErr w:type="spellStart"/>
      <w:r w:rsidRPr="00B329D9">
        <w:rPr>
          <w:rFonts w:ascii="Book Antiqua" w:hAnsi="Book Antiqua"/>
          <w:color w:val="201F35"/>
        </w:rPr>
        <w:t>Langenbergh</w:t>
      </w:r>
      <w:proofErr w:type="spellEnd"/>
      <w:r w:rsidRPr="00B329D9">
        <w:rPr>
          <w:rFonts w:ascii="Book Antiqua" w:hAnsi="Book Antiqua"/>
          <w:color w:val="201F35"/>
        </w:rPr>
        <w:t xml:space="preserve"> T, </w:t>
      </w:r>
      <w:proofErr w:type="spellStart"/>
      <w:r w:rsidRPr="00B329D9">
        <w:rPr>
          <w:rFonts w:ascii="Book Antiqua" w:hAnsi="Book Antiqua"/>
          <w:color w:val="201F35"/>
        </w:rPr>
        <w:t>Valk</w:t>
      </w:r>
      <w:proofErr w:type="spellEnd"/>
      <w:r w:rsidRPr="00B329D9">
        <w:rPr>
          <w:rFonts w:ascii="Book Antiqua" w:hAnsi="Book Antiqua"/>
          <w:color w:val="201F35"/>
        </w:rPr>
        <w:t xml:space="preserve"> J, </w:t>
      </w:r>
      <w:proofErr w:type="spellStart"/>
      <w:r w:rsidRPr="00B329D9">
        <w:rPr>
          <w:rFonts w:ascii="Book Antiqua" w:hAnsi="Book Antiqua"/>
          <w:color w:val="201F35"/>
        </w:rPr>
        <w:t>Richart</w:t>
      </w:r>
      <w:proofErr w:type="spellEnd"/>
      <w:r w:rsidRPr="00B329D9">
        <w:rPr>
          <w:rFonts w:ascii="Book Antiqua" w:hAnsi="Book Antiqua"/>
          <w:color w:val="201F35"/>
        </w:rPr>
        <w:t xml:space="preserve"> T. Endoscopic decompression for chronic compartment syndrome of the forearm in motocross racers. </w:t>
      </w:r>
      <w:r w:rsidRPr="00B329D9">
        <w:rPr>
          <w:rFonts w:ascii="Book Antiqua" w:hAnsi="Book Antiqua"/>
          <w:i/>
          <w:iCs/>
          <w:color w:val="201F35"/>
        </w:rPr>
        <w:t xml:space="preserve">Knee Surg Sports </w:t>
      </w:r>
      <w:proofErr w:type="spellStart"/>
      <w:r w:rsidRPr="00B329D9">
        <w:rPr>
          <w:rFonts w:ascii="Book Antiqua" w:hAnsi="Book Antiqua"/>
          <w:i/>
          <w:iCs/>
          <w:color w:val="201F35"/>
        </w:rPr>
        <w:t>Traumatol</w:t>
      </w:r>
      <w:proofErr w:type="spellEnd"/>
      <w:r w:rsidRPr="00B329D9">
        <w:rPr>
          <w:rFonts w:ascii="Book Antiqua" w:hAnsi="Book Antiqua"/>
          <w:i/>
          <w:iCs/>
          <w:color w:val="201F35"/>
        </w:rPr>
        <w:t xml:space="preserve"> </w:t>
      </w:r>
      <w:proofErr w:type="spellStart"/>
      <w:r w:rsidRPr="00B329D9">
        <w:rPr>
          <w:rFonts w:ascii="Book Antiqua" w:hAnsi="Book Antiqua"/>
          <w:i/>
          <w:iCs/>
          <w:color w:val="201F35"/>
        </w:rPr>
        <w:t>Arthrosc</w:t>
      </w:r>
      <w:proofErr w:type="spellEnd"/>
      <w:r w:rsidRPr="00B329D9">
        <w:rPr>
          <w:rFonts w:ascii="Book Antiqua" w:hAnsi="Book Antiqua"/>
          <w:color w:val="201F35"/>
        </w:rPr>
        <w:t xml:space="preserve"> 2015; </w:t>
      </w:r>
      <w:r w:rsidRPr="00B329D9">
        <w:rPr>
          <w:rFonts w:ascii="Book Antiqua" w:hAnsi="Book Antiqua"/>
          <w:b/>
          <w:bCs/>
          <w:color w:val="201F35"/>
        </w:rPr>
        <w:t>23</w:t>
      </w:r>
      <w:r w:rsidRPr="00B329D9">
        <w:rPr>
          <w:rFonts w:ascii="Book Antiqua" w:hAnsi="Book Antiqua"/>
          <w:color w:val="201F35"/>
        </w:rPr>
        <w:t>: 2522-2527 [PMID: 24817163 DOI: 10.1007/s00167-014-3044-z]</w:t>
      </w:r>
    </w:p>
    <w:p w14:paraId="34C7AC2B"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12 </w:t>
      </w:r>
      <w:r w:rsidRPr="00B329D9">
        <w:rPr>
          <w:rFonts w:ascii="Book Antiqua" w:hAnsi="Book Antiqua"/>
          <w:b/>
          <w:bCs/>
          <w:color w:val="201F35"/>
        </w:rPr>
        <w:t>Kumar PR</w:t>
      </w:r>
      <w:r w:rsidRPr="00B329D9">
        <w:rPr>
          <w:rFonts w:ascii="Book Antiqua" w:hAnsi="Book Antiqua"/>
          <w:color w:val="201F35"/>
        </w:rPr>
        <w:t xml:space="preserve">, Jenkins JP, Hodgson SP. Bilateral chronic exertional compartment syndrome of the dorsal part of the forearm: the role of magnetic resonance imaging in diagnosis: a case report. </w:t>
      </w:r>
      <w:r w:rsidRPr="00B329D9">
        <w:rPr>
          <w:rFonts w:ascii="Book Antiqua" w:hAnsi="Book Antiqua"/>
          <w:i/>
          <w:iCs/>
          <w:color w:val="201F35"/>
        </w:rPr>
        <w:t>J Bone Joint Surg Am</w:t>
      </w:r>
      <w:r w:rsidRPr="00B329D9">
        <w:rPr>
          <w:rFonts w:ascii="Book Antiqua" w:hAnsi="Book Antiqua"/>
          <w:color w:val="201F35"/>
        </w:rPr>
        <w:t xml:space="preserve"> 2003; </w:t>
      </w:r>
      <w:r w:rsidRPr="00B329D9">
        <w:rPr>
          <w:rFonts w:ascii="Book Antiqua" w:hAnsi="Book Antiqua"/>
          <w:b/>
          <w:bCs/>
          <w:color w:val="201F35"/>
        </w:rPr>
        <w:t>85</w:t>
      </w:r>
      <w:r w:rsidRPr="00B329D9">
        <w:rPr>
          <w:rFonts w:ascii="Book Antiqua" w:hAnsi="Book Antiqua"/>
          <w:color w:val="201F35"/>
        </w:rPr>
        <w:t>: 1557-1559 [PMID: 12925638]</w:t>
      </w:r>
    </w:p>
    <w:p w14:paraId="6B24B447"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13 </w:t>
      </w:r>
      <w:r w:rsidRPr="00B329D9">
        <w:rPr>
          <w:rFonts w:ascii="Book Antiqua" w:hAnsi="Book Antiqua"/>
          <w:b/>
          <w:bCs/>
          <w:color w:val="201F35"/>
        </w:rPr>
        <w:t>Hutchinson MR</w:t>
      </w:r>
      <w:r w:rsidRPr="00B329D9">
        <w:rPr>
          <w:rFonts w:ascii="Book Antiqua" w:hAnsi="Book Antiqua"/>
          <w:color w:val="201F35"/>
        </w:rPr>
        <w:t xml:space="preserve">, Ireland ML. Common compartment syndromes in athletes. Treatment and rehabilitation. </w:t>
      </w:r>
      <w:r w:rsidRPr="00B329D9">
        <w:rPr>
          <w:rFonts w:ascii="Book Antiqua" w:hAnsi="Book Antiqua"/>
          <w:i/>
          <w:iCs/>
          <w:color w:val="201F35"/>
        </w:rPr>
        <w:t>Sports Med</w:t>
      </w:r>
      <w:r w:rsidRPr="00B329D9">
        <w:rPr>
          <w:rFonts w:ascii="Book Antiqua" w:hAnsi="Book Antiqua"/>
          <w:color w:val="201F35"/>
        </w:rPr>
        <w:t xml:space="preserve"> 1994; </w:t>
      </w:r>
      <w:r w:rsidRPr="00B329D9">
        <w:rPr>
          <w:rFonts w:ascii="Book Antiqua" w:hAnsi="Book Antiqua"/>
          <w:b/>
          <w:bCs/>
          <w:color w:val="201F35"/>
        </w:rPr>
        <w:t>17</w:t>
      </w:r>
      <w:r w:rsidRPr="00B329D9">
        <w:rPr>
          <w:rFonts w:ascii="Book Antiqua" w:hAnsi="Book Antiqua"/>
          <w:color w:val="201F35"/>
        </w:rPr>
        <w:t>: 200-208 [PMID: 8191177 DOI: 10.2165/00007256-199417030-00006]</w:t>
      </w:r>
    </w:p>
    <w:p w14:paraId="7A24ECA5"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14 </w:t>
      </w:r>
      <w:proofErr w:type="spellStart"/>
      <w:r w:rsidRPr="00B329D9">
        <w:rPr>
          <w:rFonts w:ascii="Book Antiqua" w:hAnsi="Book Antiqua"/>
          <w:b/>
          <w:bCs/>
          <w:color w:val="201F35"/>
        </w:rPr>
        <w:t>Hijjawi</w:t>
      </w:r>
      <w:proofErr w:type="spellEnd"/>
      <w:r w:rsidRPr="00B329D9">
        <w:rPr>
          <w:rFonts w:ascii="Book Antiqua" w:hAnsi="Book Antiqua"/>
          <w:b/>
          <w:bCs/>
          <w:color w:val="201F35"/>
        </w:rPr>
        <w:t xml:space="preserve"> J</w:t>
      </w:r>
      <w:r w:rsidRPr="00B329D9">
        <w:rPr>
          <w:rFonts w:ascii="Book Antiqua" w:hAnsi="Book Antiqua"/>
          <w:color w:val="201F35"/>
        </w:rPr>
        <w:t xml:space="preserve">, Nagle DJ. Endoscopic-assisted Fascial Decompression for Forearm Exertional Compartment Syndrome: A Case Report and Review of the Literature. </w:t>
      </w:r>
      <w:r w:rsidRPr="00B329D9">
        <w:rPr>
          <w:rFonts w:ascii="Book Antiqua" w:hAnsi="Book Antiqua"/>
          <w:i/>
          <w:iCs/>
          <w:color w:val="201F35"/>
        </w:rPr>
        <w:t>Hand (N Y)</w:t>
      </w:r>
      <w:r w:rsidRPr="00B329D9">
        <w:rPr>
          <w:rFonts w:ascii="Book Antiqua" w:hAnsi="Book Antiqua"/>
          <w:color w:val="201F35"/>
        </w:rPr>
        <w:t xml:space="preserve"> 2010; </w:t>
      </w:r>
      <w:r w:rsidRPr="00B329D9">
        <w:rPr>
          <w:rFonts w:ascii="Book Antiqua" w:hAnsi="Book Antiqua"/>
          <w:b/>
          <w:bCs/>
          <w:color w:val="201F35"/>
        </w:rPr>
        <w:t>5</w:t>
      </w:r>
      <w:r w:rsidRPr="00B329D9">
        <w:rPr>
          <w:rFonts w:ascii="Book Antiqua" w:hAnsi="Book Antiqua"/>
          <w:color w:val="201F35"/>
        </w:rPr>
        <w:t>: 427-429 [PMID: 22131927 DOI: 10.1007/s11552-010-9261-0]</w:t>
      </w:r>
    </w:p>
    <w:p w14:paraId="759762A9"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15 </w:t>
      </w:r>
      <w:proofErr w:type="spellStart"/>
      <w:r w:rsidRPr="00B329D9">
        <w:rPr>
          <w:rFonts w:ascii="Book Antiqua" w:hAnsi="Book Antiqua"/>
          <w:b/>
          <w:bCs/>
          <w:color w:val="201F35"/>
        </w:rPr>
        <w:t>Pegoli</w:t>
      </w:r>
      <w:proofErr w:type="spellEnd"/>
      <w:r w:rsidRPr="00B329D9">
        <w:rPr>
          <w:rFonts w:ascii="Book Antiqua" w:hAnsi="Book Antiqua"/>
          <w:b/>
          <w:bCs/>
          <w:color w:val="201F35"/>
        </w:rPr>
        <w:t xml:space="preserve"> L</w:t>
      </w:r>
      <w:r w:rsidRPr="00B329D9">
        <w:rPr>
          <w:rFonts w:ascii="Book Antiqua" w:hAnsi="Book Antiqua"/>
          <w:color w:val="201F35"/>
        </w:rPr>
        <w:t xml:space="preserve">, </w:t>
      </w:r>
      <w:proofErr w:type="spellStart"/>
      <w:r w:rsidRPr="00B329D9">
        <w:rPr>
          <w:rFonts w:ascii="Book Antiqua" w:hAnsi="Book Antiqua"/>
          <w:color w:val="201F35"/>
        </w:rPr>
        <w:t>Pozzi</w:t>
      </w:r>
      <w:proofErr w:type="spellEnd"/>
      <w:r w:rsidRPr="00B329D9">
        <w:rPr>
          <w:rFonts w:ascii="Book Antiqua" w:hAnsi="Book Antiqua"/>
          <w:color w:val="201F35"/>
        </w:rPr>
        <w:t xml:space="preserve"> A, </w:t>
      </w:r>
      <w:proofErr w:type="spellStart"/>
      <w:r w:rsidRPr="00B329D9">
        <w:rPr>
          <w:rFonts w:ascii="Book Antiqua" w:hAnsi="Book Antiqua"/>
          <w:color w:val="201F35"/>
        </w:rPr>
        <w:t>Pivato</w:t>
      </w:r>
      <w:proofErr w:type="spellEnd"/>
      <w:r w:rsidRPr="00B329D9">
        <w:rPr>
          <w:rFonts w:ascii="Book Antiqua" w:hAnsi="Book Antiqua"/>
          <w:color w:val="201F35"/>
        </w:rPr>
        <w:t xml:space="preserve"> G. Endoscopic Single Approach Forearm Fasciotomy for Chronic Exertional Compartment Syndrome: Long Term Follow-up. </w:t>
      </w:r>
      <w:r w:rsidRPr="00B329D9">
        <w:rPr>
          <w:rFonts w:ascii="Book Antiqua" w:hAnsi="Book Antiqua"/>
          <w:i/>
          <w:iCs/>
          <w:color w:val="201F35"/>
        </w:rPr>
        <w:t>J Hand Surg Asian Pac Vol</w:t>
      </w:r>
      <w:r w:rsidRPr="00B329D9">
        <w:rPr>
          <w:rFonts w:ascii="Book Antiqua" w:hAnsi="Book Antiqua"/>
          <w:color w:val="201F35"/>
        </w:rPr>
        <w:t xml:space="preserve"> 2016; </w:t>
      </w:r>
      <w:r w:rsidRPr="00B329D9">
        <w:rPr>
          <w:rFonts w:ascii="Book Antiqua" w:hAnsi="Book Antiqua"/>
          <w:b/>
          <w:bCs/>
          <w:color w:val="201F35"/>
        </w:rPr>
        <w:t>21</w:t>
      </w:r>
      <w:r w:rsidRPr="00B329D9">
        <w:rPr>
          <w:rFonts w:ascii="Book Antiqua" w:hAnsi="Book Antiqua"/>
          <w:color w:val="201F35"/>
        </w:rPr>
        <w:t>: 8-12 [PMID: 27454495 DOI: 10.1142/S2424835516400026]</w:t>
      </w:r>
    </w:p>
    <w:p w14:paraId="4BB0DCD0"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16 </w:t>
      </w:r>
      <w:proofErr w:type="spellStart"/>
      <w:r w:rsidRPr="00B329D9">
        <w:rPr>
          <w:rFonts w:ascii="Book Antiqua" w:hAnsi="Book Antiqua"/>
          <w:b/>
          <w:bCs/>
          <w:color w:val="201F35"/>
        </w:rPr>
        <w:t>Ruyer</w:t>
      </w:r>
      <w:proofErr w:type="spellEnd"/>
      <w:r w:rsidRPr="00B329D9">
        <w:rPr>
          <w:rFonts w:ascii="Book Antiqua" w:hAnsi="Book Antiqua"/>
          <w:b/>
          <w:bCs/>
          <w:color w:val="201F35"/>
        </w:rPr>
        <w:t xml:space="preserve"> J</w:t>
      </w:r>
      <w:r w:rsidRPr="00B329D9">
        <w:rPr>
          <w:rFonts w:ascii="Book Antiqua" w:hAnsi="Book Antiqua"/>
          <w:color w:val="201F35"/>
        </w:rPr>
        <w:t xml:space="preserve">, </w:t>
      </w:r>
      <w:proofErr w:type="spellStart"/>
      <w:r w:rsidRPr="00B329D9">
        <w:rPr>
          <w:rFonts w:ascii="Book Antiqua" w:hAnsi="Book Antiqua"/>
          <w:color w:val="201F35"/>
        </w:rPr>
        <w:t>Rutka</w:t>
      </w:r>
      <w:proofErr w:type="spellEnd"/>
      <w:r w:rsidRPr="00B329D9">
        <w:rPr>
          <w:rFonts w:ascii="Book Antiqua" w:hAnsi="Book Antiqua"/>
          <w:color w:val="201F35"/>
        </w:rPr>
        <w:t xml:space="preserve"> V, Garret J, Rizzo C, </w:t>
      </w:r>
      <w:proofErr w:type="spellStart"/>
      <w:r w:rsidRPr="00B329D9">
        <w:rPr>
          <w:rFonts w:ascii="Book Antiqua" w:hAnsi="Book Antiqua"/>
          <w:color w:val="201F35"/>
        </w:rPr>
        <w:t>Guigal</w:t>
      </w:r>
      <w:proofErr w:type="spellEnd"/>
      <w:r w:rsidRPr="00B329D9">
        <w:rPr>
          <w:rFonts w:ascii="Book Antiqua" w:hAnsi="Book Antiqua"/>
          <w:color w:val="201F35"/>
        </w:rPr>
        <w:t xml:space="preserve"> V. Endoscopic fasciotomy for chronic exertional compartment syndrome of the forearm: Clinical results of a new technique </w:t>
      </w:r>
      <w:r w:rsidRPr="00B329D9">
        <w:rPr>
          <w:rFonts w:ascii="Book Antiqua" w:hAnsi="Book Antiqua"/>
          <w:color w:val="201F35"/>
        </w:rPr>
        <w:lastRenderedPageBreak/>
        <w:t xml:space="preserve">using an endoscopic carpal tunnel release device. </w:t>
      </w:r>
      <w:r w:rsidRPr="00B329D9">
        <w:rPr>
          <w:rFonts w:ascii="Book Antiqua" w:hAnsi="Book Antiqua"/>
          <w:i/>
          <w:iCs/>
          <w:color w:val="201F35"/>
        </w:rPr>
        <w:t xml:space="preserve">Hand Surg </w:t>
      </w:r>
      <w:proofErr w:type="spellStart"/>
      <w:r w:rsidRPr="00B329D9">
        <w:rPr>
          <w:rFonts w:ascii="Book Antiqua" w:hAnsi="Book Antiqua"/>
          <w:i/>
          <w:iCs/>
          <w:color w:val="201F35"/>
        </w:rPr>
        <w:t>Rehabil</w:t>
      </w:r>
      <w:proofErr w:type="spellEnd"/>
      <w:r w:rsidRPr="00B329D9">
        <w:rPr>
          <w:rFonts w:ascii="Book Antiqua" w:hAnsi="Book Antiqua"/>
          <w:color w:val="201F35"/>
        </w:rPr>
        <w:t xml:space="preserve"> 2020; </w:t>
      </w:r>
      <w:r w:rsidRPr="00B329D9">
        <w:rPr>
          <w:rFonts w:ascii="Book Antiqua" w:hAnsi="Book Antiqua"/>
          <w:b/>
          <w:bCs/>
          <w:color w:val="201F35"/>
        </w:rPr>
        <w:t>39</w:t>
      </w:r>
      <w:r w:rsidRPr="00B329D9">
        <w:rPr>
          <w:rFonts w:ascii="Book Antiqua" w:hAnsi="Book Antiqua"/>
          <w:color w:val="201F35"/>
        </w:rPr>
        <w:t>: 154-158 [PMID: 32126290 DOI: 10.1016/j.hansur.2020.01.011]</w:t>
      </w:r>
    </w:p>
    <w:p w14:paraId="5B13F54C"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17 </w:t>
      </w:r>
      <w:r w:rsidRPr="00B329D9">
        <w:rPr>
          <w:rFonts w:ascii="Book Antiqua" w:hAnsi="Book Antiqua"/>
          <w:b/>
          <w:bCs/>
          <w:color w:val="201F35"/>
        </w:rPr>
        <w:t>Miller EA</w:t>
      </w:r>
      <w:r w:rsidRPr="00B329D9">
        <w:rPr>
          <w:rFonts w:ascii="Book Antiqua" w:hAnsi="Book Antiqua"/>
          <w:color w:val="201F35"/>
        </w:rPr>
        <w:t xml:space="preserve">, Cobb AL, Cobb TK. Endoscopic Fascia Release for Forearm Chronic Exertional Compartment Syndrome: Case Report and Surgical Technique. </w:t>
      </w:r>
      <w:r w:rsidRPr="00B329D9">
        <w:rPr>
          <w:rFonts w:ascii="Book Antiqua" w:hAnsi="Book Antiqua"/>
          <w:i/>
          <w:iCs/>
          <w:color w:val="201F35"/>
        </w:rPr>
        <w:t>Hand (N Y)</w:t>
      </w:r>
      <w:r w:rsidRPr="00B329D9">
        <w:rPr>
          <w:rFonts w:ascii="Book Antiqua" w:hAnsi="Book Antiqua"/>
          <w:color w:val="201F35"/>
        </w:rPr>
        <w:t xml:space="preserve"> 2017; </w:t>
      </w:r>
      <w:r w:rsidRPr="00B329D9">
        <w:rPr>
          <w:rFonts w:ascii="Book Antiqua" w:hAnsi="Book Antiqua"/>
          <w:b/>
          <w:bCs/>
          <w:color w:val="201F35"/>
        </w:rPr>
        <w:t>12</w:t>
      </w:r>
      <w:r w:rsidRPr="00B329D9">
        <w:rPr>
          <w:rFonts w:ascii="Book Antiqua" w:hAnsi="Book Antiqua"/>
          <w:color w:val="201F35"/>
        </w:rPr>
        <w:t>: NP58-NP61 [PMID: 28832205 DOI: 10.1177/1558944716669799]</w:t>
      </w:r>
    </w:p>
    <w:p w14:paraId="27B6475E"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18 </w:t>
      </w:r>
      <w:r w:rsidRPr="00B329D9">
        <w:rPr>
          <w:rFonts w:ascii="Book Antiqua" w:hAnsi="Book Antiqua"/>
          <w:b/>
          <w:bCs/>
          <w:color w:val="201F35"/>
        </w:rPr>
        <w:t>Seiler JG 3rd</w:t>
      </w:r>
      <w:r w:rsidRPr="00B329D9">
        <w:rPr>
          <w:rFonts w:ascii="Book Antiqua" w:hAnsi="Book Antiqua"/>
          <w:color w:val="201F35"/>
        </w:rPr>
        <w:t xml:space="preserve">, Hammond KE, Payne SH, Ivy R. Bilateral exertional compartment syndrome of the forearm: evaluation and endoscopic treatment in an elite swimmer. </w:t>
      </w:r>
      <w:r w:rsidRPr="00B329D9">
        <w:rPr>
          <w:rFonts w:ascii="Book Antiqua" w:hAnsi="Book Antiqua"/>
          <w:i/>
          <w:iCs/>
          <w:color w:val="201F35"/>
        </w:rPr>
        <w:t xml:space="preserve">J Surg </w:t>
      </w:r>
      <w:proofErr w:type="spellStart"/>
      <w:r w:rsidRPr="00B329D9">
        <w:rPr>
          <w:rFonts w:ascii="Book Antiqua" w:hAnsi="Book Antiqua"/>
          <w:i/>
          <w:iCs/>
          <w:color w:val="201F35"/>
        </w:rPr>
        <w:t>Orthop</w:t>
      </w:r>
      <w:proofErr w:type="spellEnd"/>
      <w:r w:rsidRPr="00B329D9">
        <w:rPr>
          <w:rFonts w:ascii="Book Antiqua" w:hAnsi="Book Antiqua"/>
          <w:i/>
          <w:iCs/>
          <w:color w:val="201F35"/>
        </w:rPr>
        <w:t xml:space="preserve"> Adv</w:t>
      </w:r>
      <w:r w:rsidRPr="00B329D9">
        <w:rPr>
          <w:rFonts w:ascii="Book Antiqua" w:hAnsi="Book Antiqua"/>
          <w:color w:val="201F35"/>
        </w:rPr>
        <w:t xml:space="preserve"> 2011; </w:t>
      </w:r>
      <w:r w:rsidRPr="00B329D9">
        <w:rPr>
          <w:rFonts w:ascii="Book Antiqua" w:hAnsi="Book Antiqua"/>
          <w:b/>
          <w:bCs/>
          <w:color w:val="201F35"/>
        </w:rPr>
        <w:t>20</w:t>
      </w:r>
      <w:r w:rsidRPr="00B329D9">
        <w:rPr>
          <w:rFonts w:ascii="Book Antiqua" w:hAnsi="Book Antiqua"/>
          <w:color w:val="201F35"/>
        </w:rPr>
        <w:t>: 126-131 [PMID: 21838075]</w:t>
      </w:r>
    </w:p>
    <w:p w14:paraId="16DCA410"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19 </w:t>
      </w:r>
      <w:r w:rsidRPr="00B329D9">
        <w:rPr>
          <w:rFonts w:ascii="Book Antiqua" w:hAnsi="Book Antiqua"/>
          <w:b/>
          <w:bCs/>
          <w:color w:val="201F35"/>
        </w:rPr>
        <w:t>García Mata S</w:t>
      </w:r>
      <w:r w:rsidRPr="00B329D9">
        <w:rPr>
          <w:rFonts w:ascii="Book Antiqua" w:hAnsi="Book Antiqua"/>
          <w:color w:val="201F35"/>
        </w:rPr>
        <w:t xml:space="preserve">, Hidalgo </w:t>
      </w:r>
      <w:proofErr w:type="spellStart"/>
      <w:r w:rsidRPr="00B329D9">
        <w:rPr>
          <w:rFonts w:ascii="Book Antiqua" w:hAnsi="Book Antiqua"/>
          <w:color w:val="201F35"/>
        </w:rPr>
        <w:t>Ovejero</w:t>
      </w:r>
      <w:proofErr w:type="spellEnd"/>
      <w:r w:rsidRPr="00B329D9">
        <w:rPr>
          <w:rFonts w:ascii="Book Antiqua" w:hAnsi="Book Antiqua"/>
          <w:color w:val="201F35"/>
        </w:rPr>
        <w:t xml:space="preserve"> A, Martinez Grande M. Bilateral, chronic exertional compartment syndrome of the forearm in two brothers. </w:t>
      </w:r>
      <w:r w:rsidRPr="00B329D9">
        <w:rPr>
          <w:rFonts w:ascii="Book Antiqua" w:hAnsi="Book Antiqua"/>
          <w:i/>
          <w:iCs/>
          <w:color w:val="201F35"/>
        </w:rPr>
        <w:t>Clin J Sport Med</w:t>
      </w:r>
      <w:r w:rsidRPr="00B329D9">
        <w:rPr>
          <w:rFonts w:ascii="Book Antiqua" w:hAnsi="Book Antiqua"/>
          <w:color w:val="201F35"/>
        </w:rPr>
        <w:t xml:space="preserve"> 1999; </w:t>
      </w:r>
      <w:r w:rsidRPr="00B329D9">
        <w:rPr>
          <w:rFonts w:ascii="Book Antiqua" w:hAnsi="Book Antiqua"/>
          <w:b/>
          <w:bCs/>
          <w:color w:val="201F35"/>
        </w:rPr>
        <w:t>9</w:t>
      </w:r>
      <w:r w:rsidRPr="00B329D9">
        <w:rPr>
          <w:rFonts w:ascii="Book Antiqua" w:hAnsi="Book Antiqua"/>
          <w:color w:val="201F35"/>
        </w:rPr>
        <w:t>: 91-99 [PMID: 10442624 DOI: 10.1097/00042752-199904000-00009]</w:t>
      </w:r>
    </w:p>
    <w:p w14:paraId="298EB528"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20 </w:t>
      </w:r>
      <w:proofErr w:type="spellStart"/>
      <w:r w:rsidRPr="00B329D9">
        <w:rPr>
          <w:rFonts w:ascii="Book Antiqua" w:hAnsi="Book Antiqua"/>
          <w:b/>
          <w:bCs/>
          <w:color w:val="201F35"/>
        </w:rPr>
        <w:t>Zandi</w:t>
      </w:r>
      <w:proofErr w:type="spellEnd"/>
      <w:r w:rsidRPr="00B329D9">
        <w:rPr>
          <w:rFonts w:ascii="Book Antiqua" w:hAnsi="Book Antiqua"/>
          <w:b/>
          <w:bCs/>
          <w:color w:val="201F35"/>
        </w:rPr>
        <w:t xml:space="preserve"> H</w:t>
      </w:r>
      <w:r w:rsidRPr="00B329D9">
        <w:rPr>
          <w:rFonts w:ascii="Book Antiqua" w:hAnsi="Book Antiqua"/>
          <w:color w:val="201F35"/>
        </w:rPr>
        <w:t xml:space="preserve">, Bell S. Results of compartment decompression in chronic forearm compartment syndrome: six case presentations. </w:t>
      </w:r>
      <w:r w:rsidRPr="00B329D9">
        <w:rPr>
          <w:rFonts w:ascii="Book Antiqua" w:hAnsi="Book Antiqua"/>
          <w:i/>
          <w:iCs/>
          <w:color w:val="201F35"/>
        </w:rPr>
        <w:t>Br J Sports Med</w:t>
      </w:r>
      <w:r w:rsidRPr="00B329D9">
        <w:rPr>
          <w:rFonts w:ascii="Book Antiqua" w:hAnsi="Book Antiqua"/>
          <w:color w:val="201F35"/>
        </w:rPr>
        <w:t xml:space="preserve"> 2005; </w:t>
      </w:r>
      <w:r w:rsidRPr="00B329D9">
        <w:rPr>
          <w:rFonts w:ascii="Book Antiqua" w:hAnsi="Book Antiqua"/>
          <w:b/>
          <w:bCs/>
          <w:color w:val="201F35"/>
        </w:rPr>
        <w:t>39</w:t>
      </w:r>
      <w:r w:rsidRPr="00B329D9">
        <w:rPr>
          <w:rFonts w:ascii="Book Antiqua" w:hAnsi="Book Antiqua"/>
          <w:color w:val="201F35"/>
        </w:rPr>
        <w:t>: e35 [PMID: 16118288 DOI: 10.1136/bjsm.2004.012518]</w:t>
      </w:r>
    </w:p>
    <w:p w14:paraId="62C893F9"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21 </w:t>
      </w:r>
      <w:r w:rsidRPr="00B329D9">
        <w:rPr>
          <w:rFonts w:ascii="Book Antiqua" w:hAnsi="Book Antiqua"/>
          <w:b/>
          <w:bCs/>
          <w:color w:val="201F35"/>
        </w:rPr>
        <w:t>Barrera-Ochoa S</w:t>
      </w:r>
      <w:r w:rsidRPr="00B329D9">
        <w:rPr>
          <w:rFonts w:ascii="Book Antiqua" w:hAnsi="Book Antiqua"/>
          <w:color w:val="201F35"/>
        </w:rPr>
        <w:t xml:space="preserve">, Haddad S, Correa-Vázquez E, Font Segura J, Gil E, </w:t>
      </w:r>
      <w:proofErr w:type="spellStart"/>
      <w:r w:rsidRPr="00B329D9">
        <w:rPr>
          <w:rFonts w:ascii="Book Antiqua" w:hAnsi="Book Antiqua"/>
          <w:color w:val="201F35"/>
        </w:rPr>
        <w:t>Lluch</w:t>
      </w:r>
      <w:proofErr w:type="spellEnd"/>
      <w:r w:rsidRPr="00B329D9">
        <w:rPr>
          <w:rFonts w:ascii="Book Antiqua" w:hAnsi="Book Antiqua"/>
          <w:color w:val="201F35"/>
        </w:rPr>
        <w:t xml:space="preserve"> A, Soldado F, Mir-</w:t>
      </w:r>
      <w:proofErr w:type="spellStart"/>
      <w:r w:rsidRPr="00B329D9">
        <w:rPr>
          <w:rFonts w:ascii="Book Antiqua" w:hAnsi="Book Antiqua"/>
          <w:color w:val="201F35"/>
        </w:rPr>
        <w:t>Bullo</w:t>
      </w:r>
      <w:proofErr w:type="spellEnd"/>
      <w:r w:rsidRPr="00B329D9">
        <w:rPr>
          <w:rFonts w:ascii="Book Antiqua" w:hAnsi="Book Antiqua"/>
          <w:color w:val="201F35"/>
        </w:rPr>
        <w:t xml:space="preserve"> X. Surgical Decompression of Exertional Compartment Syndrome of the Forearm in Professional Motorcycling Racers: Comparative Long-term Results of Wide-Open Versus Mini-Open Fasciotomy. </w:t>
      </w:r>
      <w:r w:rsidRPr="00B329D9">
        <w:rPr>
          <w:rFonts w:ascii="Book Antiqua" w:hAnsi="Book Antiqua"/>
          <w:i/>
          <w:iCs/>
          <w:color w:val="201F35"/>
        </w:rPr>
        <w:t>Clin J Sport Med</w:t>
      </w:r>
      <w:r w:rsidRPr="00B329D9">
        <w:rPr>
          <w:rFonts w:ascii="Book Antiqua" w:hAnsi="Book Antiqua"/>
          <w:color w:val="201F35"/>
        </w:rPr>
        <w:t xml:space="preserve"> 2016; </w:t>
      </w:r>
      <w:r w:rsidRPr="00B329D9">
        <w:rPr>
          <w:rFonts w:ascii="Book Antiqua" w:hAnsi="Book Antiqua"/>
          <w:b/>
          <w:bCs/>
          <w:color w:val="201F35"/>
        </w:rPr>
        <w:t>26</w:t>
      </w:r>
      <w:r w:rsidRPr="00B329D9">
        <w:rPr>
          <w:rFonts w:ascii="Book Antiqua" w:hAnsi="Book Antiqua"/>
          <w:color w:val="201F35"/>
        </w:rPr>
        <w:t>: 108-114 [PMID: 26196496 DOI: 10.1097/JSM.0000000000000216]</w:t>
      </w:r>
    </w:p>
    <w:p w14:paraId="43E1AC7F"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22 </w:t>
      </w:r>
      <w:proofErr w:type="spellStart"/>
      <w:r w:rsidRPr="00B329D9">
        <w:rPr>
          <w:rFonts w:ascii="Book Antiqua" w:hAnsi="Book Antiqua"/>
          <w:b/>
          <w:bCs/>
          <w:color w:val="201F35"/>
        </w:rPr>
        <w:t>Croutzet</w:t>
      </w:r>
      <w:proofErr w:type="spellEnd"/>
      <w:r w:rsidRPr="00B329D9">
        <w:rPr>
          <w:rFonts w:ascii="Book Antiqua" w:hAnsi="Book Antiqua"/>
          <w:b/>
          <w:bCs/>
          <w:color w:val="201F35"/>
        </w:rPr>
        <w:t xml:space="preserve"> P</w:t>
      </w:r>
      <w:r w:rsidRPr="00B329D9">
        <w:rPr>
          <w:rFonts w:ascii="Book Antiqua" w:hAnsi="Book Antiqua"/>
          <w:color w:val="201F35"/>
        </w:rPr>
        <w:t xml:space="preserve">, </w:t>
      </w:r>
      <w:proofErr w:type="spellStart"/>
      <w:r w:rsidRPr="00B329D9">
        <w:rPr>
          <w:rFonts w:ascii="Book Antiqua" w:hAnsi="Book Antiqua"/>
          <w:color w:val="201F35"/>
        </w:rPr>
        <w:t>Chassat</w:t>
      </w:r>
      <w:proofErr w:type="spellEnd"/>
      <w:r w:rsidRPr="00B329D9">
        <w:rPr>
          <w:rFonts w:ascii="Book Antiqua" w:hAnsi="Book Antiqua"/>
          <w:color w:val="201F35"/>
        </w:rPr>
        <w:t xml:space="preserve"> R, </w:t>
      </w:r>
      <w:proofErr w:type="spellStart"/>
      <w:r w:rsidRPr="00B329D9">
        <w:rPr>
          <w:rFonts w:ascii="Book Antiqua" w:hAnsi="Book Antiqua"/>
          <w:color w:val="201F35"/>
        </w:rPr>
        <w:t>Masmejean</w:t>
      </w:r>
      <w:proofErr w:type="spellEnd"/>
      <w:r w:rsidRPr="00B329D9">
        <w:rPr>
          <w:rFonts w:ascii="Book Antiqua" w:hAnsi="Book Antiqua"/>
          <w:color w:val="201F35"/>
        </w:rPr>
        <w:t xml:space="preserve"> EH. Mini-invasive surgery for chronic exertional compartment syndrome of the forearm: a new technique. </w:t>
      </w:r>
      <w:r w:rsidRPr="00B329D9">
        <w:rPr>
          <w:rFonts w:ascii="Book Antiqua" w:hAnsi="Book Antiqua"/>
          <w:i/>
          <w:iCs/>
          <w:color w:val="201F35"/>
        </w:rPr>
        <w:t xml:space="preserve">Tech Hand Up </w:t>
      </w:r>
      <w:proofErr w:type="spellStart"/>
      <w:r w:rsidRPr="00B329D9">
        <w:rPr>
          <w:rFonts w:ascii="Book Antiqua" w:hAnsi="Book Antiqua"/>
          <w:i/>
          <w:iCs/>
          <w:color w:val="201F35"/>
        </w:rPr>
        <w:t>Extrem</w:t>
      </w:r>
      <w:proofErr w:type="spellEnd"/>
      <w:r w:rsidRPr="00B329D9">
        <w:rPr>
          <w:rFonts w:ascii="Book Antiqua" w:hAnsi="Book Antiqua"/>
          <w:i/>
          <w:iCs/>
          <w:color w:val="201F35"/>
        </w:rPr>
        <w:t xml:space="preserve"> Surg</w:t>
      </w:r>
      <w:r w:rsidRPr="00B329D9">
        <w:rPr>
          <w:rFonts w:ascii="Book Antiqua" w:hAnsi="Book Antiqua"/>
          <w:color w:val="201F35"/>
        </w:rPr>
        <w:t xml:space="preserve"> 2009; </w:t>
      </w:r>
      <w:r w:rsidRPr="00B329D9">
        <w:rPr>
          <w:rFonts w:ascii="Book Antiqua" w:hAnsi="Book Antiqua"/>
          <w:b/>
          <w:bCs/>
          <w:color w:val="201F35"/>
        </w:rPr>
        <w:t>13</w:t>
      </w:r>
      <w:r w:rsidRPr="00B329D9">
        <w:rPr>
          <w:rFonts w:ascii="Book Antiqua" w:hAnsi="Book Antiqua"/>
          <w:color w:val="201F35"/>
        </w:rPr>
        <w:t>: 137-140 [PMID: 19730042 DOI: 10.1097/BTH.0b013e3181aa9193]</w:t>
      </w:r>
    </w:p>
    <w:p w14:paraId="43A35356" w14:textId="77777777" w:rsidR="000843BC" w:rsidRPr="00B329D9" w:rsidRDefault="000843BC" w:rsidP="00B329D9">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B329D9">
        <w:rPr>
          <w:rFonts w:ascii="Book Antiqua" w:hAnsi="Book Antiqua"/>
          <w:color w:val="201F35"/>
        </w:rPr>
        <w:t xml:space="preserve">23 </w:t>
      </w:r>
      <w:r w:rsidRPr="00B329D9">
        <w:rPr>
          <w:rFonts w:ascii="Book Antiqua" w:hAnsi="Book Antiqua"/>
          <w:b/>
          <w:bCs/>
          <w:color w:val="201F35"/>
        </w:rPr>
        <w:t>Harrison JW</w:t>
      </w:r>
      <w:r w:rsidRPr="00B329D9">
        <w:rPr>
          <w:rFonts w:ascii="Book Antiqua" w:hAnsi="Book Antiqua"/>
          <w:color w:val="201F35"/>
        </w:rPr>
        <w:t xml:space="preserve">, Thomas P, Aster A, Wilkes G, Hayton MJ. Chronic exertional compartment syndrome of the forearm in elite rowers: a technique for mini-open fasciotomy and a report of six cases. </w:t>
      </w:r>
      <w:r w:rsidRPr="00B329D9">
        <w:rPr>
          <w:rFonts w:ascii="Book Antiqua" w:hAnsi="Book Antiqua"/>
          <w:i/>
          <w:iCs/>
          <w:color w:val="201F35"/>
        </w:rPr>
        <w:t>Hand (N Y)</w:t>
      </w:r>
      <w:r w:rsidRPr="00B329D9">
        <w:rPr>
          <w:rFonts w:ascii="Book Antiqua" w:hAnsi="Book Antiqua"/>
          <w:color w:val="201F35"/>
        </w:rPr>
        <w:t xml:space="preserve"> 2013; </w:t>
      </w:r>
      <w:r w:rsidRPr="00B329D9">
        <w:rPr>
          <w:rFonts w:ascii="Book Antiqua" w:hAnsi="Book Antiqua"/>
          <w:b/>
          <w:bCs/>
          <w:color w:val="201F35"/>
        </w:rPr>
        <w:t>8</w:t>
      </w:r>
      <w:r w:rsidRPr="00B329D9">
        <w:rPr>
          <w:rFonts w:ascii="Book Antiqua" w:hAnsi="Book Antiqua"/>
          <w:color w:val="201F35"/>
        </w:rPr>
        <w:t>: 450-453 [PMID: 24426965 DOI: 10.1007/s11552-013-9543-4]</w:t>
      </w:r>
    </w:p>
    <w:bookmarkEnd w:id="2"/>
    <w:bookmarkEnd w:id="3"/>
    <w:p w14:paraId="3248E40B" w14:textId="77777777" w:rsidR="00A77B3E" w:rsidRPr="00B329D9" w:rsidRDefault="00A77B3E" w:rsidP="00B329D9">
      <w:pPr>
        <w:adjustRightInd w:val="0"/>
        <w:snapToGrid w:val="0"/>
        <w:spacing w:line="360" w:lineRule="auto"/>
        <w:jc w:val="both"/>
        <w:rPr>
          <w:rFonts w:ascii="Book Antiqua" w:hAnsi="Book Antiqua"/>
        </w:rPr>
        <w:sectPr w:rsidR="00A77B3E" w:rsidRPr="00B329D9">
          <w:pgSz w:w="12240" w:h="15840"/>
          <w:pgMar w:top="1440" w:right="1440" w:bottom="1440" w:left="1440" w:header="720" w:footer="720" w:gutter="0"/>
          <w:cols w:space="720"/>
          <w:docGrid w:linePitch="360"/>
        </w:sectPr>
      </w:pPr>
    </w:p>
    <w:p w14:paraId="3161412E"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lastRenderedPageBreak/>
        <w:t>Footnotes</w:t>
      </w:r>
    </w:p>
    <w:p w14:paraId="7B0E4A9D"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Conflict-of-interest statement: </w:t>
      </w:r>
      <w:r w:rsidRPr="00B329D9">
        <w:rPr>
          <w:rFonts w:ascii="Book Antiqua" w:eastAsia="Book Antiqua" w:hAnsi="Book Antiqua" w:cs="Book Antiqua"/>
          <w:color w:val="000000"/>
        </w:rPr>
        <w:t>All the authors declare that they have no competing interests.</w:t>
      </w:r>
      <w:r w:rsidRPr="00B329D9">
        <w:rPr>
          <w:rFonts w:ascii="Book Antiqua" w:eastAsia="Book Antiqua" w:hAnsi="Book Antiqua" w:cs="Book Antiqua"/>
          <w:b/>
          <w:bCs/>
          <w:color w:val="000000"/>
        </w:rPr>
        <w:t xml:space="preserve"> </w:t>
      </w:r>
    </w:p>
    <w:p w14:paraId="6E515F1F" w14:textId="77777777" w:rsidR="00A77B3E" w:rsidRPr="00B329D9" w:rsidRDefault="00A77B3E" w:rsidP="00B329D9">
      <w:pPr>
        <w:adjustRightInd w:val="0"/>
        <w:snapToGrid w:val="0"/>
        <w:spacing w:line="360" w:lineRule="auto"/>
        <w:jc w:val="both"/>
        <w:rPr>
          <w:rFonts w:ascii="Book Antiqua" w:hAnsi="Book Antiqua"/>
        </w:rPr>
      </w:pPr>
    </w:p>
    <w:p w14:paraId="42BB0C4B"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PRISMA 2009 Checklist statement: </w:t>
      </w:r>
      <w:r w:rsidRPr="00B329D9">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1CD35F9B" w14:textId="77777777" w:rsidR="00A77B3E" w:rsidRPr="00B329D9" w:rsidRDefault="00A77B3E" w:rsidP="00B329D9">
      <w:pPr>
        <w:adjustRightInd w:val="0"/>
        <w:snapToGrid w:val="0"/>
        <w:spacing w:line="360" w:lineRule="auto"/>
        <w:jc w:val="both"/>
        <w:rPr>
          <w:rFonts w:ascii="Book Antiqua" w:hAnsi="Book Antiqua"/>
        </w:rPr>
      </w:pPr>
    </w:p>
    <w:p w14:paraId="74078649"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bCs/>
          <w:color w:val="000000"/>
        </w:rPr>
        <w:t xml:space="preserve">Open-Access: </w:t>
      </w:r>
      <w:r w:rsidRPr="00B329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29D9">
        <w:rPr>
          <w:rFonts w:ascii="Book Antiqua" w:eastAsia="Book Antiqua" w:hAnsi="Book Antiqua" w:cs="Book Antiqua"/>
          <w:color w:val="000000"/>
        </w:rPr>
        <w:t>NonCommercial</w:t>
      </w:r>
      <w:proofErr w:type="spellEnd"/>
      <w:r w:rsidRPr="00B329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B79B93" w14:textId="77777777" w:rsidR="00A77B3E" w:rsidRPr="00B329D9" w:rsidRDefault="00A77B3E" w:rsidP="00B329D9">
      <w:pPr>
        <w:adjustRightInd w:val="0"/>
        <w:snapToGrid w:val="0"/>
        <w:spacing w:line="360" w:lineRule="auto"/>
        <w:jc w:val="both"/>
        <w:rPr>
          <w:rFonts w:ascii="Book Antiqua" w:hAnsi="Book Antiqua"/>
        </w:rPr>
      </w:pPr>
    </w:p>
    <w:p w14:paraId="21D83663" w14:textId="7D226FF5"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 xml:space="preserve">Manuscript source: </w:t>
      </w:r>
      <w:r w:rsidRPr="00B329D9">
        <w:rPr>
          <w:rFonts w:ascii="Book Antiqua" w:eastAsia="Book Antiqua" w:hAnsi="Book Antiqua" w:cs="Book Antiqua"/>
          <w:color w:val="000000"/>
        </w:rPr>
        <w:t>Unsolicite</w:t>
      </w:r>
      <w:r w:rsidR="000843BC" w:rsidRPr="00B329D9">
        <w:rPr>
          <w:rFonts w:ascii="Book Antiqua" w:eastAsia="Book Antiqua" w:hAnsi="Book Antiqua" w:cs="Book Antiqua"/>
          <w:color w:val="000000"/>
        </w:rPr>
        <w:t>d m</w:t>
      </w:r>
      <w:r w:rsidRPr="00B329D9">
        <w:rPr>
          <w:rFonts w:ascii="Book Antiqua" w:eastAsia="Book Antiqua" w:hAnsi="Book Antiqua" w:cs="Book Antiqua"/>
          <w:color w:val="000000"/>
        </w:rPr>
        <w:t>anuscript</w:t>
      </w:r>
    </w:p>
    <w:p w14:paraId="7EAB4196" w14:textId="77777777" w:rsidR="00A77B3E" w:rsidRPr="00B329D9" w:rsidRDefault="00A77B3E" w:rsidP="00B329D9">
      <w:pPr>
        <w:adjustRightInd w:val="0"/>
        <w:snapToGrid w:val="0"/>
        <w:spacing w:line="360" w:lineRule="auto"/>
        <w:jc w:val="both"/>
        <w:rPr>
          <w:rFonts w:ascii="Book Antiqua" w:hAnsi="Book Antiqua"/>
        </w:rPr>
      </w:pPr>
    </w:p>
    <w:p w14:paraId="0B001E97"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 xml:space="preserve">Peer-review started: </w:t>
      </w:r>
      <w:r w:rsidRPr="00B329D9">
        <w:rPr>
          <w:rFonts w:ascii="Book Antiqua" w:eastAsia="Book Antiqua" w:hAnsi="Book Antiqua" w:cs="Book Antiqua"/>
          <w:color w:val="000000"/>
        </w:rPr>
        <w:t>January 19, 2021</w:t>
      </w:r>
    </w:p>
    <w:p w14:paraId="1EA24D84"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 xml:space="preserve">First decision: </w:t>
      </w:r>
      <w:r w:rsidRPr="00B329D9">
        <w:rPr>
          <w:rFonts w:ascii="Book Antiqua" w:eastAsia="Book Antiqua" w:hAnsi="Book Antiqua" w:cs="Book Antiqua"/>
          <w:color w:val="000000"/>
        </w:rPr>
        <w:t>February 15, 2021</w:t>
      </w:r>
    </w:p>
    <w:p w14:paraId="53847F71"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 xml:space="preserve">Article in press: </w:t>
      </w:r>
    </w:p>
    <w:p w14:paraId="1D19FEA0" w14:textId="77777777" w:rsidR="00A77B3E" w:rsidRPr="00B329D9" w:rsidRDefault="00A77B3E" w:rsidP="00B329D9">
      <w:pPr>
        <w:adjustRightInd w:val="0"/>
        <w:snapToGrid w:val="0"/>
        <w:spacing w:line="360" w:lineRule="auto"/>
        <w:jc w:val="both"/>
        <w:rPr>
          <w:rFonts w:ascii="Book Antiqua" w:hAnsi="Book Antiqua"/>
        </w:rPr>
      </w:pPr>
    </w:p>
    <w:p w14:paraId="0949FB2C"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 xml:space="preserve">Specialty type: </w:t>
      </w:r>
      <w:r w:rsidRPr="00B329D9">
        <w:rPr>
          <w:rFonts w:ascii="Book Antiqua" w:eastAsia="Book Antiqua" w:hAnsi="Book Antiqua" w:cs="Book Antiqua"/>
          <w:color w:val="000000"/>
        </w:rPr>
        <w:t>Orthopedics</w:t>
      </w:r>
    </w:p>
    <w:p w14:paraId="76357F8D"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 xml:space="preserve">Country/Territory of origin: </w:t>
      </w:r>
      <w:r w:rsidRPr="00B329D9">
        <w:rPr>
          <w:rFonts w:ascii="Book Antiqua" w:eastAsia="Book Antiqua" w:hAnsi="Book Antiqua" w:cs="Book Antiqua"/>
          <w:color w:val="000000"/>
        </w:rPr>
        <w:t>Canada</w:t>
      </w:r>
    </w:p>
    <w:p w14:paraId="7D6B49BE"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t>Peer-review report’s scientific quality classification</w:t>
      </w:r>
    </w:p>
    <w:p w14:paraId="17F8F23D"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Grade A (Excellent): A</w:t>
      </w:r>
    </w:p>
    <w:p w14:paraId="4471DD82"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Grade B (Very good): 0</w:t>
      </w:r>
    </w:p>
    <w:p w14:paraId="5F4BABC7"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Grade C (Good): C</w:t>
      </w:r>
    </w:p>
    <w:p w14:paraId="7509CC2E"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Grade D (Fair): 0</w:t>
      </w:r>
    </w:p>
    <w:p w14:paraId="13EAE737"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color w:val="000000"/>
        </w:rPr>
        <w:t>Grade E (Poor): 0</w:t>
      </w:r>
    </w:p>
    <w:p w14:paraId="35B4EF0A" w14:textId="77777777" w:rsidR="00A77B3E" w:rsidRPr="00B329D9" w:rsidRDefault="00A77B3E" w:rsidP="00B329D9">
      <w:pPr>
        <w:adjustRightInd w:val="0"/>
        <w:snapToGrid w:val="0"/>
        <w:spacing w:line="360" w:lineRule="auto"/>
        <w:jc w:val="both"/>
        <w:rPr>
          <w:rFonts w:ascii="Book Antiqua" w:hAnsi="Book Antiqua"/>
        </w:rPr>
      </w:pPr>
    </w:p>
    <w:p w14:paraId="7943261A" w14:textId="77777777" w:rsidR="00A77B3E" w:rsidRPr="00B329D9" w:rsidRDefault="002B3072" w:rsidP="00B329D9">
      <w:pPr>
        <w:adjustRightInd w:val="0"/>
        <w:snapToGrid w:val="0"/>
        <w:spacing w:line="360" w:lineRule="auto"/>
        <w:jc w:val="both"/>
        <w:rPr>
          <w:rFonts w:ascii="Book Antiqua" w:hAnsi="Book Antiqua"/>
        </w:rPr>
        <w:sectPr w:rsidR="00A77B3E" w:rsidRPr="00B329D9">
          <w:pgSz w:w="12240" w:h="15840"/>
          <w:pgMar w:top="1440" w:right="1440" w:bottom="1440" w:left="1440" w:header="720" w:footer="720" w:gutter="0"/>
          <w:cols w:space="720"/>
          <w:docGrid w:linePitch="360"/>
        </w:sectPr>
      </w:pPr>
      <w:r w:rsidRPr="00B329D9">
        <w:rPr>
          <w:rFonts w:ascii="Book Antiqua" w:eastAsia="Book Antiqua" w:hAnsi="Book Antiqua" w:cs="Book Antiqua"/>
          <w:b/>
          <w:color w:val="000000"/>
        </w:rPr>
        <w:t xml:space="preserve">P-Reviewer: </w:t>
      </w:r>
      <w:r w:rsidRPr="00B329D9">
        <w:rPr>
          <w:rFonts w:ascii="Book Antiqua" w:eastAsia="Book Antiqua" w:hAnsi="Book Antiqua" w:cs="Book Antiqua"/>
          <w:color w:val="000000"/>
        </w:rPr>
        <w:t>Mayr J</w:t>
      </w:r>
      <w:r w:rsidRPr="00B329D9">
        <w:rPr>
          <w:rFonts w:ascii="Book Antiqua" w:eastAsia="Book Antiqua" w:hAnsi="Book Antiqua" w:cs="Book Antiqua"/>
          <w:b/>
          <w:color w:val="000000"/>
        </w:rPr>
        <w:t xml:space="preserve"> S-Editor: </w:t>
      </w:r>
      <w:r w:rsidRPr="00B329D9">
        <w:rPr>
          <w:rFonts w:ascii="Book Antiqua" w:eastAsia="Book Antiqua" w:hAnsi="Book Antiqua" w:cs="Book Antiqua"/>
          <w:color w:val="000000"/>
        </w:rPr>
        <w:t>Liu M</w:t>
      </w:r>
      <w:r w:rsidRPr="00B329D9">
        <w:rPr>
          <w:rFonts w:ascii="Book Antiqua" w:eastAsia="Book Antiqua" w:hAnsi="Book Antiqua" w:cs="Book Antiqua"/>
          <w:b/>
          <w:color w:val="000000"/>
        </w:rPr>
        <w:t xml:space="preserve"> L-Editor:  P-Editor: </w:t>
      </w:r>
    </w:p>
    <w:p w14:paraId="20199AA0" w14:textId="77777777" w:rsidR="00A77B3E" w:rsidRPr="00B329D9" w:rsidRDefault="002B3072" w:rsidP="00B329D9">
      <w:pPr>
        <w:adjustRightInd w:val="0"/>
        <w:snapToGrid w:val="0"/>
        <w:spacing w:line="360" w:lineRule="auto"/>
        <w:jc w:val="both"/>
        <w:rPr>
          <w:rFonts w:ascii="Book Antiqua" w:hAnsi="Book Antiqua"/>
        </w:rPr>
      </w:pPr>
      <w:r w:rsidRPr="00B329D9">
        <w:rPr>
          <w:rFonts w:ascii="Book Antiqua" w:eastAsia="Book Antiqua" w:hAnsi="Book Antiqua" w:cs="Book Antiqua"/>
          <w:b/>
          <w:color w:val="000000"/>
        </w:rPr>
        <w:lastRenderedPageBreak/>
        <w:t>Figure Legends</w:t>
      </w:r>
    </w:p>
    <w:p w14:paraId="7F09F8D2" w14:textId="77777777" w:rsidR="000843BC" w:rsidRPr="00B329D9" w:rsidRDefault="000843BC" w:rsidP="00B329D9">
      <w:pPr>
        <w:adjustRightInd w:val="0"/>
        <w:snapToGrid w:val="0"/>
        <w:spacing w:line="360" w:lineRule="auto"/>
        <w:jc w:val="both"/>
        <w:rPr>
          <w:rFonts w:ascii="Book Antiqua" w:hAnsi="Book Antiqua"/>
        </w:rPr>
      </w:pPr>
      <w:r w:rsidRPr="00B329D9">
        <w:rPr>
          <w:rFonts w:ascii="Book Antiqua" w:hAnsi="Book Antiqua"/>
          <w:noProof/>
        </w:rPr>
        <w:drawing>
          <wp:inline distT="0" distB="0" distL="0" distR="0" wp14:anchorId="38CDE974" wp14:editId="4E81CACD">
            <wp:extent cx="3422650" cy="4363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38849" cy="4383783"/>
                    </a:xfrm>
                    <a:prstGeom prst="rect">
                      <a:avLst/>
                    </a:prstGeom>
                    <a:noFill/>
                  </pic:spPr>
                </pic:pic>
              </a:graphicData>
            </a:graphic>
          </wp:inline>
        </w:drawing>
      </w:r>
    </w:p>
    <w:p w14:paraId="3C9B816F" w14:textId="77777777" w:rsidR="000843BC" w:rsidRPr="00B329D9" w:rsidRDefault="000843BC" w:rsidP="00B329D9">
      <w:pPr>
        <w:adjustRightInd w:val="0"/>
        <w:snapToGrid w:val="0"/>
        <w:spacing w:line="360" w:lineRule="auto"/>
        <w:jc w:val="both"/>
        <w:rPr>
          <w:rFonts w:ascii="Book Antiqua" w:eastAsia="Book Antiqua" w:hAnsi="Book Antiqua" w:cs="Book Antiqua"/>
          <w:b/>
          <w:bCs/>
          <w:color w:val="000000"/>
        </w:rPr>
      </w:pPr>
      <w:r w:rsidRPr="00B329D9">
        <w:rPr>
          <w:rFonts w:ascii="Book Antiqua" w:eastAsia="Book Antiqua" w:hAnsi="Book Antiqua" w:cs="Book Antiqua"/>
          <w:b/>
          <w:bCs/>
          <w:color w:val="000000"/>
        </w:rPr>
        <w:t>Figure 1 Flow diagram of the systematic search strategy.</w:t>
      </w:r>
    </w:p>
    <w:p w14:paraId="34C148FB" w14:textId="77777777" w:rsidR="000843BC" w:rsidRPr="00B329D9" w:rsidRDefault="000843BC" w:rsidP="00B329D9">
      <w:pPr>
        <w:adjustRightInd w:val="0"/>
        <w:snapToGrid w:val="0"/>
        <w:spacing w:line="360" w:lineRule="auto"/>
        <w:jc w:val="both"/>
        <w:rPr>
          <w:rFonts w:ascii="Book Antiqua" w:eastAsia="Book Antiqua" w:hAnsi="Book Antiqua" w:cs="Book Antiqua"/>
          <w:b/>
          <w:bCs/>
          <w:color w:val="000000"/>
        </w:rPr>
        <w:sectPr w:rsidR="000843BC" w:rsidRPr="00B329D9">
          <w:pgSz w:w="12240" w:h="15840"/>
          <w:pgMar w:top="1440" w:right="1440" w:bottom="1440" w:left="1440" w:header="720" w:footer="720" w:gutter="0"/>
          <w:cols w:space="720"/>
          <w:docGrid w:linePitch="360"/>
        </w:sectPr>
      </w:pPr>
    </w:p>
    <w:p w14:paraId="4D643877" w14:textId="77777777" w:rsidR="000843BC" w:rsidRPr="00B329D9" w:rsidRDefault="000843BC" w:rsidP="00B329D9">
      <w:pPr>
        <w:adjustRightInd w:val="0"/>
        <w:snapToGrid w:val="0"/>
        <w:spacing w:line="360" w:lineRule="auto"/>
        <w:jc w:val="both"/>
        <w:rPr>
          <w:rFonts w:ascii="Book Antiqua" w:eastAsia="Book Antiqua" w:hAnsi="Book Antiqua" w:cs="Book Antiqua"/>
          <w:b/>
          <w:bCs/>
          <w:color w:val="000000"/>
        </w:rPr>
      </w:pPr>
      <w:r w:rsidRPr="00B329D9">
        <w:rPr>
          <w:rFonts w:ascii="Book Antiqua" w:eastAsia="Calibri" w:hAnsi="Book Antiqua"/>
          <w:b/>
          <w:bCs/>
          <w:lang w:bidi="ar-KW"/>
        </w:rPr>
        <w:lastRenderedPageBreak/>
        <w:t>Table 1 Background and clinical information of patients with chronic exertional compartment syndrome of the forearm who underwent endoscopic fasciotomy</w:t>
      </w:r>
    </w:p>
    <w:tbl>
      <w:tblPr>
        <w:tblW w:w="13433" w:type="dxa"/>
        <w:jc w:val="center"/>
        <w:tblBorders>
          <w:top w:val="single" w:sz="4" w:space="0" w:color="auto"/>
          <w:bottom w:val="single" w:sz="4" w:space="0" w:color="auto"/>
        </w:tblBorders>
        <w:tblLayout w:type="fixed"/>
        <w:tblLook w:val="04A0" w:firstRow="1" w:lastRow="0" w:firstColumn="1" w:lastColumn="0" w:noHBand="0" w:noVBand="1"/>
      </w:tblPr>
      <w:tblGrid>
        <w:gridCol w:w="1135"/>
        <w:gridCol w:w="1100"/>
        <w:gridCol w:w="850"/>
        <w:gridCol w:w="992"/>
        <w:gridCol w:w="1985"/>
        <w:gridCol w:w="1984"/>
        <w:gridCol w:w="1985"/>
        <w:gridCol w:w="1701"/>
        <w:gridCol w:w="1701"/>
      </w:tblGrid>
      <w:tr w:rsidR="000843BC" w:rsidRPr="00B329D9" w14:paraId="18845587" w14:textId="77777777" w:rsidTr="00B35D20">
        <w:trPr>
          <w:jc w:val="center"/>
        </w:trPr>
        <w:tc>
          <w:tcPr>
            <w:tcW w:w="1135" w:type="dxa"/>
            <w:tcBorders>
              <w:top w:val="single" w:sz="4" w:space="0" w:color="auto"/>
              <w:bottom w:val="single" w:sz="4" w:space="0" w:color="auto"/>
            </w:tcBorders>
          </w:tcPr>
          <w:p w14:paraId="18D71DB3" w14:textId="1B48EAE0" w:rsidR="000843BC" w:rsidRPr="00B329D9" w:rsidRDefault="00F74AB7" w:rsidP="00B329D9">
            <w:pPr>
              <w:adjustRightInd w:val="0"/>
              <w:snapToGrid w:val="0"/>
              <w:spacing w:line="360" w:lineRule="auto"/>
              <w:jc w:val="both"/>
              <w:rPr>
                <w:rFonts w:ascii="Book Antiqua" w:eastAsia="Calibri" w:hAnsi="Book Antiqua"/>
                <w:b/>
                <w:bCs/>
                <w:lang w:bidi="ar-KW"/>
              </w:rPr>
            </w:pPr>
            <w:r>
              <w:rPr>
                <w:rFonts w:ascii="Book Antiqua" w:eastAsia="Calibri" w:hAnsi="Book Antiqua"/>
                <w:b/>
                <w:bCs/>
                <w:lang w:bidi="ar-KW"/>
              </w:rPr>
              <w:t>Ref.</w:t>
            </w:r>
          </w:p>
        </w:tc>
        <w:tc>
          <w:tcPr>
            <w:tcW w:w="1100" w:type="dxa"/>
            <w:tcBorders>
              <w:top w:val="single" w:sz="4" w:space="0" w:color="auto"/>
              <w:bottom w:val="single" w:sz="4" w:space="0" w:color="auto"/>
            </w:tcBorders>
          </w:tcPr>
          <w:p w14:paraId="0F9B2828"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Sample size</w:t>
            </w:r>
          </w:p>
        </w:tc>
        <w:tc>
          <w:tcPr>
            <w:tcW w:w="850" w:type="dxa"/>
            <w:tcBorders>
              <w:top w:val="single" w:sz="4" w:space="0" w:color="auto"/>
              <w:bottom w:val="single" w:sz="4" w:space="0" w:color="auto"/>
            </w:tcBorders>
          </w:tcPr>
          <w:p w14:paraId="4E604EFD"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Gender</w:t>
            </w:r>
          </w:p>
        </w:tc>
        <w:tc>
          <w:tcPr>
            <w:tcW w:w="992" w:type="dxa"/>
            <w:tcBorders>
              <w:top w:val="single" w:sz="4" w:space="0" w:color="auto"/>
              <w:bottom w:val="single" w:sz="4" w:space="0" w:color="auto"/>
            </w:tcBorders>
          </w:tcPr>
          <w:p w14:paraId="5FC30C2F"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Age (mean and range)</w:t>
            </w:r>
          </w:p>
        </w:tc>
        <w:tc>
          <w:tcPr>
            <w:tcW w:w="1985" w:type="dxa"/>
            <w:tcBorders>
              <w:top w:val="single" w:sz="4" w:space="0" w:color="auto"/>
              <w:bottom w:val="single" w:sz="4" w:space="0" w:color="auto"/>
            </w:tcBorders>
          </w:tcPr>
          <w:p w14:paraId="58B763D4"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Sport/risk factor</w:t>
            </w:r>
          </w:p>
        </w:tc>
        <w:tc>
          <w:tcPr>
            <w:tcW w:w="1984" w:type="dxa"/>
            <w:tcBorders>
              <w:top w:val="single" w:sz="4" w:space="0" w:color="auto"/>
              <w:bottom w:val="single" w:sz="4" w:space="0" w:color="auto"/>
            </w:tcBorders>
          </w:tcPr>
          <w:p w14:paraId="0E7DA66B"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Diagnostic investigations</w:t>
            </w:r>
          </w:p>
        </w:tc>
        <w:tc>
          <w:tcPr>
            <w:tcW w:w="1985" w:type="dxa"/>
            <w:tcBorders>
              <w:top w:val="single" w:sz="4" w:space="0" w:color="auto"/>
              <w:bottom w:val="single" w:sz="4" w:space="0" w:color="auto"/>
            </w:tcBorders>
          </w:tcPr>
          <w:p w14:paraId="056607A7"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Preoperative VAS score</w:t>
            </w:r>
          </w:p>
          <w:p w14:paraId="36404EA9"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(mean and range)</w:t>
            </w:r>
          </w:p>
        </w:tc>
        <w:tc>
          <w:tcPr>
            <w:tcW w:w="1701" w:type="dxa"/>
            <w:tcBorders>
              <w:top w:val="single" w:sz="4" w:space="0" w:color="auto"/>
              <w:bottom w:val="single" w:sz="4" w:space="0" w:color="auto"/>
            </w:tcBorders>
          </w:tcPr>
          <w:p w14:paraId="65E0B009" w14:textId="5875F5AF"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Preoperative DASH score</w:t>
            </w:r>
            <w:r w:rsidR="00F74AB7">
              <w:rPr>
                <w:rFonts w:ascii="Book Antiqua" w:hAnsi="Book Antiqua" w:hint="eastAsia"/>
                <w:b/>
                <w:bCs/>
                <w:lang w:eastAsia="zh-CN" w:bidi="ar-KW"/>
              </w:rPr>
              <w:t xml:space="preserve"> </w:t>
            </w:r>
            <w:r w:rsidRPr="00B329D9">
              <w:rPr>
                <w:rFonts w:ascii="Book Antiqua" w:eastAsia="Calibri" w:hAnsi="Book Antiqua"/>
                <w:b/>
                <w:bCs/>
                <w:lang w:bidi="ar-KW"/>
              </w:rPr>
              <w:t xml:space="preserve">(mean </w:t>
            </w:r>
            <w:r w:rsidRPr="00B329D9">
              <w:rPr>
                <w:rFonts w:ascii="Book Antiqua" w:hAnsi="Book Antiqua"/>
                <w:b/>
                <w:bCs/>
                <w:lang w:eastAsia="zh-CN" w:bidi="ar-KW"/>
              </w:rPr>
              <w:t>and</w:t>
            </w:r>
            <w:r w:rsidRPr="00B329D9">
              <w:rPr>
                <w:rFonts w:ascii="Book Antiqua" w:eastAsia="Calibri" w:hAnsi="Book Antiqua"/>
                <w:b/>
                <w:bCs/>
                <w:lang w:bidi="ar-KW"/>
              </w:rPr>
              <w:t xml:space="preserve"> range)</w:t>
            </w:r>
          </w:p>
        </w:tc>
        <w:tc>
          <w:tcPr>
            <w:tcW w:w="1701" w:type="dxa"/>
            <w:tcBorders>
              <w:top w:val="single" w:sz="4" w:space="0" w:color="auto"/>
              <w:bottom w:val="single" w:sz="4" w:space="0" w:color="auto"/>
            </w:tcBorders>
          </w:tcPr>
          <w:p w14:paraId="3F897CC5" w14:textId="327D2632"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Preoperative quick DASH score</w:t>
            </w:r>
            <w:r w:rsidR="00F74AB7">
              <w:rPr>
                <w:rFonts w:ascii="Book Antiqua" w:hAnsi="Book Antiqua" w:hint="eastAsia"/>
                <w:b/>
                <w:bCs/>
                <w:lang w:eastAsia="zh-CN" w:bidi="ar-KW"/>
              </w:rPr>
              <w:t xml:space="preserve"> </w:t>
            </w:r>
            <w:r w:rsidRPr="00B329D9">
              <w:rPr>
                <w:rFonts w:ascii="Book Antiqua" w:eastAsia="Calibri" w:hAnsi="Book Antiqua"/>
                <w:b/>
                <w:bCs/>
                <w:lang w:bidi="ar-KW"/>
              </w:rPr>
              <w:t>(mean and range)</w:t>
            </w:r>
          </w:p>
        </w:tc>
      </w:tr>
      <w:tr w:rsidR="000843BC" w:rsidRPr="00B329D9" w14:paraId="717F194A" w14:textId="77777777" w:rsidTr="00B35D20">
        <w:trPr>
          <w:jc w:val="center"/>
        </w:trPr>
        <w:tc>
          <w:tcPr>
            <w:tcW w:w="1135" w:type="dxa"/>
            <w:tcBorders>
              <w:top w:val="single" w:sz="4" w:space="0" w:color="auto"/>
            </w:tcBorders>
          </w:tcPr>
          <w:p w14:paraId="27D1EC38"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Abe and </w:t>
            </w:r>
            <w:proofErr w:type="spellStart"/>
            <w:proofErr w:type="gramStart"/>
            <w:r w:rsidRPr="00B329D9">
              <w:rPr>
                <w:rFonts w:ascii="Book Antiqua" w:eastAsia="Calibri" w:hAnsi="Book Antiqua"/>
                <w:lang w:bidi="ar-KW"/>
              </w:rPr>
              <w:t>Fujii</w:t>
            </w:r>
            <w:proofErr w:type="spellEnd"/>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10]</w:t>
            </w:r>
            <w:r w:rsidRPr="00B329D9">
              <w:rPr>
                <w:rFonts w:ascii="Book Antiqua" w:eastAsia="Calibri" w:hAnsi="Book Antiqua"/>
                <w:lang w:bidi="ar-KW"/>
              </w:rPr>
              <w:t xml:space="preserve">, 2017 </w:t>
            </w:r>
          </w:p>
        </w:tc>
        <w:tc>
          <w:tcPr>
            <w:tcW w:w="1100" w:type="dxa"/>
            <w:tcBorders>
              <w:top w:val="single" w:sz="4" w:space="0" w:color="auto"/>
            </w:tcBorders>
          </w:tcPr>
          <w:p w14:paraId="3B5FE17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(unilateral)</w:t>
            </w:r>
          </w:p>
        </w:tc>
        <w:tc>
          <w:tcPr>
            <w:tcW w:w="850" w:type="dxa"/>
            <w:tcBorders>
              <w:top w:val="single" w:sz="4" w:space="0" w:color="auto"/>
            </w:tcBorders>
          </w:tcPr>
          <w:p w14:paraId="6859196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F</w:t>
            </w:r>
          </w:p>
        </w:tc>
        <w:tc>
          <w:tcPr>
            <w:tcW w:w="992" w:type="dxa"/>
            <w:tcBorders>
              <w:top w:val="single" w:sz="4" w:space="0" w:color="auto"/>
            </w:tcBorders>
          </w:tcPr>
          <w:p w14:paraId="3D312ED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15</w:t>
            </w:r>
          </w:p>
        </w:tc>
        <w:tc>
          <w:tcPr>
            <w:tcW w:w="1985" w:type="dxa"/>
            <w:tcBorders>
              <w:top w:val="single" w:sz="4" w:space="0" w:color="auto"/>
            </w:tcBorders>
          </w:tcPr>
          <w:p w14:paraId="22DF739B"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Tennis</w:t>
            </w:r>
          </w:p>
          <w:p w14:paraId="7162D84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This case involved the mobile wad only </w:t>
            </w:r>
          </w:p>
        </w:tc>
        <w:tc>
          <w:tcPr>
            <w:tcW w:w="1984" w:type="dxa"/>
            <w:tcBorders>
              <w:top w:val="single" w:sz="4" w:space="0" w:color="auto"/>
            </w:tcBorders>
          </w:tcPr>
          <w:p w14:paraId="7810D763"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Compartment pressure measurements (at rest, under stress and after stress) </w:t>
            </w:r>
          </w:p>
          <w:p w14:paraId="3923F3DE"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US and MRI</w:t>
            </w:r>
          </w:p>
        </w:tc>
        <w:tc>
          <w:tcPr>
            <w:tcW w:w="1985" w:type="dxa"/>
            <w:tcBorders>
              <w:top w:val="single" w:sz="4" w:space="0" w:color="auto"/>
            </w:tcBorders>
          </w:tcPr>
          <w:p w14:paraId="334F4BB7"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701" w:type="dxa"/>
            <w:tcBorders>
              <w:top w:val="single" w:sz="4" w:space="0" w:color="auto"/>
            </w:tcBorders>
          </w:tcPr>
          <w:p w14:paraId="04186A93"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701" w:type="dxa"/>
            <w:tcBorders>
              <w:top w:val="single" w:sz="4" w:space="0" w:color="auto"/>
            </w:tcBorders>
          </w:tcPr>
          <w:p w14:paraId="37BD3AA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r>
      <w:tr w:rsidR="000843BC" w:rsidRPr="00B329D9" w14:paraId="76660105" w14:textId="77777777" w:rsidTr="00B35D20">
        <w:trPr>
          <w:jc w:val="center"/>
        </w:trPr>
        <w:tc>
          <w:tcPr>
            <w:tcW w:w="1135" w:type="dxa"/>
          </w:tcPr>
          <w:p w14:paraId="33FA0DD1" w14:textId="7777777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Hijjawi</w:t>
            </w:r>
            <w:proofErr w:type="spellEnd"/>
            <w:r w:rsidRPr="00B329D9">
              <w:rPr>
                <w:rFonts w:ascii="Book Antiqua" w:eastAsia="Calibri" w:hAnsi="Book Antiqua"/>
                <w:lang w:bidi="ar-KW"/>
              </w:rPr>
              <w:t xml:space="preserve"> and </w:t>
            </w:r>
            <w:proofErr w:type="gramStart"/>
            <w:r w:rsidRPr="00B329D9">
              <w:rPr>
                <w:rFonts w:ascii="Book Antiqua" w:eastAsia="Calibri" w:hAnsi="Book Antiqua"/>
                <w:lang w:bidi="ar-KW"/>
              </w:rPr>
              <w:t>Nagle</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14]</w:t>
            </w:r>
            <w:r w:rsidRPr="00B329D9">
              <w:rPr>
                <w:rFonts w:ascii="Book Antiqua" w:eastAsia="Calibri" w:hAnsi="Book Antiqua"/>
                <w:lang w:bidi="ar-KW"/>
              </w:rPr>
              <w:t xml:space="preserve">, 2010  </w:t>
            </w:r>
          </w:p>
        </w:tc>
        <w:tc>
          <w:tcPr>
            <w:tcW w:w="1100" w:type="dxa"/>
          </w:tcPr>
          <w:p w14:paraId="1AF0CDFD"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(unilateral)</w:t>
            </w:r>
          </w:p>
        </w:tc>
        <w:tc>
          <w:tcPr>
            <w:tcW w:w="850" w:type="dxa"/>
          </w:tcPr>
          <w:p w14:paraId="231B2C31"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M</w:t>
            </w:r>
          </w:p>
        </w:tc>
        <w:tc>
          <w:tcPr>
            <w:tcW w:w="992" w:type="dxa"/>
          </w:tcPr>
          <w:p w14:paraId="647B200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33</w:t>
            </w:r>
          </w:p>
        </w:tc>
        <w:tc>
          <w:tcPr>
            <w:tcW w:w="1985" w:type="dxa"/>
          </w:tcPr>
          <w:p w14:paraId="628795C9"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Truck driver</w:t>
            </w:r>
          </w:p>
        </w:tc>
        <w:tc>
          <w:tcPr>
            <w:tcW w:w="1984" w:type="dxa"/>
          </w:tcPr>
          <w:p w14:paraId="068A2E8B"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Compartment pressure measurements (at rest and after stress)</w:t>
            </w:r>
          </w:p>
        </w:tc>
        <w:tc>
          <w:tcPr>
            <w:tcW w:w="1985" w:type="dxa"/>
          </w:tcPr>
          <w:p w14:paraId="7E283AE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701" w:type="dxa"/>
          </w:tcPr>
          <w:p w14:paraId="6868706E"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701" w:type="dxa"/>
          </w:tcPr>
          <w:p w14:paraId="09AE14F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r>
      <w:tr w:rsidR="000843BC" w:rsidRPr="00B329D9" w14:paraId="163D88FA" w14:textId="77777777" w:rsidTr="00B35D20">
        <w:trPr>
          <w:jc w:val="center"/>
        </w:trPr>
        <w:tc>
          <w:tcPr>
            <w:tcW w:w="1135" w:type="dxa"/>
          </w:tcPr>
          <w:p w14:paraId="424201BF" w14:textId="70DC43F5"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Jans</w:t>
            </w:r>
            <w:proofErr w:type="spellEnd"/>
            <w:r w:rsidRPr="00B329D9">
              <w:rPr>
                <w:rFonts w:ascii="Book Antiqua" w:eastAsia="Calibri" w:hAnsi="Book Antiqua"/>
                <w:lang w:bidi="ar-KW"/>
              </w:rPr>
              <w:t xml:space="preserve">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11]</w:t>
            </w:r>
            <w:r w:rsidRPr="00B329D9">
              <w:rPr>
                <w:rFonts w:ascii="Book Antiqua" w:eastAsia="Calibri" w:hAnsi="Book Antiqua"/>
                <w:lang w:bidi="ar-KW"/>
              </w:rPr>
              <w:t>, 201</w:t>
            </w:r>
            <w:r w:rsidR="00BC06DC">
              <w:rPr>
                <w:rFonts w:ascii="Book Antiqua" w:eastAsia="Calibri" w:hAnsi="Book Antiqua"/>
                <w:lang w:bidi="ar-KW"/>
              </w:rPr>
              <w:t>5</w:t>
            </w:r>
            <w:r w:rsidRPr="00B329D9">
              <w:rPr>
                <w:rFonts w:ascii="Book Antiqua" w:eastAsia="Calibri" w:hAnsi="Book Antiqua"/>
                <w:lang w:bidi="ar-KW"/>
              </w:rPr>
              <w:t xml:space="preserve"> </w:t>
            </w:r>
          </w:p>
        </w:tc>
        <w:tc>
          <w:tcPr>
            <w:tcW w:w="1100" w:type="dxa"/>
          </w:tcPr>
          <w:p w14:paraId="7949C9A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154 (all bilateral)</w:t>
            </w:r>
          </w:p>
        </w:tc>
        <w:tc>
          <w:tcPr>
            <w:tcW w:w="850" w:type="dxa"/>
          </w:tcPr>
          <w:p w14:paraId="1EC95679"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151 M; 3 F</w:t>
            </w:r>
          </w:p>
        </w:tc>
        <w:tc>
          <w:tcPr>
            <w:tcW w:w="992" w:type="dxa"/>
          </w:tcPr>
          <w:p w14:paraId="2D0714EF"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32.7; 16-42</w:t>
            </w:r>
          </w:p>
        </w:tc>
        <w:tc>
          <w:tcPr>
            <w:tcW w:w="1985" w:type="dxa"/>
          </w:tcPr>
          <w:p w14:paraId="03BAD86A"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val="en-CA" w:bidi="ar-KW"/>
              </w:rPr>
              <w:t>Motocross racers</w:t>
            </w:r>
          </w:p>
        </w:tc>
        <w:tc>
          <w:tcPr>
            <w:tcW w:w="1984" w:type="dxa"/>
          </w:tcPr>
          <w:p w14:paraId="320D07D7"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val="en-CA" w:bidi="ar-KW"/>
              </w:rPr>
              <w:t xml:space="preserve">MRI after flexor loading (repetitive grip </w:t>
            </w:r>
            <w:r w:rsidRPr="00B329D9">
              <w:rPr>
                <w:rFonts w:ascii="Book Antiqua" w:eastAsia="Calibri" w:hAnsi="Book Antiqua"/>
                <w:lang w:val="en-CA" w:bidi="ar-KW"/>
              </w:rPr>
              <w:lastRenderedPageBreak/>
              <w:t>until exhaustion for</w:t>
            </w:r>
          </w:p>
          <w:p w14:paraId="38F298D3"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val="en-CA" w:bidi="ar-KW"/>
              </w:rPr>
              <w:t>15 minutes)</w:t>
            </w:r>
          </w:p>
        </w:tc>
        <w:tc>
          <w:tcPr>
            <w:tcW w:w="1985" w:type="dxa"/>
          </w:tcPr>
          <w:p w14:paraId="4DDDA8B3"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val="en-CA" w:bidi="ar-KW"/>
              </w:rPr>
              <w:lastRenderedPageBreak/>
              <w:t xml:space="preserve">1.1 ± 0.3 at rest and 7.4 ± 1.5 after stress </w:t>
            </w:r>
            <w:r w:rsidRPr="00B329D9">
              <w:rPr>
                <w:rFonts w:ascii="Book Antiqua" w:eastAsia="Calibri" w:hAnsi="Book Antiqua"/>
                <w:lang w:val="en-CA" w:bidi="ar-KW"/>
              </w:rPr>
              <w:lastRenderedPageBreak/>
              <w:t>(used scale of 1 to 10)</w:t>
            </w:r>
          </w:p>
        </w:tc>
        <w:tc>
          <w:tcPr>
            <w:tcW w:w="1701" w:type="dxa"/>
          </w:tcPr>
          <w:p w14:paraId="4B9DB0E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w:t>
            </w:r>
          </w:p>
        </w:tc>
        <w:tc>
          <w:tcPr>
            <w:tcW w:w="1701" w:type="dxa"/>
          </w:tcPr>
          <w:p w14:paraId="7B98212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r>
      <w:tr w:rsidR="000843BC" w:rsidRPr="00B329D9" w14:paraId="5F505F85" w14:textId="77777777" w:rsidTr="00B35D20">
        <w:trPr>
          <w:jc w:val="center"/>
        </w:trPr>
        <w:tc>
          <w:tcPr>
            <w:tcW w:w="1135" w:type="dxa"/>
          </w:tcPr>
          <w:p w14:paraId="51BC993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Miller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17]</w:t>
            </w:r>
            <w:r w:rsidRPr="00B329D9">
              <w:rPr>
                <w:rFonts w:ascii="Book Antiqua" w:eastAsia="Calibri" w:hAnsi="Book Antiqua"/>
                <w:lang w:bidi="ar-KW"/>
              </w:rPr>
              <w:t>, 2017</w:t>
            </w:r>
          </w:p>
        </w:tc>
        <w:tc>
          <w:tcPr>
            <w:tcW w:w="1100" w:type="dxa"/>
          </w:tcPr>
          <w:p w14:paraId="4B4DB36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 (1 bilateral)</w:t>
            </w:r>
          </w:p>
        </w:tc>
        <w:tc>
          <w:tcPr>
            <w:tcW w:w="850" w:type="dxa"/>
          </w:tcPr>
          <w:p w14:paraId="7EE7947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 M</w:t>
            </w:r>
          </w:p>
        </w:tc>
        <w:tc>
          <w:tcPr>
            <w:tcW w:w="992" w:type="dxa"/>
          </w:tcPr>
          <w:p w14:paraId="153849BE"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24.5; 23-26</w:t>
            </w:r>
          </w:p>
        </w:tc>
        <w:tc>
          <w:tcPr>
            <w:tcW w:w="1985" w:type="dxa"/>
          </w:tcPr>
          <w:p w14:paraId="2B71B8B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Motocross racers</w:t>
            </w:r>
          </w:p>
        </w:tc>
        <w:tc>
          <w:tcPr>
            <w:tcW w:w="1984" w:type="dxa"/>
          </w:tcPr>
          <w:p w14:paraId="44C740C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Compartment pressure measurements (at rest and after stress)</w:t>
            </w:r>
          </w:p>
        </w:tc>
        <w:tc>
          <w:tcPr>
            <w:tcW w:w="1985" w:type="dxa"/>
          </w:tcPr>
          <w:p w14:paraId="2B0C1FE1"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9.5; 9-10 (used scale of 0 to 10)</w:t>
            </w:r>
          </w:p>
        </w:tc>
        <w:tc>
          <w:tcPr>
            <w:tcW w:w="1701" w:type="dxa"/>
          </w:tcPr>
          <w:p w14:paraId="0B2FC69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701" w:type="dxa"/>
          </w:tcPr>
          <w:p w14:paraId="42E17B9F"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r>
      <w:tr w:rsidR="000843BC" w:rsidRPr="00B329D9" w14:paraId="1C0326FC" w14:textId="77777777" w:rsidTr="00B35D20">
        <w:trPr>
          <w:jc w:val="center"/>
        </w:trPr>
        <w:tc>
          <w:tcPr>
            <w:tcW w:w="1135" w:type="dxa"/>
          </w:tcPr>
          <w:p w14:paraId="296D6C93" w14:textId="7777777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Pegoli</w:t>
            </w:r>
            <w:proofErr w:type="spellEnd"/>
            <w:r w:rsidRPr="00B329D9">
              <w:rPr>
                <w:rFonts w:ascii="Book Antiqua" w:eastAsia="Calibri" w:hAnsi="Book Antiqua"/>
                <w:lang w:bidi="ar-KW"/>
              </w:rPr>
              <w:t xml:space="preserve">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15]</w:t>
            </w:r>
            <w:r w:rsidRPr="00B329D9">
              <w:rPr>
                <w:rFonts w:ascii="Book Antiqua" w:eastAsia="Calibri" w:hAnsi="Book Antiqua"/>
                <w:lang w:bidi="ar-KW"/>
              </w:rPr>
              <w:t xml:space="preserve">, 2016 </w:t>
            </w:r>
          </w:p>
        </w:tc>
        <w:tc>
          <w:tcPr>
            <w:tcW w:w="1100" w:type="dxa"/>
          </w:tcPr>
          <w:p w14:paraId="65EB1586"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3 (1 bilateral)</w:t>
            </w:r>
          </w:p>
        </w:tc>
        <w:tc>
          <w:tcPr>
            <w:tcW w:w="850" w:type="dxa"/>
          </w:tcPr>
          <w:p w14:paraId="06A5928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3 M</w:t>
            </w:r>
          </w:p>
        </w:tc>
        <w:tc>
          <w:tcPr>
            <w:tcW w:w="992" w:type="dxa"/>
          </w:tcPr>
          <w:p w14:paraId="18F2ADD1"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25.3</w:t>
            </w:r>
          </w:p>
        </w:tc>
        <w:tc>
          <w:tcPr>
            <w:tcW w:w="1985" w:type="dxa"/>
          </w:tcPr>
          <w:p w14:paraId="3102F8ED"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bidi="ar-KW"/>
              </w:rPr>
              <w:t>Motorcycle drivers</w:t>
            </w:r>
          </w:p>
        </w:tc>
        <w:tc>
          <w:tcPr>
            <w:tcW w:w="1984" w:type="dxa"/>
          </w:tcPr>
          <w:p w14:paraId="5A14794F"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bidi="ar-KW"/>
              </w:rPr>
              <w:t>Compartment pressure measurements (at rest, under stress and after stress)</w:t>
            </w:r>
          </w:p>
        </w:tc>
        <w:tc>
          <w:tcPr>
            <w:tcW w:w="1985" w:type="dxa"/>
          </w:tcPr>
          <w:p w14:paraId="5E7EA40A"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4.5; 3-6 (used scale of 0 to 10)</w:t>
            </w:r>
          </w:p>
          <w:p w14:paraId="3B67F364"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p>
        </w:tc>
        <w:tc>
          <w:tcPr>
            <w:tcW w:w="1701" w:type="dxa"/>
          </w:tcPr>
          <w:p w14:paraId="1DF1226A"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21.71%; 18.42-25.00%</w:t>
            </w:r>
          </w:p>
        </w:tc>
        <w:tc>
          <w:tcPr>
            <w:tcW w:w="1701" w:type="dxa"/>
          </w:tcPr>
          <w:p w14:paraId="46C2033D"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r>
      <w:tr w:rsidR="000843BC" w:rsidRPr="00B329D9" w14:paraId="2D2A8289" w14:textId="77777777" w:rsidTr="00B35D20">
        <w:trPr>
          <w:jc w:val="center"/>
        </w:trPr>
        <w:tc>
          <w:tcPr>
            <w:tcW w:w="1135" w:type="dxa"/>
          </w:tcPr>
          <w:p w14:paraId="3FFB53A2" w14:textId="7777777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Ruyer</w:t>
            </w:r>
            <w:proofErr w:type="spellEnd"/>
            <w:r w:rsidRPr="00B329D9">
              <w:rPr>
                <w:rFonts w:ascii="Book Antiqua" w:eastAsia="Calibri" w:hAnsi="Book Antiqua"/>
                <w:lang w:bidi="ar-KW"/>
              </w:rPr>
              <w:t xml:space="preserve">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16]</w:t>
            </w:r>
            <w:r w:rsidRPr="00B329D9">
              <w:rPr>
                <w:rFonts w:ascii="Book Antiqua" w:eastAsia="Calibri" w:hAnsi="Book Antiqua"/>
                <w:lang w:bidi="ar-KW"/>
              </w:rPr>
              <w:t>, 2020</w:t>
            </w:r>
          </w:p>
        </w:tc>
        <w:tc>
          <w:tcPr>
            <w:tcW w:w="1100" w:type="dxa"/>
          </w:tcPr>
          <w:p w14:paraId="27C44FA3"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21 (15 bilateral)</w:t>
            </w:r>
          </w:p>
        </w:tc>
        <w:tc>
          <w:tcPr>
            <w:tcW w:w="850" w:type="dxa"/>
          </w:tcPr>
          <w:p w14:paraId="312FD544"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21 M</w:t>
            </w:r>
          </w:p>
        </w:tc>
        <w:tc>
          <w:tcPr>
            <w:tcW w:w="992" w:type="dxa"/>
          </w:tcPr>
          <w:p w14:paraId="13155C43"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val="en-CA" w:bidi="ar-KW"/>
              </w:rPr>
              <w:t>28; 14-42</w:t>
            </w:r>
          </w:p>
        </w:tc>
        <w:tc>
          <w:tcPr>
            <w:tcW w:w="1985" w:type="dxa"/>
          </w:tcPr>
          <w:p w14:paraId="35811F8D" w14:textId="405F13E4"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val="en-CA" w:bidi="ar-KW"/>
              </w:rPr>
              <w:t>Motorcycle road racing (</w:t>
            </w:r>
            <w:r w:rsidRPr="00B329D9">
              <w:rPr>
                <w:rFonts w:ascii="Book Antiqua" w:eastAsia="Calibri" w:hAnsi="Book Antiqua"/>
                <w:i/>
                <w:iCs/>
                <w:lang w:val="en-CA" w:bidi="ar-KW"/>
              </w:rPr>
              <w:t>n</w:t>
            </w:r>
            <w:r w:rsidRPr="00B329D9">
              <w:rPr>
                <w:rFonts w:ascii="Book Antiqua" w:eastAsia="Calibri" w:hAnsi="Book Antiqua"/>
                <w:lang w:val="en-CA" w:bidi="ar-KW"/>
              </w:rPr>
              <w:t xml:space="preserve"> = 20), off-road motorcycle racing or </w:t>
            </w:r>
            <w:proofErr w:type="spellStart"/>
            <w:r w:rsidRPr="00B329D9">
              <w:rPr>
                <w:rFonts w:ascii="Book Antiqua" w:eastAsia="Calibri" w:hAnsi="Book Antiqua"/>
                <w:lang w:val="en-CA" w:bidi="ar-KW"/>
              </w:rPr>
              <w:t>enduro</w:t>
            </w:r>
            <w:proofErr w:type="spellEnd"/>
            <w:r w:rsidRPr="00B329D9">
              <w:rPr>
                <w:rFonts w:ascii="Book Antiqua" w:eastAsia="Calibri" w:hAnsi="Book Antiqua"/>
                <w:lang w:val="en-CA" w:bidi="ar-KW"/>
              </w:rPr>
              <w:t xml:space="preserve"> (</w:t>
            </w:r>
            <w:r w:rsidRPr="00B329D9">
              <w:rPr>
                <w:rFonts w:ascii="Book Antiqua" w:eastAsia="Calibri" w:hAnsi="Book Antiqua"/>
                <w:i/>
                <w:iCs/>
                <w:lang w:val="en-CA" w:bidi="ar-KW"/>
              </w:rPr>
              <w:t>n</w:t>
            </w:r>
            <w:r w:rsidRPr="00B329D9">
              <w:rPr>
                <w:rFonts w:ascii="Book Antiqua" w:eastAsia="Calibri" w:hAnsi="Book Antiqua"/>
                <w:lang w:val="en-CA" w:bidi="ar-KW"/>
              </w:rPr>
              <w:t xml:space="preserve"> = 11), </w:t>
            </w:r>
            <w:r w:rsidRPr="00B329D9">
              <w:rPr>
                <w:rFonts w:ascii="Book Antiqua" w:eastAsia="Calibri" w:hAnsi="Book Antiqua"/>
                <w:lang w:val="en-CA" w:bidi="ar-KW"/>
              </w:rPr>
              <w:lastRenderedPageBreak/>
              <w:t>quad racing (</w:t>
            </w:r>
            <w:r w:rsidRPr="00B329D9">
              <w:rPr>
                <w:rFonts w:ascii="Book Antiqua" w:eastAsia="Calibri" w:hAnsi="Book Antiqua"/>
                <w:i/>
                <w:iCs/>
                <w:lang w:val="en-CA" w:bidi="ar-KW"/>
              </w:rPr>
              <w:t>n</w:t>
            </w:r>
            <w:r w:rsidRPr="00B329D9">
              <w:rPr>
                <w:rFonts w:ascii="Book Antiqua" w:eastAsia="Calibri" w:hAnsi="Book Antiqua"/>
                <w:lang w:val="en-CA" w:bidi="ar-KW"/>
              </w:rPr>
              <w:t xml:space="preserve"> = 4) and mountain biking and water skiing (</w:t>
            </w:r>
            <w:r w:rsidRPr="00B329D9">
              <w:rPr>
                <w:rFonts w:ascii="Book Antiqua" w:eastAsia="Calibri" w:hAnsi="Book Antiqua"/>
                <w:i/>
                <w:iCs/>
                <w:lang w:val="en-CA" w:bidi="ar-KW"/>
              </w:rPr>
              <w:t>n</w:t>
            </w:r>
            <w:r w:rsidRPr="00B329D9">
              <w:rPr>
                <w:rFonts w:ascii="Book Antiqua" w:eastAsia="Calibri" w:hAnsi="Book Antiqua"/>
                <w:lang w:val="en-CA" w:bidi="ar-KW"/>
              </w:rPr>
              <w:t xml:space="preserve"> = 1)</w:t>
            </w:r>
          </w:p>
        </w:tc>
        <w:tc>
          <w:tcPr>
            <w:tcW w:w="1984" w:type="dxa"/>
          </w:tcPr>
          <w:p w14:paraId="35A43A51"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Compartment pressure measurements (pre- and post-stress)</w:t>
            </w:r>
          </w:p>
          <w:p w14:paraId="785E03F3" w14:textId="77777777" w:rsidR="000843BC" w:rsidRPr="00B329D9" w:rsidRDefault="000843BC" w:rsidP="00B329D9">
            <w:pPr>
              <w:adjustRightInd w:val="0"/>
              <w:snapToGrid w:val="0"/>
              <w:spacing w:line="360" w:lineRule="auto"/>
              <w:jc w:val="both"/>
              <w:rPr>
                <w:rFonts w:ascii="Book Antiqua" w:eastAsia="Calibri" w:hAnsi="Book Antiqua"/>
                <w:lang w:bidi="ar-KW"/>
              </w:rPr>
            </w:pPr>
          </w:p>
        </w:tc>
        <w:tc>
          <w:tcPr>
            <w:tcW w:w="1985" w:type="dxa"/>
          </w:tcPr>
          <w:p w14:paraId="49CA68E7"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701" w:type="dxa"/>
          </w:tcPr>
          <w:p w14:paraId="752747D9"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701" w:type="dxa"/>
          </w:tcPr>
          <w:p w14:paraId="7EFC392D"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val="en-CA" w:bidi="ar-KW"/>
              </w:rPr>
              <w:t>23 ± 10%; 7-45%</w:t>
            </w:r>
          </w:p>
        </w:tc>
      </w:tr>
      <w:tr w:rsidR="000843BC" w:rsidRPr="00B329D9" w14:paraId="596CDC5F" w14:textId="77777777" w:rsidTr="00B35D20">
        <w:trPr>
          <w:jc w:val="center"/>
        </w:trPr>
        <w:tc>
          <w:tcPr>
            <w:tcW w:w="1135" w:type="dxa"/>
          </w:tcPr>
          <w:p w14:paraId="52DEA01A"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Seiler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18],</w:t>
            </w:r>
            <w:r w:rsidRPr="00B329D9">
              <w:rPr>
                <w:rFonts w:ascii="Book Antiqua" w:eastAsia="Calibri" w:hAnsi="Book Antiqua"/>
                <w:lang w:bidi="ar-KW"/>
              </w:rPr>
              <w:t xml:space="preserve"> 2011 </w:t>
            </w:r>
          </w:p>
        </w:tc>
        <w:tc>
          <w:tcPr>
            <w:tcW w:w="1100" w:type="dxa"/>
          </w:tcPr>
          <w:p w14:paraId="41B0F996"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(bilateral)</w:t>
            </w:r>
          </w:p>
        </w:tc>
        <w:tc>
          <w:tcPr>
            <w:tcW w:w="850" w:type="dxa"/>
          </w:tcPr>
          <w:p w14:paraId="3D63B7C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F</w:t>
            </w:r>
          </w:p>
        </w:tc>
        <w:tc>
          <w:tcPr>
            <w:tcW w:w="992" w:type="dxa"/>
          </w:tcPr>
          <w:p w14:paraId="358EF1D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19</w:t>
            </w:r>
          </w:p>
        </w:tc>
        <w:tc>
          <w:tcPr>
            <w:tcW w:w="1985" w:type="dxa"/>
          </w:tcPr>
          <w:p w14:paraId="47DF973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Swimmer</w:t>
            </w:r>
          </w:p>
        </w:tc>
        <w:tc>
          <w:tcPr>
            <w:tcW w:w="1984" w:type="dxa"/>
          </w:tcPr>
          <w:p w14:paraId="67B842D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Compartment pressure measurements (after stress)</w:t>
            </w:r>
          </w:p>
        </w:tc>
        <w:tc>
          <w:tcPr>
            <w:tcW w:w="1985" w:type="dxa"/>
          </w:tcPr>
          <w:p w14:paraId="22E803C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701" w:type="dxa"/>
          </w:tcPr>
          <w:p w14:paraId="39E49C97"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701" w:type="dxa"/>
          </w:tcPr>
          <w:p w14:paraId="12581D68"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r>
    </w:tbl>
    <w:p w14:paraId="404F0E31" w14:textId="77777777" w:rsidR="000843BC" w:rsidRPr="00B329D9" w:rsidRDefault="000843BC" w:rsidP="00B329D9">
      <w:pPr>
        <w:adjustRightInd w:val="0"/>
        <w:snapToGrid w:val="0"/>
        <w:spacing w:line="360" w:lineRule="auto"/>
        <w:jc w:val="both"/>
        <w:rPr>
          <w:rFonts w:ascii="Book Antiqua" w:eastAsia="Calibri" w:hAnsi="Book Antiqua"/>
        </w:rPr>
      </w:pPr>
      <w:r w:rsidRPr="00B329D9">
        <w:rPr>
          <w:rFonts w:ascii="Book Antiqua" w:eastAsia="Calibri" w:hAnsi="Book Antiqua"/>
          <w:lang w:bidi="ar-KW"/>
        </w:rPr>
        <w:t>DASH: Disabilities of the Arm, Shoulder and Hand; F: Female; M: Male; MRI: Magnetic resonance imaging; US: Ultrasound; VAS: Visual analogue scale.</w:t>
      </w:r>
    </w:p>
    <w:p w14:paraId="33E033EF" w14:textId="77777777" w:rsidR="000843BC" w:rsidRPr="00B329D9" w:rsidRDefault="000843BC" w:rsidP="00B329D9">
      <w:pPr>
        <w:adjustRightInd w:val="0"/>
        <w:snapToGrid w:val="0"/>
        <w:spacing w:line="360" w:lineRule="auto"/>
        <w:jc w:val="both"/>
        <w:rPr>
          <w:rFonts w:ascii="Book Antiqua" w:hAnsi="Book Antiqua"/>
          <w:b/>
          <w:bCs/>
        </w:rPr>
      </w:pPr>
      <w:r w:rsidRPr="00B329D9">
        <w:rPr>
          <w:rFonts w:ascii="Book Antiqua" w:hAnsi="Book Antiqua"/>
        </w:rPr>
        <w:br w:type="page"/>
      </w:r>
      <w:r w:rsidRPr="00B329D9">
        <w:rPr>
          <w:rFonts w:ascii="Book Antiqua" w:eastAsia="Calibri" w:hAnsi="Book Antiqua"/>
          <w:b/>
          <w:bCs/>
          <w:lang w:bidi="ar-KW"/>
        </w:rPr>
        <w:lastRenderedPageBreak/>
        <w:t>Table 2 Surgical technique used for endoscopic fasciotomy of the forearm for chronic exertional compartment syndrome</w:t>
      </w:r>
    </w:p>
    <w:tbl>
      <w:tblPr>
        <w:tblW w:w="13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250"/>
        <w:gridCol w:w="3260"/>
        <w:gridCol w:w="3261"/>
        <w:gridCol w:w="3278"/>
      </w:tblGrid>
      <w:tr w:rsidR="000843BC" w:rsidRPr="00B329D9" w14:paraId="0E84858C" w14:textId="77777777" w:rsidTr="00B35D20">
        <w:trPr>
          <w:jc w:val="center"/>
        </w:trPr>
        <w:tc>
          <w:tcPr>
            <w:tcW w:w="1678" w:type="dxa"/>
            <w:vMerge w:val="restart"/>
            <w:tcBorders>
              <w:top w:val="single" w:sz="4" w:space="0" w:color="auto"/>
              <w:left w:val="nil"/>
              <w:bottom w:val="nil"/>
              <w:right w:val="nil"/>
            </w:tcBorders>
          </w:tcPr>
          <w:p w14:paraId="3B353243" w14:textId="6B32E597" w:rsidR="000843BC" w:rsidRPr="00B329D9" w:rsidRDefault="00F74AB7" w:rsidP="00B329D9">
            <w:pPr>
              <w:adjustRightInd w:val="0"/>
              <w:snapToGrid w:val="0"/>
              <w:spacing w:line="360" w:lineRule="auto"/>
              <w:jc w:val="both"/>
              <w:rPr>
                <w:rFonts w:ascii="Book Antiqua" w:eastAsia="Calibri" w:hAnsi="Book Antiqua"/>
                <w:b/>
                <w:bCs/>
                <w:lang w:bidi="ar-KW"/>
              </w:rPr>
            </w:pPr>
            <w:r>
              <w:rPr>
                <w:rFonts w:ascii="Book Antiqua" w:eastAsia="Calibri" w:hAnsi="Book Antiqua"/>
                <w:b/>
                <w:bCs/>
                <w:lang w:bidi="ar-KW"/>
              </w:rPr>
              <w:t>Ref.</w:t>
            </w:r>
          </w:p>
        </w:tc>
        <w:tc>
          <w:tcPr>
            <w:tcW w:w="2250" w:type="dxa"/>
            <w:vMerge w:val="restart"/>
            <w:tcBorders>
              <w:top w:val="single" w:sz="4" w:space="0" w:color="auto"/>
              <w:left w:val="nil"/>
              <w:bottom w:val="nil"/>
              <w:right w:val="nil"/>
            </w:tcBorders>
          </w:tcPr>
          <w:p w14:paraId="02D61766"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Sample size</w:t>
            </w:r>
          </w:p>
        </w:tc>
        <w:tc>
          <w:tcPr>
            <w:tcW w:w="9799" w:type="dxa"/>
            <w:gridSpan w:val="3"/>
            <w:tcBorders>
              <w:top w:val="single" w:sz="4" w:space="0" w:color="auto"/>
              <w:left w:val="nil"/>
              <w:bottom w:val="nil"/>
              <w:right w:val="nil"/>
            </w:tcBorders>
          </w:tcPr>
          <w:p w14:paraId="6A4C5C79"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Surgical technique</w:t>
            </w:r>
          </w:p>
        </w:tc>
      </w:tr>
      <w:tr w:rsidR="000843BC" w:rsidRPr="00B329D9" w14:paraId="59E324EA" w14:textId="77777777" w:rsidTr="00B35D20">
        <w:trPr>
          <w:jc w:val="center"/>
        </w:trPr>
        <w:tc>
          <w:tcPr>
            <w:tcW w:w="1678" w:type="dxa"/>
            <w:vMerge/>
            <w:tcBorders>
              <w:top w:val="nil"/>
              <w:left w:val="nil"/>
              <w:bottom w:val="single" w:sz="4" w:space="0" w:color="auto"/>
              <w:right w:val="nil"/>
            </w:tcBorders>
          </w:tcPr>
          <w:p w14:paraId="0D041272"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p>
        </w:tc>
        <w:tc>
          <w:tcPr>
            <w:tcW w:w="2250" w:type="dxa"/>
            <w:vMerge/>
            <w:tcBorders>
              <w:top w:val="nil"/>
              <w:left w:val="nil"/>
              <w:bottom w:val="single" w:sz="4" w:space="0" w:color="auto"/>
              <w:right w:val="nil"/>
            </w:tcBorders>
          </w:tcPr>
          <w:p w14:paraId="704456EF"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p>
        </w:tc>
        <w:tc>
          <w:tcPr>
            <w:tcW w:w="3260" w:type="dxa"/>
            <w:tcBorders>
              <w:top w:val="nil"/>
              <w:left w:val="nil"/>
              <w:bottom w:val="single" w:sz="4" w:space="0" w:color="auto"/>
              <w:right w:val="nil"/>
            </w:tcBorders>
          </w:tcPr>
          <w:p w14:paraId="08C7FF85"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Special tools</w:t>
            </w:r>
          </w:p>
        </w:tc>
        <w:tc>
          <w:tcPr>
            <w:tcW w:w="3261" w:type="dxa"/>
            <w:tcBorders>
              <w:top w:val="nil"/>
              <w:left w:val="nil"/>
              <w:bottom w:val="single" w:sz="4" w:space="0" w:color="auto"/>
              <w:right w:val="nil"/>
            </w:tcBorders>
          </w:tcPr>
          <w:p w14:paraId="7BA24BFB"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Incisions</w:t>
            </w:r>
          </w:p>
        </w:tc>
        <w:tc>
          <w:tcPr>
            <w:tcW w:w="3278" w:type="dxa"/>
            <w:tcBorders>
              <w:top w:val="nil"/>
              <w:left w:val="nil"/>
              <w:bottom w:val="single" w:sz="4" w:space="0" w:color="auto"/>
              <w:right w:val="nil"/>
            </w:tcBorders>
          </w:tcPr>
          <w:p w14:paraId="1C49E501"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Other surgical notes</w:t>
            </w:r>
          </w:p>
        </w:tc>
      </w:tr>
      <w:tr w:rsidR="000843BC" w:rsidRPr="00B329D9" w14:paraId="3B67A231" w14:textId="77777777" w:rsidTr="00B35D20">
        <w:trPr>
          <w:jc w:val="center"/>
        </w:trPr>
        <w:tc>
          <w:tcPr>
            <w:tcW w:w="1678" w:type="dxa"/>
            <w:tcBorders>
              <w:top w:val="single" w:sz="4" w:space="0" w:color="auto"/>
              <w:left w:val="nil"/>
              <w:bottom w:val="nil"/>
              <w:right w:val="nil"/>
            </w:tcBorders>
          </w:tcPr>
          <w:p w14:paraId="7A0BFEC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Abe and </w:t>
            </w:r>
            <w:proofErr w:type="spellStart"/>
            <w:proofErr w:type="gramStart"/>
            <w:r w:rsidRPr="00B329D9">
              <w:rPr>
                <w:rFonts w:ascii="Book Antiqua" w:eastAsia="Calibri" w:hAnsi="Book Antiqua"/>
                <w:lang w:bidi="ar-KW"/>
              </w:rPr>
              <w:t>Fujii</w:t>
            </w:r>
            <w:proofErr w:type="spellEnd"/>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10]</w:t>
            </w:r>
            <w:r w:rsidRPr="00B329D9">
              <w:rPr>
                <w:rFonts w:ascii="Book Antiqua" w:eastAsia="Calibri" w:hAnsi="Book Antiqua"/>
                <w:lang w:bidi="ar-KW"/>
              </w:rPr>
              <w:t>, 2017</w:t>
            </w:r>
          </w:p>
        </w:tc>
        <w:tc>
          <w:tcPr>
            <w:tcW w:w="2250" w:type="dxa"/>
            <w:tcBorders>
              <w:top w:val="single" w:sz="4" w:space="0" w:color="auto"/>
              <w:left w:val="nil"/>
              <w:bottom w:val="nil"/>
              <w:right w:val="nil"/>
            </w:tcBorders>
          </w:tcPr>
          <w:p w14:paraId="3939BCA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(unilateral)</w:t>
            </w:r>
          </w:p>
        </w:tc>
        <w:tc>
          <w:tcPr>
            <w:tcW w:w="3260" w:type="dxa"/>
            <w:tcBorders>
              <w:top w:val="single" w:sz="4" w:space="0" w:color="auto"/>
              <w:left w:val="nil"/>
              <w:bottom w:val="nil"/>
              <w:right w:val="nil"/>
            </w:tcBorders>
          </w:tcPr>
          <w:p w14:paraId="7706706F"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2.3 mm endoscope with 30° angle</w:t>
            </w:r>
          </w:p>
          <w:p w14:paraId="4D144D81"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p>
        </w:tc>
        <w:tc>
          <w:tcPr>
            <w:tcW w:w="3261" w:type="dxa"/>
            <w:tcBorders>
              <w:top w:val="single" w:sz="4" w:space="0" w:color="auto"/>
              <w:left w:val="nil"/>
              <w:bottom w:val="nil"/>
              <w:right w:val="nil"/>
            </w:tcBorders>
          </w:tcPr>
          <w:p w14:paraId="35024D32" w14:textId="1A9EB583"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cm single incision, 2 cm proximal to the point of tenderness</w:t>
            </w:r>
          </w:p>
        </w:tc>
        <w:tc>
          <w:tcPr>
            <w:tcW w:w="3278" w:type="dxa"/>
            <w:tcBorders>
              <w:top w:val="single" w:sz="4" w:space="0" w:color="auto"/>
              <w:left w:val="nil"/>
              <w:bottom w:val="nil"/>
              <w:right w:val="nil"/>
            </w:tcBorders>
          </w:tcPr>
          <w:p w14:paraId="345852A7"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bidi="ar-KW"/>
              </w:rPr>
              <w:t>Release of brachioradialis fascia (case involved mobile wad only)</w:t>
            </w:r>
          </w:p>
        </w:tc>
      </w:tr>
      <w:tr w:rsidR="000843BC" w:rsidRPr="00B329D9" w14:paraId="418F9DE2" w14:textId="77777777" w:rsidTr="00B35D20">
        <w:trPr>
          <w:jc w:val="center"/>
        </w:trPr>
        <w:tc>
          <w:tcPr>
            <w:tcW w:w="1678" w:type="dxa"/>
            <w:tcBorders>
              <w:top w:val="nil"/>
              <w:left w:val="nil"/>
              <w:bottom w:val="nil"/>
              <w:right w:val="nil"/>
            </w:tcBorders>
          </w:tcPr>
          <w:p w14:paraId="11C5FD42" w14:textId="7777777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Hijjawi</w:t>
            </w:r>
            <w:proofErr w:type="spellEnd"/>
            <w:r w:rsidRPr="00B329D9">
              <w:rPr>
                <w:rFonts w:ascii="Book Antiqua" w:eastAsia="Calibri" w:hAnsi="Book Antiqua"/>
                <w:lang w:bidi="ar-KW"/>
              </w:rPr>
              <w:t xml:space="preserve"> and </w:t>
            </w:r>
            <w:proofErr w:type="gramStart"/>
            <w:r w:rsidRPr="00B329D9">
              <w:rPr>
                <w:rFonts w:ascii="Book Antiqua" w:eastAsia="Calibri" w:hAnsi="Book Antiqua"/>
                <w:lang w:bidi="ar-KW"/>
              </w:rPr>
              <w:t>Nagle</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14]</w:t>
            </w:r>
            <w:r w:rsidRPr="00B329D9">
              <w:rPr>
                <w:rFonts w:ascii="Book Antiqua" w:eastAsia="Calibri" w:hAnsi="Book Antiqua"/>
                <w:lang w:bidi="ar-KW"/>
              </w:rPr>
              <w:t>, 2010</w:t>
            </w:r>
          </w:p>
        </w:tc>
        <w:tc>
          <w:tcPr>
            <w:tcW w:w="2250" w:type="dxa"/>
            <w:tcBorders>
              <w:top w:val="nil"/>
              <w:left w:val="nil"/>
              <w:bottom w:val="nil"/>
              <w:right w:val="nil"/>
            </w:tcBorders>
          </w:tcPr>
          <w:p w14:paraId="73917D14"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(unilateral)</w:t>
            </w:r>
          </w:p>
        </w:tc>
        <w:tc>
          <w:tcPr>
            <w:tcW w:w="3260" w:type="dxa"/>
            <w:tcBorders>
              <w:top w:val="nil"/>
              <w:left w:val="nil"/>
              <w:bottom w:val="nil"/>
              <w:right w:val="nil"/>
            </w:tcBorders>
          </w:tcPr>
          <w:p w14:paraId="2F7859A2"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val="en-CA" w:bidi="ar-KW"/>
              </w:rPr>
              <w:t>4.5 mm 30° endoscope and probe blade from</w:t>
            </w:r>
            <w:r w:rsidRPr="00B329D9">
              <w:rPr>
                <w:rFonts w:ascii="Book Antiqua" w:eastAsia="Calibri" w:hAnsi="Book Antiqua" w:cs="AdvTT2acb703b"/>
                <w:color w:val="131313"/>
                <w:lang w:val="en-CA" w:eastAsia="en-CA"/>
              </w:rPr>
              <w:t xml:space="preserve"> </w:t>
            </w:r>
            <w:r w:rsidRPr="00B329D9">
              <w:rPr>
                <w:rFonts w:ascii="Book Antiqua" w:eastAsia="Calibri" w:hAnsi="Book Antiqua"/>
                <w:lang w:val="en-CA" w:bidi="ar-KW"/>
              </w:rPr>
              <w:t>Chow dual-port endoscopic carpal tunnel set</w:t>
            </w:r>
          </w:p>
        </w:tc>
        <w:tc>
          <w:tcPr>
            <w:tcW w:w="3261" w:type="dxa"/>
            <w:tcBorders>
              <w:top w:val="nil"/>
              <w:left w:val="nil"/>
              <w:bottom w:val="nil"/>
              <w:right w:val="nil"/>
            </w:tcBorders>
          </w:tcPr>
          <w:p w14:paraId="37136EF3"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bidi="ar-KW"/>
              </w:rPr>
              <w:t xml:space="preserve">2 incision: 2 cm </w:t>
            </w:r>
            <w:r w:rsidRPr="00B329D9">
              <w:rPr>
                <w:rFonts w:ascii="Book Antiqua" w:eastAsia="Calibri" w:hAnsi="Book Antiqua"/>
                <w:lang w:val="en-CA" w:bidi="ar-KW"/>
              </w:rPr>
              <w:t>transverse</w:t>
            </w:r>
          </w:p>
          <w:p w14:paraId="7F94249C"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val="en-CA" w:bidi="ar-KW"/>
              </w:rPr>
              <w:t>incision was made at the junction of the middle and distal thirds of the forearm in line with the flexor-pronator muscles; another 2 cm incision made 4 cm distal to the elbow crease</w:t>
            </w:r>
          </w:p>
        </w:tc>
        <w:tc>
          <w:tcPr>
            <w:tcW w:w="3278" w:type="dxa"/>
            <w:tcBorders>
              <w:top w:val="nil"/>
              <w:left w:val="nil"/>
              <w:bottom w:val="nil"/>
              <w:right w:val="nil"/>
            </w:tcBorders>
          </w:tcPr>
          <w:p w14:paraId="714D67AF"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bidi="ar-KW"/>
              </w:rPr>
              <w:t>--</w:t>
            </w:r>
          </w:p>
        </w:tc>
      </w:tr>
      <w:tr w:rsidR="000843BC" w:rsidRPr="00B329D9" w14:paraId="05100461" w14:textId="77777777" w:rsidTr="00B35D20">
        <w:trPr>
          <w:jc w:val="center"/>
        </w:trPr>
        <w:tc>
          <w:tcPr>
            <w:tcW w:w="1678" w:type="dxa"/>
            <w:tcBorders>
              <w:top w:val="nil"/>
              <w:left w:val="nil"/>
              <w:bottom w:val="nil"/>
              <w:right w:val="nil"/>
            </w:tcBorders>
          </w:tcPr>
          <w:p w14:paraId="3DA8C3F0" w14:textId="14B2F935"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Jans</w:t>
            </w:r>
            <w:proofErr w:type="spellEnd"/>
            <w:r w:rsidRPr="00B329D9">
              <w:rPr>
                <w:rFonts w:ascii="Book Antiqua" w:eastAsia="Calibri" w:hAnsi="Book Antiqua"/>
                <w:lang w:bidi="ar-KW"/>
              </w:rPr>
              <w:t xml:space="preserve">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11]</w:t>
            </w:r>
            <w:r w:rsidRPr="00B329D9">
              <w:rPr>
                <w:rFonts w:ascii="Book Antiqua" w:eastAsia="Calibri" w:hAnsi="Book Antiqua"/>
                <w:lang w:bidi="ar-KW"/>
              </w:rPr>
              <w:t>, 201</w:t>
            </w:r>
            <w:r w:rsidR="00BC06DC">
              <w:rPr>
                <w:rFonts w:ascii="Book Antiqua" w:eastAsia="Calibri" w:hAnsi="Book Antiqua"/>
                <w:lang w:bidi="ar-KW"/>
              </w:rPr>
              <w:t>5</w:t>
            </w:r>
          </w:p>
        </w:tc>
        <w:tc>
          <w:tcPr>
            <w:tcW w:w="2250" w:type="dxa"/>
            <w:tcBorders>
              <w:top w:val="nil"/>
              <w:left w:val="nil"/>
              <w:bottom w:val="nil"/>
              <w:right w:val="nil"/>
            </w:tcBorders>
          </w:tcPr>
          <w:p w14:paraId="0E71AA0E"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154 (all bilateral)</w:t>
            </w:r>
          </w:p>
        </w:tc>
        <w:tc>
          <w:tcPr>
            <w:tcW w:w="3260" w:type="dxa"/>
            <w:tcBorders>
              <w:top w:val="nil"/>
              <w:left w:val="nil"/>
              <w:bottom w:val="nil"/>
              <w:right w:val="nil"/>
            </w:tcBorders>
          </w:tcPr>
          <w:p w14:paraId="399582B9"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val="en-CA" w:bidi="ar-KW"/>
              </w:rPr>
              <w:t xml:space="preserve">The single-use </w:t>
            </w:r>
            <w:proofErr w:type="spellStart"/>
            <w:r w:rsidRPr="00B329D9">
              <w:rPr>
                <w:rFonts w:ascii="Book Antiqua" w:eastAsia="Calibri" w:hAnsi="Book Antiqua"/>
                <w:lang w:val="en-CA" w:bidi="ar-KW"/>
              </w:rPr>
              <w:t>Vasoview</w:t>
            </w:r>
            <w:proofErr w:type="spellEnd"/>
            <w:r w:rsidRPr="00B329D9">
              <w:rPr>
                <w:rFonts w:ascii="Book Antiqua" w:eastAsia="Calibri" w:hAnsi="Book Antiqua"/>
                <w:lang w:val="en-CA" w:bidi="ar-KW"/>
              </w:rPr>
              <w:t xml:space="preserve"> 7 Endoscopic Vessel Harvesting System (</w:t>
            </w:r>
            <w:proofErr w:type="spellStart"/>
            <w:r w:rsidRPr="00B329D9">
              <w:rPr>
                <w:rFonts w:ascii="Book Antiqua" w:eastAsia="Calibri" w:hAnsi="Book Antiqua"/>
                <w:lang w:val="en-CA" w:bidi="ar-KW"/>
              </w:rPr>
              <w:t>Maquet</w:t>
            </w:r>
            <w:proofErr w:type="spellEnd"/>
            <w:r w:rsidRPr="00B329D9">
              <w:rPr>
                <w:rFonts w:ascii="Book Antiqua" w:eastAsia="Calibri" w:hAnsi="Book Antiqua"/>
                <w:lang w:val="en-CA" w:bidi="ar-KW"/>
              </w:rPr>
              <w:t>–Getinge Group, Rastatt, Germany)</w:t>
            </w:r>
          </w:p>
        </w:tc>
        <w:tc>
          <w:tcPr>
            <w:tcW w:w="3261" w:type="dxa"/>
            <w:tcBorders>
              <w:top w:val="nil"/>
              <w:left w:val="nil"/>
              <w:bottom w:val="nil"/>
              <w:right w:val="nil"/>
            </w:tcBorders>
          </w:tcPr>
          <w:p w14:paraId="37C4D06B"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Single 3 cm volar incision between flexor carpi radialis tendon and palmaris longus tendon made 4 cm proximal to the wrist</w:t>
            </w:r>
          </w:p>
        </w:tc>
        <w:tc>
          <w:tcPr>
            <w:tcW w:w="3278" w:type="dxa"/>
            <w:tcBorders>
              <w:top w:val="nil"/>
              <w:left w:val="nil"/>
              <w:bottom w:val="nil"/>
              <w:right w:val="nil"/>
            </w:tcBorders>
          </w:tcPr>
          <w:p w14:paraId="147C7137"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val="en-CA" w:bidi="ar-KW"/>
              </w:rPr>
              <w:t>Decompression of the superficial flexor compartment done up to 3 cm distal to cubital fold</w:t>
            </w:r>
          </w:p>
        </w:tc>
      </w:tr>
      <w:tr w:rsidR="000843BC" w:rsidRPr="00B329D9" w14:paraId="551C84ED" w14:textId="77777777" w:rsidTr="00B35D20">
        <w:trPr>
          <w:jc w:val="center"/>
        </w:trPr>
        <w:tc>
          <w:tcPr>
            <w:tcW w:w="1678" w:type="dxa"/>
            <w:tcBorders>
              <w:top w:val="nil"/>
              <w:left w:val="nil"/>
              <w:bottom w:val="nil"/>
              <w:right w:val="nil"/>
            </w:tcBorders>
          </w:tcPr>
          <w:p w14:paraId="5284B5F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 xml:space="preserve">Miller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17]</w:t>
            </w:r>
            <w:r w:rsidRPr="00B329D9">
              <w:rPr>
                <w:rFonts w:ascii="Book Antiqua" w:eastAsia="Calibri" w:hAnsi="Book Antiqua"/>
                <w:lang w:bidi="ar-KW"/>
              </w:rPr>
              <w:t xml:space="preserve">, 2017 </w:t>
            </w:r>
          </w:p>
        </w:tc>
        <w:tc>
          <w:tcPr>
            <w:tcW w:w="2250" w:type="dxa"/>
            <w:tcBorders>
              <w:top w:val="nil"/>
              <w:left w:val="nil"/>
              <w:bottom w:val="nil"/>
              <w:right w:val="nil"/>
            </w:tcBorders>
          </w:tcPr>
          <w:p w14:paraId="48456519"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 (1 bilateral)</w:t>
            </w:r>
          </w:p>
        </w:tc>
        <w:tc>
          <w:tcPr>
            <w:tcW w:w="3260" w:type="dxa"/>
            <w:tcBorders>
              <w:top w:val="nil"/>
              <w:left w:val="nil"/>
              <w:bottom w:val="nil"/>
              <w:right w:val="nil"/>
            </w:tcBorders>
          </w:tcPr>
          <w:p w14:paraId="29445BE8"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proofErr w:type="spellStart"/>
            <w:r w:rsidRPr="00B329D9">
              <w:rPr>
                <w:rFonts w:ascii="Book Antiqua" w:eastAsia="Calibri" w:hAnsi="Book Antiqua"/>
                <w:lang w:val="en-CA" w:bidi="ar-KW"/>
              </w:rPr>
              <w:t>EndoRelease</w:t>
            </w:r>
            <w:proofErr w:type="spellEnd"/>
            <w:r w:rsidRPr="00B329D9">
              <w:rPr>
                <w:rFonts w:ascii="Book Antiqua" w:eastAsia="Calibri" w:hAnsi="Book Antiqua"/>
                <w:lang w:val="en-CA" w:bidi="ar-KW"/>
              </w:rPr>
              <w:t xml:space="preserve"> (Integra </w:t>
            </w:r>
            <w:proofErr w:type="spellStart"/>
            <w:r w:rsidRPr="00B329D9">
              <w:rPr>
                <w:rFonts w:ascii="Book Antiqua" w:eastAsia="Calibri" w:hAnsi="Book Antiqua"/>
                <w:lang w:val="en-CA" w:bidi="ar-KW"/>
              </w:rPr>
              <w:t>LifeSciences</w:t>
            </w:r>
            <w:proofErr w:type="spellEnd"/>
            <w:r w:rsidRPr="00B329D9">
              <w:rPr>
                <w:rFonts w:ascii="Book Antiqua" w:eastAsia="Calibri" w:hAnsi="Book Antiqua"/>
                <w:lang w:val="en-CA" w:bidi="ar-KW"/>
              </w:rPr>
              <w:t xml:space="preserve"> Corporation,</w:t>
            </w:r>
          </w:p>
          <w:p w14:paraId="3E86955E"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val="en-CA" w:bidi="ar-KW"/>
              </w:rPr>
              <w:t>Plainsboro, New Jersey) system</w:t>
            </w:r>
          </w:p>
        </w:tc>
        <w:tc>
          <w:tcPr>
            <w:tcW w:w="3261" w:type="dxa"/>
            <w:tcBorders>
              <w:top w:val="nil"/>
              <w:left w:val="nil"/>
              <w:bottom w:val="nil"/>
              <w:right w:val="nil"/>
            </w:tcBorders>
          </w:tcPr>
          <w:p w14:paraId="4C1D18EE"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Single incision over the subcutaneous border of the ulna midway between olecranon and ulnar styloid </w:t>
            </w:r>
          </w:p>
        </w:tc>
        <w:tc>
          <w:tcPr>
            <w:tcW w:w="3278" w:type="dxa"/>
            <w:tcBorders>
              <w:top w:val="nil"/>
              <w:left w:val="nil"/>
              <w:bottom w:val="nil"/>
              <w:right w:val="nil"/>
            </w:tcBorders>
          </w:tcPr>
          <w:p w14:paraId="13523DE0"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bidi="ar-KW"/>
              </w:rPr>
              <w:t>--</w:t>
            </w:r>
          </w:p>
        </w:tc>
      </w:tr>
      <w:tr w:rsidR="000843BC" w:rsidRPr="00B329D9" w14:paraId="7416F1FA" w14:textId="77777777" w:rsidTr="00B35D20">
        <w:trPr>
          <w:jc w:val="center"/>
        </w:trPr>
        <w:tc>
          <w:tcPr>
            <w:tcW w:w="1678" w:type="dxa"/>
            <w:tcBorders>
              <w:top w:val="nil"/>
              <w:left w:val="nil"/>
              <w:bottom w:val="nil"/>
              <w:right w:val="nil"/>
            </w:tcBorders>
          </w:tcPr>
          <w:p w14:paraId="42246E09" w14:textId="7777777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Pegoli</w:t>
            </w:r>
            <w:proofErr w:type="spellEnd"/>
            <w:r w:rsidRPr="00B329D9">
              <w:rPr>
                <w:rFonts w:ascii="Book Antiqua" w:eastAsia="Calibri" w:hAnsi="Book Antiqua"/>
                <w:lang w:bidi="ar-KW"/>
              </w:rPr>
              <w:t xml:space="preserve">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15]</w:t>
            </w:r>
            <w:r w:rsidRPr="00B329D9">
              <w:rPr>
                <w:rFonts w:ascii="Book Antiqua" w:eastAsia="Calibri" w:hAnsi="Book Antiqua"/>
                <w:lang w:bidi="ar-KW"/>
              </w:rPr>
              <w:t>, 2016</w:t>
            </w:r>
          </w:p>
        </w:tc>
        <w:tc>
          <w:tcPr>
            <w:tcW w:w="2250" w:type="dxa"/>
            <w:tcBorders>
              <w:top w:val="nil"/>
              <w:left w:val="nil"/>
              <w:bottom w:val="nil"/>
              <w:right w:val="nil"/>
            </w:tcBorders>
          </w:tcPr>
          <w:p w14:paraId="0A9E255E"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3 (1 bilateral)</w:t>
            </w:r>
          </w:p>
        </w:tc>
        <w:tc>
          <w:tcPr>
            <w:tcW w:w="3260" w:type="dxa"/>
            <w:tcBorders>
              <w:top w:val="nil"/>
              <w:left w:val="nil"/>
              <w:bottom w:val="nil"/>
              <w:right w:val="nil"/>
            </w:tcBorders>
          </w:tcPr>
          <w:p w14:paraId="700C2F4F"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bidi="ar-KW"/>
              </w:rPr>
              <w:t>STORZ endoscopy set</w:t>
            </w:r>
          </w:p>
        </w:tc>
        <w:tc>
          <w:tcPr>
            <w:tcW w:w="3261" w:type="dxa"/>
            <w:tcBorders>
              <w:top w:val="nil"/>
              <w:left w:val="nil"/>
              <w:bottom w:val="nil"/>
              <w:right w:val="nil"/>
            </w:tcBorders>
          </w:tcPr>
          <w:p w14:paraId="1E7FD154"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Single 2 cm volar incision: Line drawn between medial epicondyle to wrist flexion crease ulnar to palmaris longus tendon, then divided into 4 parts. Incision is made between first and second quarters proximally</w:t>
            </w:r>
          </w:p>
        </w:tc>
        <w:tc>
          <w:tcPr>
            <w:tcW w:w="3278" w:type="dxa"/>
            <w:tcBorders>
              <w:top w:val="nil"/>
              <w:left w:val="nil"/>
              <w:bottom w:val="nil"/>
              <w:right w:val="nil"/>
            </w:tcBorders>
          </w:tcPr>
          <w:p w14:paraId="288E3F16"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Fasciotomy between flexor carpi radialis/palmaris longus tendons laterally and flexor carpi </w:t>
            </w:r>
            <w:proofErr w:type="spellStart"/>
            <w:r w:rsidRPr="00B329D9">
              <w:rPr>
                <w:rFonts w:ascii="Book Antiqua" w:eastAsia="Calibri" w:hAnsi="Book Antiqua"/>
                <w:lang w:bidi="ar-KW"/>
              </w:rPr>
              <w:t>ulnaris</w:t>
            </w:r>
            <w:proofErr w:type="spellEnd"/>
            <w:r w:rsidRPr="00B329D9">
              <w:rPr>
                <w:rFonts w:ascii="Book Antiqua" w:eastAsia="Calibri" w:hAnsi="Book Antiqua"/>
                <w:lang w:bidi="ar-KW"/>
              </w:rPr>
              <w:t xml:space="preserve"> medially</w:t>
            </w:r>
          </w:p>
        </w:tc>
      </w:tr>
      <w:tr w:rsidR="000843BC" w:rsidRPr="00B329D9" w14:paraId="6ED3BD2D" w14:textId="77777777" w:rsidTr="00B35D20">
        <w:trPr>
          <w:jc w:val="center"/>
        </w:trPr>
        <w:tc>
          <w:tcPr>
            <w:tcW w:w="1678" w:type="dxa"/>
            <w:tcBorders>
              <w:top w:val="nil"/>
              <w:left w:val="nil"/>
              <w:bottom w:val="nil"/>
              <w:right w:val="nil"/>
            </w:tcBorders>
          </w:tcPr>
          <w:p w14:paraId="2F4DEC7F" w14:textId="7777777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Ruyer</w:t>
            </w:r>
            <w:proofErr w:type="spellEnd"/>
            <w:r w:rsidRPr="00B329D9">
              <w:rPr>
                <w:rFonts w:ascii="Book Antiqua" w:eastAsia="Calibri" w:hAnsi="Book Antiqua"/>
                <w:lang w:bidi="ar-KW"/>
              </w:rPr>
              <w:t xml:space="preserve">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16]</w:t>
            </w:r>
            <w:r w:rsidRPr="00B329D9">
              <w:rPr>
                <w:rFonts w:ascii="Book Antiqua" w:eastAsia="Calibri" w:hAnsi="Book Antiqua"/>
                <w:lang w:bidi="ar-KW"/>
              </w:rPr>
              <w:t>, 2020</w:t>
            </w:r>
          </w:p>
        </w:tc>
        <w:tc>
          <w:tcPr>
            <w:tcW w:w="2250" w:type="dxa"/>
            <w:tcBorders>
              <w:top w:val="nil"/>
              <w:left w:val="nil"/>
              <w:bottom w:val="nil"/>
              <w:right w:val="nil"/>
            </w:tcBorders>
          </w:tcPr>
          <w:p w14:paraId="5B769489"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21 (15 bilateral)</w:t>
            </w:r>
          </w:p>
        </w:tc>
        <w:tc>
          <w:tcPr>
            <w:tcW w:w="3260" w:type="dxa"/>
            <w:tcBorders>
              <w:top w:val="nil"/>
              <w:left w:val="nil"/>
              <w:bottom w:val="nil"/>
              <w:right w:val="nil"/>
            </w:tcBorders>
          </w:tcPr>
          <w:p w14:paraId="6F2D21C9" w14:textId="7777777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val="en-CA" w:bidi="ar-KW"/>
              </w:rPr>
              <w:t>SmartRelease</w:t>
            </w:r>
            <w:proofErr w:type="spellEnd"/>
            <w:r w:rsidRPr="00F74AB7">
              <w:rPr>
                <w:rFonts w:ascii="Book Antiqua" w:eastAsia="Calibri" w:hAnsi="Book Antiqua"/>
                <w:vertAlign w:val="superscript"/>
                <w:lang w:val="en-CA" w:bidi="ar-KW"/>
              </w:rPr>
              <w:t>®</w:t>
            </w:r>
            <w:r w:rsidRPr="00B329D9">
              <w:rPr>
                <w:rFonts w:ascii="Book Antiqua" w:eastAsia="Calibri" w:hAnsi="Book Antiqua"/>
                <w:lang w:val="en-CA" w:bidi="ar-KW"/>
              </w:rPr>
              <w:t xml:space="preserve"> (previously Agee</w:t>
            </w:r>
            <w:r w:rsidRPr="00F74AB7">
              <w:rPr>
                <w:rFonts w:ascii="Book Antiqua" w:eastAsia="Calibri" w:hAnsi="Book Antiqua"/>
                <w:vertAlign w:val="superscript"/>
                <w:lang w:val="en-CA" w:bidi="ar-KW"/>
              </w:rPr>
              <w:t>®</w:t>
            </w:r>
            <w:r w:rsidRPr="00B329D9">
              <w:rPr>
                <w:rFonts w:ascii="Book Antiqua" w:eastAsia="Calibri" w:hAnsi="Book Antiqua"/>
                <w:lang w:val="en-CA" w:bidi="ar-KW"/>
              </w:rPr>
              <w:t>) endoscopic system (Micro- Aire Surgical Instruments, VA, United States)</w:t>
            </w:r>
          </w:p>
        </w:tc>
        <w:tc>
          <w:tcPr>
            <w:tcW w:w="3261" w:type="dxa"/>
            <w:tcBorders>
              <w:top w:val="nil"/>
              <w:left w:val="nil"/>
              <w:bottom w:val="nil"/>
              <w:right w:val="nil"/>
            </w:tcBorders>
          </w:tcPr>
          <w:p w14:paraId="317609F1"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Incision based on the involved compartments: Line drawn between medial epicondyle to middle of wrist flexion crease anteriorly, and between lateral epicondyle and Lister’s tubercle posteriorly. </w:t>
            </w:r>
            <w:r w:rsidRPr="00B329D9">
              <w:rPr>
                <w:rFonts w:ascii="Book Antiqua" w:eastAsia="Calibri" w:hAnsi="Book Antiqua"/>
                <w:lang w:bidi="ar-KW"/>
              </w:rPr>
              <w:lastRenderedPageBreak/>
              <w:t>2 or 3 small incisions are made along the lines to fit the 6 cm long endoscopic knife</w:t>
            </w:r>
          </w:p>
        </w:tc>
        <w:tc>
          <w:tcPr>
            <w:tcW w:w="3278" w:type="dxa"/>
            <w:tcBorders>
              <w:top w:val="nil"/>
              <w:left w:val="nil"/>
              <w:bottom w:val="nil"/>
              <w:right w:val="nil"/>
            </w:tcBorders>
          </w:tcPr>
          <w:p w14:paraId="18682803"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val="en-CA" w:bidi="ar-KW"/>
              </w:rPr>
              <w:lastRenderedPageBreak/>
              <w:t>--</w:t>
            </w:r>
          </w:p>
        </w:tc>
      </w:tr>
      <w:tr w:rsidR="000843BC" w:rsidRPr="00B329D9" w14:paraId="01191A0C" w14:textId="77777777" w:rsidTr="00B35D20">
        <w:trPr>
          <w:jc w:val="center"/>
        </w:trPr>
        <w:tc>
          <w:tcPr>
            <w:tcW w:w="1678" w:type="dxa"/>
            <w:tcBorders>
              <w:top w:val="nil"/>
              <w:left w:val="nil"/>
              <w:bottom w:val="single" w:sz="4" w:space="0" w:color="auto"/>
              <w:right w:val="nil"/>
            </w:tcBorders>
          </w:tcPr>
          <w:p w14:paraId="4C0D4921"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Seiler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18],</w:t>
            </w:r>
            <w:r w:rsidRPr="00B329D9">
              <w:rPr>
                <w:rFonts w:ascii="Book Antiqua" w:eastAsia="Calibri" w:hAnsi="Book Antiqua"/>
                <w:lang w:bidi="ar-KW"/>
              </w:rPr>
              <w:t xml:space="preserve"> 2011</w:t>
            </w:r>
          </w:p>
        </w:tc>
        <w:tc>
          <w:tcPr>
            <w:tcW w:w="2250" w:type="dxa"/>
            <w:tcBorders>
              <w:top w:val="nil"/>
              <w:left w:val="nil"/>
              <w:bottom w:val="single" w:sz="4" w:space="0" w:color="auto"/>
              <w:right w:val="nil"/>
            </w:tcBorders>
          </w:tcPr>
          <w:p w14:paraId="34BB527A"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(bilateral)</w:t>
            </w:r>
          </w:p>
        </w:tc>
        <w:tc>
          <w:tcPr>
            <w:tcW w:w="3260" w:type="dxa"/>
            <w:tcBorders>
              <w:top w:val="nil"/>
              <w:left w:val="nil"/>
              <w:bottom w:val="single" w:sz="4" w:space="0" w:color="auto"/>
              <w:right w:val="nil"/>
            </w:tcBorders>
          </w:tcPr>
          <w:p w14:paraId="1157E3D8"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0° endoscope and </w:t>
            </w:r>
            <w:r w:rsidRPr="00B329D9">
              <w:rPr>
                <w:rFonts w:ascii="Book Antiqua" w:eastAsia="Calibri" w:hAnsi="Book Antiqua"/>
                <w:lang w:val="en-CA" w:bidi="ar-KW"/>
              </w:rPr>
              <w:t>electrocautery forceps</w:t>
            </w:r>
          </w:p>
        </w:tc>
        <w:tc>
          <w:tcPr>
            <w:tcW w:w="3261" w:type="dxa"/>
            <w:tcBorders>
              <w:top w:val="nil"/>
              <w:left w:val="nil"/>
              <w:bottom w:val="single" w:sz="4" w:space="0" w:color="auto"/>
              <w:right w:val="nil"/>
            </w:tcBorders>
          </w:tcPr>
          <w:p w14:paraId="73CCA0EB"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3 incisions: dorsal incision just proximal to extensor retinaculum along a line between lateral epicondyle and Lister’s tubercle; volar incision made along a line between palmaris longus tendon and biceps tendon, proximal incision made 1 cm distal to the midline of the antecubital fossa, and distal incision at the wrist crease just ulnar to palmaris longus tendon</w:t>
            </w:r>
          </w:p>
        </w:tc>
        <w:tc>
          <w:tcPr>
            <w:tcW w:w="3278" w:type="dxa"/>
            <w:tcBorders>
              <w:top w:val="nil"/>
              <w:left w:val="nil"/>
              <w:bottom w:val="single" w:sz="4" w:space="0" w:color="auto"/>
              <w:right w:val="nil"/>
            </w:tcBorders>
          </w:tcPr>
          <w:p w14:paraId="0C46543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r>
    </w:tbl>
    <w:p w14:paraId="3B08F8F4"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hAnsi="Book Antiqua"/>
        </w:rPr>
        <w:br w:type="page"/>
      </w:r>
      <w:r w:rsidRPr="00B329D9">
        <w:rPr>
          <w:rFonts w:ascii="Book Antiqua" w:eastAsia="Calibri" w:hAnsi="Book Antiqua"/>
          <w:b/>
          <w:bCs/>
          <w:lang w:bidi="ar-KW"/>
        </w:rPr>
        <w:lastRenderedPageBreak/>
        <w:t>Table 3 Outcomes and complications of endoscopic fasciotomy of the forearm for chronic exertional compartment syndrome</w:t>
      </w:r>
    </w:p>
    <w:tbl>
      <w:tblPr>
        <w:tblW w:w="13335" w:type="dxa"/>
        <w:jc w:val="center"/>
        <w:tblBorders>
          <w:top w:val="single" w:sz="4" w:space="0" w:color="auto"/>
          <w:bottom w:val="single" w:sz="4" w:space="0" w:color="auto"/>
        </w:tblBorders>
        <w:tblLayout w:type="fixed"/>
        <w:tblLook w:val="04A0" w:firstRow="1" w:lastRow="0" w:firstColumn="1" w:lastColumn="0" w:noHBand="0" w:noVBand="1"/>
      </w:tblPr>
      <w:tblGrid>
        <w:gridCol w:w="993"/>
        <w:gridCol w:w="867"/>
        <w:gridCol w:w="1134"/>
        <w:gridCol w:w="1543"/>
        <w:gridCol w:w="2249"/>
        <w:gridCol w:w="1482"/>
        <w:gridCol w:w="1418"/>
        <w:gridCol w:w="1655"/>
        <w:gridCol w:w="9"/>
        <w:gridCol w:w="992"/>
        <w:gridCol w:w="993"/>
      </w:tblGrid>
      <w:tr w:rsidR="000843BC" w:rsidRPr="00B329D9" w14:paraId="5AAA0731" w14:textId="77777777" w:rsidTr="00B35D20">
        <w:trPr>
          <w:jc w:val="center"/>
        </w:trPr>
        <w:tc>
          <w:tcPr>
            <w:tcW w:w="993" w:type="dxa"/>
            <w:tcBorders>
              <w:top w:val="single" w:sz="4" w:space="0" w:color="auto"/>
              <w:bottom w:val="single" w:sz="4" w:space="0" w:color="auto"/>
            </w:tcBorders>
          </w:tcPr>
          <w:p w14:paraId="62438421" w14:textId="7A288004" w:rsidR="000843BC" w:rsidRPr="00B329D9" w:rsidRDefault="00F74AB7" w:rsidP="00B329D9">
            <w:pPr>
              <w:adjustRightInd w:val="0"/>
              <w:snapToGrid w:val="0"/>
              <w:spacing w:line="360" w:lineRule="auto"/>
              <w:jc w:val="both"/>
              <w:rPr>
                <w:rFonts w:ascii="Book Antiqua" w:eastAsia="Calibri" w:hAnsi="Book Antiqua"/>
                <w:b/>
                <w:bCs/>
                <w:lang w:bidi="ar-KW"/>
              </w:rPr>
            </w:pPr>
            <w:r>
              <w:rPr>
                <w:rFonts w:ascii="Book Antiqua" w:eastAsia="Calibri" w:hAnsi="Book Antiqua"/>
                <w:b/>
                <w:bCs/>
                <w:lang w:bidi="ar-KW"/>
              </w:rPr>
              <w:t>Ref.</w:t>
            </w:r>
          </w:p>
        </w:tc>
        <w:tc>
          <w:tcPr>
            <w:tcW w:w="867" w:type="dxa"/>
            <w:tcBorders>
              <w:top w:val="single" w:sz="4" w:space="0" w:color="auto"/>
              <w:bottom w:val="single" w:sz="4" w:space="0" w:color="auto"/>
            </w:tcBorders>
          </w:tcPr>
          <w:p w14:paraId="5330C2F9"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Sample size</w:t>
            </w:r>
          </w:p>
        </w:tc>
        <w:tc>
          <w:tcPr>
            <w:tcW w:w="1134" w:type="dxa"/>
            <w:tcBorders>
              <w:top w:val="single" w:sz="4" w:space="0" w:color="auto"/>
              <w:bottom w:val="single" w:sz="4" w:space="0" w:color="auto"/>
            </w:tcBorders>
          </w:tcPr>
          <w:p w14:paraId="10B4B442"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Follow-up duration</w:t>
            </w:r>
          </w:p>
        </w:tc>
        <w:tc>
          <w:tcPr>
            <w:tcW w:w="1543" w:type="dxa"/>
            <w:tcBorders>
              <w:top w:val="single" w:sz="4" w:space="0" w:color="auto"/>
              <w:bottom w:val="single" w:sz="4" w:space="0" w:color="auto"/>
            </w:tcBorders>
          </w:tcPr>
          <w:p w14:paraId="7F740DBB"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Postoperative VAS score</w:t>
            </w:r>
          </w:p>
          <w:p w14:paraId="223FC342"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(mean and range)</w:t>
            </w:r>
          </w:p>
        </w:tc>
        <w:tc>
          <w:tcPr>
            <w:tcW w:w="2249" w:type="dxa"/>
            <w:tcBorders>
              <w:top w:val="single" w:sz="4" w:space="0" w:color="auto"/>
              <w:bottom w:val="single" w:sz="4" w:space="0" w:color="auto"/>
            </w:tcBorders>
          </w:tcPr>
          <w:p w14:paraId="03328C6D"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Postoperative DASH score</w:t>
            </w:r>
          </w:p>
          <w:p w14:paraId="4541F615"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(mean and range)</w:t>
            </w:r>
          </w:p>
        </w:tc>
        <w:tc>
          <w:tcPr>
            <w:tcW w:w="1482" w:type="dxa"/>
            <w:tcBorders>
              <w:top w:val="single" w:sz="4" w:space="0" w:color="auto"/>
              <w:bottom w:val="single" w:sz="4" w:space="0" w:color="auto"/>
            </w:tcBorders>
          </w:tcPr>
          <w:p w14:paraId="0E8A5E39"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Postoperative quick DASH score</w:t>
            </w:r>
          </w:p>
          <w:p w14:paraId="6D4D6BF9"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(mean and range)</w:t>
            </w:r>
          </w:p>
        </w:tc>
        <w:tc>
          <w:tcPr>
            <w:tcW w:w="1418" w:type="dxa"/>
            <w:tcBorders>
              <w:top w:val="single" w:sz="4" w:space="0" w:color="auto"/>
              <w:bottom w:val="single" w:sz="4" w:space="0" w:color="auto"/>
            </w:tcBorders>
          </w:tcPr>
          <w:p w14:paraId="4E34234C"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Return to sports</w:t>
            </w:r>
          </w:p>
        </w:tc>
        <w:tc>
          <w:tcPr>
            <w:tcW w:w="1655" w:type="dxa"/>
            <w:tcBorders>
              <w:top w:val="single" w:sz="4" w:space="0" w:color="auto"/>
              <w:bottom w:val="single" w:sz="4" w:space="0" w:color="auto"/>
            </w:tcBorders>
          </w:tcPr>
          <w:p w14:paraId="413AED8E"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Other outcomes</w:t>
            </w:r>
          </w:p>
        </w:tc>
        <w:tc>
          <w:tcPr>
            <w:tcW w:w="1001" w:type="dxa"/>
            <w:gridSpan w:val="2"/>
            <w:tcBorders>
              <w:top w:val="single" w:sz="4" w:space="0" w:color="auto"/>
              <w:bottom w:val="single" w:sz="4" w:space="0" w:color="auto"/>
            </w:tcBorders>
          </w:tcPr>
          <w:p w14:paraId="0CB83D5A"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Recurrence</w:t>
            </w:r>
          </w:p>
        </w:tc>
        <w:tc>
          <w:tcPr>
            <w:tcW w:w="993" w:type="dxa"/>
            <w:tcBorders>
              <w:top w:val="single" w:sz="4" w:space="0" w:color="auto"/>
              <w:bottom w:val="single" w:sz="4" w:space="0" w:color="auto"/>
            </w:tcBorders>
          </w:tcPr>
          <w:p w14:paraId="1316543B" w14:textId="77777777" w:rsidR="000843BC" w:rsidRPr="00B329D9" w:rsidRDefault="000843BC" w:rsidP="00B329D9">
            <w:pPr>
              <w:adjustRightInd w:val="0"/>
              <w:snapToGrid w:val="0"/>
              <w:spacing w:line="360" w:lineRule="auto"/>
              <w:jc w:val="both"/>
              <w:rPr>
                <w:rFonts w:ascii="Book Antiqua" w:eastAsia="Calibri" w:hAnsi="Book Antiqua"/>
                <w:b/>
                <w:bCs/>
                <w:lang w:bidi="ar-KW"/>
              </w:rPr>
            </w:pPr>
            <w:r w:rsidRPr="00B329D9">
              <w:rPr>
                <w:rFonts w:ascii="Book Antiqua" w:eastAsia="Calibri" w:hAnsi="Book Antiqua"/>
                <w:b/>
                <w:bCs/>
                <w:lang w:bidi="ar-KW"/>
              </w:rPr>
              <w:t>Complications</w:t>
            </w:r>
          </w:p>
        </w:tc>
      </w:tr>
      <w:tr w:rsidR="000843BC" w:rsidRPr="00B329D9" w14:paraId="101CB7BF" w14:textId="77777777" w:rsidTr="00B35D20">
        <w:trPr>
          <w:jc w:val="center"/>
        </w:trPr>
        <w:tc>
          <w:tcPr>
            <w:tcW w:w="993" w:type="dxa"/>
            <w:tcBorders>
              <w:top w:val="single" w:sz="4" w:space="0" w:color="auto"/>
            </w:tcBorders>
          </w:tcPr>
          <w:p w14:paraId="47E2BFA3"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Abe and </w:t>
            </w:r>
            <w:proofErr w:type="spellStart"/>
            <w:proofErr w:type="gramStart"/>
            <w:r w:rsidRPr="00B329D9">
              <w:rPr>
                <w:rFonts w:ascii="Book Antiqua" w:eastAsia="Calibri" w:hAnsi="Book Antiqua"/>
                <w:lang w:bidi="ar-KW"/>
              </w:rPr>
              <w:t>Fujii</w:t>
            </w:r>
            <w:proofErr w:type="spellEnd"/>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10]</w:t>
            </w:r>
            <w:r w:rsidRPr="00B329D9">
              <w:rPr>
                <w:rFonts w:ascii="Book Antiqua" w:eastAsia="Calibri" w:hAnsi="Book Antiqua"/>
                <w:lang w:bidi="ar-KW"/>
              </w:rPr>
              <w:t>, 2017</w:t>
            </w:r>
          </w:p>
        </w:tc>
        <w:tc>
          <w:tcPr>
            <w:tcW w:w="867" w:type="dxa"/>
            <w:tcBorders>
              <w:top w:val="single" w:sz="4" w:space="0" w:color="auto"/>
            </w:tcBorders>
          </w:tcPr>
          <w:p w14:paraId="60DEAC13"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(unilateral)</w:t>
            </w:r>
          </w:p>
        </w:tc>
        <w:tc>
          <w:tcPr>
            <w:tcW w:w="1134" w:type="dxa"/>
            <w:tcBorders>
              <w:top w:val="single" w:sz="4" w:space="0" w:color="auto"/>
            </w:tcBorders>
          </w:tcPr>
          <w:p w14:paraId="597C4944"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7 </w:t>
            </w:r>
            <w:proofErr w:type="spellStart"/>
            <w:r w:rsidRPr="00B329D9">
              <w:rPr>
                <w:rFonts w:ascii="Book Antiqua" w:eastAsia="Calibri" w:hAnsi="Book Antiqua"/>
                <w:lang w:bidi="ar-KW"/>
              </w:rPr>
              <w:t>mo</w:t>
            </w:r>
            <w:proofErr w:type="spellEnd"/>
          </w:p>
        </w:tc>
        <w:tc>
          <w:tcPr>
            <w:tcW w:w="1543" w:type="dxa"/>
            <w:tcBorders>
              <w:top w:val="single" w:sz="4" w:space="0" w:color="auto"/>
            </w:tcBorders>
          </w:tcPr>
          <w:p w14:paraId="101392EB"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p w14:paraId="59F7F359"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p>
        </w:tc>
        <w:tc>
          <w:tcPr>
            <w:tcW w:w="2249" w:type="dxa"/>
            <w:tcBorders>
              <w:top w:val="single" w:sz="4" w:space="0" w:color="auto"/>
            </w:tcBorders>
          </w:tcPr>
          <w:p w14:paraId="183F7D18"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482" w:type="dxa"/>
            <w:tcBorders>
              <w:top w:val="single" w:sz="4" w:space="0" w:color="auto"/>
            </w:tcBorders>
          </w:tcPr>
          <w:p w14:paraId="56AEBA7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418" w:type="dxa"/>
            <w:tcBorders>
              <w:top w:val="single" w:sz="4" w:space="0" w:color="auto"/>
            </w:tcBorders>
          </w:tcPr>
          <w:p w14:paraId="083347C9"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Returned 2 </w:t>
            </w:r>
            <w:proofErr w:type="spellStart"/>
            <w:r w:rsidRPr="00B329D9">
              <w:rPr>
                <w:rFonts w:ascii="Book Antiqua" w:eastAsia="Calibri" w:hAnsi="Book Antiqua"/>
                <w:lang w:bidi="ar-KW"/>
              </w:rPr>
              <w:t>mo</w:t>
            </w:r>
            <w:proofErr w:type="spellEnd"/>
            <w:r w:rsidRPr="00B329D9">
              <w:rPr>
                <w:rFonts w:ascii="Book Antiqua" w:eastAsia="Calibri" w:hAnsi="Book Antiqua"/>
                <w:lang w:bidi="ar-KW"/>
              </w:rPr>
              <w:t xml:space="preserve"> postoperatively</w:t>
            </w:r>
          </w:p>
        </w:tc>
        <w:tc>
          <w:tcPr>
            <w:tcW w:w="1664" w:type="dxa"/>
            <w:gridSpan w:val="2"/>
            <w:tcBorders>
              <w:top w:val="single" w:sz="4" w:space="0" w:color="auto"/>
            </w:tcBorders>
          </w:tcPr>
          <w:p w14:paraId="3255AF7B"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Pain free at 4 </w:t>
            </w:r>
            <w:proofErr w:type="spellStart"/>
            <w:r w:rsidRPr="00B329D9">
              <w:rPr>
                <w:rFonts w:ascii="Book Antiqua" w:eastAsia="Calibri" w:hAnsi="Book Antiqua"/>
                <w:lang w:bidi="ar-KW"/>
              </w:rPr>
              <w:t>mo</w:t>
            </w:r>
            <w:proofErr w:type="spellEnd"/>
            <w:r w:rsidRPr="00B329D9">
              <w:rPr>
                <w:rFonts w:ascii="Book Antiqua" w:eastAsia="Calibri" w:hAnsi="Book Antiqua"/>
                <w:lang w:bidi="ar-KW"/>
              </w:rPr>
              <w:t xml:space="preserve"> postoperatively</w:t>
            </w:r>
          </w:p>
        </w:tc>
        <w:tc>
          <w:tcPr>
            <w:tcW w:w="992" w:type="dxa"/>
            <w:tcBorders>
              <w:top w:val="single" w:sz="4" w:space="0" w:color="auto"/>
            </w:tcBorders>
          </w:tcPr>
          <w:p w14:paraId="1C39C3C6"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None</w:t>
            </w:r>
          </w:p>
        </w:tc>
        <w:tc>
          <w:tcPr>
            <w:tcW w:w="993" w:type="dxa"/>
            <w:tcBorders>
              <w:top w:val="single" w:sz="4" w:space="0" w:color="auto"/>
            </w:tcBorders>
          </w:tcPr>
          <w:p w14:paraId="6F183E58"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None</w:t>
            </w:r>
          </w:p>
        </w:tc>
      </w:tr>
      <w:tr w:rsidR="000843BC" w:rsidRPr="00B329D9" w14:paraId="6BACF088" w14:textId="77777777" w:rsidTr="00B35D20">
        <w:trPr>
          <w:jc w:val="center"/>
        </w:trPr>
        <w:tc>
          <w:tcPr>
            <w:tcW w:w="993" w:type="dxa"/>
          </w:tcPr>
          <w:p w14:paraId="38C1E4F1" w14:textId="7777777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Hijjawi</w:t>
            </w:r>
            <w:proofErr w:type="spellEnd"/>
            <w:r w:rsidRPr="00B329D9">
              <w:rPr>
                <w:rFonts w:ascii="Book Antiqua" w:eastAsia="Calibri" w:hAnsi="Book Antiqua"/>
                <w:lang w:bidi="ar-KW"/>
              </w:rPr>
              <w:t xml:space="preserve"> and </w:t>
            </w:r>
            <w:proofErr w:type="gramStart"/>
            <w:r w:rsidRPr="00B329D9">
              <w:rPr>
                <w:rFonts w:ascii="Book Antiqua" w:eastAsia="Calibri" w:hAnsi="Book Antiqua"/>
                <w:lang w:bidi="ar-KW"/>
              </w:rPr>
              <w:t>Nagle</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14]</w:t>
            </w:r>
            <w:r w:rsidRPr="00B329D9">
              <w:rPr>
                <w:rFonts w:ascii="Book Antiqua" w:eastAsia="Calibri" w:hAnsi="Book Antiqua"/>
                <w:lang w:bidi="ar-KW"/>
              </w:rPr>
              <w:t>, 2010</w:t>
            </w:r>
          </w:p>
        </w:tc>
        <w:tc>
          <w:tcPr>
            <w:tcW w:w="867" w:type="dxa"/>
          </w:tcPr>
          <w:p w14:paraId="0178C121"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(unilateral)</w:t>
            </w:r>
          </w:p>
        </w:tc>
        <w:tc>
          <w:tcPr>
            <w:tcW w:w="1134" w:type="dxa"/>
          </w:tcPr>
          <w:p w14:paraId="1095BEB9"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6 </w:t>
            </w:r>
            <w:proofErr w:type="spellStart"/>
            <w:r w:rsidRPr="00B329D9">
              <w:rPr>
                <w:rFonts w:ascii="Book Antiqua" w:eastAsia="Calibri" w:hAnsi="Book Antiqua"/>
                <w:lang w:bidi="ar-KW"/>
              </w:rPr>
              <w:t>mo</w:t>
            </w:r>
            <w:proofErr w:type="spellEnd"/>
          </w:p>
        </w:tc>
        <w:tc>
          <w:tcPr>
            <w:tcW w:w="1543" w:type="dxa"/>
          </w:tcPr>
          <w:p w14:paraId="5BC2675E"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bidi="ar-KW"/>
              </w:rPr>
              <w:t>--</w:t>
            </w:r>
          </w:p>
        </w:tc>
        <w:tc>
          <w:tcPr>
            <w:tcW w:w="2249" w:type="dxa"/>
          </w:tcPr>
          <w:p w14:paraId="4C047446"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482" w:type="dxa"/>
          </w:tcPr>
          <w:p w14:paraId="61ED91F8"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418" w:type="dxa"/>
          </w:tcPr>
          <w:p w14:paraId="7205D08D"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664" w:type="dxa"/>
            <w:gridSpan w:val="2"/>
          </w:tcPr>
          <w:p w14:paraId="641E9BEB"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Pain free at final follow-up</w:t>
            </w:r>
          </w:p>
        </w:tc>
        <w:tc>
          <w:tcPr>
            <w:tcW w:w="992" w:type="dxa"/>
          </w:tcPr>
          <w:p w14:paraId="05507964"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None</w:t>
            </w:r>
          </w:p>
        </w:tc>
        <w:tc>
          <w:tcPr>
            <w:tcW w:w="993" w:type="dxa"/>
          </w:tcPr>
          <w:p w14:paraId="7B4D9DD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None</w:t>
            </w:r>
          </w:p>
        </w:tc>
      </w:tr>
      <w:tr w:rsidR="000843BC" w:rsidRPr="00B329D9" w14:paraId="4910F01F" w14:textId="77777777" w:rsidTr="00B35D20">
        <w:trPr>
          <w:jc w:val="center"/>
        </w:trPr>
        <w:tc>
          <w:tcPr>
            <w:tcW w:w="993" w:type="dxa"/>
          </w:tcPr>
          <w:p w14:paraId="649490DB" w14:textId="2DFE6E3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Jans</w:t>
            </w:r>
            <w:proofErr w:type="spellEnd"/>
            <w:r w:rsidRPr="00B329D9">
              <w:rPr>
                <w:rFonts w:ascii="Book Antiqua" w:eastAsia="Calibri" w:hAnsi="Book Antiqua"/>
                <w:lang w:bidi="ar-KW"/>
              </w:rPr>
              <w:t xml:space="preserve">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11]</w:t>
            </w:r>
            <w:r w:rsidRPr="00B329D9">
              <w:rPr>
                <w:rFonts w:ascii="Book Antiqua" w:eastAsia="Calibri" w:hAnsi="Book Antiqua"/>
                <w:lang w:bidi="ar-KW"/>
              </w:rPr>
              <w:t>, 201</w:t>
            </w:r>
            <w:r w:rsidR="00BC06DC">
              <w:rPr>
                <w:rFonts w:ascii="Book Antiqua" w:eastAsia="Calibri" w:hAnsi="Book Antiqua"/>
                <w:lang w:bidi="ar-KW"/>
              </w:rPr>
              <w:t>5</w:t>
            </w:r>
          </w:p>
        </w:tc>
        <w:tc>
          <w:tcPr>
            <w:tcW w:w="867" w:type="dxa"/>
          </w:tcPr>
          <w:p w14:paraId="328620B7"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154 (all bilateral)</w:t>
            </w:r>
          </w:p>
        </w:tc>
        <w:tc>
          <w:tcPr>
            <w:tcW w:w="1134" w:type="dxa"/>
          </w:tcPr>
          <w:p w14:paraId="5EA1C95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6 </w:t>
            </w:r>
            <w:proofErr w:type="spellStart"/>
            <w:r w:rsidRPr="00B329D9">
              <w:rPr>
                <w:rFonts w:ascii="Book Antiqua" w:eastAsia="Calibri" w:hAnsi="Book Antiqua"/>
                <w:lang w:bidi="ar-KW"/>
              </w:rPr>
              <w:t>wk</w:t>
            </w:r>
            <w:proofErr w:type="spellEnd"/>
          </w:p>
        </w:tc>
        <w:tc>
          <w:tcPr>
            <w:tcW w:w="1543" w:type="dxa"/>
          </w:tcPr>
          <w:p w14:paraId="7FB53B8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val="en-CA" w:bidi="ar-KW"/>
              </w:rPr>
              <w:t>1.0 ± 0.2 at rest and</w:t>
            </w:r>
            <w:r w:rsidRPr="00B329D9">
              <w:rPr>
                <w:rFonts w:ascii="Book Antiqua" w:eastAsia="Calibri" w:hAnsi="Book Antiqua" w:cs="MlyljhAdvPTimes"/>
                <w:lang w:val="en-CA" w:eastAsia="en-CA"/>
              </w:rPr>
              <w:t xml:space="preserve"> </w:t>
            </w:r>
            <w:r w:rsidRPr="00B329D9">
              <w:rPr>
                <w:rFonts w:ascii="Book Antiqua" w:eastAsia="Calibri" w:hAnsi="Book Antiqua"/>
                <w:lang w:val="en-CA" w:bidi="ar-KW"/>
              </w:rPr>
              <w:t xml:space="preserve">1.7 ± 0.9 after stress (used scale of 1 to </w:t>
            </w:r>
            <w:r w:rsidRPr="00B329D9">
              <w:rPr>
                <w:rFonts w:ascii="Book Antiqua" w:eastAsia="Calibri" w:hAnsi="Book Antiqua"/>
                <w:lang w:val="en-CA" w:bidi="ar-KW"/>
              </w:rPr>
              <w:lastRenderedPageBreak/>
              <w:t>10)</w:t>
            </w:r>
          </w:p>
        </w:tc>
        <w:tc>
          <w:tcPr>
            <w:tcW w:w="2249" w:type="dxa"/>
          </w:tcPr>
          <w:p w14:paraId="66B8D991"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w:t>
            </w:r>
          </w:p>
        </w:tc>
        <w:tc>
          <w:tcPr>
            <w:tcW w:w="1482" w:type="dxa"/>
          </w:tcPr>
          <w:p w14:paraId="5C7F8CE1"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418" w:type="dxa"/>
          </w:tcPr>
          <w:p w14:paraId="244C8196"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All returned 6 </w:t>
            </w:r>
            <w:proofErr w:type="spellStart"/>
            <w:r w:rsidRPr="00B329D9">
              <w:rPr>
                <w:rFonts w:ascii="Book Antiqua" w:eastAsia="Calibri" w:hAnsi="Book Antiqua"/>
                <w:lang w:bidi="ar-KW"/>
              </w:rPr>
              <w:t>wk</w:t>
            </w:r>
            <w:proofErr w:type="spellEnd"/>
            <w:r w:rsidRPr="00B329D9">
              <w:rPr>
                <w:rFonts w:ascii="Book Antiqua" w:eastAsia="Calibri" w:hAnsi="Book Antiqua"/>
                <w:lang w:bidi="ar-KW"/>
              </w:rPr>
              <w:t xml:space="preserve"> postoperatively</w:t>
            </w:r>
          </w:p>
        </w:tc>
        <w:tc>
          <w:tcPr>
            <w:tcW w:w="1664" w:type="dxa"/>
            <w:gridSpan w:val="2"/>
          </w:tcPr>
          <w:p w14:paraId="261415E9"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992" w:type="dxa"/>
          </w:tcPr>
          <w:p w14:paraId="6B994AE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1 recurrence 8 </w:t>
            </w:r>
            <w:proofErr w:type="spellStart"/>
            <w:r w:rsidRPr="00B329D9">
              <w:rPr>
                <w:rFonts w:ascii="Book Antiqua" w:eastAsia="Calibri" w:hAnsi="Book Antiqua"/>
                <w:lang w:bidi="ar-KW"/>
              </w:rPr>
              <w:t>mo</w:t>
            </w:r>
            <w:proofErr w:type="spellEnd"/>
            <w:r w:rsidRPr="00B329D9">
              <w:rPr>
                <w:rFonts w:ascii="Book Antiqua" w:eastAsia="Calibri" w:hAnsi="Book Antiqua"/>
                <w:lang w:bidi="ar-KW"/>
              </w:rPr>
              <w:t xml:space="preserve"> postop</w:t>
            </w:r>
            <w:r w:rsidRPr="00B329D9">
              <w:rPr>
                <w:rFonts w:ascii="Book Antiqua" w:eastAsia="Calibri" w:hAnsi="Book Antiqua"/>
                <w:lang w:bidi="ar-KW"/>
              </w:rPr>
              <w:lastRenderedPageBreak/>
              <w:t>eratively</w:t>
            </w:r>
          </w:p>
        </w:tc>
        <w:tc>
          <w:tcPr>
            <w:tcW w:w="993" w:type="dxa"/>
          </w:tcPr>
          <w:p w14:paraId="72DAA5A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 xml:space="preserve">5 hematomas requiring </w:t>
            </w:r>
            <w:r w:rsidRPr="00B329D9">
              <w:rPr>
                <w:rFonts w:ascii="Book Antiqua" w:eastAsia="Calibri" w:hAnsi="Book Antiqua"/>
                <w:lang w:bidi="ar-KW"/>
              </w:rPr>
              <w:lastRenderedPageBreak/>
              <w:t>drainage</w:t>
            </w:r>
          </w:p>
        </w:tc>
      </w:tr>
      <w:tr w:rsidR="000843BC" w:rsidRPr="00B329D9" w14:paraId="7204969D" w14:textId="77777777" w:rsidTr="00B35D20">
        <w:trPr>
          <w:jc w:val="center"/>
        </w:trPr>
        <w:tc>
          <w:tcPr>
            <w:tcW w:w="993" w:type="dxa"/>
          </w:tcPr>
          <w:p w14:paraId="29D8BEFD"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 xml:space="preserve">Miller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17]</w:t>
            </w:r>
            <w:r w:rsidRPr="00B329D9">
              <w:rPr>
                <w:rFonts w:ascii="Book Antiqua" w:eastAsia="Calibri" w:hAnsi="Book Antiqua"/>
                <w:lang w:bidi="ar-KW"/>
              </w:rPr>
              <w:t>, 2017</w:t>
            </w:r>
          </w:p>
        </w:tc>
        <w:tc>
          <w:tcPr>
            <w:tcW w:w="867" w:type="dxa"/>
          </w:tcPr>
          <w:p w14:paraId="7B23AEB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 (1 bilateral)</w:t>
            </w:r>
          </w:p>
        </w:tc>
        <w:tc>
          <w:tcPr>
            <w:tcW w:w="1134" w:type="dxa"/>
          </w:tcPr>
          <w:p w14:paraId="22F1EB1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1 </w:t>
            </w:r>
            <w:proofErr w:type="spellStart"/>
            <w:r w:rsidRPr="00B329D9">
              <w:rPr>
                <w:rFonts w:ascii="Book Antiqua" w:eastAsia="Calibri" w:hAnsi="Book Antiqua"/>
                <w:lang w:bidi="ar-KW"/>
              </w:rPr>
              <w:t>mo</w:t>
            </w:r>
            <w:proofErr w:type="spellEnd"/>
            <w:r w:rsidRPr="00B329D9">
              <w:rPr>
                <w:rFonts w:ascii="Book Antiqua" w:eastAsia="Calibri" w:hAnsi="Book Antiqua"/>
                <w:lang w:bidi="ar-KW"/>
              </w:rPr>
              <w:t xml:space="preserve"> (only specified for 1 case)</w:t>
            </w:r>
          </w:p>
        </w:tc>
        <w:tc>
          <w:tcPr>
            <w:tcW w:w="1543" w:type="dxa"/>
          </w:tcPr>
          <w:p w14:paraId="35D5622C"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bidi="ar-KW"/>
              </w:rPr>
              <w:t>0.0</w:t>
            </w:r>
          </w:p>
        </w:tc>
        <w:tc>
          <w:tcPr>
            <w:tcW w:w="2249" w:type="dxa"/>
          </w:tcPr>
          <w:p w14:paraId="5623F30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482" w:type="dxa"/>
          </w:tcPr>
          <w:p w14:paraId="3C2EFA2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418" w:type="dxa"/>
          </w:tcPr>
          <w:p w14:paraId="713EB2BB"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Both returned 1 </w:t>
            </w:r>
            <w:proofErr w:type="spellStart"/>
            <w:r w:rsidRPr="00B329D9">
              <w:rPr>
                <w:rFonts w:ascii="Book Antiqua" w:eastAsia="Calibri" w:hAnsi="Book Antiqua"/>
                <w:lang w:bidi="ar-KW"/>
              </w:rPr>
              <w:t>wk</w:t>
            </w:r>
            <w:proofErr w:type="spellEnd"/>
            <w:r w:rsidRPr="00B329D9">
              <w:rPr>
                <w:rFonts w:ascii="Book Antiqua" w:eastAsia="Calibri" w:hAnsi="Book Antiqua"/>
                <w:lang w:bidi="ar-KW"/>
              </w:rPr>
              <w:t xml:space="preserve"> postoperatively</w:t>
            </w:r>
          </w:p>
        </w:tc>
        <w:tc>
          <w:tcPr>
            <w:tcW w:w="1664" w:type="dxa"/>
            <w:gridSpan w:val="2"/>
          </w:tcPr>
          <w:p w14:paraId="0D5B9B9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Improved grip strength and wrist ROM</w:t>
            </w:r>
          </w:p>
        </w:tc>
        <w:tc>
          <w:tcPr>
            <w:tcW w:w="992" w:type="dxa"/>
          </w:tcPr>
          <w:p w14:paraId="0E6D63E6"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None</w:t>
            </w:r>
          </w:p>
        </w:tc>
        <w:tc>
          <w:tcPr>
            <w:tcW w:w="993" w:type="dxa"/>
          </w:tcPr>
          <w:p w14:paraId="159E393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1 case had small seroma resolved with compressive wrapping at 2 </w:t>
            </w:r>
            <w:proofErr w:type="spellStart"/>
            <w:r w:rsidRPr="00B329D9">
              <w:rPr>
                <w:rFonts w:ascii="Book Antiqua" w:eastAsia="Calibri" w:hAnsi="Book Antiqua"/>
                <w:lang w:bidi="ar-KW"/>
              </w:rPr>
              <w:t>wk</w:t>
            </w:r>
            <w:proofErr w:type="spellEnd"/>
            <w:r w:rsidRPr="00B329D9">
              <w:rPr>
                <w:rFonts w:ascii="Book Antiqua" w:eastAsia="Calibri" w:hAnsi="Book Antiqua"/>
                <w:lang w:bidi="ar-KW"/>
              </w:rPr>
              <w:t xml:space="preserve"> postoperatively</w:t>
            </w:r>
          </w:p>
        </w:tc>
      </w:tr>
      <w:tr w:rsidR="000843BC" w:rsidRPr="00B329D9" w14:paraId="5DC47239" w14:textId="77777777" w:rsidTr="00B35D20">
        <w:trPr>
          <w:jc w:val="center"/>
        </w:trPr>
        <w:tc>
          <w:tcPr>
            <w:tcW w:w="993" w:type="dxa"/>
          </w:tcPr>
          <w:p w14:paraId="3512FD5F" w14:textId="7777777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Pegoli</w:t>
            </w:r>
            <w:proofErr w:type="spellEnd"/>
            <w:r w:rsidRPr="00B329D9">
              <w:rPr>
                <w:rFonts w:ascii="Book Antiqua" w:eastAsia="Calibri" w:hAnsi="Book Antiqua"/>
                <w:lang w:bidi="ar-KW"/>
              </w:rPr>
              <w:t xml:space="preserve">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15]</w:t>
            </w:r>
            <w:r w:rsidRPr="00B329D9">
              <w:rPr>
                <w:rFonts w:ascii="Book Antiqua" w:eastAsia="Calibri" w:hAnsi="Book Antiqua"/>
                <w:lang w:bidi="ar-KW"/>
              </w:rPr>
              <w:t>, 2016</w:t>
            </w:r>
          </w:p>
        </w:tc>
        <w:tc>
          <w:tcPr>
            <w:tcW w:w="867" w:type="dxa"/>
          </w:tcPr>
          <w:p w14:paraId="348EF49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3 (1 bilateral)</w:t>
            </w:r>
          </w:p>
        </w:tc>
        <w:tc>
          <w:tcPr>
            <w:tcW w:w="1134" w:type="dxa"/>
          </w:tcPr>
          <w:p w14:paraId="6B4903FD"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45.80 </w:t>
            </w:r>
            <w:proofErr w:type="spellStart"/>
            <w:r w:rsidRPr="00B329D9">
              <w:rPr>
                <w:rFonts w:ascii="Book Antiqua" w:eastAsia="Calibri" w:hAnsi="Book Antiqua"/>
                <w:lang w:bidi="ar-KW"/>
              </w:rPr>
              <w:t>mo</w:t>
            </w:r>
            <w:proofErr w:type="spellEnd"/>
            <w:r w:rsidRPr="00B329D9">
              <w:rPr>
                <w:rFonts w:ascii="Book Antiqua" w:eastAsia="Calibri" w:hAnsi="Book Antiqua"/>
                <w:lang w:bidi="ar-KW"/>
              </w:rPr>
              <w:t xml:space="preserve"> (34-55)</w:t>
            </w:r>
          </w:p>
        </w:tc>
        <w:tc>
          <w:tcPr>
            <w:tcW w:w="1543" w:type="dxa"/>
          </w:tcPr>
          <w:p w14:paraId="6B2AEC48"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0.75; 0-2 (used scale of 0 to 10)</w:t>
            </w:r>
          </w:p>
        </w:tc>
        <w:tc>
          <w:tcPr>
            <w:tcW w:w="2249" w:type="dxa"/>
          </w:tcPr>
          <w:p w14:paraId="68B76B3B"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5.39%; 2.15-10.05%</w:t>
            </w:r>
          </w:p>
        </w:tc>
        <w:tc>
          <w:tcPr>
            <w:tcW w:w="1482" w:type="dxa"/>
          </w:tcPr>
          <w:p w14:paraId="5F99B7F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418" w:type="dxa"/>
          </w:tcPr>
          <w:p w14:paraId="27341A9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All returned 3 </w:t>
            </w:r>
            <w:proofErr w:type="spellStart"/>
            <w:r w:rsidRPr="00B329D9">
              <w:rPr>
                <w:rFonts w:ascii="Book Antiqua" w:eastAsia="Calibri" w:hAnsi="Book Antiqua"/>
                <w:lang w:bidi="ar-KW"/>
              </w:rPr>
              <w:t>wk</w:t>
            </w:r>
            <w:proofErr w:type="spellEnd"/>
            <w:r w:rsidRPr="00B329D9">
              <w:rPr>
                <w:rFonts w:ascii="Book Antiqua" w:eastAsia="Calibri" w:hAnsi="Book Antiqua"/>
                <w:lang w:bidi="ar-KW"/>
              </w:rPr>
              <w:t xml:space="preserve"> postoperat</w:t>
            </w:r>
            <w:r w:rsidRPr="00B329D9">
              <w:rPr>
                <w:rFonts w:ascii="Book Antiqua" w:eastAsia="Calibri" w:hAnsi="Book Antiqua"/>
                <w:lang w:bidi="ar-KW"/>
              </w:rPr>
              <w:lastRenderedPageBreak/>
              <w:t>ively</w:t>
            </w:r>
          </w:p>
        </w:tc>
        <w:tc>
          <w:tcPr>
            <w:tcW w:w="1664" w:type="dxa"/>
            <w:gridSpan w:val="2"/>
          </w:tcPr>
          <w:p w14:paraId="14EBBBE4"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w:t>
            </w:r>
          </w:p>
        </w:tc>
        <w:tc>
          <w:tcPr>
            <w:tcW w:w="992" w:type="dxa"/>
          </w:tcPr>
          <w:p w14:paraId="3293C86F"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None</w:t>
            </w:r>
          </w:p>
        </w:tc>
        <w:tc>
          <w:tcPr>
            <w:tcW w:w="993" w:type="dxa"/>
          </w:tcPr>
          <w:p w14:paraId="6A7D2369"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None</w:t>
            </w:r>
          </w:p>
        </w:tc>
      </w:tr>
      <w:tr w:rsidR="000843BC" w:rsidRPr="00B329D9" w14:paraId="33AC5734" w14:textId="77777777" w:rsidTr="00B35D20">
        <w:trPr>
          <w:jc w:val="center"/>
        </w:trPr>
        <w:tc>
          <w:tcPr>
            <w:tcW w:w="993" w:type="dxa"/>
          </w:tcPr>
          <w:p w14:paraId="545ED0F1" w14:textId="77777777" w:rsidR="000843BC" w:rsidRPr="00B329D9" w:rsidRDefault="000843BC" w:rsidP="00B329D9">
            <w:pPr>
              <w:adjustRightInd w:val="0"/>
              <w:snapToGrid w:val="0"/>
              <w:spacing w:line="360" w:lineRule="auto"/>
              <w:jc w:val="both"/>
              <w:rPr>
                <w:rFonts w:ascii="Book Antiqua" w:eastAsia="Calibri" w:hAnsi="Book Antiqua"/>
                <w:lang w:bidi="ar-KW"/>
              </w:rPr>
            </w:pPr>
            <w:proofErr w:type="spellStart"/>
            <w:r w:rsidRPr="00B329D9">
              <w:rPr>
                <w:rFonts w:ascii="Book Antiqua" w:eastAsia="Calibri" w:hAnsi="Book Antiqua"/>
                <w:lang w:bidi="ar-KW"/>
              </w:rPr>
              <w:t>Ruyer</w:t>
            </w:r>
            <w:proofErr w:type="spellEnd"/>
            <w:r w:rsidRPr="00B329D9">
              <w:rPr>
                <w:rFonts w:ascii="Book Antiqua" w:eastAsia="Calibri" w:hAnsi="Book Antiqua"/>
                <w:lang w:bidi="ar-KW"/>
              </w:rPr>
              <w:t xml:space="preserve">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16]</w:t>
            </w:r>
            <w:r w:rsidRPr="00B329D9">
              <w:rPr>
                <w:rFonts w:ascii="Book Antiqua" w:eastAsia="Calibri" w:hAnsi="Book Antiqua"/>
                <w:lang w:bidi="ar-KW"/>
              </w:rPr>
              <w:t>, 2020</w:t>
            </w:r>
          </w:p>
        </w:tc>
        <w:tc>
          <w:tcPr>
            <w:tcW w:w="867" w:type="dxa"/>
          </w:tcPr>
          <w:p w14:paraId="54829E64"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21 (15 bilateral)</w:t>
            </w:r>
          </w:p>
        </w:tc>
        <w:tc>
          <w:tcPr>
            <w:tcW w:w="1134" w:type="dxa"/>
          </w:tcPr>
          <w:p w14:paraId="3203514C"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val="en-CA" w:bidi="ar-KW"/>
              </w:rPr>
              <w:t xml:space="preserve">4.9 ± 2.7 </w:t>
            </w:r>
            <w:proofErr w:type="spellStart"/>
            <w:r w:rsidRPr="00B329D9">
              <w:rPr>
                <w:rFonts w:ascii="Book Antiqua" w:eastAsia="Calibri" w:hAnsi="Book Antiqua"/>
                <w:lang w:val="en-CA" w:bidi="ar-KW"/>
              </w:rPr>
              <w:t>yr</w:t>
            </w:r>
            <w:proofErr w:type="spellEnd"/>
            <w:r w:rsidRPr="00B329D9">
              <w:rPr>
                <w:rFonts w:ascii="Book Antiqua" w:eastAsia="Calibri" w:hAnsi="Book Antiqua"/>
                <w:lang w:val="en-CA" w:bidi="ar-KW"/>
              </w:rPr>
              <w:t xml:space="preserve"> (range: 1.0-10.2)</w:t>
            </w:r>
          </w:p>
          <w:p w14:paraId="4452AAD3"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p>
          <w:p w14:paraId="32702ECE"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val="en-CA" w:bidi="ar-KW"/>
              </w:rPr>
              <w:t>3 patients lost follow-up</w:t>
            </w:r>
          </w:p>
        </w:tc>
        <w:tc>
          <w:tcPr>
            <w:tcW w:w="1543" w:type="dxa"/>
          </w:tcPr>
          <w:p w14:paraId="14C059A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2249" w:type="dxa"/>
          </w:tcPr>
          <w:p w14:paraId="323AF8D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482" w:type="dxa"/>
          </w:tcPr>
          <w:p w14:paraId="1B69F06F"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val="en-CA" w:bidi="ar-KW"/>
              </w:rPr>
              <w:t>1 ± 2%; 0-9%</w:t>
            </w:r>
          </w:p>
        </w:tc>
        <w:tc>
          <w:tcPr>
            <w:tcW w:w="1418" w:type="dxa"/>
          </w:tcPr>
          <w:p w14:paraId="4A398400" w14:textId="7DD78D6B"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Returned at </w:t>
            </w:r>
            <w:r w:rsidRPr="00B329D9">
              <w:rPr>
                <w:rFonts w:ascii="Book Antiqua" w:eastAsia="Calibri" w:hAnsi="Book Antiqua"/>
                <w:lang w:val="en-CA" w:bidi="ar-KW"/>
              </w:rPr>
              <w:t xml:space="preserve">4.3 ± 1.8 </w:t>
            </w:r>
            <w:proofErr w:type="spellStart"/>
            <w:r w:rsidRPr="00B329D9">
              <w:rPr>
                <w:rFonts w:ascii="Book Antiqua" w:eastAsia="Calibri" w:hAnsi="Book Antiqua"/>
                <w:lang w:val="en-CA" w:bidi="ar-KW"/>
              </w:rPr>
              <w:t>wk</w:t>
            </w:r>
            <w:proofErr w:type="spellEnd"/>
            <w:r w:rsidRPr="00B329D9">
              <w:rPr>
                <w:rFonts w:ascii="Book Antiqua" w:eastAsia="Calibri" w:hAnsi="Book Antiqua"/>
                <w:lang w:val="en-CA" w:bidi="ar-KW"/>
              </w:rPr>
              <w:t xml:space="preserve"> (range: 3</w:t>
            </w:r>
            <w:r w:rsidR="005B39DD">
              <w:rPr>
                <w:rFonts w:ascii="Book Antiqua" w:eastAsia="Calibri" w:hAnsi="Book Antiqua"/>
                <w:lang w:val="en-CA" w:bidi="ar-KW"/>
              </w:rPr>
              <w:t>-</w:t>
            </w:r>
            <w:r w:rsidRPr="00B329D9">
              <w:rPr>
                <w:rFonts w:ascii="Book Antiqua" w:eastAsia="Calibri" w:hAnsi="Book Antiqua"/>
                <w:lang w:val="en-CA" w:bidi="ar-KW"/>
              </w:rPr>
              <w:t xml:space="preserve">8 </w:t>
            </w:r>
            <w:proofErr w:type="spellStart"/>
            <w:r w:rsidRPr="00B329D9">
              <w:rPr>
                <w:rFonts w:ascii="Book Antiqua" w:eastAsia="Calibri" w:hAnsi="Book Antiqua"/>
                <w:lang w:val="en-CA" w:bidi="ar-KW"/>
              </w:rPr>
              <w:t>wk</w:t>
            </w:r>
            <w:proofErr w:type="spellEnd"/>
            <w:r w:rsidRPr="00B329D9">
              <w:rPr>
                <w:rFonts w:ascii="Book Antiqua" w:eastAsia="Calibri" w:hAnsi="Book Antiqua"/>
                <w:lang w:val="en-CA" w:bidi="ar-KW"/>
              </w:rPr>
              <w:t>) postoperatively</w:t>
            </w:r>
          </w:p>
        </w:tc>
        <w:tc>
          <w:tcPr>
            <w:tcW w:w="1664" w:type="dxa"/>
            <w:gridSpan w:val="2"/>
          </w:tcPr>
          <w:p w14:paraId="1B89DE4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val="en-CA" w:bidi="ar-KW"/>
              </w:rPr>
              <w:t>14 were very satisfied with the procedure, 3 were satisfied, and 1 was moderately satisfied.</w:t>
            </w:r>
          </w:p>
        </w:tc>
        <w:tc>
          <w:tcPr>
            <w:tcW w:w="992" w:type="dxa"/>
          </w:tcPr>
          <w:p w14:paraId="1320067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 recurrence due to fibrous scar tissues requiring revision fasciotomy; revision was open for one of them</w:t>
            </w:r>
          </w:p>
        </w:tc>
        <w:tc>
          <w:tcPr>
            <w:tcW w:w="993" w:type="dxa"/>
          </w:tcPr>
          <w:p w14:paraId="4EA47BBD"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2 superficial vascular injury</w:t>
            </w:r>
          </w:p>
          <w:p w14:paraId="172BD53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1 superficial sensory nerve injury</w:t>
            </w:r>
          </w:p>
          <w:p w14:paraId="079F1A0A"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2 hematomas (1 requiring </w:t>
            </w:r>
            <w:r w:rsidRPr="00B329D9">
              <w:rPr>
                <w:rFonts w:ascii="Book Antiqua" w:eastAsia="Calibri" w:hAnsi="Book Antiqua"/>
                <w:lang w:bidi="ar-KW"/>
              </w:rPr>
              <w:lastRenderedPageBreak/>
              <w:t>drainage)</w:t>
            </w:r>
          </w:p>
          <w:p w14:paraId="7DB6A58E"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3 transient hypoesthesia (recovered at 3 </w:t>
            </w:r>
            <w:proofErr w:type="spellStart"/>
            <w:r w:rsidRPr="00B329D9">
              <w:rPr>
                <w:rFonts w:ascii="Book Antiqua" w:eastAsia="Calibri" w:hAnsi="Book Antiqua"/>
                <w:lang w:bidi="ar-KW"/>
              </w:rPr>
              <w:t>mo</w:t>
            </w:r>
            <w:proofErr w:type="spellEnd"/>
            <w:r w:rsidRPr="00B329D9">
              <w:rPr>
                <w:rFonts w:ascii="Book Antiqua" w:eastAsia="Calibri" w:hAnsi="Book Antiqua"/>
                <w:lang w:bidi="ar-KW"/>
              </w:rPr>
              <w:t xml:space="preserve"> postoperatively)</w:t>
            </w:r>
          </w:p>
          <w:p w14:paraId="62FA3411" w14:textId="77777777" w:rsidR="000843BC" w:rsidRPr="00B329D9" w:rsidRDefault="000843BC" w:rsidP="00B329D9">
            <w:pPr>
              <w:adjustRightInd w:val="0"/>
              <w:snapToGrid w:val="0"/>
              <w:spacing w:line="360" w:lineRule="auto"/>
              <w:jc w:val="both"/>
              <w:rPr>
                <w:rFonts w:ascii="Book Antiqua" w:eastAsia="Calibri" w:hAnsi="Book Antiqua"/>
                <w:lang w:val="en-CA" w:bidi="ar-KW"/>
              </w:rPr>
            </w:pPr>
            <w:r w:rsidRPr="00B329D9">
              <w:rPr>
                <w:rFonts w:ascii="Book Antiqua" w:eastAsia="Calibri" w:hAnsi="Book Antiqua"/>
                <w:lang w:bidi="ar-KW"/>
              </w:rPr>
              <w:t>2</w:t>
            </w:r>
            <w:r w:rsidRPr="00B329D9">
              <w:rPr>
                <w:rFonts w:ascii="Book Antiqua" w:eastAsia="Calibri" w:hAnsi="Book Antiqua" w:cs="NPNGA A+ Adv P 4 D F 60 E"/>
                <w:color w:val="000000"/>
                <w:lang w:val="en-CA" w:eastAsia="en-CA"/>
              </w:rPr>
              <w:t xml:space="preserve"> </w:t>
            </w:r>
            <w:r w:rsidRPr="00B329D9">
              <w:rPr>
                <w:rFonts w:ascii="Book Antiqua" w:eastAsia="Calibri" w:hAnsi="Book Antiqua"/>
                <w:lang w:val="en-CA" w:bidi="ar-KW"/>
              </w:rPr>
              <w:t>lateral epicondylalgia</w:t>
            </w:r>
          </w:p>
        </w:tc>
      </w:tr>
      <w:tr w:rsidR="000843BC" w:rsidRPr="00B329D9" w14:paraId="7F04AFD7" w14:textId="77777777" w:rsidTr="00B35D20">
        <w:trPr>
          <w:jc w:val="center"/>
        </w:trPr>
        <w:tc>
          <w:tcPr>
            <w:tcW w:w="993" w:type="dxa"/>
          </w:tcPr>
          <w:p w14:paraId="759A365C"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 xml:space="preserve">Seiler </w:t>
            </w:r>
            <w:r w:rsidRPr="00B329D9">
              <w:rPr>
                <w:rFonts w:ascii="Book Antiqua" w:eastAsia="Calibri" w:hAnsi="Book Antiqua"/>
                <w:i/>
                <w:iCs/>
                <w:lang w:bidi="ar-KW"/>
              </w:rPr>
              <w:t xml:space="preserve">et </w:t>
            </w:r>
            <w:proofErr w:type="gramStart"/>
            <w:r w:rsidRPr="00B329D9">
              <w:rPr>
                <w:rFonts w:ascii="Book Antiqua" w:eastAsia="Calibri" w:hAnsi="Book Antiqua"/>
                <w:i/>
                <w:iCs/>
                <w:lang w:bidi="ar-KW"/>
              </w:rPr>
              <w:t>al</w:t>
            </w:r>
            <w:r w:rsidRPr="00B329D9">
              <w:rPr>
                <w:rFonts w:ascii="Book Antiqua" w:eastAsia="Calibri" w:hAnsi="Book Antiqua"/>
                <w:vertAlign w:val="superscript"/>
                <w:lang w:bidi="ar-KW"/>
              </w:rPr>
              <w:t>[</w:t>
            </w:r>
            <w:proofErr w:type="gramEnd"/>
            <w:r w:rsidRPr="00B329D9">
              <w:rPr>
                <w:rFonts w:ascii="Book Antiqua" w:eastAsia="Calibri" w:hAnsi="Book Antiqua"/>
                <w:vertAlign w:val="superscript"/>
                <w:lang w:bidi="ar-KW"/>
              </w:rPr>
              <w:t>18],</w:t>
            </w:r>
            <w:r w:rsidRPr="00B329D9">
              <w:rPr>
                <w:rFonts w:ascii="Book Antiqua" w:eastAsia="Calibri" w:hAnsi="Book Antiqua"/>
                <w:lang w:bidi="ar-KW"/>
              </w:rPr>
              <w:t xml:space="preserve"> </w:t>
            </w:r>
            <w:r w:rsidRPr="00B329D9">
              <w:rPr>
                <w:rFonts w:ascii="Book Antiqua" w:eastAsia="Calibri" w:hAnsi="Book Antiqua"/>
                <w:lang w:bidi="ar-KW"/>
              </w:rPr>
              <w:lastRenderedPageBreak/>
              <w:t>2011</w:t>
            </w:r>
          </w:p>
        </w:tc>
        <w:tc>
          <w:tcPr>
            <w:tcW w:w="867" w:type="dxa"/>
          </w:tcPr>
          <w:p w14:paraId="38246AC6"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1 (bilat</w:t>
            </w:r>
            <w:r w:rsidRPr="00B329D9">
              <w:rPr>
                <w:rFonts w:ascii="Book Antiqua" w:eastAsia="Calibri" w:hAnsi="Book Antiqua"/>
                <w:lang w:bidi="ar-KW"/>
              </w:rPr>
              <w:lastRenderedPageBreak/>
              <w:t>eral)</w:t>
            </w:r>
          </w:p>
        </w:tc>
        <w:tc>
          <w:tcPr>
            <w:tcW w:w="1134" w:type="dxa"/>
          </w:tcPr>
          <w:p w14:paraId="6820F17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 xml:space="preserve">9 </w:t>
            </w:r>
            <w:proofErr w:type="spellStart"/>
            <w:r w:rsidRPr="00B329D9">
              <w:rPr>
                <w:rFonts w:ascii="Book Antiqua" w:eastAsia="Calibri" w:hAnsi="Book Antiqua"/>
                <w:lang w:bidi="ar-KW"/>
              </w:rPr>
              <w:t>mo</w:t>
            </w:r>
            <w:proofErr w:type="spellEnd"/>
          </w:p>
        </w:tc>
        <w:tc>
          <w:tcPr>
            <w:tcW w:w="1543" w:type="dxa"/>
          </w:tcPr>
          <w:p w14:paraId="52DB48C7"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2249" w:type="dxa"/>
          </w:tcPr>
          <w:p w14:paraId="4183D422"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5.0%</w:t>
            </w:r>
          </w:p>
        </w:tc>
        <w:tc>
          <w:tcPr>
            <w:tcW w:w="1482" w:type="dxa"/>
          </w:tcPr>
          <w:p w14:paraId="796DEE05"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w:t>
            </w:r>
          </w:p>
        </w:tc>
        <w:tc>
          <w:tcPr>
            <w:tcW w:w="1418" w:type="dxa"/>
          </w:tcPr>
          <w:p w14:paraId="09513593"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 xml:space="preserve">Returned 3 </w:t>
            </w:r>
            <w:proofErr w:type="spellStart"/>
            <w:r w:rsidRPr="00B329D9">
              <w:rPr>
                <w:rFonts w:ascii="Book Antiqua" w:eastAsia="Calibri" w:hAnsi="Book Antiqua"/>
                <w:lang w:bidi="ar-KW"/>
              </w:rPr>
              <w:t>wk</w:t>
            </w:r>
            <w:proofErr w:type="spellEnd"/>
            <w:r w:rsidRPr="00B329D9">
              <w:rPr>
                <w:rFonts w:ascii="Book Antiqua" w:eastAsia="Calibri" w:hAnsi="Book Antiqua"/>
                <w:lang w:bidi="ar-KW"/>
              </w:rPr>
              <w:t xml:space="preserve"> </w:t>
            </w:r>
            <w:r w:rsidRPr="00B329D9">
              <w:rPr>
                <w:rFonts w:ascii="Book Antiqua" w:eastAsia="Calibri" w:hAnsi="Book Antiqua"/>
                <w:lang w:bidi="ar-KW"/>
              </w:rPr>
              <w:lastRenderedPageBreak/>
              <w:t xml:space="preserve">postoperatively; full level at 6 </w:t>
            </w:r>
            <w:proofErr w:type="spellStart"/>
            <w:r w:rsidRPr="00B329D9">
              <w:rPr>
                <w:rFonts w:ascii="Book Antiqua" w:eastAsia="Calibri" w:hAnsi="Book Antiqua"/>
                <w:lang w:bidi="ar-KW"/>
              </w:rPr>
              <w:t>wk</w:t>
            </w:r>
            <w:proofErr w:type="spellEnd"/>
            <w:r w:rsidRPr="00B329D9">
              <w:rPr>
                <w:rFonts w:ascii="Book Antiqua" w:eastAsia="Calibri" w:hAnsi="Book Antiqua"/>
                <w:lang w:bidi="ar-KW"/>
              </w:rPr>
              <w:t xml:space="preserve"> postoperatively</w:t>
            </w:r>
          </w:p>
        </w:tc>
        <w:tc>
          <w:tcPr>
            <w:tcW w:w="1664" w:type="dxa"/>
            <w:gridSpan w:val="2"/>
          </w:tcPr>
          <w:p w14:paraId="0B80F058"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Pain free at final follow-</w:t>
            </w:r>
            <w:r w:rsidRPr="00B329D9">
              <w:rPr>
                <w:rFonts w:ascii="Book Antiqua" w:eastAsia="Calibri" w:hAnsi="Book Antiqua"/>
                <w:lang w:bidi="ar-KW"/>
              </w:rPr>
              <w:lastRenderedPageBreak/>
              <w:t>up</w:t>
            </w:r>
          </w:p>
        </w:tc>
        <w:tc>
          <w:tcPr>
            <w:tcW w:w="992" w:type="dxa"/>
          </w:tcPr>
          <w:p w14:paraId="6C910C53"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lastRenderedPageBreak/>
              <w:t>None</w:t>
            </w:r>
          </w:p>
        </w:tc>
        <w:tc>
          <w:tcPr>
            <w:tcW w:w="993" w:type="dxa"/>
          </w:tcPr>
          <w:p w14:paraId="1392BA60" w14:textId="77777777" w:rsidR="000843BC" w:rsidRPr="00B329D9"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None</w:t>
            </w:r>
          </w:p>
        </w:tc>
      </w:tr>
    </w:tbl>
    <w:p w14:paraId="114DA440" w14:textId="51592D8B" w:rsidR="00A77B3E" w:rsidRPr="005B39DD" w:rsidRDefault="000843BC" w:rsidP="00B329D9">
      <w:pPr>
        <w:adjustRightInd w:val="0"/>
        <w:snapToGrid w:val="0"/>
        <w:spacing w:line="360" w:lineRule="auto"/>
        <w:jc w:val="both"/>
        <w:rPr>
          <w:rFonts w:ascii="Book Antiqua" w:eastAsia="Calibri" w:hAnsi="Book Antiqua"/>
          <w:lang w:bidi="ar-KW"/>
        </w:rPr>
      </w:pPr>
      <w:r w:rsidRPr="00B329D9">
        <w:rPr>
          <w:rFonts w:ascii="Book Antiqua" w:eastAsia="Calibri" w:hAnsi="Book Antiqua"/>
          <w:lang w:bidi="ar-KW"/>
        </w:rPr>
        <w:t>DASH: Disabilities of the Arm, Shoulder and Hand; VAS; Visual analogue scale.</w:t>
      </w:r>
    </w:p>
    <w:sectPr w:rsidR="00A77B3E" w:rsidRPr="005B39DD" w:rsidSect="000843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7908" w14:textId="77777777" w:rsidR="00B816E8" w:rsidRDefault="00B816E8" w:rsidP="000843BC">
      <w:r>
        <w:separator/>
      </w:r>
    </w:p>
  </w:endnote>
  <w:endnote w:type="continuationSeparator" w:id="0">
    <w:p w14:paraId="597D991F" w14:textId="77777777" w:rsidR="00B816E8" w:rsidRDefault="00B816E8" w:rsidP="0008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vTT2acb703b">
    <w:altName w:val="Cambria"/>
    <w:charset w:val="00"/>
    <w:family w:val="roman"/>
    <w:pitch w:val="default"/>
    <w:sig w:usb0="00000000" w:usb1="00000000" w:usb2="00000000" w:usb3="00000000" w:csb0="00000001" w:csb1="00000000"/>
  </w:font>
  <w:font w:name="MlyljhAdvPTimes">
    <w:altName w:val="Cambria"/>
    <w:charset w:val="00"/>
    <w:family w:val="roman"/>
    <w:pitch w:val="default"/>
    <w:sig w:usb0="00000000" w:usb1="00000000" w:usb2="00000000" w:usb3="00000000" w:csb0="00000001" w:csb1="00000000"/>
  </w:font>
  <w:font w:name="NPNGA A+ Adv P 4 D F 60 E">
    <w:altName w:val="Cambri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758916"/>
      <w:docPartObj>
        <w:docPartGallery w:val="Page Numbers (Bottom of Page)"/>
        <w:docPartUnique/>
      </w:docPartObj>
    </w:sdtPr>
    <w:sdtEndPr/>
    <w:sdtContent>
      <w:sdt>
        <w:sdtPr>
          <w:id w:val="-1705238520"/>
          <w:docPartObj>
            <w:docPartGallery w:val="Page Numbers (Top of Page)"/>
            <w:docPartUnique/>
          </w:docPartObj>
        </w:sdtPr>
        <w:sdtEndPr/>
        <w:sdtContent>
          <w:p w14:paraId="56A35988" w14:textId="6D3C3766" w:rsidR="002B3072" w:rsidRDefault="002B3072" w:rsidP="002B3072">
            <w:pPr>
              <w:pStyle w:val="a5"/>
              <w:jc w:val="right"/>
            </w:pPr>
            <w:r w:rsidRPr="002B3072">
              <w:rPr>
                <w:rFonts w:ascii="Book Antiqua" w:hAnsi="Book Antiqua"/>
                <w:sz w:val="24"/>
                <w:szCs w:val="24"/>
                <w:lang w:val="zh-CN" w:eastAsia="zh-CN"/>
              </w:rPr>
              <w:t xml:space="preserve"> </w:t>
            </w:r>
            <w:r w:rsidRPr="002B3072">
              <w:rPr>
                <w:rFonts w:ascii="Book Antiqua" w:hAnsi="Book Antiqua"/>
                <w:b/>
                <w:bCs/>
                <w:sz w:val="24"/>
                <w:szCs w:val="24"/>
              </w:rPr>
              <w:fldChar w:fldCharType="begin"/>
            </w:r>
            <w:r w:rsidRPr="002B3072">
              <w:rPr>
                <w:rFonts w:ascii="Book Antiqua" w:hAnsi="Book Antiqua"/>
                <w:b/>
                <w:bCs/>
                <w:sz w:val="24"/>
                <w:szCs w:val="24"/>
              </w:rPr>
              <w:instrText>PAGE</w:instrText>
            </w:r>
            <w:r w:rsidRPr="002B3072">
              <w:rPr>
                <w:rFonts w:ascii="Book Antiqua" w:hAnsi="Book Antiqua"/>
                <w:b/>
                <w:bCs/>
                <w:sz w:val="24"/>
                <w:szCs w:val="24"/>
              </w:rPr>
              <w:fldChar w:fldCharType="separate"/>
            </w:r>
            <w:r w:rsidRPr="002B3072">
              <w:rPr>
                <w:rFonts w:ascii="Book Antiqua" w:hAnsi="Book Antiqua"/>
                <w:b/>
                <w:bCs/>
                <w:sz w:val="24"/>
                <w:szCs w:val="24"/>
                <w:lang w:val="zh-CN" w:eastAsia="zh-CN"/>
              </w:rPr>
              <w:t>2</w:t>
            </w:r>
            <w:r w:rsidRPr="002B3072">
              <w:rPr>
                <w:rFonts w:ascii="Book Antiqua" w:hAnsi="Book Antiqua"/>
                <w:b/>
                <w:bCs/>
                <w:sz w:val="24"/>
                <w:szCs w:val="24"/>
              </w:rPr>
              <w:fldChar w:fldCharType="end"/>
            </w:r>
            <w:r w:rsidRPr="002B3072">
              <w:rPr>
                <w:rFonts w:ascii="Book Antiqua" w:hAnsi="Book Antiqua"/>
                <w:sz w:val="24"/>
                <w:szCs w:val="24"/>
                <w:lang w:val="zh-CN" w:eastAsia="zh-CN"/>
              </w:rPr>
              <w:t xml:space="preserve"> / </w:t>
            </w:r>
            <w:r w:rsidRPr="002B3072">
              <w:rPr>
                <w:rFonts w:ascii="Book Antiqua" w:hAnsi="Book Antiqua"/>
                <w:b/>
                <w:bCs/>
                <w:sz w:val="24"/>
                <w:szCs w:val="24"/>
              </w:rPr>
              <w:fldChar w:fldCharType="begin"/>
            </w:r>
            <w:r w:rsidRPr="002B3072">
              <w:rPr>
                <w:rFonts w:ascii="Book Antiqua" w:hAnsi="Book Antiqua"/>
                <w:b/>
                <w:bCs/>
                <w:sz w:val="24"/>
                <w:szCs w:val="24"/>
              </w:rPr>
              <w:instrText>NUMPAGES</w:instrText>
            </w:r>
            <w:r w:rsidRPr="002B3072">
              <w:rPr>
                <w:rFonts w:ascii="Book Antiqua" w:hAnsi="Book Antiqua"/>
                <w:b/>
                <w:bCs/>
                <w:sz w:val="24"/>
                <w:szCs w:val="24"/>
              </w:rPr>
              <w:fldChar w:fldCharType="separate"/>
            </w:r>
            <w:r w:rsidRPr="002B3072">
              <w:rPr>
                <w:rFonts w:ascii="Book Antiqua" w:hAnsi="Book Antiqua"/>
                <w:b/>
                <w:bCs/>
                <w:sz w:val="24"/>
                <w:szCs w:val="24"/>
                <w:lang w:val="zh-CN" w:eastAsia="zh-CN"/>
              </w:rPr>
              <w:t>2</w:t>
            </w:r>
            <w:r w:rsidRPr="002B3072">
              <w:rPr>
                <w:rFonts w:ascii="Book Antiqua" w:hAnsi="Book Antiqua"/>
                <w:b/>
                <w:bCs/>
                <w:sz w:val="24"/>
                <w:szCs w:val="24"/>
              </w:rPr>
              <w:fldChar w:fldCharType="end"/>
            </w:r>
          </w:p>
        </w:sdtContent>
      </w:sdt>
    </w:sdtContent>
  </w:sdt>
  <w:p w14:paraId="084B2EF8" w14:textId="77777777" w:rsidR="002B3072" w:rsidRDefault="002B30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5B73" w14:textId="77777777" w:rsidR="00B816E8" w:rsidRDefault="00B816E8" w:rsidP="000843BC">
      <w:r>
        <w:separator/>
      </w:r>
    </w:p>
  </w:footnote>
  <w:footnote w:type="continuationSeparator" w:id="0">
    <w:p w14:paraId="71B031C2" w14:textId="77777777" w:rsidR="00B816E8" w:rsidRDefault="00B816E8" w:rsidP="0008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43BC"/>
    <w:rsid w:val="002B3072"/>
    <w:rsid w:val="005B39DD"/>
    <w:rsid w:val="0073156B"/>
    <w:rsid w:val="007D174E"/>
    <w:rsid w:val="00A77B3E"/>
    <w:rsid w:val="00B329D9"/>
    <w:rsid w:val="00B816E8"/>
    <w:rsid w:val="00BC06DC"/>
    <w:rsid w:val="00CA2A55"/>
    <w:rsid w:val="00DB1F07"/>
    <w:rsid w:val="00F74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AD34E"/>
  <w15:docId w15:val="{DD25C2BA-C424-491E-A4A7-21D0CB57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43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43BC"/>
    <w:rPr>
      <w:sz w:val="18"/>
      <w:szCs w:val="18"/>
    </w:rPr>
  </w:style>
  <w:style w:type="paragraph" w:styleId="a5">
    <w:name w:val="footer"/>
    <w:basedOn w:val="a"/>
    <w:link w:val="a6"/>
    <w:uiPriority w:val="99"/>
    <w:unhideWhenUsed/>
    <w:rsid w:val="000843BC"/>
    <w:pPr>
      <w:tabs>
        <w:tab w:val="center" w:pos="4153"/>
        <w:tab w:val="right" w:pos="8306"/>
      </w:tabs>
      <w:snapToGrid w:val="0"/>
    </w:pPr>
    <w:rPr>
      <w:sz w:val="18"/>
      <w:szCs w:val="18"/>
    </w:rPr>
  </w:style>
  <w:style w:type="character" w:customStyle="1" w:styleId="a6">
    <w:name w:val="页脚 字符"/>
    <w:basedOn w:val="a0"/>
    <w:link w:val="a5"/>
    <w:uiPriority w:val="99"/>
    <w:rsid w:val="000843BC"/>
    <w:rPr>
      <w:sz w:val="18"/>
      <w:szCs w:val="18"/>
    </w:rPr>
  </w:style>
  <w:style w:type="paragraph" w:styleId="a7">
    <w:name w:val="Normal (Web)"/>
    <w:basedOn w:val="a"/>
    <w:uiPriority w:val="99"/>
    <w:semiHidden/>
    <w:unhideWhenUsed/>
    <w:qFormat/>
    <w:rsid w:val="000843BC"/>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28</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8</cp:revision>
  <dcterms:created xsi:type="dcterms:W3CDTF">2021-04-19T03:03:00Z</dcterms:created>
  <dcterms:modified xsi:type="dcterms:W3CDTF">2021-04-22T12:13:00Z</dcterms:modified>
</cp:coreProperties>
</file>