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FE80" w14:textId="77777777" w:rsidR="00A77B3E" w:rsidRDefault="001E2C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342462C" w14:textId="77777777" w:rsidR="00A77B3E" w:rsidRDefault="001E2C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62934</w:t>
      </w:r>
    </w:p>
    <w:p w14:paraId="008ADF61" w14:textId="77777777" w:rsidR="00A77B3E" w:rsidRDefault="001E2C53">
      <w:pPr>
        <w:spacing w:line="360" w:lineRule="auto"/>
        <w:jc w:val="both"/>
      </w:pPr>
      <w:r>
        <w:rPr>
          <w:rFonts w:ascii="Book Antiqua" w:eastAsia="Book Antiqua" w:hAnsi="Book Antiqua" w:cs="Book Antiqua"/>
          <w:b/>
          <w:color w:val="000000"/>
        </w:rPr>
        <w:t xml:space="preserve">Manuscript Type: </w:t>
      </w:r>
      <w:bookmarkStart w:id="0" w:name="OLE_LINK14"/>
      <w:bookmarkStart w:id="1" w:name="OLE_LINK15"/>
      <w:bookmarkStart w:id="2" w:name="OLE_LINK16"/>
      <w:r>
        <w:rPr>
          <w:rFonts w:ascii="Book Antiqua" w:eastAsia="Book Antiqua" w:hAnsi="Book Antiqua" w:cs="Book Antiqua"/>
          <w:color w:val="000000"/>
        </w:rPr>
        <w:t>META-ANALYSIS</w:t>
      </w:r>
      <w:bookmarkEnd w:id="0"/>
      <w:bookmarkEnd w:id="1"/>
      <w:bookmarkEnd w:id="2"/>
    </w:p>
    <w:p w14:paraId="6AA83419" w14:textId="77777777" w:rsidR="00A77B3E" w:rsidRDefault="00A77B3E">
      <w:pPr>
        <w:spacing w:line="360" w:lineRule="auto"/>
        <w:jc w:val="both"/>
      </w:pPr>
    </w:p>
    <w:p w14:paraId="170A7C8C" w14:textId="0FCB031A" w:rsidR="0034329F" w:rsidRDefault="001E2C53">
      <w:pPr>
        <w:spacing w:line="360" w:lineRule="auto"/>
        <w:jc w:val="both"/>
      </w:pPr>
      <w:bookmarkStart w:id="3" w:name="OLE_LINK4"/>
      <w:bookmarkStart w:id="4" w:name="OLE_LINK5"/>
      <w:bookmarkStart w:id="5" w:name="OLE_LINK21"/>
      <w:bookmarkStart w:id="6" w:name="OLE_LINK22"/>
      <w:r>
        <w:rPr>
          <w:rFonts w:ascii="Book Antiqua" w:eastAsia="Book Antiqua" w:hAnsi="Book Antiqua" w:cs="Book Antiqua"/>
          <w:b/>
          <w:bCs/>
          <w:color w:val="000000"/>
        </w:rPr>
        <w:t>Predictive risk factors for</w:t>
      </w:r>
      <w:r w:rsidR="00A06D56">
        <w:rPr>
          <w:rFonts w:ascii="Book Antiqua" w:eastAsia="Book Antiqua" w:hAnsi="Book Antiqua" w:cs="Book Antiqua"/>
          <w:b/>
          <w:bCs/>
          <w:color w:val="000000"/>
        </w:rPr>
        <w:t xml:space="preserve"> </w:t>
      </w:r>
      <w:r>
        <w:rPr>
          <w:rFonts w:ascii="Book Antiqua" w:eastAsia="Book Antiqua" w:hAnsi="Book Antiqua" w:cs="Book Antiqua"/>
          <w:b/>
          <w:bCs/>
          <w:color w:val="000000"/>
        </w:rPr>
        <w:t>recollapse of cemented vertebrae after percutaneous vertebroplasty: A meta-analysis</w:t>
      </w:r>
      <w:r w:rsidR="0034329F">
        <w:rPr>
          <w:rFonts w:ascii="Book Antiqua" w:eastAsia="Book Antiqua" w:hAnsi="Book Antiqua" w:cs="Book Antiqua"/>
          <w:b/>
          <w:bCs/>
          <w:color w:val="000000"/>
        </w:rPr>
        <w:t xml:space="preserve"> </w:t>
      </w:r>
    </w:p>
    <w:bookmarkEnd w:id="3"/>
    <w:bookmarkEnd w:id="4"/>
    <w:bookmarkEnd w:id="5"/>
    <w:bookmarkEnd w:id="6"/>
    <w:p w14:paraId="22DF9CF9" w14:textId="77777777" w:rsidR="00A77B3E" w:rsidRDefault="00A77B3E">
      <w:pPr>
        <w:spacing w:line="360" w:lineRule="auto"/>
        <w:jc w:val="both"/>
      </w:pPr>
    </w:p>
    <w:p w14:paraId="7795AEF5" w14:textId="77777777" w:rsidR="00A77B3E" w:rsidRDefault="0091771B">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YH </w:t>
      </w:r>
      <w:r w:rsidRPr="0091771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6"/>
      <w:bookmarkStart w:id="8" w:name="OLE_LINK7"/>
      <w:bookmarkStart w:id="9" w:name="OLE_LINK23"/>
      <w:bookmarkStart w:id="10" w:name="OLE_LINK24"/>
      <w:r w:rsidR="001E2C53">
        <w:rPr>
          <w:rFonts w:ascii="Book Antiqua" w:eastAsia="Book Antiqua" w:hAnsi="Book Antiqua" w:cs="Book Antiqua"/>
          <w:color w:val="000000"/>
        </w:rPr>
        <w:t>Risk factors for recollapse after PVP</w:t>
      </w:r>
      <w:bookmarkEnd w:id="7"/>
      <w:bookmarkEnd w:id="8"/>
      <w:bookmarkEnd w:id="9"/>
      <w:bookmarkEnd w:id="10"/>
    </w:p>
    <w:p w14:paraId="4465D72D" w14:textId="77777777" w:rsidR="00A77B3E" w:rsidRDefault="00A77B3E">
      <w:pPr>
        <w:spacing w:line="360" w:lineRule="auto"/>
        <w:jc w:val="both"/>
      </w:pPr>
    </w:p>
    <w:p w14:paraId="11FCC207" w14:textId="77777777" w:rsidR="00A77B3E" w:rsidRDefault="001E2C53">
      <w:pPr>
        <w:spacing w:line="360" w:lineRule="auto"/>
        <w:jc w:val="both"/>
      </w:pPr>
      <w:r>
        <w:rPr>
          <w:rFonts w:ascii="Book Antiqua" w:eastAsia="Book Antiqua" w:hAnsi="Book Antiqua" w:cs="Book Antiqua"/>
          <w:color w:val="000000"/>
        </w:rPr>
        <w:t xml:space="preserve">Yi-Hang </w:t>
      </w:r>
      <w:bookmarkStart w:id="11" w:name="OLE_LINK86"/>
      <w:bookmarkStart w:id="12" w:name="OLE_LINK87"/>
      <w:r>
        <w:rPr>
          <w:rFonts w:ascii="Book Antiqua" w:eastAsia="Book Antiqua" w:hAnsi="Book Antiqua" w:cs="Book Antiqua"/>
          <w:color w:val="000000"/>
        </w:rPr>
        <w:t>Ma</w:t>
      </w:r>
      <w:bookmarkEnd w:id="11"/>
      <w:bookmarkEnd w:id="12"/>
      <w:r>
        <w:rPr>
          <w:rFonts w:ascii="Book Antiqua" w:eastAsia="Book Antiqua" w:hAnsi="Book Antiqua" w:cs="Book Antiqua"/>
          <w:color w:val="000000"/>
        </w:rPr>
        <w:t>, Zhi-Sen Tian, Hao-Chuan Liu, Bo-Yin Zhang, Yu-Hang Zhu, Chun-Yang Meng, Xiang-Ji Liu, Qing-San Zhu</w:t>
      </w:r>
    </w:p>
    <w:p w14:paraId="28AC3081" w14:textId="77777777" w:rsidR="00A77B3E" w:rsidRDefault="00A77B3E">
      <w:pPr>
        <w:spacing w:line="360" w:lineRule="auto"/>
        <w:jc w:val="both"/>
      </w:pPr>
    </w:p>
    <w:p w14:paraId="70CD93E9" w14:textId="77777777" w:rsidR="00A77B3E" w:rsidRDefault="001E2C53">
      <w:pPr>
        <w:spacing w:line="360" w:lineRule="auto"/>
        <w:jc w:val="both"/>
      </w:pPr>
      <w:r>
        <w:rPr>
          <w:rFonts w:ascii="Book Antiqua" w:eastAsia="Book Antiqua" w:hAnsi="Book Antiqua" w:cs="Book Antiqua"/>
          <w:b/>
          <w:bCs/>
          <w:color w:val="000000"/>
        </w:rPr>
        <w:t xml:space="preserve">Yi-Hang Ma, Zhi-Sen Tian, Hao-Chuan Liu, Bo-Yin Zhang, Yu-Hang Zhu, Chun-Yang Meng, Xiang-Ji Liu, Qing-San Zhu, </w:t>
      </w:r>
      <w:r>
        <w:rPr>
          <w:rFonts w:ascii="Book Antiqua" w:eastAsia="Book Antiqua" w:hAnsi="Book Antiqua" w:cs="Book Antiqua"/>
          <w:color w:val="000000"/>
        </w:rPr>
        <w:t xml:space="preserve">Department of Spine Surgery, China-Japan Union Hospital of Jilin University, Changchun 130033, </w:t>
      </w:r>
      <w:bookmarkStart w:id="13" w:name="OLE_LINK11"/>
      <w:r>
        <w:rPr>
          <w:rFonts w:ascii="Book Antiqua" w:eastAsia="Book Antiqua" w:hAnsi="Book Antiqua" w:cs="Book Antiqua"/>
          <w:color w:val="000000"/>
        </w:rPr>
        <w:t>Jilin</w:t>
      </w:r>
      <w:r w:rsidR="00D7320F">
        <w:rPr>
          <w:rFonts w:ascii="Book Antiqua" w:hAnsi="Book Antiqua" w:cs="Book Antiqua" w:hint="eastAsia"/>
          <w:color w:val="000000"/>
          <w:lang w:eastAsia="zh-CN"/>
        </w:rPr>
        <w:t xml:space="preserve"> </w:t>
      </w:r>
      <w:bookmarkEnd w:id="13"/>
      <w:r w:rsidR="00D7320F">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14" w:name="OLE_LINK8"/>
      <w:bookmarkStart w:id="15" w:name="OLE_LINK9"/>
      <w:bookmarkStart w:id="16" w:name="OLE_LINK10"/>
      <w:r>
        <w:rPr>
          <w:rFonts w:ascii="Book Antiqua" w:eastAsia="Book Antiqua" w:hAnsi="Book Antiqua" w:cs="Book Antiqua"/>
          <w:color w:val="000000"/>
        </w:rPr>
        <w:t>China</w:t>
      </w:r>
      <w:bookmarkEnd w:id="14"/>
      <w:bookmarkEnd w:id="15"/>
      <w:bookmarkEnd w:id="16"/>
    </w:p>
    <w:p w14:paraId="19B043B0" w14:textId="77777777" w:rsidR="00A77B3E" w:rsidRDefault="00A77B3E">
      <w:pPr>
        <w:spacing w:line="360" w:lineRule="auto"/>
        <w:jc w:val="both"/>
      </w:pPr>
    </w:p>
    <w:p w14:paraId="1A217C19" w14:textId="77777777" w:rsidR="00A77B3E" w:rsidRDefault="001E2C53">
      <w:pPr>
        <w:spacing w:line="360" w:lineRule="auto"/>
        <w:jc w:val="both"/>
      </w:pPr>
      <w:r>
        <w:rPr>
          <w:rFonts w:ascii="Book Antiqua" w:eastAsia="Book Antiqua" w:hAnsi="Book Antiqua" w:cs="Book Antiqua"/>
          <w:b/>
          <w:bCs/>
          <w:color w:val="000000"/>
          <w:szCs w:val="21"/>
        </w:rPr>
        <w:t xml:space="preserve">Author contributions: </w:t>
      </w:r>
      <w:bookmarkStart w:id="17" w:name="OLE_LINK25"/>
      <w:bookmarkStart w:id="18" w:name="OLE_LINK26"/>
      <w:r>
        <w:rPr>
          <w:rFonts w:ascii="Book Antiqua" w:eastAsia="Book Antiqua" w:hAnsi="Book Antiqua" w:cs="Book Antiqua"/>
          <w:color w:val="000000"/>
        </w:rPr>
        <w:t xml:space="preserve">Ma YH, Liu HC, and </w:t>
      </w:r>
      <w:r w:rsidR="00262A39">
        <w:rPr>
          <w:rFonts w:ascii="Book Antiqua" w:eastAsia="Book Antiqua" w:hAnsi="Book Antiqua" w:cs="Book Antiqua"/>
          <w:color w:val="000000"/>
        </w:rPr>
        <w:t>Zhu QS conceived the study idea</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Meng CY, Tian ZS, and Zhang</w:t>
      </w:r>
      <w:r w:rsidR="00262A39">
        <w:rPr>
          <w:rFonts w:ascii="Book Antiqua" w:eastAsia="Book Antiqua" w:hAnsi="Book Antiqua" w:cs="Book Antiqua"/>
          <w:color w:val="000000"/>
        </w:rPr>
        <w:t xml:space="preserve"> BY designed the study protocol</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Ma YH and Zhu YH managed the literature </w:t>
      </w:r>
      <w:r w:rsidR="00262A39">
        <w:rPr>
          <w:rFonts w:ascii="Book Antiqua" w:eastAsia="Book Antiqua" w:hAnsi="Book Antiqua" w:cs="Book Antiqua"/>
          <w:color w:val="000000"/>
        </w:rPr>
        <w:t>search and data acquisition</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Liu XJ and</w:t>
      </w:r>
      <w:r w:rsidR="00262A39">
        <w:rPr>
          <w:rFonts w:ascii="Book Antiqua" w:eastAsia="Book Antiqua" w:hAnsi="Book Antiqua" w:cs="Book Antiqua"/>
          <w:color w:val="000000"/>
        </w:rPr>
        <w:t xml:space="preserve"> Zhu YH performed data analysis</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Ma YH</w:t>
      </w:r>
      <w:r w:rsidR="00262A39">
        <w:rPr>
          <w:rFonts w:ascii="Book Antiqua" w:eastAsia="Book Antiqua" w:hAnsi="Book Antiqua" w:cs="Book Antiqua"/>
          <w:color w:val="000000"/>
        </w:rPr>
        <w:t xml:space="preserve"> drafted the initial manuscript</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Meng CY, Liu HC, Liu XJ, Tian ZS, and Zhang BY critically revised the manuscript for</w:t>
      </w:r>
      <w:r w:rsidR="00262A39">
        <w:rPr>
          <w:rFonts w:ascii="Book Antiqua" w:eastAsia="Book Antiqua" w:hAnsi="Book Antiqua" w:cs="Book Antiqua"/>
          <w:color w:val="000000"/>
        </w:rPr>
        <w:t xml:space="preserve"> important intellectual content</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Zhu QS resolved ambiguities during the study and gave final approval of the manuscript.</w:t>
      </w:r>
      <w:bookmarkEnd w:id="17"/>
      <w:bookmarkEnd w:id="18"/>
    </w:p>
    <w:p w14:paraId="11A297A9" w14:textId="77777777" w:rsidR="00A77B3E" w:rsidRDefault="00A77B3E">
      <w:pPr>
        <w:spacing w:line="360" w:lineRule="auto"/>
        <w:jc w:val="both"/>
      </w:pPr>
    </w:p>
    <w:p w14:paraId="25A0FA4C" w14:textId="77777777" w:rsidR="00A77B3E" w:rsidRDefault="001E2C53">
      <w:pPr>
        <w:spacing w:line="360" w:lineRule="auto"/>
        <w:jc w:val="both"/>
      </w:pPr>
      <w:r>
        <w:rPr>
          <w:rFonts w:ascii="Book Antiqua" w:eastAsia="Book Antiqua" w:hAnsi="Book Antiqua" w:cs="Book Antiqua"/>
          <w:b/>
          <w:bCs/>
          <w:color w:val="000000"/>
        </w:rPr>
        <w:t xml:space="preserve">Corresponding author: Qing-San Zhu, MD, PhD, Professor, Surgeon, </w:t>
      </w:r>
      <w:r>
        <w:rPr>
          <w:rFonts w:ascii="Book Antiqua" w:eastAsia="Book Antiqua" w:hAnsi="Book Antiqua" w:cs="Book Antiqua"/>
          <w:color w:val="000000"/>
        </w:rPr>
        <w:t xml:space="preserve">Department of Spine Surgery, China-Japan Union Hospital of Jilin University, </w:t>
      </w:r>
      <w:bookmarkStart w:id="19" w:name="OLE_LINK12"/>
      <w:bookmarkStart w:id="20" w:name="OLE_LINK13"/>
      <w:r>
        <w:rPr>
          <w:rFonts w:ascii="Book Antiqua" w:eastAsia="Book Antiqua" w:hAnsi="Book Antiqua" w:cs="Book Antiqua"/>
          <w:color w:val="000000"/>
        </w:rPr>
        <w:t>No.</w:t>
      </w:r>
      <w:r w:rsidR="00D84B8E">
        <w:rPr>
          <w:rFonts w:ascii="Book Antiqua" w:hAnsi="Book Antiqua" w:cs="Book Antiqua" w:hint="eastAsia"/>
          <w:color w:val="000000"/>
          <w:lang w:eastAsia="zh-CN"/>
        </w:rPr>
        <w:t xml:space="preserve"> </w:t>
      </w:r>
      <w:r>
        <w:rPr>
          <w:rFonts w:ascii="Book Antiqua" w:eastAsia="Book Antiqua" w:hAnsi="Book Antiqua" w:cs="Book Antiqua"/>
          <w:color w:val="000000"/>
        </w:rPr>
        <w:t>126 Xiantai Street,</w:t>
      </w:r>
      <w:bookmarkEnd w:id="19"/>
      <w:bookmarkEnd w:id="20"/>
      <w:r>
        <w:rPr>
          <w:rFonts w:ascii="Book Antiqua" w:eastAsia="Book Antiqua" w:hAnsi="Book Antiqua" w:cs="Book Antiqua"/>
          <w:color w:val="000000"/>
        </w:rPr>
        <w:t xml:space="preserve"> Changchun 130033, Jilin</w:t>
      </w:r>
      <w:r w:rsidR="00D84B8E">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zhuqs@jlu.edu.cn</w:t>
      </w:r>
    </w:p>
    <w:p w14:paraId="2BAF0F86" w14:textId="77777777" w:rsidR="00A77B3E" w:rsidRDefault="00A77B3E">
      <w:pPr>
        <w:spacing w:line="360" w:lineRule="auto"/>
        <w:jc w:val="both"/>
      </w:pPr>
    </w:p>
    <w:p w14:paraId="75F36051" w14:textId="77777777" w:rsidR="00A77B3E" w:rsidRDefault="001E2C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14C2FF0F" w14:textId="77777777" w:rsidR="00A77B3E" w:rsidRDefault="001E2C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18, 2021</w:t>
      </w:r>
    </w:p>
    <w:p w14:paraId="17BFB134" w14:textId="5516448B" w:rsidR="00A77B3E" w:rsidRDefault="001E2C53">
      <w:pPr>
        <w:spacing w:line="360" w:lineRule="auto"/>
        <w:jc w:val="both"/>
      </w:pPr>
      <w:r>
        <w:rPr>
          <w:rFonts w:ascii="Book Antiqua" w:eastAsia="Book Antiqua" w:hAnsi="Book Antiqua" w:cs="Book Antiqua"/>
          <w:b/>
          <w:bCs/>
          <w:color w:val="000000"/>
        </w:rPr>
        <w:lastRenderedPageBreak/>
        <w:t xml:space="preserve">Accepted: </w:t>
      </w:r>
      <w:r w:rsidR="000D5943" w:rsidRPr="000D5943">
        <w:rPr>
          <w:rFonts w:ascii="Book Antiqua" w:eastAsia="Book Antiqua" w:hAnsi="Book Antiqua" w:cs="Book Antiqua"/>
          <w:color w:val="000000"/>
        </w:rPr>
        <w:t>March 11, 2021</w:t>
      </w:r>
    </w:p>
    <w:p w14:paraId="2FFDC7B2" w14:textId="68717176" w:rsidR="00A77B3E" w:rsidRDefault="001E2C53">
      <w:pPr>
        <w:spacing w:line="360" w:lineRule="auto"/>
        <w:jc w:val="both"/>
      </w:pPr>
      <w:r>
        <w:rPr>
          <w:rFonts w:ascii="Book Antiqua" w:eastAsia="Book Antiqua" w:hAnsi="Book Antiqua" w:cs="Book Antiqua"/>
          <w:b/>
          <w:bCs/>
          <w:color w:val="000000"/>
        </w:rPr>
        <w:t xml:space="preserve">Published online: </w:t>
      </w:r>
      <w:r w:rsidR="00EE7D19" w:rsidRPr="00C04B8E">
        <w:rPr>
          <w:rFonts w:ascii="Book Antiqua" w:eastAsia="Book Antiqua" w:hAnsi="Book Antiqua" w:cs="Book Antiqua"/>
          <w:bCs/>
          <w:color w:val="000000"/>
        </w:rPr>
        <w:t>April</w:t>
      </w:r>
      <w:r w:rsidR="00EE7D19" w:rsidRPr="00C04B8E">
        <w:rPr>
          <w:rFonts w:ascii="Book Antiqua" w:hAnsi="Book Antiqua" w:cs="Book Antiqua" w:hint="eastAsia"/>
          <w:bCs/>
          <w:color w:val="000000"/>
          <w:lang w:eastAsia="zh-CN"/>
        </w:rPr>
        <w:t xml:space="preserve"> </w:t>
      </w:r>
      <w:r w:rsidR="00EE7D19">
        <w:rPr>
          <w:rFonts w:ascii="Book Antiqua" w:hAnsi="Book Antiqua" w:cs="Book Antiqua" w:hint="eastAsia"/>
          <w:bCs/>
          <w:color w:val="000000"/>
          <w:lang w:eastAsia="zh-CN"/>
        </w:rPr>
        <w:t>2</w:t>
      </w:r>
      <w:r w:rsidR="00EE7D19" w:rsidRPr="00C04B8E">
        <w:rPr>
          <w:rFonts w:ascii="Book Antiqua" w:hAnsi="Book Antiqua" w:cs="Book Antiqua" w:hint="eastAsia"/>
          <w:bCs/>
          <w:color w:val="000000"/>
          <w:lang w:eastAsia="zh-CN"/>
        </w:rPr>
        <w:t>6, 2021</w:t>
      </w:r>
    </w:p>
    <w:p w14:paraId="35E2CD2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8E55B09" w14:textId="77777777" w:rsidR="00A77B3E" w:rsidRDefault="001E2C53">
      <w:pPr>
        <w:spacing w:line="360" w:lineRule="auto"/>
        <w:jc w:val="both"/>
      </w:pPr>
      <w:r>
        <w:rPr>
          <w:rFonts w:ascii="Book Antiqua" w:eastAsia="Book Antiqua" w:hAnsi="Book Antiqua" w:cs="Book Antiqua"/>
          <w:b/>
          <w:color w:val="000000"/>
        </w:rPr>
        <w:t>Abstract</w:t>
      </w:r>
    </w:p>
    <w:p w14:paraId="71E24A7F" w14:textId="77777777" w:rsidR="00A77B3E" w:rsidRDefault="001E2C53">
      <w:pPr>
        <w:spacing w:line="360" w:lineRule="auto"/>
        <w:jc w:val="both"/>
      </w:pPr>
      <w:r>
        <w:rPr>
          <w:rFonts w:ascii="Book Antiqua" w:eastAsia="Book Antiqua" w:hAnsi="Book Antiqua" w:cs="Book Antiqua"/>
          <w:color w:val="000000"/>
        </w:rPr>
        <w:t>BACKGROUND</w:t>
      </w:r>
    </w:p>
    <w:p w14:paraId="1150EF5D" w14:textId="28714D36" w:rsidR="00A77B3E" w:rsidRDefault="001E2C53">
      <w:pPr>
        <w:spacing w:line="360" w:lineRule="auto"/>
        <w:jc w:val="both"/>
      </w:pPr>
      <w:bookmarkStart w:id="21" w:name="OLE_LINK31"/>
      <w:bookmarkStart w:id="22" w:name="OLE_LINK32"/>
      <w:r>
        <w:rPr>
          <w:rFonts w:ascii="Book Antiqua" w:eastAsia="Book Antiqua" w:hAnsi="Book Antiqua" w:cs="Book Antiqua"/>
          <w:color w:val="000000"/>
        </w:rPr>
        <w:t>As one of the most common complications of osteoporosis,</w:t>
      </w:r>
      <w:r>
        <w:rPr>
          <w:rFonts w:ascii="Book Antiqua" w:eastAsia="Book Antiqua" w:hAnsi="Book Antiqua" w:cs="Book Antiqua"/>
          <w:b/>
          <w:bCs/>
          <w:color w:val="000000"/>
        </w:rPr>
        <w:t xml:space="preserve"> </w:t>
      </w:r>
      <w:bookmarkStart w:id="23" w:name="OLE_LINK89"/>
      <w:r>
        <w:rPr>
          <w:rFonts w:ascii="Book Antiqua" w:eastAsia="Book Antiqua" w:hAnsi="Book Antiqua" w:cs="Book Antiqua"/>
          <w:color w:val="000000"/>
        </w:rPr>
        <w:t>osteoporotic vertebral compression fracture (OVCF)</w:t>
      </w:r>
      <w:bookmarkEnd w:id="23"/>
      <w:r>
        <w:rPr>
          <w:rFonts w:ascii="Book Antiqua" w:eastAsia="Book Antiqua" w:hAnsi="Book Antiqua" w:cs="Book Antiqua"/>
          <w:color w:val="000000"/>
        </w:rPr>
        <w:t xml:space="preserve"> increases the risk of disability and mortality in elderly patients. </w:t>
      </w:r>
      <w:bookmarkStart w:id="24" w:name="OLE_LINK88"/>
      <w:r>
        <w:rPr>
          <w:rFonts w:ascii="Book Antiqua" w:eastAsia="Book Antiqua" w:hAnsi="Book Antiqua" w:cs="Book Antiqua"/>
          <w:color w:val="000000"/>
        </w:rPr>
        <w:t>Percutaneous vertebroplasty (PVP)</w:t>
      </w:r>
      <w:bookmarkEnd w:id="24"/>
      <w:r>
        <w:rPr>
          <w:rFonts w:ascii="Book Antiqua" w:eastAsia="Book Antiqua" w:hAnsi="Book Antiqua" w:cs="Book Antiqua"/>
          <w:color w:val="000000"/>
        </w:rPr>
        <w:t xml:space="preserve"> is considered to be an effective, safe, and minimally invasive treatment for OVCFs. The recollapse of cemented vertebrae is one of the serious complications of PVP. However, the risk factors associated with recollapse after PVP</w:t>
      </w:r>
      <w:r w:rsidR="00A06D56">
        <w:rPr>
          <w:rFonts w:ascii="Book Antiqua" w:eastAsia="Book Antiqua" w:hAnsi="Book Antiqua" w:cs="Book Antiqua"/>
          <w:color w:val="000000"/>
        </w:rPr>
        <w:t xml:space="preserve"> </w:t>
      </w:r>
      <w:r>
        <w:rPr>
          <w:rFonts w:ascii="Book Antiqua" w:eastAsia="Book Antiqua" w:hAnsi="Book Antiqua" w:cs="Book Antiqua"/>
          <w:color w:val="000000"/>
        </w:rPr>
        <w:t xml:space="preserve">remain controversial. </w:t>
      </w:r>
    </w:p>
    <w:bookmarkEnd w:id="21"/>
    <w:bookmarkEnd w:id="22"/>
    <w:p w14:paraId="68FB74C3" w14:textId="77777777" w:rsidR="00A77B3E" w:rsidRDefault="00A77B3E">
      <w:pPr>
        <w:spacing w:line="360" w:lineRule="auto"/>
        <w:jc w:val="both"/>
      </w:pPr>
    </w:p>
    <w:p w14:paraId="11BB3C9A" w14:textId="77777777" w:rsidR="00A77B3E" w:rsidRDefault="001E2C53">
      <w:pPr>
        <w:spacing w:line="360" w:lineRule="auto"/>
        <w:jc w:val="both"/>
      </w:pPr>
      <w:r>
        <w:rPr>
          <w:rFonts w:ascii="Book Antiqua" w:eastAsia="Book Antiqua" w:hAnsi="Book Antiqua" w:cs="Book Antiqua"/>
          <w:color w:val="000000"/>
        </w:rPr>
        <w:t>AIM</w:t>
      </w:r>
    </w:p>
    <w:p w14:paraId="571098AA" w14:textId="77777777" w:rsidR="00A77B3E" w:rsidRDefault="001E2C53">
      <w:pPr>
        <w:spacing w:line="360" w:lineRule="auto"/>
        <w:jc w:val="both"/>
      </w:pPr>
      <w:bookmarkStart w:id="25" w:name="OLE_LINK33"/>
      <w:bookmarkStart w:id="26" w:name="OLE_LINK34"/>
      <w:bookmarkStart w:id="27" w:name="OLE_LINK35"/>
      <w:r>
        <w:rPr>
          <w:rFonts w:ascii="Book Antiqua" w:eastAsia="Book Antiqua" w:hAnsi="Book Antiqua" w:cs="Book Antiqua"/>
          <w:color w:val="000000"/>
        </w:rPr>
        <w:t>To identify risk factors for the recollapse of cemented vertebrae after PVP in patients with OVCFs.</w:t>
      </w:r>
    </w:p>
    <w:bookmarkEnd w:id="25"/>
    <w:bookmarkEnd w:id="26"/>
    <w:bookmarkEnd w:id="27"/>
    <w:p w14:paraId="32BD9EDB" w14:textId="77777777" w:rsidR="00A77B3E" w:rsidRDefault="00A77B3E">
      <w:pPr>
        <w:spacing w:line="360" w:lineRule="auto"/>
        <w:jc w:val="both"/>
      </w:pPr>
    </w:p>
    <w:p w14:paraId="2F83FD05" w14:textId="77777777" w:rsidR="00A77B3E" w:rsidRDefault="001E2C53">
      <w:pPr>
        <w:spacing w:line="360" w:lineRule="auto"/>
        <w:jc w:val="both"/>
      </w:pPr>
      <w:r>
        <w:rPr>
          <w:rFonts w:ascii="Book Antiqua" w:eastAsia="Book Antiqua" w:hAnsi="Book Antiqua" w:cs="Book Antiqua"/>
          <w:color w:val="000000"/>
        </w:rPr>
        <w:t>METHODS</w:t>
      </w:r>
    </w:p>
    <w:p w14:paraId="758E6AE6" w14:textId="1DABD63A" w:rsidR="00A77B3E" w:rsidRDefault="001E2C53">
      <w:pPr>
        <w:spacing w:line="360" w:lineRule="auto"/>
        <w:jc w:val="both"/>
      </w:pPr>
      <w:bookmarkStart w:id="28" w:name="OLE_LINK36"/>
      <w:r>
        <w:rPr>
          <w:rFonts w:ascii="Book Antiqua" w:eastAsia="Book Antiqua" w:hAnsi="Book Antiqua" w:cs="Book Antiqua"/>
          <w:color w:val="000000"/>
        </w:rPr>
        <w:t>A systematic search in EMBASE, MEDLINE, the Cochrane Library, and PubMed was conducted for relevant studies from inception until March</w:t>
      </w:r>
      <w:r w:rsidR="00D0555C">
        <w:rPr>
          <w:rFonts w:ascii="Book Antiqua" w:eastAsia="Book Antiqua" w:hAnsi="Book Antiqua" w:cs="Book Antiqua"/>
          <w:color w:val="000000"/>
        </w:rPr>
        <w:t>,</w:t>
      </w:r>
      <w:r>
        <w:rPr>
          <w:rFonts w:ascii="Book Antiqua" w:eastAsia="Book Antiqua" w:hAnsi="Book Antiqua" w:cs="Book Antiqua"/>
          <w:color w:val="000000"/>
        </w:rPr>
        <w:t xml:space="preserve"> 2020. Studies investigating risk factors for the recollapse of cemented vertebrae after PVP without additional trauma were selected for analysis. Odds ratios </w:t>
      </w:r>
      <w:r w:rsidR="00BE2511">
        <w:rPr>
          <w:rFonts w:ascii="Book Antiqua" w:eastAsia="Book Antiqua" w:hAnsi="Book Antiqua" w:cs="Book Antiqua"/>
          <w:color w:val="000000"/>
        </w:rPr>
        <w:t xml:space="preserve">(ORs) </w:t>
      </w:r>
      <w:r>
        <w:rPr>
          <w:rFonts w:ascii="Book Antiqua" w:eastAsia="Book Antiqua" w:hAnsi="Book Antiqua" w:cs="Book Antiqua"/>
          <w:color w:val="000000"/>
        </w:rPr>
        <w:t>or standardized mean differences with 95%</w:t>
      </w:r>
      <w:r w:rsidR="00D0555C">
        <w:rPr>
          <w:rFonts w:ascii="Book Antiqua" w:eastAsia="Book Antiqua" w:hAnsi="Book Antiqua" w:cs="Book Antiqua"/>
          <w:color w:val="000000"/>
        </w:rPr>
        <w:t xml:space="preserve"> </w:t>
      </w:r>
      <w:bookmarkStart w:id="29" w:name="OLE_LINK311"/>
      <w:bookmarkStart w:id="30" w:name="OLE_LINK312"/>
      <w:bookmarkStart w:id="31" w:name="OLE_LINK1422"/>
      <w:bookmarkStart w:id="32" w:name="OLE_LINK1523"/>
      <w:bookmarkStart w:id="33" w:name="OLE_LINK1425"/>
      <w:bookmarkStart w:id="34" w:name="OLE_LINK1488"/>
      <w:bookmarkStart w:id="35" w:name="OLE_LINK1535"/>
      <w:bookmarkStart w:id="36" w:name="OLE_LINK1417"/>
      <w:r w:rsidR="00D0555C" w:rsidRPr="00663BB7">
        <w:rPr>
          <w:rFonts w:ascii="Book Antiqua" w:hAnsi="Book Antiqua"/>
        </w:rPr>
        <w:t>confidence interval</w:t>
      </w:r>
      <w:bookmarkEnd w:id="29"/>
      <w:bookmarkEnd w:id="30"/>
      <w:bookmarkEnd w:id="31"/>
      <w:bookmarkEnd w:id="32"/>
      <w:bookmarkEnd w:id="33"/>
      <w:bookmarkEnd w:id="34"/>
      <w:bookmarkEnd w:id="35"/>
      <w:bookmarkEnd w:id="36"/>
      <w:r w:rsidR="00D0555C">
        <w:rPr>
          <w:rFonts w:ascii="Book Antiqua" w:hAnsi="Book Antiqua" w:cs="Book Antiqua" w:hint="eastAsia"/>
          <w:color w:val="000000"/>
          <w:lang w:eastAsia="zh-CN"/>
        </w:rPr>
        <w:t xml:space="preserve"> </w:t>
      </w:r>
      <w:r w:rsidR="00D0555C">
        <w:rPr>
          <w:rFonts w:ascii="Book Antiqua" w:hAnsi="Book Antiqua" w:cs="Book Antiqua"/>
          <w:color w:val="000000"/>
          <w:lang w:eastAsia="zh-CN"/>
        </w:rPr>
        <w:t>(</w:t>
      </w:r>
      <w:r w:rsidR="004054AF">
        <w:rPr>
          <w:rFonts w:ascii="Book Antiqua" w:hAnsi="Book Antiqua" w:cs="Book Antiqua" w:hint="eastAsia"/>
          <w:color w:val="000000"/>
          <w:lang w:eastAsia="zh-CN"/>
        </w:rPr>
        <w:t>CI</w:t>
      </w:r>
      <w:r w:rsidR="00D0555C">
        <w:rPr>
          <w:rFonts w:ascii="Book Antiqua" w:hAnsi="Book Antiqua" w:cs="Book Antiqua"/>
          <w:color w:val="000000"/>
          <w:lang w:eastAsia="zh-CN"/>
        </w:rPr>
        <w:t>)</w:t>
      </w:r>
      <w:r>
        <w:rPr>
          <w:rFonts w:ascii="Book Antiqua" w:eastAsia="Book Antiqua" w:hAnsi="Book Antiqua" w:cs="Book Antiqua"/>
          <w:color w:val="000000"/>
        </w:rPr>
        <w:t xml:space="preserve"> were calculated and heterogeneity was assessed </w:t>
      </w:r>
      <w:r w:rsidR="00BE2511">
        <w:rPr>
          <w:rFonts w:ascii="Book Antiqua" w:eastAsia="Book Antiqua" w:hAnsi="Book Antiqua" w:cs="Book Antiqua"/>
          <w:color w:val="000000"/>
        </w:rPr>
        <w:t xml:space="preserve">by </w:t>
      </w:r>
      <w:r>
        <w:rPr>
          <w:rFonts w:ascii="Book Antiqua" w:eastAsia="Book Antiqua" w:hAnsi="Book Antiqua" w:cs="Book Antiqua"/>
          <w:color w:val="000000"/>
        </w:rPr>
        <w:t xml:space="preserve">both the chi-squared test and the </w:t>
      </w:r>
      <w:r w:rsidRPr="0094641C">
        <w:rPr>
          <w:rFonts w:ascii="Book Antiqua" w:eastAsia="Book Antiqua" w:hAnsi="Book Antiqua" w:cs="Book Antiqua"/>
          <w:i/>
          <w:color w:val="000000"/>
        </w:rPr>
        <w:t>I</w:t>
      </w:r>
      <w:r>
        <w:rPr>
          <w:rFonts w:ascii="Book Antiqua" w:eastAsia="Book Antiqua" w:hAnsi="Book Antiqua" w:cs="Book Antiqua"/>
          <w:color w:val="000000"/>
        </w:rPr>
        <w:t xml:space="preserve">-squared test. The methodological quality of the included studies was assessed according to the Newcastle-Ottawa Scale. </w:t>
      </w:r>
    </w:p>
    <w:bookmarkEnd w:id="28"/>
    <w:p w14:paraId="73A801B2" w14:textId="77777777" w:rsidR="00A77B3E" w:rsidRDefault="00A77B3E">
      <w:pPr>
        <w:spacing w:line="360" w:lineRule="auto"/>
        <w:jc w:val="both"/>
      </w:pPr>
    </w:p>
    <w:p w14:paraId="0F560B85" w14:textId="77777777" w:rsidR="00A77B3E" w:rsidRDefault="001E2C53">
      <w:pPr>
        <w:spacing w:line="360" w:lineRule="auto"/>
        <w:jc w:val="both"/>
      </w:pPr>
      <w:r>
        <w:rPr>
          <w:rFonts w:ascii="Book Antiqua" w:eastAsia="Book Antiqua" w:hAnsi="Book Antiqua" w:cs="Book Antiqua"/>
          <w:color w:val="000000"/>
        </w:rPr>
        <w:t>RESULTS</w:t>
      </w:r>
    </w:p>
    <w:p w14:paraId="7304988C" w14:textId="76936761" w:rsidR="00A77B3E" w:rsidRDefault="001E2C53">
      <w:pPr>
        <w:spacing w:line="360" w:lineRule="auto"/>
        <w:jc w:val="both"/>
      </w:pPr>
      <w:bookmarkStart w:id="37" w:name="OLE_LINK37"/>
      <w:bookmarkStart w:id="38" w:name="OLE_LINK38"/>
      <w:r>
        <w:rPr>
          <w:rFonts w:ascii="Book Antiqua" w:eastAsia="Book Antiqua" w:hAnsi="Book Antiqua" w:cs="Book Antiqua"/>
          <w:color w:val="000000"/>
        </w:rPr>
        <w:t xml:space="preserve">A total of </w:t>
      </w:r>
      <w:r w:rsidR="00BE2511">
        <w:rPr>
          <w:rFonts w:ascii="Book Antiqua" w:eastAsia="Book Antiqua" w:hAnsi="Book Antiqua" w:cs="Book Antiqua"/>
          <w:color w:val="000000"/>
        </w:rPr>
        <w:t xml:space="preserve">nine </w:t>
      </w:r>
      <w:r>
        <w:rPr>
          <w:rFonts w:ascii="Book Antiqua" w:eastAsia="Book Antiqua" w:hAnsi="Book Antiqua" w:cs="Book Antiqua"/>
          <w:color w:val="000000"/>
        </w:rPr>
        <w:t xml:space="preserve">case-control studies were included in our meta-analysis comprising 300 cases and 2674 controls. The significant risk factors for the recollapse of cemented vertebrae after PVP in OVCF patients were fractures located at the thoracolumbar junction </w:t>
      </w:r>
      <w:r w:rsidR="00BE2511">
        <w:rPr>
          <w:rFonts w:ascii="Book Antiqua" w:eastAsia="Book Antiqua" w:hAnsi="Book Antiqua" w:cs="Book Antiqua"/>
          <w:color w:val="000000"/>
        </w:rPr>
        <w:t>(</w:t>
      </w:r>
      <w:r>
        <w:rPr>
          <w:rFonts w:ascii="Book Antiqua" w:eastAsia="Book Antiqua" w:hAnsi="Book Antiqua" w:cs="Book Antiqua"/>
          <w:color w:val="000000"/>
        </w:rPr>
        <w:t>OR</w:t>
      </w:r>
      <w:r w:rsidR="00BE2511">
        <w:rPr>
          <w:rFonts w:ascii="Book Antiqua" w:eastAsia="Book Antiqua" w:hAnsi="Book Antiqua" w:cs="Book Antiqua"/>
          <w:color w:val="000000"/>
        </w:rPr>
        <w:t xml:space="preserve"> = </w:t>
      </w:r>
      <w:r>
        <w:rPr>
          <w:rFonts w:ascii="Book Antiqua" w:eastAsia="Book Antiqua" w:hAnsi="Book Antiqua" w:cs="Book Antiqua"/>
          <w:color w:val="000000"/>
        </w:rPr>
        <w:t xml:space="preserve">2.09; 95%CI: 1.30 to 3.38;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BE2511">
        <w:rPr>
          <w:rFonts w:ascii="Book Antiqua" w:eastAsia="Book Antiqua" w:hAnsi="Book Antiqua" w:cs="Book Antiqua"/>
          <w:color w:val="000000"/>
        </w:rPr>
        <w:t xml:space="preserve">), </w:t>
      </w:r>
      <w:r>
        <w:rPr>
          <w:rFonts w:ascii="Book Antiqua" w:eastAsia="Book Antiqua" w:hAnsi="Book Antiqua" w:cs="Book Antiqua"/>
          <w:color w:val="000000"/>
        </w:rPr>
        <w:t>preoperative intravertebral cleft (OR</w:t>
      </w:r>
      <w:r w:rsidR="00BE2511">
        <w:rPr>
          <w:rFonts w:ascii="Book Antiqua" w:eastAsia="Book Antiqua" w:hAnsi="Book Antiqua" w:cs="Book Antiqua"/>
          <w:color w:val="000000"/>
        </w:rPr>
        <w:t xml:space="preserve"> = </w:t>
      </w:r>
      <w:r>
        <w:rPr>
          <w:rFonts w:ascii="Book Antiqua" w:eastAsia="Book Antiqua" w:hAnsi="Book Antiqua" w:cs="Book Antiqua"/>
          <w:color w:val="000000"/>
        </w:rPr>
        <w:t xml:space="preserve">2.97; 95%CI: 1.93 to 4.57; </w:t>
      </w:r>
      <w:r w:rsidRPr="00E52011">
        <w:rPr>
          <w:rFonts w:ascii="Book Antiqua" w:eastAsia="Book Antiqua" w:hAnsi="Book Antiqua" w:cs="Book Antiqua"/>
          <w:i/>
          <w:color w:val="000000"/>
        </w:rPr>
        <w:t>P</w:t>
      </w:r>
      <w:r>
        <w:rPr>
          <w:rFonts w:ascii="Book Antiqua" w:eastAsia="Book Antiqua" w:hAnsi="Book Antiqua" w:cs="Book Antiqua"/>
          <w:color w:val="000000"/>
        </w:rPr>
        <w:t xml:space="preserve"> &lt; 0.00001), and solid lump distribution pattern of the cement (OR</w:t>
      </w:r>
      <w:r w:rsidR="00BE2511">
        <w:rPr>
          <w:rFonts w:ascii="Book Antiqua" w:eastAsia="Book Antiqua" w:hAnsi="Book Antiqua" w:cs="Book Antiqua"/>
          <w:color w:val="000000"/>
        </w:rPr>
        <w:t xml:space="preserve"> = </w:t>
      </w:r>
      <w:r>
        <w:rPr>
          <w:rFonts w:ascii="Book Antiqua" w:eastAsia="Book Antiqua" w:hAnsi="Book Antiqua" w:cs="Book Antiqua"/>
          <w:color w:val="000000"/>
        </w:rPr>
        <w:t xml:space="preserve">3.11; 95%CI: 1.91 to 5.07; </w:t>
      </w:r>
      <w:r w:rsidRPr="00E52011">
        <w:rPr>
          <w:rFonts w:ascii="Book Antiqua" w:eastAsia="Book Antiqua" w:hAnsi="Book Antiqua" w:cs="Book Antiqua"/>
          <w:i/>
          <w:color w:val="000000"/>
        </w:rPr>
        <w:t>P</w:t>
      </w:r>
      <w:r>
        <w:rPr>
          <w:rFonts w:ascii="Book Antiqua" w:eastAsia="Book Antiqua" w:hAnsi="Book Antiqua" w:cs="Book Antiqua"/>
          <w:color w:val="000000"/>
        </w:rPr>
        <w:t xml:space="preserve"> &lt; 0.00001). The analysis did not support that age, gender, lumbar bone mineral density, preoperative visual analogue scale score, injected cement volume, intradiscal cement leakage, or vertebral height restoration could increase the risk for cemented vertebra recollapse after PVP in OVCFs.</w:t>
      </w:r>
    </w:p>
    <w:bookmarkEnd w:id="37"/>
    <w:bookmarkEnd w:id="38"/>
    <w:p w14:paraId="125D2BA6" w14:textId="77777777" w:rsidR="00A77B3E" w:rsidRDefault="00A77B3E">
      <w:pPr>
        <w:spacing w:line="360" w:lineRule="auto"/>
        <w:jc w:val="both"/>
      </w:pPr>
    </w:p>
    <w:p w14:paraId="1B602B4A" w14:textId="77777777" w:rsidR="00A77B3E" w:rsidRDefault="001E2C53">
      <w:pPr>
        <w:spacing w:line="360" w:lineRule="auto"/>
        <w:jc w:val="both"/>
      </w:pPr>
      <w:r>
        <w:rPr>
          <w:rFonts w:ascii="Book Antiqua" w:eastAsia="Book Antiqua" w:hAnsi="Book Antiqua" w:cs="Book Antiqua"/>
          <w:color w:val="000000"/>
        </w:rPr>
        <w:t>CONCLUSION</w:t>
      </w:r>
    </w:p>
    <w:p w14:paraId="53698143" w14:textId="77777777" w:rsidR="00A77B3E" w:rsidRDefault="001E2C53">
      <w:pPr>
        <w:spacing w:line="360" w:lineRule="auto"/>
        <w:jc w:val="both"/>
      </w:pPr>
      <w:bookmarkStart w:id="39" w:name="OLE_LINK39"/>
      <w:bookmarkStart w:id="40" w:name="OLE_LINK40"/>
      <w:r>
        <w:rPr>
          <w:rFonts w:ascii="Book Antiqua" w:eastAsia="Book Antiqua" w:hAnsi="Book Antiqua" w:cs="Book Antiqua"/>
          <w:color w:val="000000"/>
        </w:rPr>
        <w:t>This meta-analysis suggests that thoracolumbar junction fractures, preoperative intravertebral cleft, and solid lump cement distribution pattern are associated with the recollapse of cemented vertebrae after PVP in OVCF patients.</w:t>
      </w:r>
    </w:p>
    <w:bookmarkEnd w:id="39"/>
    <w:bookmarkEnd w:id="40"/>
    <w:p w14:paraId="1190B6D8" w14:textId="77777777" w:rsidR="00A77B3E" w:rsidRDefault="00A77B3E">
      <w:pPr>
        <w:spacing w:line="360" w:lineRule="auto"/>
        <w:jc w:val="both"/>
      </w:pPr>
    </w:p>
    <w:p w14:paraId="77C3253A" w14:textId="77777777" w:rsidR="00A77B3E" w:rsidRDefault="001E2C53">
      <w:pPr>
        <w:spacing w:line="360" w:lineRule="auto"/>
        <w:jc w:val="both"/>
      </w:pPr>
      <w:r>
        <w:rPr>
          <w:rFonts w:ascii="Book Antiqua" w:eastAsia="Book Antiqua" w:hAnsi="Book Antiqua" w:cs="Book Antiqua"/>
          <w:b/>
          <w:bCs/>
          <w:color w:val="000000"/>
        </w:rPr>
        <w:t xml:space="preserve">Key Words: </w:t>
      </w:r>
      <w:bookmarkStart w:id="41" w:name="OLE_LINK27"/>
      <w:bookmarkStart w:id="42" w:name="OLE_LINK28"/>
      <w:bookmarkStart w:id="43" w:name="OLE_LINK29"/>
      <w:bookmarkStart w:id="44" w:name="OLE_LINK17"/>
      <w:bookmarkStart w:id="45" w:name="OLE_LINK18"/>
      <w:r>
        <w:rPr>
          <w:rFonts w:ascii="Book Antiqua" w:eastAsia="Book Antiqua" w:hAnsi="Book Antiqua" w:cs="Book Antiqua"/>
          <w:color w:val="000000"/>
        </w:rPr>
        <w:t>Vertebroplasty; Osteoporotic vertebral compression fracture; Risk factors; Recollapse; Cemented vertebrae; Meta-analysis</w:t>
      </w:r>
      <w:bookmarkEnd w:id="41"/>
      <w:bookmarkEnd w:id="42"/>
      <w:bookmarkEnd w:id="43"/>
    </w:p>
    <w:bookmarkEnd w:id="44"/>
    <w:bookmarkEnd w:id="45"/>
    <w:p w14:paraId="31A4F0BA" w14:textId="77777777" w:rsidR="00B67691" w:rsidRDefault="00B67691" w:rsidP="00B67691">
      <w:pPr>
        <w:spacing w:line="360" w:lineRule="auto"/>
        <w:jc w:val="both"/>
        <w:rPr>
          <w:lang w:eastAsia="zh-CN"/>
        </w:rPr>
      </w:pPr>
    </w:p>
    <w:p w14:paraId="1FB3D4CE" w14:textId="77777777" w:rsidR="00B67691" w:rsidRPr="00026CB8" w:rsidRDefault="00B67691" w:rsidP="00B6769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4781B15" w14:textId="77777777" w:rsidR="00A77B3E" w:rsidRDefault="00A77B3E">
      <w:pPr>
        <w:spacing w:line="360" w:lineRule="auto"/>
        <w:jc w:val="both"/>
      </w:pPr>
    </w:p>
    <w:p w14:paraId="7A428570" w14:textId="25075E7D" w:rsidR="004B71DD" w:rsidRDefault="004B71DD">
      <w:pPr>
        <w:spacing w:line="360" w:lineRule="auto"/>
        <w:jc w:val="both"/>
        <w:rPr>
          <w:rFonts w:ascii="Book Antiqua" w:hAnsi="Book Antiqua" w:hint="eastAsia"/>
          <w:lang w:eastAsia="zh-CN"/>
        </w:rPr>
      </w:pPr>
      <w:r w:rsidRPr="004B71DD">
        <w:rPr>
          <w:rFonts w:ascii="Book Antiqua" w:hAnsi="Book Antiqua" w:cs="Book Antiqua" w:hint="eastAsia"/>
          <w:b/>
          <w:color w:val="000000"/>
          <w:lang w:eastAsia="zh-CN"/>
        </w:rPr>
        <w:t xml:space="preserve">Citation: </w:t>
      </w:r>
      <w:r w:rsidR="001E2C53">
        <w:rPr>
          <w:rFonts w:ascii="Book Antiqua" w:eastAsia="Book Antiqua" w:hAnsi="Book Antiqua" w:cs="Book Antiqua"/>
          <w:color w:val="000000"/>
        </w:rPr>
        <w:t>Ma YH, Tian ZS, Liu HC, Zhang BY, Zhu YH, Meng CY, Liu XJ, Zhu QS. Predictive risk factors for</w:t>
      </w:r>
      <w:r w:rsidR="00BE2511">
        <w:rPr>
          <w:rFonts w:ascii="Book Antiqua" w:eastAsia="Book Antiqua" w:hAnsi="Book Antiqua" w:cs="Book Antiqua"/>
          <w:color w:val="000000"/>
        </w:rPr>
        <w:t xml:space="preserve"> </w:t>
      </w:r>
      <w:r w:rsidR="001E2C53">
        <w:rPr>
          <w:rFonts w:ascii="Book Antiqua" w:eastAsia="Book Antiqua" w:hAnsi="Book Antiqua" w:cs="Book Antiqua"/>
          <w:color w:val="000000"/>
        </w:rPr>
        <w:t xml:space="preserve">recollapse of cemented vertebrae after percutaneous vertebroplasty: A meta-analysis. </w:t>
      </w:r>
      <w:r w:rsidR="001E2C53">
        <w:rPr>
          <w:rFonts w:ascii="Book Antiqua" w:eastAsia="Book Antiqua" w:hAnsi="Book Antiqua" w:cs="Book Antiqua"/>
          <w:i/>
          <w:iCs/>
          <w:color w:val="000000"/>
        </w:rPr>
        <w:t>World J Clin Cases</w:t>
      </w:r>
      <w:r w:rsidR="001E2C53">
        <w:rPr>
          <w:rFonts w:ascii="Book Antiqua" w:eastAsia="Book Antiqua" w:hAnsi="Book Antiqua" w:cs="Book Antiqua"/>
          <w:color w:val="000000"/>
        </w:rPr>
        <w:t xml:space="preserve"> </w:t>
      </w:r>
      <w:r w:rsidR="00BB1D79" w:rsidRPr="00EE6A3B">
        <w:rPr>
          <w:rFonts w:ascii="Book Antiqua" w:hAnsi="Book Antiqua"/>
        </w:rPr>
        <w:t>202</w:t>
      </w:r>
      <w:r w:rsidR="00BB1D79">
        <w:rPr>
          <w:rFonts w:ascii="Book Antiqua" w:hAnsi="Book Antiqua" w:hint="eastAsia"/>
          <w:lang w:eastAsia="zh-CN"/>
        </w:rPr>
        <w:t>1</w:t>
      </w:r>
      <w:r w:rsidR="00BB1D79" w:rsidRPr="00EE6A3B">
        <w:rPr>
          <w:rFonts w:ascii="Book Antiqua" w:hAnsi="Book Antiqua"/>
        </w:rPr>
        <w:t xml:space="preserve">; </w:t>
      </w:r>
      <w:r w:rsidR="00BB1D79">
        <w:rPr>
          <w:rFonts w:ascii="Book Antiqua" w:hAnsi="Book Antiqua" w:hint="eastAsia"/>
          <w:lang w:eastAsia="zh-CN"/>
        </w:rPr>
        <w:t>9</w:t>
      </w:r>
      <w:r w:rsidR="00BB1D79" w:rsidRPr="00EE6A3B">
        <w:rPr>
          <w:rFonts w:ascii="Book Antiqua" w:hAnsi="Book Antiqua"/>
        </w:rPr>
        <w:t>(</w:t>
      </w:r>
      <w:r w:rsidR="00BB1D79">
        <w:rPr>
          <w:rFonts w:ascii="Book Antiqua" w:hAnsi="Book Antiqua" w:hint="eastAsia"/>
          <w:lang w:eastAsia="zh-CN"/>
        </w:rPr>
        <w:t>12</w:t>
      </w:r>
      <w:r w:rsidR="00BB1D79" w:rsidRPr="00EE6A3B">
        <w:rPr>
          <w:rFonts w:ascii="Book Antiqua" w:hAnsi="Book Antiqua"/>
        </w:rPr>
        <w:t xml:space="preserve">): </w:t>
      </w:r>
      <w:r w:rsidR="00061CE4" w:rsidRPr="00061CE4">
        <w:rPr>
          <w:rFonts w:ascii="Book Antiqua" w:hAnsi="Book Antiqua"/>
        </w:rPr>
        <w:t>2778-2790</w:t>
      </w:r>
      <w:r w:rsidR="00BB1D79" w:rsidRPr="00EE6A3B">
        <w:rPr>
          <w:rFonts w:ascii="Book Antiqua" w:hAnsi="Book Antiqua"/>
        </w:rPr>
        <w:t xml:space="preserve">  </w:t>
      </w:r>
    </w:p>
    <w:p w14:paraId="3386EF52" w14:textId="77777777" w:rsidR="004B71DD" w:rsidRDefault="00BB1D79">
      <w:pPr>
        <w:spacing w:line="360" w:lineRule="auto"/>
        <w:jc w:val="both"/>
        <w:rPr>
          <w:rFonts w:ascii="Book Antiqua" w:hAnsi="Book Antiqua" w:hint="eastAsia"/>
          <w:lang w:eastAsia="zh-CN"/>
        </w:rPr>
      </w:pPr>
      <w:r w:rsidRPr="004B71DD">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061CE4">
        <w:rPr>
          <w:rFonts w:ascii="Book Antiqua" w:hAnsi="Book Antiqua" w:hint="eastAsia"/>
          <w:lang w:eastAsia="zh-CN"/>
        </w:rPr>
        <w:t>2778</w:t>
      </w:r>
      <w:r w:rsidRPr="00EE6A3B">
        <w:rPr>
          <w:rFonts w:ascii="Book Antiqua" w:hAnsi="Book Antiqua"/>
        </w:rPr>
        <w:t xml:space="preserve">.htm  </w:t>
      </w:r>
    </w:p>
    <w:p w14:paraId="5EB3B597" w14:textId="5A97F1E8" w:rsidR="00A77B3E" w:rsidRDefault="00BB1D79">
      <w:pPr>
        <w:spacing w:line="360" w:lineRule="auto"/>
        <w:jc w:val="both"/>
        <w:rPr>
          <w:rFonts w:hint="eastAsia"/>
          <w:lang w:eastAsia="zh-CN"/>
        </w:rPr>
      </w:pPr>
      <w:r w:rsidRPr="004B71DD">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061CE4">
        <w:rPr>
          <w:rFonts w:ascii="Book Antiqua" w:hAnsi="Book Antiqua" w:hint="eastAsia"/>
          <w:lang w:eastAsia="zh-CN"/>
        </w:rPr>
        <w:t>2778</w:t>
      </w:r>
    </w:p>
    <w:p w14:paraId="2F4A4E34" w14:textId="77777777" w:rsidR="00A77B3E" w:rsidRDefault="00A77B3E">
      <w:pPr>
        <w:spacing w:line="360" w:lineRule="auto"/>
        <w:jc w:val="both"/>
      </w:pPr>
    </w:p>
    <w:p w14:paraId="2EEE00A0" w14:textId="1BB3732F" w:rsidR="00A77B3E" w:rsidRDefault="001E2C53">
      <w:pPr>
        <w:spacing w:line="360" w:lineRule="auto"/>
        <w:jc w:val="both"/>
        <w:rPr>
          <w:lang w:eastAsia="zh-CN"/>
        </w:rPr>
      </w:pPr>
      <w:r>
        <w:rPr>
          <w:rFonts w:ascii="Book Antiqua" w:eastAsia="Book Antiqua" w:hAnsi="Book Antiqua" w:cs="Book Antiqua"/>
          <w:b/>
          <w:bCs/>
          <w:color w:val="000000"/>
          <w:szCs w:val="21"/>
        </w:rPr>
        <w:t xml:space="preserve">Core Tip: </w:t>
      </w:r>
      <w:bookmarkStart w:id="46" w:name="OLE_LINK19"/>
      <w:bookmarkStart w:id="47" w:name="OLE_LINK20"/>
      <w:bookmarkStart w:id="48" w:name="OLE_LINK30"/>
      <w:r>
        <w:rPr>
          <w:rFonts w:ascii="Book Antiqua" w:eastAsia="Book Antiqua" w:hAnsi="Book Antiqua" w:cs="Book Antiqua"/>
          <w:color w:val="000000"/>
        </w:rPr>
        <w:t xml:space="preserve">The predictive risk factors associated with recollapse after </w:t>
      </w:r>
      <w:r w:rsidR="00956B75">
        <w:rPr>
          <w:rFonts w:ascii="Book Antiqua" w:hAnsi="Book Antiqua" w:cs="Book Antiqua" w:hint="eastAsia"/>
          <w:color w:val="000000"/>
          <w:lang w:eastAsia="zh-CN"/>
        </w:rPr>
        <w:t>p</w:t>
      </w:r>
      <w:r w:rsidR="00956B75">
        <w:rPr>
          <w:rFonts w:ascii="Book Antiqua" w:eastAsia="Book Antiqua" w:hAnsi="Book Antiqua" w:cs="Book Antiqua"/>
          <w:color w:val="000000"/>
        </w:rPr>
        <w:t xml:space="preserve">ercutaneous vertebroplasty (PVP) </w:t>
      </w:r>
      <w:r>
        <w:rPr>
          <w:rFonts w:ascii="Book Antiqua" w:eastAsia="Book Antiqua" w:hAnsi="Book Antiqua" w:cs="Book Antiqua"/>
          <w:color w:val="000000"/>
        </w:rPr>
        <w:t xml:space="preserve">in </w:t>
      </w:r>
      <w:r w:rsidR="00956B75">
        <w:rPr>
          <w:rFonts w:ascii="Book Antiqua" w:eastAsia="Book Antiqua" w:hAnsi="Book Antiqua" w:cs="Book Antiqua"/>
          <w:color w:val="000000"/>
        </w:rPr>
        <w:t>osteoporotic vertebral compression fracture</w:t>
      </w:r>
      <w:r w:rsidR="00956B75">
        <w:rPr>
          <w:rFonts w:ascii="Book Antiqua" w:hAnsi="Book Antiqua" w:cs="Book Antiqua" w:hint="eastAsia"/>
          <w:color w:val="000000"/>
          <w:lang w:eastAsia="zh-CN"/>
        </w:rPr>
        <w:t>s</w:t>
      </w:r>
      <w:r w:rsidR="00956B75">
        <w:rPr>
          <w:rFonts w:ascii="Book Antiqua" w:eastAsia="Book Antiqua" w:hAnsi="Book Antiqua" w:cs="Book Antiqua"/>
          <w:color w:val="000000"/>
        </w:rPr>
        <w:t xml:space="preserve"> (OVCF</w:t>
      </w:r>
      <w:r w:rsidR="00956B75">
        <w:rPr>
          <w:rFonts w:ascii="Book Antiqua" w:hAnsi="Book Antiqua" w:cs="Book Antiqua" w:hint="eastAsia"/>
          <w:color w:val="000000"/>
          <w:lang w:eastAsia="zh-CN"/>
        </w:rPr>
        <w:t>s</w:t>
      </w:r>
      <w:r w:rsidR="00956B75">
        <w:rPr>
          <w:rFonts w:ascii="Book Antiqua" w:eastAsia="Book Antiqua" w:hAnsi="Book Antiqua" w:cs="Book Antiqua"/>
          <w:color w:val="000000"/>
        </w:rPr>
        <w:t xml:space="preserve">) </w:t>
      </w:r>
      <w:r>
        <w:rPr>
          <w:rFonts w:ascii="Book Antiqua" w:eastAsia="Book Antiqua" w:hAnsi="Book Antiqua" w:cs="Book Antiqua"/>
          <w:color w:val="000000"/>
        </w:rPr>
        <w:t>remain controversial. To our knowledge, this is the first meta-analysis pooling all relevant published data to identify risk factors that may lead to the recollapse of cemented vertebrae after PVP. Three predictive risk factors, including fractures located at the thoracolumbar junction, preoperative intravertebral cleft, and solid lump cement distribution pattern</w:t>
      </w:r>
      <w:r w:rsidR="00BE2511">
        <w:rPr>
          <w:rFonts w:ascii="Book Antiqua" w:eastAsia="Book Antiqua" w:hAnsi="Book Antiqua" w:cs="Book Antiqua"/>
          <w:color w:val="000000"/>
        </w:rPr>
        <w:t>,</w:t>
      </w:r>
      <w:r>
        <w:rPr>
          <w:rFonts w:ascii="Book Antiqua" w:eastAsia="Book Antiqua" w:hAnsi="Book Antiqua" w:cs="Book Antiqua"/>
          <w:color w:val="000000"/>
        </w:rPr>
        <w:t xml:space="preserve"> were associated with the recollapse of cemented vertebrae after PVP in OVCFs. Patients with these conditions should be treated more cautiously, and close follow-up is necessary for surgeons to detect failed PVP early.</w:t>
      </w:r>
      <w:bookmarkEnd w:id="46"/>
      <w:bookmarkEnd w:id="47"/>
      <w:bookmarkEnd w:id="48"/>
    </w:p>
    <w:p w14:paraId="7B9AD828" w14:textId="77777777" w:rsidR="00A77B3E" w:rsidRDefault="004135C5">
      <w:pPr>
        <w:spacing w:line="360" w:lineRule="auto"/>
        <w:jc w:val="both"/>
      </w:pPr>
      <w:r>
        <w:rPr>
          <w:rFonts w:ascii="Book Antiqua" w:eastAsia="Book Antiqua" w:hAnsi="Book Antiqua" w:cs="Book Antiqua"/>
          <w:b/>
          <w:caps/>
          <w:color w:val="000000"/>
          <w:u w:val="single"/>
        </w:rPr>
        <w:br w:type="page"/>
      </w:r>
      <w:r w:rsidR="001E2C53">
        <w:rPr>
          <w:rFonts w:ascii="Book Antiqua" w:eastAsia="Book Antiqua" w:hAnsi="Book Antiqua" w:cs="Book Antiqua"/>
          <w:b/>
          <w:caps/>
          <w:color w:val="000000"/>
          <w:u w:val="single"/>
        </w:rPr>
        <w:t>INTRODUCTION</w:t>
      </w:r>
    </w:p>
    <w:p w14:paraId="7E637528" w14:textId="19117979" w:rsidR="00A77B3E" w:rsidRPr="00D0555C" w:rsidRDefault="001E2C53">
      <w:pPr>
        <w:spacing w:line="360" w:lineRule="auto"/>
        <w:jc w:val="both"/>
      </w:pPr>
      <w:bookmarkStart w:id="49" w:name="OLE_LINK41"/>
      <w:bookmarkStart w:id="50" w:name="OLE_LINK42"/>
      <w:bookmarkStart w:id="51" w:name="OLE_LINK43"/>
      <w:r w:rsidRPr="00D0555C">
        <w:rPr>
          <w:rFonts w:ascii="Book Antiqua" w:eastAsia="Book Antiqua" w:hAnsi="Book Antiqua" w:cs="Book Antiqua"/>
          <w:color w:val="000000"/>
        </w:rPr>
        <w:t>Osteoporosis is characterized by reduced bone mass and bone microstructure degeneration. The immediate consequence of osteoporosis is the occurrence of osteoporotic fractures, especially in areas where cancellous bone is abundant such as the vertebra and hip</w:t>
      </w:r>
      <w:r w:rsidRPr="00D0555C">
        <w:rPr>
          <w:rFonts w:ascii="Book Antiqua" w:eastAsia="Book Antiqua" w:hAnsi="Book Antiqua" w:cs="Book Antiqua"/>
          <w:color w:val="000000"/>
          <w:szCs w:val="30"/>
          <w:vertAlign w:val="superscript"/>
        </w:rPr>
        <w:t>[</w:t>
      </w:r>
      <w:hyperlink w:anchor="_ENREF_1" w:tooltip="Chen, 2014 #1" w:history="1">
        <w:r w:rsidRPr="00D0555C">
          <w:rPr>
            <w:rFonts w:ascii="Book Antiqua" w:eastAsia="Book Antiqua" w:hAnsi="Book Antiqua" w:cs="Book Antiqua"/>
            <w:color w:val="000000"/>
            <w:vertAlign w:val="superscript"/>
          </w:rPr>
          <w:t>1</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 An osteoporotic vertebral compression fracture (OVCF) is one of the most common complications of osteoporosis. As the global population ages, the absolute number of elderly patients and the incidence of OVCF are increasing</w:t>
      </w:r>
      <w:r w:rsidRPr="00D0555C">
        <w:rPr>
          <w:rFonts w:ascii="Book Antiqua" w:eastAsia="Book Antiqua" w:hAnsi="Book Antiqua" w:cs="Book Antiqua"/>
          <w:color w:val="000000"/>
          <w:szCs w:val="30"/>
          <w:vertAlign w:val="superscript"/>
        </w:rPr>
        <w:t>[</w:t>
      </w:r>
      <w:hyperlink w:anchor="_ENREF_2" w:tooltip="Vandenbroucke, 2017 #2" w:history="1">
        <w:r w:rsidRPr="00D0555C">
          <w:rPr>
            <w:rFonts w:ascii="Book Antiqua" w:eastAsia="Book Antiqua" w:hAnsi="Book Antiqua" w:cs="Book Antiqua"/>
            <w:color w:val="000000"/>
            <w:vertAlign w:val="superscript"/>
          </w:rPr>
          <w:t>2</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w:t>
      </w:r>
      <w:r w:rsidRPr="00D0555C">
        <w:rPr>
          <w:rFonts w:ascii="Book Antiqua" w:eastAsia="Book Antiqua" w:hAnsi="Book Antiqua" w:cs="Book Antiqua"/>
          <w:color w:val="000000"/>
          <w:szCs w:val="30"/>
          <w:vertAlign w:val="superscript"/>
        </w:rPr>
        <w:t xml:space="preserve"> </w:t>
      </w:r>
      <w:r w:rsidRPr="00D0555C">
        <w:rPr>
          <w:rFonts w:ascii="Book Antiqua" w:eastAsia="Book Antiqua" w:hAnsi="Book Antiqua" w:cs="Book Antiqua"/>
          <w:color w:val="000000"/>
        </w:rPr>
        <w:t>OVCFs can not only cause pain and kyphosis, compromising the quality of life, but also increase the risk of disability and mortality to some extent</w:t>
      </w:r>
      <w:r w:rsidRPr="00D0555C">
        <w:rPr>
          <w:rFonts w:ascii="Book Antiqua" w:eastAsia="Book Antiqua" w:hAnsi="Book Antiqua" w:cs="Book Antiqua"/>
          <w:color w:val="000000"/>
          <w:szCs w:val="30"/>
          <w:vertAlign w:val="superscript"/>
        </w:rPr>
        <w:t>[</w:t>
      </w:r>
      <w:hyperlink w:anchor="_ENREF_3" w:tooltip="Agarwal, 2015 #133" w:history="1">
        <w:r w:rsidRPr="00D0555C">
          <w:rPr>
            <w:rFonts w:ascii="Book Antiqua" w:eastAsia="Book Antiqua" w:hAnsi="Book Antiqua" w:cs="Book Antiqua"/>
            <w:color w:val="000000"/>
            <w:vertAlign w:val="superscript"/>
          </w:rPr>
          <w:t>3</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 As a minimally invasive technique for treating OVCFs, percutaneous vertebroplasty (PVP) involves inserting a needle under radiation control and injecting bone cement into the fractured vertebra, and this procedure has been widely used due to its good therapeutic efficacy</w:t>
      </w:r>
      <w:r w:rsidRPr="00D0555C">
        <w:rPr>
          <w:rFonts w:ascii="Book Antiqua" w:eastAsia="Book Antiqua" w:hAnsi="Book Antiqua" w:cs="Book Antiqua"/>
          <w:color w:val="000000"/>
          <w:szCs w:val="30"/>
          <w:vertAlign w:val="superscript"/>
        </w:rPr>
        <w:t>[</w:t>
      </w:r>
      <w:hyperlink w:anchor="_ENREF_4" w:tooltip="Buchbinder, 2018 #4" w:history="1">
        <w:r w:rsidRPr="00D0555C">
          <w:rPr>
            <w:rFonts w:ascii="Book Antiqua" w:eastAsia="Book Antiqua" w:hAnsi="Book Antiqua" w:cs="Book Antiqua"/>
            <w:color w:val="000000"/>
            <w:vertAlign w:val="superscript"/>
          </w:rPr>
          <w:t>4</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 Even so, several studies</w:t>
      </w:r>
      <w:r w:rsidRPr="00D0555C">
        <w:rPr>
          <w:rFonts w:ascii="Book Antiqua" w:eastAsia="Book Antiqua" w:hAnsi="Book Antiqua" w:cs="Book Antiqua"/>
          <w:color w:val="000000"/>
          <w:szCs w:val="30"/>
          <w:vertAlign w:val="superscript"/>
        </w:rPr>
        <w:t>[</w:t>
      </w:r>
      <w:hyperlink w:anchor="_ENREF_5" w:tooltip="Li, 2018 #5" w:history="1">
        <w:r w:rsidRPr="00D0555C">
          <w:rPr>
            <w:rFonts w:ascii="Book Antiqua" w:eastAsia="Book Antiqua" w:hAnsi="Book Antiqua" w:cs="Book Antiqua"/>
            <w:color w:val="000000"/>
            <w:vertAlign w:val="superscript"/>
          </w:rPr>
          <w:t>5-7</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szCs w:val="30"/>
          <w:vertAlign w:val="superscript"/>
        </w:rPr>
        <w:t xml:space="preserve"> </w:t>
      </w:r>
      <w:r w:rsidRPr="00D0555C">
        <w:rPr>
          <w:rFonts w:ascii="Book Antiqua" w:eastAsia="Book Antiqua" w:hAnsi="Book Antiqua" w:cs="Book Antiqua"/>
          <w:color w:val="000000"/>
        </w:rPr>
        <w:t xml:space="preserve">have reported the recollapse of cemented vertebrae during follow-up with no additional trauma, leading to </w:t>
      </w:r>
      <w:r w:rsidR="00F80A49">
        <w:rPr>
          <w:rFonts w:ascii="Book Antiqua" w:eastAsia="Book Antiqua" w:hAnsi="Book Antiqua" w:cs="Book Antiqua"/>
          <w:color w:val="000000"/>
        </w:rPr>
        <w:t xml:space="preserve">a </w:t>
      </w:r>
      <w:r w:rsidRPr="00D0555C">
        <w:rPr>
          <w:rFonts w:ascii="Book Antiqua" w:eastAsia="Book Antiqua" w:hAnsi="Book Antiqua" w:cs="Book Antiqua"/>
          <w:color w:val="000000"/>
        </w:rPr>
        <w:t xml:space="preserve">decrease in vertebral height and aggravation of kyphosis. </w:t>
      </w:r>
      <w:r w:rsidRPr="00D0555C">
        <w:rPr>
          <w:rFonts w:ascii="Book Antiqua" w:eastAsia="Book Antiqua" w:hAnsi="Book Antiqua" w:cs="Book Antiqua"/>
          <w:color w:val="000000"/>
          <w:shd w:val="clear" w:color="auto" w:fill="FFFFFF"/>
        </w:rPr>
        <w:t xml:space="preserve">Recollapse is regarded as an </w:t>
      </w:r>
      <w:r w:rsidRPr="00D0555C">
        <w:rPr>
          <w:rFonts w:ascii="Book Antiqua" w:eastAsia="Book Antiqua" w:hAnsi="Book Antiqua" w:cs="Book Antiqua"/>
          <w:color w:val="000000"/>
        </w:rPr>
        <w:t>insufficiency</w:t>
      </w:r>
      <w:r w:rsidRPr="00D0555C">
        <w:rPr>
          <w:rFonts w:ascii="Book Antiqua" w:eastAsia="Book Antiqua" w:hAnsi="Book Antiqua" w:cs="Book Antiqua"/>
          <w:color w:val="000000"/>
          <w:shd w:val="clear" w:color="auto" w:fill="FFFFFF"/>
        </w:rPr>
        <w:t xml:space="preserve"> fracture of the treated vertebra, which can be assessed through medical history, clinical symptoms, and imaging findings. </w:t>
      </w:r>
      <w:r w:rsidRPr="00D0555C">
        <w:rPr>
          <w:rFonts w:ascii="Book Antiqua" w:eastAsia="Book Antiqua" w:hAnsi="Book Antiqua" w:cs="Book Antiqua"/>
          <w:color w:val="000000"/>
        </w:rPr>
        <w:t>When the treated patient reappears with intractable back pain or neurological symptoms, combined with severe kyphosis in imaging finding, it should be required further treatments after excluding new injuries. Hence, we need to determine the predictive risk factors for the recollapse of cemented vertebrae after PVP in OVCFs.</w:t>
      </w:r>
    </w:p>
    <w:p w14:paraId="48927ED6" w14:textId="77777777" w:rsidR="00A77B3E" w:rsidRPr="00D0555C" w:rsidRDefault="001E2C53" w:rsidP="001944B2">
      <w:pPr>
        <w:spacing w:line="360" w:lineRule="auto"/>
        <w:ind w:firstLineChars="100" w:firstLine="240"/>
        <w:jc w:val="both"/>
      </w:pPr>
      <w:r w:rsidRPr="00D0555C">
        <w:rPr>
          <w:rFonts w:ascii="Book Antiqua" w:eastAsia="Book Antiqua" w:hAnsi="Book Antiqua" w:cs="Book Antiqua"/>
          <w:color w:val="000000"/>
        </w:rPr>
        <w:t xml:space="preserve">In recent decades, many risk factors for the recollapse of cemented vertebrae have been reported in previous studies, and they can be summarized in three categories. The first is the physical condition of patients, which includes risk factors such as lumbar </w:t>
      </w:r>
      <w:bookmarkStart w:id="52" w:name="OLE_LINK109"/>
      <w:r w:rsidRPr="00D0555C">
        <w:rPr>
          <w:rFonts w:ascii="Book Antiqua" w:eastAsia="Book Antiqua" w:hAnsi="Book Antiqua" w:cs="Book Antiqua"/>
          <w:color w:val="000000"/>
        </w:rPr>
        <w:t>bone mineral density</w:t>
      </w:r>
      <w:bookmarkEnd w:id="52"/>
      <w:r w:rsidRPr="00D0555C">
        <w:rPr>
          <w:rFonts w:ascii="Book Antiqua" w:eastAsia="Book Antiqua" w:hAnsi="Book Antiqua" w:cs="Book Antiqua"/>
          <w:color w:val="000000"/>
        </w:rPr>
        <w:t xml:space="preserve"> (BMD), </w:t>
      </w:r>
      <w:bookmarkStart w:id="53" w:name="OLE_LINK111"/>
      <w:bookmarkStart w:id="54" w:name="OLE_LINK112"/>
      <w:r w:rsidRPr="00D0555C">
        <w:rPr>
          <w:rFonts w:ascii="Book Antiqua" w:eastAsia="Book Antiqua" w:hAnsi="Book Antiqua" w:cs="Book Antiqua"/>
          <w:color w:val="000000"/>
        </w:rPr>
        <w:t>body mass index</w:t>
      </w:r>
      <w:bookmarkEnd w:id="53"/>
      <w:bookmarkEnd w:id="54"/>
      <w:r w:rsidRPr="00D0555C">
        <w:rPr>
          <w:rFonts w:ascii="Book Antiqua" w:eastAsia="Book Antiqua" w:hAnsi="Book Antiqua" w:cs="Book Antiqua"/>
          <w:color w:val="000000"/>
        </w:rPr>
        <w:t xml:space="preserve"> (BMI), gender, and old age. The second is the classification of differences in the effects of trauma on individuals, which includes the local kyphotic angle, location of the fractured vertebra, occurrence of an </w:t>
      </w:r>
      <w:bookmarkStart w:id="55" w:name="OLE_LINK113"/>
      <w:r w:rsidRPr="00D0555C">
        <w:rPr>
          <w:rFonts w:ascii="Book Antiqua" w:eastAsia="Book Antiqua" w:hAnsi="Book Antiqua" w:cs="Book Antiqua"/>
          <w:color w:val="000000"/>
        </w:rPr>
        <w:t>intravertebral cleft</w:t>
      </w:r>
      <w:bookmarkEnd w:id="55"/>
      <w:r w:rsidRPr="00D0555C">
        <w:rPr>
          <w:rFonts w:ascii="Book Antiqua" w:eastAsia="Book Antiqua" w:hAnsi="Book Antiqua" w:cs="Book Antiqua"/>
          <w:color w:val="000000"/>
        </w:rPr>
        <w:t xml:space="preserve"> (IVC), and fracture type. The third category represents risk factors related to the PVP procedure, such as the injected cement volume, the cement distribution pattern, intradiscal cement leakage, and </w:t>
      </w:r>
      <w:bookmarkStart w:id="56" w:name="OLE_LINK110"/>
      <w:r w:rsidRPr="00D0555C">
        <w:rPr>
          <w:rFonts w:ascii="Book Antiqua" w:eastAsia="Book Antiqua" w:hAnsi="Book Antiqua" w:cs="Book Antiqua"/>
          <w:color w:val="000000"/>
        </w:rPr>
        <w:t>vertebral height restoration</w:t>
      </w:r>
      <w:bookmarkEnd w:id="56"/>
      <w:r w:rsidRPr="00D0555C">
        <w:rPr>
          <w:rFonts w:ascii="Book Antiqua" w:eastAsia="Book Antiqua" w:hAnsi="Book Antiqua" w:cs="Book Antiqua"/>
          <w:color w:val="000000"/>
        </w:rPr>
        <w:t xml:space="preserve"> (VHR). However, high-quality and large-scale studies concerning these risk factors are scarce. Most studies lacked sufficient sample sizes and did not evaluate each potential risk factor systematically.</w:t>
      </w:r>
    </w:p>
    <w:p w14:paraId="3718A299" w14:textId="77777777" w:rsidR="00A77B3E" w:rsidRPr="00D0555C" w:rsidRDefault="001E2C53" w:rsidP="001944B2">
      <w:pPr>
        <w:spacing w:line="360" w:lineRule="auto"/>
        <w:ind w:firstLineChars="100" w:firstLine="240"/>
        <w:jc w:val="both"/>
      </w:pPr>
      <w:r w:rsidRPr="00D0555C">
        <w:rPr>
          <w:rFonts w:ascii="Book Antiqua" w:eastAsia="Book Antiqua" w:hAnsi="Book Antiqua" w:cs="Book Antiqua"/>
          <w:color w:val="000000"/>
        </w:rPr>
        <w:t>As far as we could see from the literature, the predictive risk factors vary across studies, and no consensus on this problem has been reached. Based on this, a meta-analysis was conducted to pool all relevant published data for the first time to identify risk factors that might lead to the recollapse of cemented vertebrae after PVP.</w:t>
      </w:r>
    </w:p>
    <w:bookmarkEnd w:id="49"/>
    <w:bookmarkEnd w:id="50"/>
    <w:bookmarkEnd w:id="51"/>
    <w:p w14:paraId="47228CAA" w14:textId="77777777" w:rsidR="00A77B3E" w:rsidRDefault="00A77B3E">
      <w:pPr>
        <w:spacing w:line="360" w:lineRule="auto"/>
        <w:jc w:val="both"/>
      </w:pPr>
    </w:p>
    <w:p w14:paraId="137B41BC" w14:textId="77777777" w:rsidR="00A77B3E" w:rsidRDefault="001E2C53">
      <w:pPr>
        <w:spacing w:line="360" w:lineRule="auto"/>
        <w:jc w:val="both"/>
      </w:pPr>
      <w:r>
        <w:rPr>
          <w:rFonts w:ascii="Book Antiqua" w:eastAsia="Book Antiqua" w:hAnsi="Book Antiqua" w:cs="Book Antiqua"/>
          <w:b/>
          <w:caps/>
          <w:color w:val="000000"/>
          <w:u w:val="single"/>
        </w:rPr>
        <w:t>MATERIALS AND METHODS</w:t>
      </w:r>
    </w:p>
    <w:p w14:paraId="7A9572F4" w14:textId="77777777" w:rsidR="00A77B3E" w:rsidRPr="006937F8" w:rsidRDefault="001E2C53">
      <w:pPr>
        <w:spacing w:line="360" w:lineRule="auto"/>
        <w:jc w:val="both"/>
        <w:rPr>
          <w:b/>
          <w:i/>
        </w:rPr>
      </w:pPr>
      <w:bookmarkStart w:id="57" w:name="OLE_LINK44"/>
      <w:bookmarkStart w:id="58" w:name="OLE_LINK45"/>
      <w:bookmarkStart w:id="59" w:name="OLE_LINK46"/>
      <w:r w:rsidRPr="006937F8">
        <w:rPr>
          <w:rFonts w:ascii="Book Antiqua" w:eastAsia="Book Antiqua" w:hAnsi="Book Antiqua" w:cs="Book Antiqua"/>
          <w:b/>
          <w:i/>
          <w:color w:val="000000"/>
        </w:rPr>
        <w:t xml:space="preserve">Search </w:t>
      </w:r>
      <w:r w:rsidR="006937F8" w:rsidRPr="006937F8">
        <w:rPr>
          <w:rFonts w:ascii="Book Antiqua" w:eastAsia="Book Antiqua" w:hAnsi="Book Antiqua" w:cs="Book Antiqua"/>
          <w:b/>
          <w:i/>
          <w:color w:val="000000"/>
        </w:rPr>
        <w:t>strategy</w:t>
      </w:r>
    </w:p>
    <w:p w14:paraId="5267FA8B" w14:textId="19AECB27" w:rsidR="00A77B3E" w:rsidRDefault="001E2C53">
      <w:pPr>
        <w:spacing w:line="360" w:lineRule="auto"/>
        <w:jc w:val="both"/>
      </w:pPr>
      <w:r>
        <w:rPr>
          <w:rFonts w:ascii="Book Antiqua" w:eastAsia="Book Antiqua" w:hAnsi="Book Antiqua" w:cs="Book Antiqua"/>
          <w:color w:val="000000"/>
        </w:rPr>
        <w:t xml:space="preserve">We searched electronic databases including the CENTRAL (Cochrane Central Register of Controlled Trials), MEDLINE, Excerpta Medica (EMBASE), and National Library of Medicine (PubMed) for original articles published up to March 2020. Medical subject heading terms </w:t>
      </w:r>
      <w:r w:rsidR="00D0555C">
        <w:rPr>
          <w:rFonts w:ascii="Book Antiqua" w:eastAsia="Book Antiqua" w:hAnsi="Book Antiqua" w:cs="Book Antiqua"/>
          <w:color w:val="000000"/>
        </w:rPr>
        <w:t>[</w:t>
      </w:r>
      <w:r>
        <w:rPr>
          <w:rFonts w:ascii="Book Antiqua" w:eastAsia="Book Antiqua" w:hAnsi="Book Antiqua" w:cs="Book Antiqua"/>
          <w:color w:val="000000"/>
        </w:rPr>
        <w:t xml:space="preserve">“vertebroplasty” </w:t>
      </w:r>
      <w:r w:rsidR="00D0555C">
        <w:rPr>
          <w:rFonts w:ascii="Book Antiqua" w:eastAsia="Book Antiqua" w:hAnsi="Book Antiqua" w:cs="Book Antiqua"/>
          <w:color w:val="000000"/>
        </w:rPr>
        <w:t>(</w:t>
      </w:r>
      <w:r>
        <w:rPr>
          <w:rFonts w:ascii="Book Antiqua" w:eastAsia="Book Antiqua" w:hAnsi="Book Antiqua" w:cs="Book Antiqua"/>
          <w:color w:val="000000"/>
        </w:rPr>
        <w:t>MeSH</w:t>
      </w:r>
      <w:r w:rsidR="00D0555C">
        <w:rPr>
          <w:rFonts w:ascii="Book Antiqua" w:eastAsia="Book Antiqua" w:hAnsi="Book Antiqua" w:cs="Book Antiqua"/>
          <w:color w:val="000000"/>
        </w:rPr>
        <w:t>)]</w:t>
      </w:r>
      <w:r>
        <w:rPr>
          <w:rFonts w:ascii="Book Antiqua" w:eastAsia="Book Antiqua" w:hAnsi="Book Antiqua" w:cs="Book Antiqua"/>
          <w:color w:val="000000"/>
        </w:rPr>
        <w:t xml:space="preserve"> combined with the following free words were selected to perform searches using Boolean operators: “</w:t>
      </w:r>
      <w:r w:rsidR="00F80A49">
        <w:rPr>
          <w:rFonts w:ascii="Book Antiqua" w:eastAsia="Book Antiqua" w:hAnsi="Book Antiqua" w:cs="Book Antiqua"/>
          <w:color w:val="000000"/>
        </w:rPr>
        <w:t xml:space="preserve">Percutaneous </w:t>
      </w:r>
      <w:r>
        <w:rPr>
          <w:rFonts w:ascii="Book Antiqua" w:eastAsia="Book Antiqua" w:hAnsi="Book Antiqua" w:cs="Book Antiqua"/>
          <w:color w:val="000000"/>
        </w:rPr>
        <w:t>vertebroplasty”, “PVP”, “recollapse”, “recompression”, “refracture”, “recurrent fracture”, “subsequent fracture”, “height loss”, “height decrease”, “cemented vertebrae”, “augmented vertebrae”, “treated vertebrae”, and “same vertebrae”. Additionally, the citation lists of the retrieved articles and recent reviews were scanned to identify additional relevant studies. There were no limitations imposed regarding the language of the included articles.</w:t>
      </w:r>
    </w:p>
    <w:p w14:paraId="7A0382BB" w14:textId="77777777" w:rsidR="00513D53" w:rsidRDefault="00513D53">
      <w:pPr>
        <w:spacing w:line="360" w:lineRule="auto"/>
        <w:jc w:val="both"/>
        <w:rPr>
          <w:rFonts w:ascii="Book Antiqua" w:hAnsi="Book Antiqua" w:cs="Book Antiqua"/>
          <w:color w:val="000000"/>
          <w:lang w:eastAsia="zh-CN"/>
        </w:rPr>
      </w:pPr>
    </w:p>
    <w:p w14:paraId="73BB30C6" w14:textId="77777777" w:rsidR="00A77B3E" w:rsidRPr="00513D53" w:rsidRDefault="001E2C53">
      <w:pPr>
        <w:spacing w:line="360" w:lineRule="auto"/>
        <w:jc w:val="both"/>
        <w:rPr>
          <w:b/>
          <w:i/>
        </w:rPr>
      </w:pPr>
      <w:r w:rsidRPr="00513D53">
        <w:rPr>
          <w:rFonts w:ascii="Book Antiqua" w:eastAsia="Book Antiqua" w:hAnsi="Book Antiqua" w:cs="Book Antiqua"/>
          <w:b/>
          <w:i/>
          <w:color w:val="000000"/>
        </w:rPr>
        <w:t xml:space="preserve">Eligibility </w:t>
      </w:r>
      <w:r w:rsidR="00513D53" w:rsidRPr="00513D53">
        <w:rPr>
          <w:rFonts w:ascii="Book Antiqua" w:eastAsia="Book Antiqua" w:hAnsi="Book Antiqua" w:cs="Book Antiqua"/>
          <w:b/>
          <w:i/>
          <w:color w:val="000000"/>
        </w:rPr>
        <w:t>criteria</w:t>
      </w:r>
    </w:p>
    <w:p w14:paraId="6F4B0B0C" w14:textId="5C9747F2" w:rsidR="00A77B3E" w:rsidRDefault="001E2C53">
      <w:pPr>
        <w:spacing w:line="360" w:lineRule="auto"/>
        <w:jc w:val="both"/>
      </w:pPr>
      <w:r>
        <w:rPr>
          <w:rFonts w:ascii="Book Antiqua" w:eastAsia="Book Antiqua" w:hAnsi="Book Antiqua" w:cs="Book Antiqua"/>
          <w:color w:val="000000"/>
        </w:rPr>
        <w:t>Studies were considered eligible for this meta-analysis if the</w:t>
      </w:r>
      <w:r w:rsidR="00E70F9D">
        <w:rPr>
          <w:rFonts w:ascii="Book Antiqua" w:eastAsia="Book Antiqua" w:hAnsi="Book Antiqua" w:cs="Book Antiqua"/>
          <w:color w:val="000000"/>
        </w:rPr>
        <w:t xml:space="preserve">y met the following criteria: </w:t>
      </w:r>
      <w:r w:rsidR="00E70F9D">
        <w:rPr>
          <w:rFonts w:ascii="Book Antiqua" w:hAnsi="Book Antiqua" w:cs="Book Antiqua" w:hint="eastAsia"/>
          <w:color w:val="000000"/>
          <w:lang w:eastAsia="zh-CN"/>
        </w:rPr>
        <w:t xml:space="preserve">(1) </w:t>
      </w:r>
      <w:r w:rsidR="00D0555C">
        <w:rPr>
          <w:rFonts w:ascii="Book Antiqua" w:eastAsia="Book Antiqua" w:hAnsi="Book Antiqua" w:cs="Book Antiqua"/>
          <w:color w:val="000000"/>
        </w:rPr>
        <w:t>R</w:t>
      </w:r>
      <w:r>
        <w:rPr>
          <w:rFonts w:ascii="Book Antiqua" w:eastAsia="Book Antiqua" w:hAnsi="Book Antiqua" w:cs="Book Antiqua"/>
          <w:color w:val="000000"/>
        </w:rPr>
        <w:t>andomized controlled trials (</w:t>
      </w:r>
      <w:bookmarkStart w:id="60" w:name="OLE_LINK90"/>
      <w:bookmarkStart w:id="61" w:name="OLE_LINK91"/>
      <w:r>
        <w:rPr>
          <w:rFonts w:ascii="Book Antiqua" w:eastAsia="Book Antiqua" w:hAnsi="Book Antiqua" w:cs="Book Antiqua"/>
          <w:color w:val="000000"/>
        </w:rPr>
        <w:t>RCTs</w:t>
      </w:r>
      <w:bookmarkEnd w:id="60"/>
      <w:bookmarkEnd w:id="61"/>
      <w:r>
        <w:rPr>
          <w:rFonts w:ascii="Book Antiqua" w:eastAsia="Book Antiqua" w:hAnsi="Book Antiqua" w:cs="Book Antiqua"/>
          <w:color w:val="000000"/>
        </w:rPr>
        <w:t>) or cohort, cross-sectional</w:t>
      </w:r>
      <w:r w:rsidR="00F80A49">
        <w:rPr>
          <w:rFonts w:ascii="Book Antiqua" w:eastAsia="Book Antiqua" w:hAnsi="Book Antiqua" w:cs="Book Antiqua"/>
          <w:color w:val="000000"/>
        </w:rPr>
        <w:t>,</w:t>
      </w:r>
      <w:r>
        <w:rPr>
          <w:rFonts w:ascii="Book Antiqua" w:eastAsia="Book Antiqua" w:hAnsi="Book Antiqua" w:cs="Book Antiqua"/>
          <w:color w:val="000000"/>
        </w:rPr>
        <w:t xml:space="preserve"> and case-control studies; </w:t>
      </w:r>
      <w:r w:rsidR="00E70F9D">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adult </w:t>
      </w:r>
      <w:r>
        <w:rPr>
          <w:rFonts w:ascii="Book Antiqua" w:eastAsia="Book Antiqua" w:hAnsi="Book Antiqua" w:cs="Book Antiqua"/>
          <w:color w:val="000000"/>
        </w:rPr>
        <w:t xml:space="preserve">patients with a diagnosis of OVCF; </w:t>
      </w:r>
      <w:r w:rsidR="00E70F9D">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studies that </w:t>
      </w:r>
      <w:r>
        <w:rPr>
          <w:rFonts w:ascii="Book Antiqua" w:eastAsia="Book Antiqua" w:hAnsi="Book Antiqua" w:cs="Book Antiqua"/>
          <w:color w:val="000000"/>
        </w:rPr>
        <w:t xml:space="preserve">must investigate risk factors for the recollapse of cemented vertebrae after PVP without additional trauma; </w:t>
      </w:r>
      <w:r w:rsidR="00E70F9D">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completion </w:t>
      </w:r>
      <w:r>
        <w:rPr>
          <w:rFonts w:ascii="Book Antiqua" w:eastAsia="Book Antiqua" w:hAnsi="Book Antiqua" w:cs="Book Antiqua"/>
          <w:color w:val="000000"/>
        </w:rPr>
        <w:t xml:space="preserve">of at least 12 mo of follow-up; </w:t>
      </w:r>
      <w:r w:rsidR="00F80A49">
        <w:rPr>
          <w:rFonts w:ascii="Book Antiqua" w:eastAsia="Book Antiqua" w:hAnsi="Book Antiqua" w:cs="Book Antiqua"/>
          <w:color w:val="000000"/>
        </w:rPr>
        <w:t xml:space="preserve">and </w:t>
      </w:r>
      <w:r w:rsidR="00E70F9D">
        <w:rPr>
          <w:rFonts w:ascii="Book Antiqua" w:hAnsi="Book Antiqua" w:cs="Book Antiqua" w:hint="eastAsia"/>
          <w:color w:val="000000"/>
          <w:lang w:eastAsia="zh-CN"/>
        </w:rPr>
        <w:t>(5)</w:t>
      </w:r>
      <w:r>
        <w:rPr>
          <w:rFonts w:ascii="Book Antiqua" w:eastAsia="Book Antiqua" w:hAnsi="Book Antiqua" w:cs="Book Antiqua"/>
          <w:color w:val="000000"/>
        </w:rPr>
        <w:t xml:space="preserve"> sufficient published data to estimate a standardized mean difference (SMD) or odds ratio (OR) with a 95%</w:t>
      </w:r>
      <w:r w:rsidR="00D0555C">
        <w:rPr>
          <w:rFonts w:ascii="Book Antiqua" w:eastAsia="Book Antiqua" w:hAnsi="Book Antiqua" w:cs="Book Antiqua"/>
          <w:color w:val="000000"/>
        </w:rPr>
        <w:t xml:space="preserve"> </w:t>
      </w:r>
      <w:r w:rsidR="00D0555C" w:rsidRPr="00663BB7">
        <w:rPr>
          <w:rFonts w:ascii="Book Antiqua" w:hAnsi="Book Antiqua"/>
        </w:rPr>
        <w:t>confidence interval</w:t>
      </w:r>
      <w:r w:rsidR="00D0555C">
        <w:rPr>
          <w:rFonts w:ascii="Book Antiqua" w:eastAsia="Book Antiqua" w:hAnsi="Book Antiqua" w:cs="Book Antiqua"/>
          <w:color w:val="000000"/>
        </w:rPr>
        <w:t xml:space="preserve"> (</w:t>
      </w:r>
      <w:r w:rsidR="007C06AD">
        <w:rPr>
          <w:rFonts w:ascii="Book Antiqua" w:eastAsia="Book Antiqua" w:hAnsi="Book Antiqua" w:cs="Book Antiqua"/>
          <w:color w:val="000000"/>
        </w:rPr>
        <w:t>CI</w:t>
      </w:r>
      <w:r w:rsidR="00D0555C">
        <w:rPr>
          <w:rFonts w:ascii="Book Antiqua" w:eastAsia="Book Antiqua" w:hAnsi="Book Antiqua" w:cs="Book Antiqua"/>
          <w:color w:val="000000"/>
        </w:rPr>
        <w:t>)</w:t>
      </w:r>
      <w:r>
        <w:rPr>
          <w:rFonts w:ascii="Book Antiqua" w:eastAsia="Book Antiqua" w:hAnsi="Book Antiqua" w:cs="Book Antiqua"/>
          <w:color w:val="000000"/>
        </w:rPr>
        <w:t>.</w:t>
      </w:r>
    </w:p>
    <w:p w14:paraId="2CF3B396" w14:textId="1429B8C9" w:rsidR="00A77B3E" w:rsidRDefault="001E2C53" w:rsidP="0067348D">
      <w:pPr>
        <w:spacing w:line="360" w:lineRule="auto"/>
        <w:ind w:firstLineChars="100" w:firstLine="240"/>
        <w:jc w:val="both"/>
      </w:pPr>
      <w:r>
        <w:rPr>
          <w:rFonts w:ascii="Book Antiqua" w:eastAsia="Book Antiqua" w:hAnsi="Book Antiqua" w:cs="Book Antiqua"/>
          <w:color w:val="000000"/>
        </w:rPr>
        <w:t xml:space="preserve">The exclusion criteria were as follows: </w:t>
      </w:r>
      <w:r w:rsidR="0067348D">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0555C">
        <w:rPr>
          <w:rFonts w:ascii="Book Antiqua" w:eastAsia="Book Antiqua" w:hAnsi="Book Antiqua" w:cs="Book Antiqua"/>
          <w:color w:val="000000"/>
        </w:rPr>
        <w:t>C</w:t>
      </w:r>
      <w:r>
        <w:rPr>
          <w:rFonts w:ascii="Book Antiqua" w:eastAsia="Book Antiqua" w:hAnsi="Book Antiqua" w:cs="Book Antiqua"/>
          <w:color w:val="000000"/>
        </w:rPr>
        <w:t>ase reports, letters, reviews, editorials, abstracts</w:t>
      </w:r>
      <w:r w:rsidR="00F80A49">
        <w:rPr>
          <w:rFonts w:ascii="Book Antiqua" w:eastAsia="Book Antiqua" w:hAnsi="Book Antiqua" w:cs="Book Antiqua"/>
          <w:color w:val="000000"/>
        </w:rPr>
        <w:t>,</w:t>
      </w:r>
      <w:r>
        <w:rPr>
          <w:rFonts w:ascii="Book Antiqua" w:eastAsia="Book Antiqua" w:hAnsi="Book Antiqua" w:cs="Book Antiqua"/>
          <w:color w:val="000000"/>
        </w:rPr>
        <w:t xml:space="preserve"> or meeting proceedings; </w:t>
      </w:r>
      <w:r w:rsidR="0067348D">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studies </w:t>
      </w:r>
      <w:r>
        <w:rPr>
          <w:rFonts w:ascii="Book Antiqua" w:eastAsia="Book Antiqua" w:hAnsi="Book Antiqua" w:cs="Book Antiqua"/>
          <w:color w:val="000000"/>
        </w:rPr>
        <w:t>without a clear description of the design;</w:t>
      </w:r>
      <w:r w:rsidR="0067348D">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lacking comparable results; </w:t>
      </w:r>
      <w:r w:rsidR="00F80A49">
        <w:rPr>
          <w:rFonts w:ascii="Book Antiqua" w:eastAsia="Book Antiqua" w:hAnsi="Book Antiqua" w:cs="Book Antiqua"/>
          <w:color w:val="000000"/>
        </w:rPr>
        <w:t>and</w:t>
      </w:r>
      <w:r w:rsidR="00F80A49">
        <w:rPr>
          <w:rFonts w:ascii="Book Antiqua" w:hAnsi="Book Antiqua" w:cs="Book Antiqua" w:hint="eastAsia"/>
          <w:color w:val="000000"/>
          <w:lang w:eastAsia="zh-CN"/>
        </w:rPr>
        <w:t xml:space="preserve"> </w:t>
      </w:r>
      <w:r w:rsidR="0067348D">
        <w:rPr>
          <w:rFonts w:ascii="Book Antiqua" w:hAnsi="Book Antiqua" w:cs="Book Antiqua" w:hint="eastAsia"/>
          <w:color w:val="000000"/>
          <w:lang w:eastAsia="zh-CN"/>
        </w:rPr>
        <w:t>(4)</w:t>
      </w:r>
      <w:r>
        <w:rPr>
          <w:rFonts w:ascii="Book Antiqua" w:eastAsia="Book Antiqua" w:hAnsi="Book Antiqua" w:cs="Book Antiqua"/>
          <w:color w:val="000000"/>
        </w:rPr>
        <w:t xml:space="preserve"> repeated reports of previous studies.</w:t>
      </w:r>
    </w:p>
    <w:p w14:paraId="1C3D4E72" w14:textId="77777777" w:rsidR="0067348D" w:rsidRDefault="0067348D">
      <w:pPr>
        <w:spacing w:line="360" w:lineRule="auto"/>
        <w:jc w:val="both"/>
        <w:rPr>
          <w:rFonts w:ascii="Book Antiqua" w:hAnsi="Book Antiqua" w:cs="Book Antiqua"/>
          <w:color w:val="000000"/>
          <w:lang w:eastAsia="zh-CN"/>
        </w:rPr>
      </w:pPr>
    </w:p>
    <w:p w14:paraId="76F733CB" w14:textId="77777777" w:rsidR="00A77B3E" w:rsidRPr="0067348D" w:rsidRDefault="001E2C53">
      <w:pPr>
        <w:spacing w:line="360" w:lineRule="auto"/>
        <w:jc w:val="both"/>
        <w:rPr>
          <w:b/>
          <w:i/>
        </w:rPr>
      </w:pPr>
      <w:r w:rsidRPr="0067348D">
        <w:rPr>
          <w:rFonts w:ascii="Book Antiqua" w:eastAsia="Book Antiqua" w:hAnsi="Book Antiqua" w:cs="Book Antiqua"/>
          <w:b/>
          <w:i/>
          <w:color w:val="000000"/>
        </w:rPr>
        <w:t xml:space="preserve">Study </w:t>
      </w:r>
      <w:r w:rsidR="0067348D" w:rsidRPr="0067348D">
        <w:rPr>
          <w:rFonts w:ascii="Book Antiqua" w:eastAsia="Book Antiqua" w:hAnsi="Book Antiqua" w:cs="Book Antiqua"/>
          <w:b/>
          <w:i/>
          <w:color w:val="000000"/>
        </w:rPr>
        <w:t>selection and data extracti</w:t>
      </w:r>
      <w:r w:rsidRPr="0067348D">
        <w:rPr>
          <w:rFonts w:ascii="Book Antiqua" w:eastAsia="Book Antiqua" w:hAnsi="Book Antiqua" w:cs="Book Antiqua"/>
          <w:b/>
          <w:i/>
          <w:color w:val="000000"/>
        </w:rPr>
        <w:t>on</w:t>
      </w:r>
    </w:p>
    <w:p w14:paraId="048ADE6C" w14:textId="0E52A539" w:rsidR="00A77B3E" w:rsidRDefault="001E2C53">
      <w:pPr>
        <w:spacing w:line="360" w:lineRule="auto"/>
        <w:jc w:val="both"/>
      </w:pPr>
      <w:r>
        <w:rPr>
          <w:rFonts w:ascii="Book Antiqua" w:eastAsia="Book Antiqua" w:hAnsi="Book Antiqua" w:cs="Book Antiqua"/>
          <w:color w:val="000000"/>
        </w:rPr>
        <w:t>The titles and abstracts of studies that were initially screened out were evaluated by two independent investigators (Ma YH and Zhu YH). After omitting the obviously unrelated studies, the full-texts of the potentially eligible studies were searched for final inclusion. Then, two investigators (Ma YH and Zhu YH) independently read the full-texts and extracted the available data from each study for analysis. The extracted data from all eligible studies included characteristics of the study (author, study design, year of publication, country of origin, study period</w:t>
      </w:r>
      <w:r w:rsidR="00F80A49">
        <w:rPr>
          <w:rFonts w:ascii="Book Antiqua" w:eastAsia="Book Antiqua" w:hAnsi="Book Antiqua" w:cs="Book Antiqua"/>
          <w:color w:val="000000"/>
        </w:rPr>
        <w:t>,</w:t>
      </w:r>
      <w:r>
        <w:rPr>
          <w:rFonts w:ascii="Book Antiqua" w:eastAsia="Book Antiqua" w:hAnsi="Book Antiqua" w:cs="Book Antiqua"/>
          <w:color w:val="000000"/>
        </w:rPr>
        <w:t xml:space="preserve"> and all included variables) and demographics of the patients (sample size, mean age, gender ratio, incidence of recollapse, and follow-up duration). Data that could not be acquired directly from the texts were recalculated. Any disagreement was solved through discussion between two investigators (Ma YH and Zhu YH). If no consensus was reached, a senior author (Zhu QS) was consulted for a final decision.</w:t>
      </w:r>
    </w:p>
    <w:p w14:paraId="5E838975" w14:textId="77777777" w:rsidR="00670147" w:rsidRDefault="00670147">
      <w:pPr>
        <w:spacing w:line="360" w:lineRule="auto"/>
        <w:jc w:val="both"/>
        <w:rPr>
          <w:rFonts w:ascii="Book Antiqua" w:hAnsi="Book Antiqua" w:cs="Book Antiqua"/>
          <w:color w:val="000000"/>
          <w:lang w:eastAsia="zh-CN"/>
        </w:rPr>
      </w:pPr>
    </w:p>
    <w:p w14:paraId="773D3E7E" w14:textId="77777777" w:rsidR="00A77B3E" w:rsidRPr="00670147" w:rsidRDefault="001E2C53">
      <w:pPr>
        <w:spacing w:line="360" w:lineRule="auto"/>
        <w:jc w:val="both"/>
        <w:rPr>
          <w:b/>
          <w:i/>
        </w:rPr>
      </w:pPr>
      <w:r w:rsidRPr="00670147">
        <w:rPr>
          <w:rFonts w:ascii="Book Antiqua" w:eastAsia="Book Antiqua" w:hAnsi="Book Antiqua" w:cs="Book Antiqua"/>
          <w:b/>
          <w:i/>
          <w:color w:val="000000"/>
        </w:rPr>
        <w:t>Assessment of</w:t>
      </w:r>
      <w:r w:rsidR="00670147" w:rsidRPr="00670147">
        <w:rPr>
          <w:rFonts w:ascii="Book Antiqua" w:eastAsia="Book Antiqua" w:hAnsi="Book Antiqua" w:cs="Book Antiqua"/>
          <w:b/>
          <w:i/>
          <w:color w:val="000000"/>
        </w:rPr>
        <w:t xml:space="preserve"> methodological qualit</w:t>
      </w:r>
      <w:r w:rsidRPr="00670147">
        <w:rPr>
          <w:rFonts w:ascii="Book Antiqua" w:eastAsia="Book Antiqua" w:hAnsi="Book Antiqua" w:cs="Book Antiqua"/>
          <w:b/>
          <w:i/>
          <w:color w:val="000000"/>
        </w:rPr>
        <w:t>y</w:t>
      </w:r>
    </w:p>
    <w:p w14:paraId="039364AF" w14:textId="77777777" w:rsidR="00A77B3E" w:rsidRDefault="001E2C53">
      <w:pPr>
        <w:spacing w:line="360" w:lineRule="auto"/>
        <w:jc w:val="both"/>
      </w:pPr>
      <w:r>
        <w:rPr>
          <w:rFonts w:ascii="Book Antiqua" w:eastAsia="Book Antiqua" w:hAnsi="Book Antiqua" w:cs="Book Antiqua"/>
          <w:color w:val="000000"/>
        </w:rPr>
        <w:t xml:space="preserve">The methodological quality of the included studies was independently assessed by two investigators (Ma YH and Zhu YH) according to the </w:t>
      </w:r>
      <w:bookmarkStart w:id="62" w:name="OLE_LINK108"/>
      <w:r>
        <w:rPr>
          <w:rFonts w:ascii="Book Antiqua" w:eastAsia="Book Antiqua" w:hAnsi="Book Antiqua" w:cs="Book Antiqua"/>
          <w:color w:val="000000"/>
        </w:rPr>
        <w:t>Newcastle-Ottawa Scale</w:t>
      </w:r>
      <w:bookmarkEnd w:id="62"/>
      <w:r>
        <w:rPr>
          <w:rFonts w:ascii="Book Antiqua" w:eastAsia="Book Antiqua" w:hAnsi="Book Antiqua" w:cs="Book Antiqua"/>
          <w:color w:val="000000"/>
        </w:rPr>
        <w:t xml:space="preserve"> (NOS)</w:t>
      </w:r>
      <w:r>
        <w:rPr>
          <w:rFonts w:ascii="Book Antiqua" w:eastAsia="Book Antiqua" w:hAnsi="Book Antiqua" w:cs="Book Antiqua"/>
          <w:color w:val="000000"/>
          <w:szCs w:val="30"/>
          <w:vertAlign w:val="superscript"/>
        </w:rPr>
        <w:t>[</w:t>
      </w:r>
      <w:hyperlink w:anchor="_ENREF_8" w:tooltip="Stang, 2010 #8" w:history="1">
        <w:r w:rsidRPr="00D0555C">
          <w:rPr>
            <w:rFonts w:ascii="Book Antiqua" w:eastAsia="Book Antiqua" w:hAnsi="Book Antiqua" w:cs="Book Antiqua"/>
            <w:color w:val="000000"/>
            <w:szCs w:val="20"/>
            <w:vertAlign w:val="superscript"/>
          </w:rPr>
          <w:t>8</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scale concerning object selection, comparability, and exposure objectively evaluates the risk of bias. The maximum score of the scale is 9, and studies with a score ≥</w:t>
      </w:r>
      <w:r w:rsidR="00494440">
        <w:rPr>
          <w:rFonts w:ascii="Book Antiqua" w:hAnsi="Book Antiqua" w:cs="Book Antiqua" w:hint="eastAsia"/>
          <w:color w:val="000000"/>
          <w:lang w:eastAsia="zh-CN"/>
        </w:rPr>
        <w:t xml:space="preserve"> </w:t>
      </w:r>
      <w:r>
        <w:rPr>
          <w:rFonts w:ascii="Book Antiqua" w:eastAsia="Book Antiqua" w:hAnsi="Book Antiqua" w:cs="Book Antiqua"/>
          <w:color w:val="000000"/>
        </w:rPr>
        <w:t>7 were considered high quality. Disagreements were resolved through consultation and discussion with a senior author (Zhu QS).</w:t>
      </w:r>
    </w:p>
    <w:p w14:paraId="488A3942" w14:textId="77777777" w:rsidR="00494440" w:rsidRDefault="00494440">
      <w:pPr>
        <w:spacing w:line="360" w:lineRule="auto"/>
        <w:jc w:val="both"/>
        <w:rPr>
          <w:rFonts w:ascii="Book Antiqua" w:hAnsi="Book Antiqua" w:cs="Book Antiqua"/>
          <w:color w:val="000000"/>
          <w:lang w:eastAsia="zh-CN"/>
        </w:rPr>
      </w:pPr>
    </w:p>
    <w:p w14:paraId="79C36ED7" w14:textId="77777777" w:rsidR="00A77B3E" w:rsidRPr="00494440" w:rsidRDefault="001E2C53">
      <w:pPr>
        <w:spacing w:line="360" w:lineRule="auto"/>
        <w:jc w:val="both"/>
        <w:rPr>
          <w:b/>
          <w:i/>
        </w:rPr>
      </w:pPr>
      <w:r w:rsidRPr="00494440">
        <w:rPr>
          <w:rFonts w:ascii="Book Antiqua" w:eastAsia="Book Antiqua" w:hAnsi="Book Antiqua" w:cs="Book Antiqua"/>
          <w:b/>
          <w:i/>
          <w:color w:val="000000"/>
        </w:rPr>
        <w:t xml:space="preserve">Statistical </w:t>
      </w:r>
      <w:r w:rsidR="00494440" w:rsidRPr="00494440">
        <w:rPr>
          <w:rFonts w:ascii="Book Antiqua" w:eastAsia="Book Antiqua" w:hAnsi="Book Antiqua" w:cs="Book Antiqua"/>
          <w:b/>
          <w:i/>
          <w:color w:val="000000"/>
        </w:rPr>
        <w:t>analysis</w:t>
      </w:r>
    </w:p>
    <w:p w14:paraId="59803473" w14:textId="3DB30479" w:rsidR="00A77B3E" w:rsidRDefault="001E2C53">
      <w:pPr>
        <w:spacing w:line="360" w:lineRule="auto"/>
        <w:jc w:val="both"/>
      </w:pPr>
      <w:r>
        <w:rPr>
          <w:rFonts w:ascii="Book Antiqua" w:eastAsia="Book Antiqua" w:hAnsi="Book Antiqua" w:cs="Book Antiqua"/>
          <w:color w:val="000000"/>
        </w:rPr>
        <w:t xml:space="preserve">The software Review Manager </w:t>
      </w:r>
      <w:r w:rsidR="003C0C76">
        <w:rPr>
          <w:rFonts w:ascii="Book Antiqua" w:eastAsia="Book Antiqua" w:hAnsi="Book Antiqua" w:cs="Book Antiqua"/>
          <w:color w:val="000000"/>
        </w:rPr>
        <w:t>Version</w:t>
      </w:r>
      <w:r>
        <w:rPr>
          <w:rFonts w:ascii="Book Antiqua" w:eastAsia="Book Antiqua" w:hAnsi="Book Antiqua" w:cs="Book Antiqua"/>
          <w:color w:val="000000"/>
        </w:rPr>
        <w:t xml:space="preserve"> 5.3 (The Cochrane Collaboration, Oxford, United Kingdom) was used for all statistical analyses. Pooling of the data was only conducted when at least three studies reported on the outcome of interest. We calculated </w:t>
      </w:r>
      <w:r w:rsidR="007C06AD">
        <w:rPr>
          <w:rFonts w:ascii="Book Antiqua" w:eastAsia="Book Antiqua" w:hAnsi="Book Antiqua" w:cs="Book Antiqua"/>
          <w:color w:val="000000"/>
        </w:rPr>
        <w:t>SMDs</w:t>
      </w:r>
      <w:r>
        <w:rPr>
          <w:rFonts w:ascii="Book Antiqua" w:eastAsia="Book Antiqua" w:hAnsi="Book Antiqua" w:cs="Book Antiqua"/>
          <w:color w:val="000000"/>
        </w:rPr>
        <w:t xml:space="preserve"> for continuous variables and </w:t>
      </w:r>
      <w:r w:rsidR="00A11195">
        <w:rPr>
          <w:rFonts w:ascii="Book Antiqua" w:hAnsi="Book Antiqua" w:cs="Book Antiqua" w:hint="eastAsia"/>
          <w:color w:val="000000"/>
          <w:lang w:eastAsia="zh-CN"/>
        </w:rPr>
        <w:t>O</w:t>
      </w:r>
      <w:r w:rsidR="00A11195">
        <w:rPr>
          <w:rFonts w:ascii="Book Antiqua" w:eastAsia="Book Antiqua" w:hAnsi="Book Antiqua" w:cs="Book Antiqua"/>
          <w:color w:val="000000"/>
        </w:rPr>
        <w:t>Rs</w:t>
      </w:r>
      <w:r>
        <w:rPr>
          <w:rFonts w:ascii="Book Antiqua" w:eastAsia="Book Antiqua" w:hAnsi="Book Antiqua" w:cs="Book Antiqua"/>
          <w:color w:val="000000"/>
        </w:rPr>
        <w:t xml:space="preserve"> for dichotomous variables, both with a 95%C</w:t>
      </w:r>
      <w:r w:rsidR="00A11195">
        <w:rPr>
          <w:rFonts w:ascii="Book Antiqua" w:eastAsia="Book Antiqua" w:hAnsi="Book Antiqua" w:cs="Book Antiqua"/>
          <w:color w:val="000000"/>
        </w:rPr>
        <w:t>I</w:t>
      </w:r>
      <w:r>
        <w:rPr>
          <w:rFonts w:ascii="Book Antiqua" w:eastAsia="Book Antiqua" w:hAnsi="Book Antiqua" w:cs="Book Antiqua"/>
          <w:color w:val="000000"/>
        </w:rPr>
        <w:t xml:space="preserve">. Heterogeneity across studies was evaluated by </w:t>
      </w:r>
      <w:r w:rsidR="001F7226">
        <w:rPr>
          <w:rFonts w:ascii="Book Antiqua" w:eastAsia="Book Antiqua" w:hAnsi="Book Antiqua" w:cs="Book Antiqua"/>
          <w:color w:val="000000"/>
        </w:rPr>
        <w:t>chi</w:t>
      </w:r>
      <w:r>
        <w:rPr>
          <w:rFonts w:ascii="Book Antiqua" w:eastAsia="Book Antiqua" w:hAnsi="Book Antiqua" w:cs="Book Antiqua"/>
          <w:color w:val="000000"/>
        </w:rPr>
        <w:t xml:space="preserve">-squared tests and </w:t>
      </w:r>
      <w:r w:rsidRPr="0094641C">
        <w:rPr>
          <w:rFonts w:ascii="Book Antiqua" w:eastAsia="Book Antiqua" w:hAnsi="Book Antiqua" w:cs="Book Antiqua"/>
          <w:i/>
          <w:color w:val="000000"/>
        </w:rPr>
        <w:t>I</w:t>
      </w:r>
      <w:r>
        <w:rPr>
          <w:rFonts w:ascii="Book Antiqua" w:eastAsia="Book Antiqua" w:hAnsi="Book Antiqua" w:cs="Book Antiqua"/>
          <w:color w:val="000000"/>
        </w:rPr>
        <w:t>-squared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statistics. If the </w:t>
      </w:r>
      <w:r w:rsidRPr="00A11195">
        <w:rPr>
          <w:rFonts w:ascii="Book Antiqua" w:eastAsia="Book Antiqua" w:hAnsi="Book Antiqua" w:cs="Book Antiqua"/>
          <w:i/>
          <w:color w:val="000000"/>
        </w:rPr>
        <w:t>P</w:t>
      </w:r>
      <w:r>
        <w:rPr>
          <w:rFonts w:ascii="Book Antiqua" w:eastAsia="Book Antiqua" w:hAnsi="Book Antiqua" w:cs="Book Antiqua"/>
          <w:color w:val="000000"/>
        </w:rPr>
        <w:t xml:space="preserve"> value was &lt; 0.1 and the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value was &gt; 50%, the heterogeneity among studies was considered significant. When heterogeneity obviously existed, a random-effect model was used to calculate pooled ORs or SMDs</w:t>
      </w:r>
      <w:r w:rsidRPr="00D0555C">
        <w:rPr>
          <w:rFonts w:ascii="Book Antiqua" w:eastAsia="Book Antiqua" w:hAnsi="Book Antiqua" w:cs="Book Antiqua"/>
          <w:color w:val="000000"/>
          <w:szCs w:val="30"/>
          <w:vertAlign w:val="superscript"/>
        </w:rPr>
        <w:t>[</w:t>
      </w:r>
      <w:hyperlink w:anchor="_ENREF_9" w:tooltip="Lau, 1997 #9" w:history="1">
        <w:r w:rsidRPr="00D0555C">
          <w:rPr>
            <w:rFonts w:ascii="Book Antiqua" w:eastAsia="Book Antiqua" w:hAnsi="Book Antiqua" w:cs="Book Antiqua"/>
            <w:color w:val="000000"/>
            <w:szCs w:val="20"/>
            <w:vertAlign w:val="superscript"/>
          </w:rPr>
          <w:t>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otherwise, a fixed-effect model was applied. All results </w:t>
      </w:r>
      <w:r w:rsidR="00F80A49">
        <w:rPr>
          <w:rFonts w:ascii="Book Antiqua" w:eastAsia="Book Antiqua" w:hAnsi="Book Antiqua" w:cs="Book Antiqua"/>
          <w:color w:val="000000"/>
        </w:rPr>
        <w:t xml:space="preserve">are </w:t>
      </w:r>
      <w:r>
        <w:rPr>
          <w:rFonts w:ascii="Book Antiqua" w:eastAsia="Book Antiqua" w:hAnsi="Book Antiqua" w:cs="Book Antiqua"/>
          <w:color w:val="000000"/>
        </w:rPr>
        <w:t>summarized graphically using a forest plot. Since the number of included studies was less than 10, publication bias was not analyzed in this meta-analysis</w:t>
      </w:r>
      <w:r w:rsidRPr="00D0555C">
        <w:rPr>
          <w:rFonts w:ascii="Book Antiqua" w:eastAsia="Book Antiqua" w:hAnsi="Book Antiqua" w:cs="Book Antiqua"/>
          <w:color w:val="000000"/>
          <w:szCs w:val="30"/>
          <w:vertAlign w:val="superscript"/>
        </w:rPr>
        <w:t>[</w:t>
      </w:r>
      <w:hyperlink w:anchor="_ENREF_10" w:tooltip="Lau, 2006 #10" w:history="1">
        <w:r w:rsidRPr="00D0555C">
          <w:rPr>
            <w:rFonts w:ascii="Book Antiqua" w:eastAsia="Book Antiqua" w:hAnsi="Book Antiqua" w:cs="Book Antiqua"/>
            <w:color w:val="000000"/>
            <w:szCs w:val="20"/>
            <w:vertAlign w:val="superscript"/>
          </w:rPr>
          <w:t>10</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66913D8" w14:textId="3EBAC501" w:rsidR="00A77B3E" w:rsidRDefault="001E2C53" w:rsidP="00B14417">
      <w:pPr>
        <w:spacing w:line="360" w:lineRule="auto"/>
        <w:ind w:firstLineChars="100" w:firstLine="240"/>
        <w:jc w:val="both"/>
      </w:pPr>
      <w:r>
        <w:rPr>
          <w:rFonts w:ascii="Book Antiqua" w:eastAsia="Book Antiqua" w:hAnsi="Book Antiqua" w:cs="Book Antiqua"/>
          <w:color w:val="000000"/>
        </w:rPr>
        <w:t xml:space="preserve">The statistical methods of this study were reviewed by Kou </w:t>
      </w:r>
      <w:r w:rsidR="00D0555C">
        <w:rPr>
          <w:rFonts w:ascii="Book Antiqua" w:eastAsia="Book Antiqua" w:hAnsi="Book Antiqua" w:cs="Book Antiqua"/>
          <w:color w:val="000000"/>
        </w:rPr>
        <w:t xml:space="preserve">CG </w:t>
      </w:r>
      <w:r>
        <w:rPr>
          <w:rFonts w:ascii="Book Antiqua" w:eastAsia="Book Antiqua" w:hAnsi="Book Antiqua" w:cs="Book Antiqua"/>
          <w:color w:val="000000"/>
        </w:rPr>
        <w:t xml:space="preserve">from the </w:t>
      </w:r>
      <w:r w:rsidR="00D0555C">
        <w:rPr>
          <w:rFonts w:ascii="Book Antiqua" w:eastAsia="Book Antiqua" w:hAnsi="Book Antiqua" w:cs="Book Antiqua"/>
          <w:color w:val="000000"/>
        </w:rPr>
        <w:t>D</w:t>
      </w:r>
      <w:r>
        <w:rPr>
          <w:rFonts w:ascii="Book Antiqua" w:eastAsia="Book Antiqua" w:hAnsi="Book Antiqua" w:cs="Book Antiqua"/>
          <w:color w:val="000000"/>
        </w:rPr>
        <w:t>epartment of Health Statistics, School of Public Health, Jilin University.</w:t>
      </w:r>
    </w:p>
    <w:bookmarkEnd w:id="57"/>
    <w:bookmarkEnd w:id="58"/>
    <w:bookmarkEnd w:id="59"/>
    <w:p w14:paraId="282B06CF" w14:textId="77777777" w:rsidR="00A77B3E" w:rsidRDefault="00A77B3E">
      <w:pPr>
        <w:spacing w:line="360" w:lineRule="auto"/>
        <w:jc w:val="both"/>
      </w:pPr>
    </w:p>
    <w:p w14:paraId="15B0F5AA" w14:textId="77777777" w:rsidR="00A77B3E" w:rsidRDefault="001E2C53">
      <w:pPr>
        <w:spacing w:line="360" w:lineRule="auto"/>
        <w:jc w:val="both"/>
      </w:pPr>
      <w:r>
        <w:rPr>
          <w:rFonts w:ascii="Book Antiqua" w:eastAsia="Book Antiqua" w:hAnsi="Book Antiqua" w:cs="Book Antiqua"/>
          <w:b/>
          <w:caps/>
          <w:color w:val="000000"/>
          <w:u w:val="single"/>
        </w:rPr>
        <w:t>RESULTS</w:t>
      </w:r>
    </w:p>
    <w:p w14:paraId="40CD32A8" w14:textId="77777777" w:rsidR="00A77B3E" w:rsidRPr="00B14417" w:rsidRDefault="001E2C53">
      <w:pPr>
        <w:spacing w:line="360" w:lineRule="auto"/>
        <w:jc w:val="both"/>
        <w:rPr>
          <w:b/>
          <w:i/>
        </w:rPr>
      </w:pPr>
      <w:bookmarkStart w:id="63" w:name="OLE_LINK47"/>
      <w:bookmarkStart w:id="64" w:name="OLE_LINK48"/>
      <w:bookmarkStart w:id="65" w:name="OLE_LINK49"/>
      <w:r w:rsidRPr="00B14417">
        <w:rPr>
          <w:rFonts w:ascii="Book Antiqua" w:eastAsia="Book Antiqua" w:hAnsi="Book Antiqua" w:cs="Book Antiqua"/>
          <w:b/>
          <w:i/>
          <w:color w:val="000000"/>
        </w:rPr>
        <w:t>Study</w:t>
      </w:r>
      <w:r w:rsidR="00B14417" w:rsidRPr="00B14417">
        <w:rPr>
          <w:rFonts w:ascii="Book Antiqua" w:eastAsia="Book Antiqua" w:hAnsi="Book Antiqua" w:cs="Book Antiqua"/>
          <w:b/>
          <w:i/>
          <w:color w:val="000000"/>
        </w:rPr>
        <w:t xml:space="preserve"> selection proces</w:t>
      </w:r>
      <w:r w:rsidRPr="00B14417">
        <w:rPr>
          <w:rFonts w:ascii="Book Antiqua" w:eastAsia="Book Antiqua" w:hAnsi="Book Antiqua" w:cs="Book Antiqua"/>
          <w:b/>
          <w:i/>
          <w:color w:val="000000"/>
        </w:rPr>
        <w:t>s</w:t>
      </w:r>
    </w:p>
    <w:p w14:paraId="1B1D1DD7" w14:textId="4AB78DD9" w:rsidR="00A77B3E" w:rsidRDefault="001E2C53">
      <w:pPr>
        <w:spacing w:line="360" w:lineRule="auto"/>
        <w:jc w:val="both"/>
      </w:pPr>
      <w:r>
        <w:rPr>
          <w:rFonts w:ascii="Book Antiqua" w:eastAsia="Book Antiqua" w:hAnsi="Book Antiqua" w:cs="Book Antiqua"/>
          <w:color w:val="000000"/>
        </w:rPr>
        <w:t xml:space="preserve">As shown in Figure 1, the database search of CENTRAL, MEDLINE, EMBASE, and PubMed yielded 158 studies, and another </w:t>
      </w:r>
      <w:r w:rsidR="00E120BB">
        <w:rPr>
          <w:rFonts w:ascii="Book Antiqua" w:eastAsia="Book Antiqua" w:hAnsi="Book Antiqua" w:cs="Book Antiqua"/>
          <w:color w:val="000000"/>
        </w:rPr>
        <w:t xml:space="preserve">five </w:t>
      </w:r>
      <w:r>
        <w:rPr>
          <w:rFonts w:ascii="Book Antiqua" w:eastAsia="Book Antiqua" w:hAnsi="Book Antiqua" w:cs="Book Antiqua"/>
          <w:color w:val="000000"/>
        </w:rPr>
        <w:t xml:space="preserve">studies were identified from the reference lists of previous reviews. A total of 82 studies remained after eliminating duplicates. Of these, 30 were discarded during the title and abstract review. A total of 43 studies were abandoned after reviewing the full-texts for the following reasons: </w:t>
      </w:r>
      <w:r w:rsidR="00E120BB">
        <w:rPr>
          <w:rFonts w:ascii="Book Antiqua" w:eastAsia="Book Antiqua" w:hAnsi="Book Antiqua" w:cs="Book Antiqua"/>
          <w:color w:val="000000"/>
        </w:rPr>
        <w:t xml:space="preserve">The </w:t>
      </w:r>
      <w:r>
        <w:rPr>
          <w:rFonts w:ascii="Book Antiqua" w:eastAsia="Book Antiqua" w:hAnsi="Book Antiqua" w:cs="Book Antiqua"/>
          <w:color w:val="000000"/>
        </w:rPr>
        <w:t xml:space="preserve">treatment in 19 studies included both </w:t>
      </w:r>
      <w:bookmarkStart w:id="66" w:name="OLE_LINK106"/>
      <w:bookmarkStart w:id="67" w:name="OLE_LINK107"/>
      <w:r>
        <w:rPr>
          <w:rFonts w:ascii="Book Antiqua" w:eastAsia="Book Antiqua" w:hAnsi="Book Antiqua" w:cs="Book Antiqua"/>
          <w:color w:val="000000"/>
        </w:rPr>
        <w:t>percutaneous kyphoplasty</w:t>
      </w:r>
      <w:bookmarkEnd w:id="66"/>
      <w:bookmarkEnd w:id="67"/>
      <w:r>
        <w:rPr>
          <w:rFonts w:ascii="Book Antiqua" w:eastAsia="Book Antiqua" w:hAnsi="Book Antiqua" w:cs="Book Antiqua"/>
          <w:color w:val="000000"/>
        </w:rPr>
        <w:t xml:space="preserve"> (PKP) and PVP; 21 studies provided no outcomes of interest; and </w:t>
      </w:r>
      <w:r w:rsidR="00E120BB">
        <w:rPr>
          <w:rFonts w:ascii="Book Antiqua" w:eastAsia="Book Antiqua" w:hAnsi="Book Antiqua" w:cs="Book Antiqua"/>
          <w:color w:val="000000"/>
        </w:rPr>
        <w:t xml:space="preserve">three </w:t>
      </w:r>
      <w:r>
        <w:rPr>
          <w:rFonts w:ascii="Book Antiqua" w:eastAsia="Book Antiqua" w:hAnsi="Book Antiqua" w:cs="Book Antiqua"/>
          <w:color w:val="000000"/>
        </w:rPr>
        <w:t xml:space="preserve">studies lacked sufficient data. Ultimately, a total of </w:t>
      </w:r>
      <w:r w:rsidR="00E120BB">
        <w:rPr>
          <w:rFonts w:ascii="Book Antiqua" w:eastAsia="Book Antiqua" w:hAnsi="Book Antiqua" w:cs="Book Antiqua"/>
          <w:color w:val="000000"/>
        </w:rPr>
        <w:t xml:space="preserve">nine </w:t>
      </w:r>
      <w:r>
        <w:rPr>
          <w:rFonts w:ascii="Book Antiqua" w:eastAsia="Book Antiqua" w:hAnsi="Book Antiqua" w:cs="Book Antiqua"/>
          <w:color w:val="000000"/>
        </w:rPr>
        <w:t>studies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szCs w:val="30"/>
        </w:rPr>
        <w:t xml:space="preserve"> </w:t>
      </w:r>
      <w:r>
        <w:rPr>
          <w:rFonts w:ascii="Book Antiqua" w:eastAsia="Book Antiqua" w:hAnsi="Book Antiqua" w:cs="Book Antiqua"/>
          <w:color w:val="000000"/>
        </w:rPr>
        <w:t>were included in the final meta-analysis.</w:t>
      </w:r>
    </w:p>
    <w:p w14:paraId="470E8D88" w14:textId="77777777" w:rsidR="00566488" w:rsidRDefault="00566488">
      <w:pPr>
        <w:spacing w:line="360" w:lineRule="auto"/>
        <w:jc w:val="both"/>
        <w:rPr>
          <w:rFonts w:ascii="Book Antiqua" w:hAnsi="Book Antiqua" w:cs="Book Antiqua"/>
          <w:color w:val="000000"/>
          <w:lang w:eastAsia="zh-CN"/>
        </w:rPr>
      </w:pPr>
    </w:p>
    <w:p w14:paraId="14587EBD" w14:textId="77777777" w:rsidR="00A77B3E" w:rsidRPr="00566488" w:rsidRDefault="001E2C53">
      <w:pPr>
        <w:spacing w:line="360" w:lineRule="auto"/>
        <w:jc w:val="both"/>
        <w:rPr>
          <w:b/>
          <w:i/>
        </w:rPr>
      </w:pPr>
      <w:r w:rsidRPr="00566488">
        <w:rPr>
          <w:rFonts w:ascii="Book Antiqua" w:eastAsia="Book Antiqua" w:hAnsi="Book Antiqua" w:cs="Book Antiqua"/>
          <w:b/>
          <w:i/>
          <w:color w:val="000000"/>
        </w:rPr>
        <w:t xml:space="preserve">Study </w:t>
      </w:r>
      <w:r w:rsidR="00566488" w:rsidRPr="00566488">
        <w:rPr>
          <w:rFonts w:ascii="Book Antiqua" w:eastAsia="Book Antiqua" w:hAnsi="Book Antiqua" w:cs="Book Antiqua"/>
          <w:b/>
          <w:i/>
          <w:color w:val="000000"/>
        </w:rPr>
        <w:t>characteristics and methodological quali</w:t>
      </w:r>
      <w:r w:rsidRPr="00566488">
        <w:rPr>
          <w:rFonts w:ascii="Book Antiqua" w:eastAsia="Book Antiqua" w:hAnsi="Book Antiqua" w:cs="Book Antiqua"/>
          <w:b/>
          <w:i/>
          <w:color w:val="000000"/>
        </w:rPr>
        <w:t>ty</w:t>
      </w:r>
    </w:p>
    <w:p w14:paraId="2202D475" w14:textId="7EC9944C" w:rsidR="00A77B3E" w:rsidRDefault="001E2C53" w:rsidP="00566488">
      <w:pPr>
        <w:spacing w:line="360" w:lineRule="auto"/>
        <w:jc w:val="both"/>
      </w:pPr>
      <w:r>
        <w:rPr>
          <w:rFonts w:ascii="Book Antiqua" w:eastAsia="Book Antiqua" w:hAnsi="Book Antiqua" w:cs="Book Antiqua"/>
          <w:color w:val="000000"/>
        </w:rPr>
        <w:t xml:space="preserve">The basic characteristics of the </w:t>
      </w:r>
      <w:r w:rsidR="00E120BB">
        <w:rPr>
          <w:rFonts w:ascii="Book Antiqua" w:eastAsia="Book Antiqua" w:hAnsi="Book Antiqua" w:cs="Book Antiqua"/>
          <w:color w:val="000000"/>
        </w:rPr>
        <w:t xml:space="preserve">nine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11-19</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are presented in Table 1. All selected studies were case-control studies published between 2008 and 2018, and no</w:t>
      </w:r>
      <w:r w:rsidR="00E70F9D" w:rsidRPr="00E70F9D">
        <w:rPr>
          <w:rFonts w:ascii="Book Antiqua" w:eastAsia="Book Antiqua" w:hAnsi="Book Antiqua" w:cs="Book Antiqua"/>
          <w:color w:val="000000"/>
        </w:rPr>
        <w:t xml:space="preserve"> </w:t>
      </w:r>
      <w:r w:rsidR="00E70F9D">
        <w:rPr>
          <w:rFonts w:ascii="Book Antiqua" w:eastAsia="Book Antiqua" w:hAnsi="Book Antiqua" w:cs="Book Antiqua"/>
          <w:color w:val="000000"/>
        </w:rPr>
        <w:t>RCTs</w:t>
      </w:r>
      <w:r>
        <w:rPr>
          <w:rFonts w:ascii="Book Antiqua" w:eastAsia="Book Antiqua" w:hAnsi="Book Antiqua" w:cs="Book Antiqua"/>
          <w:color w:val="000000"/>
        </w:rPr>
        <w:t xml:space="preserve"> were published on this subject. Of these studies, three were conducted in China</w:t>
      </w:r>
      <w:r>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three in Taiwan</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w:t>
        </w:r>
      </w:hyperlink>
      <w:r w:rsidRPr="00D0555C">
        <w:rPr>
          <w:rFonts w:ascii="Book Antiqua" w:eastAsia="Book Antiqua" w:hAnsi="Book Antiqua" w:cs="Book Antiqua"/>
          <w:color w:val="000000"/>
          <w:szCs w:val="30"/>
          <w:vertAlign w:val="superscript"/>
        </w:rPr>
        <w:t>,</w:t>
      </w:r>
      <w:hyperlink w:anchor="_ENREF_15" w:tooltip="Chen, 2011 #15" w:history="1">
        <w:r w:rsidRPr="00D0555C">
          <w:rPr>
            <w:rFonts w:ascii="Book Antiqua" w:eastAsia="Book Antiqua" w:hAnsi="Book Antiqua" w:cs="Book Antiqua"/>
            <w:color w:val="000000"/>
            <w:szCs w:val="20"/>
            <w:vertAlign w:val="superscript"/>
          </w:rPr>
          <w:t>15</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and three in Korea</w:t>
      </w:r>
      <w:r w:rsidRPr="00D0555C">
        <w:rPr>
          <w:rFonts w:ascii="Book Antiqua" w:eastAsia="Book Antiqua" w:hAnsi="Book Antiqua" w:cs="Book Antiqua"/>
          <w:color w:val="000000"/>
          <w:szCs w:val="30"/>
          <w:vertAlign w:val="superscript"/>
        </w:rPr>
        <w:t>[</w:t>
      </w:r>
      <w:hyperlink w:anchor="_ENREF_12" w:tooltip="Heo, 2009 #12" w:history="1">
        <w:r w:rsidRPr="00D0555C">
          <w:rPr>
            <w:rFonts w:ascii="Book Antiqua" w:eastAsia="Book Antiqua" w:hAnsi="Book Antiqua" w:cs="Book Antiqua"/>
            <w:color w:val="000000"/>
            <w:szCs w:val="20"/>
            <w:vertAlign w:val="superscript"/>
          </w:rPr>
          <w:t>12</w:t>
        </w:r>
      </w:hyperlink>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6" w:tooltip="Oh, 2016 #16" w:history="1">
        <w:r w:rsidRPr="00D0555C">
          <w:rPr>
            <w:rFonts w:ascii="Book Antiqua" w:eastAsia="Book Antiqua" w:hAnsi="Book Antiqua" w:cs="Book Antiqua"/>
            <w:color w:val="000000"/>
            <w:szCs w:val="20"/>
            <w:vertAlign w:val="superscript"/>
          </w:rPr>
          <w:t>16</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The sample sizes ranged from 44 to 1800, and together, the studies included a total of 2974 patients. Recollapse of cemented vertebrae after PVP occurred in 300 cases, and did not occur in 2674 cases. The recollapse rate in each study ranged from 0.6% to 63.3% and the pooled incidence was 10.1%. The mean follow-up duration for each study was no less than 12 mo. Additional details are shown in Table 1. Numerous potential risk factors were evaluated in the included studies; however, we only selected the risk factors reported in at least three studies. The potential risk factors for recollapse involved in all included studies are depicted in Table 2.</w:t>
      </w:r>
    </w:p>
    <w:p w14:paraId="619D3E08" w14:textId="164B18FB" w:rsidR="00A77B3E" w:rsidRDefault="001E2C53" w:rsidP="00141B53">
      <w:pPr>
        <w:spacing w:line="360" w:lineRule="auto"/>
        <w:ind w:firstLineChars="100" w:firstLine="240"/>
        <w:jc w:val="both"/>
      </w:pPr>
      <w:r>
        <w:rPr>
          <w:rFonts w:ascii="Book Antiqua" w:eastAsia="Book Antiqua" w:hAnsi="Book Antiqua" w:cs="Book Antiqua"/>
          <w:color w:val="000000"/>
        </w:rPr>
        <w:t xml:space="preserve">For the </w:t>
      </w:r>
      <w:r w:rsidR="00E120BB">
        <w:rPr>
          <w:rFonts w:ascii="Book Antiqua" w:eastAsia="Book Antiqua" w:hAnsi="Book Antiqua" w:cs="Book Antiqua"/>
          <w:color w:val="000000"/>
        </w:rPr>
        <w:t xml:space="preserve">nine </w:t>
      </w:r>
      <w:r>
        <w:rPr>
          <w:rFonts w:ascii="Book Antiqua" w:eastAsia="Book Antiqua" w:hAnsi="Book Antiqua" w:cs="Book Antiqua"/>
          <w:color w:val="000000"/>
        </w:rPr>
        <w:t>case-control studies, methodological quality w</w:t>
      </w:r>
      <w:r w:rsidRPr="00D0555C">
        <w:rPr>
          <w:rFonts w:ascii="Book Antiqua" w:eastAsia="Book Antiqua" w:hAnsi="Book Antiqua" w:cs="Book Antiqua"/>
          <w:color w:val="000000"/>
        </w:rPr>
        <w:t>as assessed in accordance with the NOS. Among them, one single study had a score of 9 points</w:t>
      </w:r>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six studies had a score of 8 points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2" w:tooltip="Heo, 2009 #12" w:history="1">
        <w:r w:rsidRPr="00D0555C">
          <w:rPr>
            <w:rFonts w:ascii="Book Antiqua" w:eastAsia="Book Antiqua" w:hAnsi="Book Antiqua" w:cs="Book Antiqua"/>
            <w:color w:val="000000"/>
            <w:szCs w:val="20"/>
            <w:vertAlign w:val="superscript"/>
          </w:rPr>
          <w:t>12</w:t>
        </w:r>
      </w:hyperlink>
      <w:r w:rsidRPr="00D0555C">
        <w:rPr>
          <w:rFonts w:ascii="Book Antiqua" w:eastAsia="Book Antiqua" w:hAnsi="Book Antiqua" w:cs="Book Antiqua"/>
          <w:color w:val="000000"/>
          <w:szCs w:val="30"/>
          <w:vertAlign w:val="superscript"/>
        </w:rPr>
        <w:t>,</w:t>
      </w:r>
      <w:hyperlink w:anchor="_ENREF_15" w:tooltip="Chen, 2011 #15" w:history="1">
        <w:r w:rsidRPr="00D0555C">
          <w:rPr>
            <w:rFonts w:ascii="Book Antiqua" w:eastAsia="Book Antiqua" w:hAnsi="Book Antiqua" w:cs="Book Antiqua"/>
            <w:color w:val="000000"/>
            <w:szCs w:val="20"/>
            <w:vertAlign w:val="superscript"/>
          </w:rPr>
          <w:t>15</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and two studies had a score of 7 points</w:t>
      </w:r>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6" w:tooltip="Oh, 2016 #16" w:history="1">
        <w:r w:rsidRPr="00D0555C">
          <w:rPr>
            <w:rFonts w:ascii="Book Antiqua" w:eastAsia="Book Antiqua" w:hAnsi="Book Antiqua" w:cs="Book Antiqua"/>
            <w:color w:val="000000"/>
            <w:szCs w:val="20"/>
            <w:vertAlign w:val="superscript"/>
          </w:rPr>
          <w:t>16</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Therefore, all included studies could be regarded as relatively high quality, and the scoring results are listed in Table 1.</w:t>
      </w:r>
    </w:p>
    <w:p w14:paraId="68619537" w14:textId="77777777" w:rsidR="008C4033" w:rsidRDefault="008C4033">
      <w:pPr>
        <w:spacing w:line="360" w:lineRule="auto"/>
        <w:jc w:val="both"/>
        <w:rPr>
          <w:rFonts w:ascii="Book Antiqua" w:hAnsi="Book Antiqua" w:cs="Book Antiqua"/>
          <w:color w:val="000000"/>
          <w:lang w:eastAsia="zh-CN"/>
        </w:rPr>
      </w:pPr>
    </w:p>
    <w:p w14:paraId="02A656CB" w14:textId="77777777" w:rsidR="00A77B3E" w:rsidRPr="009E5C5F" w:rsidRDefault="001E2C53">
      <w:pPr>
        <w:spacing w:line="360" w:lineRule="auto"/>
        <w:jc w:val="both"/>
        <w:rPr>
          <w:b/>
          <w:i/>
        </w:rPr>
      </w:pPr>
      <w:r w:rsidRPr="009E5C5F">
        <w:rPr>
          <w:rFonts w:ascii="Book Antiqua" w:eastAsia="Book Antiqua" w:hAnsi="Book Antiqua" w:cs="Book Antiqua"/>
          <w:b/>
          <w:i/>
          <w:color w:val="000000"/>
        </w:rPr>
        <w:t xml:space="preserve">Risk </w:t>
      </w:r>
      <w:r w:rsidR="009E5C5F" w:rsidRPr="009E5C5F">
        <w:rPr>
          <w:rFonts w:ascii="Book Antiqua" w:eastAsia="Book Antiqua" w:hAnsi="Book Antiqua" w:cs="Book Antiqua"/>
          <w:b/>
          <w:i/>
          <w:color w:val="000000"/>
        </w:rPr>
        <w:t>factors involving the physical condition of pati</w:t>
      </w:r>
      <w:r w:rsidRPr="009E5C5F">
        <w:rPr>
          <w:rFonts w:ascii="Book Antiqua" w:eastAsia="Book Antiqua" w:hAnsi="Book Antiqua" w:cs="Book Antiqua"/>
          <w:b/>
          <w:i/>
          <w:color w:val="000000"/>
        </w:rPr>
        <w:t>ents</w:t>
      </w:r>
    </w:p>
    <w:p w14:paraId="425C6E3B" w14:textId="5E04DFAB" w:rsidR="00A77B3E" w:rsidRDefault="001E2C53">
      <w:pPr>
        <w:spacing w:line="360" w:lineRule="auto"/>
        <w:jc w:val="both"/>
      </w:pPr>
      <w:r>
        <w:rPr>
          <w:rFonts w:ascii="Book Antiqua" w:eastAsia="Book Antiqua" w:hAnsi="Book Antiqua" w:cs="Book Antiqua"/>
          <w:color w:val="000000"/>
        </w:rPr>
        <w:t xml:space="preserve">Three eligible factors concerning the physical condition of patients were selected for meta-analysis. Of these, age was evaluated as a predictive risk factor for the recollapse of cemented vertebrae after PVP in </w:t>
      </w:r>
      <w:r w:rsidR="00E120BB">
        <w:rPr>
          <w:rFonts w:ascii="Book Antiqua" w:eastAsia="Book Antiqua" w:hAnsi="Book Antiqua" w:cs="Book Antiqua"/>
          <w:color w:val="000000"/>
        </w:rPr>
        <w:t xml:space="preserve">seven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11-14</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c</w:t>
      </w:r>
      <w:r>
        <w:rPr>
          <w:rFonts w:ascii="Book Antiqua" w:eastAsia="Book Antiqua" w:hAnsi="Book Antiqua" w:cs="Book Antiqua"/>
          <w:color w:val="000000"/>
        </w:rPr>
        <w:t>ontaining 1130 patients. A fixed-effect model was used due to the heterogeneity test (</w:t>
      </w:r>
      <w:r w:rsidR="00D0555C" w:rsidRPr="00D0555C">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4.00; </w:t>
      </w:r>
      <w:r>
        <w:rPr>
          <w:rFonts w:ascii="Book Antiqua" w:eastAsia="Book Antiqua" w:hAnsi="Book Antiqua" w:cs="Book Antiqua"/>
          <w:i/>
          <w:iCs/>
          <w:color w:val="000000"/>
        </w:rPr>
        <w:t>P</w:t>
      </w:r>
      <w:r>
        <w:rPr>
          <w:rFonts w:ascii="Book Antiqua" w:eastAsia="Book Antiqua" w:hAnsi="Book Antiqua" w:cs="Book Antiqua"/>
          <w:color w:val="000000"/>
        </w:rPr>
        <w:t xml:space="preserve"> = 0.68;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The results of age exhibited no significant differences between the recollapse group and the well-maintained group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0.05; 95%CI: -0.10 to 0.20; </w:t>
      </w:r>
      <w:r>
        <w:rPr>
          <w:rFonts w:ascii="Book Antiqua" w:eastAsia="Book Antiqua" w:hAnsi="Book Antiqua" w:cs="Book Antiqua"/>
          <w:i/>
          <w:iCs/>
          <w:color w:val="000000"/>
        </w:rPr>
        <w:t>P</w:t>
      </w:r>
      <w:r>
        <w:rPr>
          <w:rFonts w:ascii="Book Antiqua" w:eastAsia="Book Antiqua" w:hAnsi="Book Antiqua" w:cs="Book Antiqua"/>
          <w:color w:val="000000"/>
        </w:rPr>
        <w:t xml:space="preserve"> = 0.52) (Figure 2</w:t>
      </w:r>
      <w:r w:rsidR="003F09FD">
        <w:rPr>
          <w:rFonts w:ascii="Book Antiqua" w:eastAsia="Book Antiqua" w:hAnsi="Book Antiqua" w:cs="Book Antiqua"/>
          <w:color w:val="000000"/>
        </w:rPr>
        <w:t>A</w:t>
      </w:r>
      <w:r>
        <w:rPr>
          <w:rFonts w:ascii="Book Antiqua" w:eastAsia="Book Antiqua" w:hAnsi="Book Antiqua" w:cs="Book Antiqua"/>
          <w:color w:val="000000"/>
        </w:rPr>
        <w:t xml:space="preserve">). All </w:t>
      </w:r>
      <w:r w:rsidR="00E120BB">
        <w:rPr>
          <w:rFonts w:ascii="Book Antiqua" w:eastAsia="Book Antiqua" w:hAnsi="Book Antiqua" w:cs="Book Antiqua"/>
          <w:color w:val="000000"/>
        </w:rPr>
        <w:t xml:space="preserve">the nine </w:t>
      </w:r>
      <w:r>
        <w:rPr>
          <w:rFonts w:ascii="Book Antiqua" w:eastAsia="Book Antiqua" w:hAnsi="Book Antiqua" w:cs="Book Antiqua"/>
          <w:color w:val="000000"/>
        </w:rPr>
        <w:t>studie</w:t>
      </w:r>
      <w:r w:rsidRPr="00D0555C">
        <w:rPr>
          <w:rFonts w:ascii="Book Antiqua" w:eastAsia="Book Antiqua" w:hAnsi="Book Antiqua" w:cs="Book Antiqua"/>
          <w:color w:val="000000"/>
        </w:rPr>
        <w:t>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11-19</w:t>
        </w:r>
      </w:hyperlink>
      <w:r w:rsidRPr="00D055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assessed the potential effect of gender (female). Because of the low heterogeneity among the included studies,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was utilized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8.28; </w:t>
      </w:r>
      <w:r>
        <w:rPr>
          <w:rFonts w:ascii="Book Antiqua" w:eastAsia="Book Antiqua" w:hAnsi="Book Antiqua" w:cs="Book Antiqua"/>
          <w:i/>
          <w:iCs/>
          <w:color w:val="000000"/>
        </w:rPr>
        <w:t>P</w:t>
      </w:r>
      <w:r>
        <w:rPr>
          <w:rFonts w:ascii="Book Antiqua" w:eastAsia="Book Antiqua" w:hAnsi="Book Antiqua" w:cs="Book Antiqua"/>
          <w:color w:val="000000"/>
        </w:rPr>
        <w:t xml:space="preserve"> = 0.41;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3%). The difference in gender did not reach statistical significance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0.88; 95%CI: 0.61 to 1.28; </w:t>
      </w:r>
      <w:r>
        <w:rPr>
          <w:rFonts w:ascii="Book Antiqua" w:eastAsia="Book Antiqua" w:hAnsi="Book Antiqua" w:cs="Book Antiqua"/>
          <w:i/>
          <w:iCs/>
          <w:color w:val="000000"/>
        </w:rPr>
        <w:t>P</w:t>
      </w:r>
      <w:r>
        <w:rPr>
          <w:rFonts w:ascii="Book Antiqua" w:eastAsia="Book Antiqua" w:hAnsi="Book Antiqua" w:cs="Book Antiqua"/>
          <w:color w:val="000000"/>
        </w:rPr>
        <w:t xml:space="preserve"> = 0.51) (Figure </w:t>
      </w:r>
      <w:r w:rsidR="003F09FD">
        <w:rPr>
          <w:rFonts w:ascii="Book Antiqua" w:eastAsia="Book Antiqua" w:hAnsi="Book Antiqua" w:cs="Book Antiqua"/>
          <w:color w:val="000000"/>
        </w:rPr>
        <w:t>2B</w:t>
      </w:r>
      <w:r>
        <w:rPr>
          <w:rFonts w:ascii="Book Antiqua" w:eastAsia="Book Antiqua" w:hAnsi="Book Antiqua" w:cs="Book Antiqua"/>
          <w:color w:val="000000"/>
        </w:rPr>
        <w:t xml:space="preserve">). A total of </w:t>
      </w:r>
      <w:r w:rsidR="00E120BB">
        <w:rPr>
          <w:rFonts w:ascii="Book Antiqua" w:eastAsia="Book Antiqua" w:hAnsi="Book Antiqua" w:cs="Book Antiqua"/>
          <w:color w:val="000000"/>
        </w:rPr>
        <w:t xml:space="preserve">five </w:t>
      </w:r>
      <w:r>
        <w:rPr>
          <w:rFonts w:ascii="Book Antiqua" w:eastAsia="Book Antiqua" w:hAnsi="Book Antiqua" w:cs="Book Antiqua"/>
          <w:color w:val="000000"/>
        </w:rPr>
        <w:t>studies</w:t>
      </w:r>
      <w:r w:rsidRPr="00D0555C">
        <w:rPr>
          <w:rFonts w:ascii="Book Antiqua" w:eastAsia="Book Antiqua" w:hAnsi="Book Antiqua" w:cs="Book Antiqua"/>
          <w:color w:val="000000"/>
          <w:szCs w:val="30"/>
          <w:vertAlign w:val="superscript"/>
        </w:rPr>
        <w:t>[</w:t>
      </w:r>
      <w:hyperlink w:anchor="_ENREF_12" w:tooltip="Heo, 2009 #12" w:history="1">
        <w:r w:rsidRPr="00D0555C">
          <w:rPr>
            <w:rFonts w:ascii="Book Antiqua" w:eastAsia="Book Antiqua" w:hAnsi="Book Antiqua" w:cs="Book Antiqua"/>
            <w:color w:val="000000"/>
            <w:szCs w:val="20"/>
            <w:vertAlign w:val="superscript"/>
          </w:rPr>
          <w:t>12</w:t>
        </w:r>
      </w:hyperlink>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c</w:t>
      </w:r>
      <w:r>
        <w:rPr>
          <w:rFonts w:ascii="Book Antiqua" w:eastAsia="Book Antiqua" w:hAnsi="Book Antiqua" w:cs="Book Antiqua"/>
          <w:color w:val="000000"/>
        </w:rPr>
        <w:t>ontaining 951 patients recorded comparable results for lumbar BMD. The test for heterogeneity was significant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8.02; </w:t>
      </w:r>
      <w:r>
        <w:rPr>
          <w:rFonts w:ascii="Book Antiqua" w:eastAsia="Book Antiqua" w:hAnsi="Book Antiqua" w:cs="Book Antiqua"/>
          <w:i/>
          <w:iCs/>
          <w:color w:val="000000"/>
        </w:rPr>
        <w:t>P</w:t>
      </w:r>
      <w:r>
        <w:rPr>
          <w:rFonts w:ascii="Book Antiqua" w:eastAsia="Book Antiqua" w:hAnsi="Book Antiqua" w:cs="Book Antiqua"/>
          <w:color w:val="000000"/>
        </w:rPr>
        <w:t xml:space="preserve"> = 0.09;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50%). Using a random-effect model, the aggregated results of </w:t>
      </w:r>
      <w:r w:rsidR="00E120BB">
        <w:rPr>
          <w:rFonts w:ascii="Book Antiqua" w:eastAsia="Book Antiqua" w:hAnsi="Book Antiqua" w:cs="Book Antiqua"/>
          <w:color w:val="000000"/>
        </w:rPr>
        <w:t xml:space="preserve">the five </w:t>
      </w:r>
      <w:r>
        <w:rPr>
          <w:rFonts w:ascii="Book Antiqua" w:eastAsia="Book Antiqua" w:hAnsi="Book Antiqua" w:cs="Book Antiqua"/>
          <w:color w:val="000000"/>
        </w:rPr>
        <w:t>studies showed that there were no significant differences between them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-0.23; 95%CI: -0.49 to 0.03; </w:t>
      </w:r>
      <w:r>
        <w:rPr>
          <w:rFonts w:ascii="Book Antiqua" w:eastAsia="Book Antiqua" w:hAnsi="Book Antiqua" w:cs="Book Antiqua"/>
          <w:i/>
          <w:iCs/>
          <w:color w:val="000000"/>
        </w:rPr>
        <w:t>P</w:t>
      </w:r>
      <w:r>
        <w:rPr>
          <w:rFonts w:ascii="Book Antiqua" w:eastAsia="Book Antiqua" w:hAnsi="Book Antiqua" w:cs="Book Antiqua"/>
          <w:color w:val="000000"/>
        </w:rPr>
        <w:t xml:space="preserve"> = 0.09) (Figure </w:t>
      </w:r>
      <w:r w:rsidR="003F09FD">
        <w:rPr>
          <w:rFonts w:ascii="Book Antiqua" w:eastAsia="Book Antiqua" w:hAnsi="Book Antiqua" w:cs="Book Antiqua"/>
          <w:color w:val="000000"/>
        </w:rPr>
        <w:t>2C</w:t>
      </w:r>
      <w:r>
        <w:rPr>
          <w:rFonts w:ascii="Book Antiqua" w:eastAsia="Book Antiqua" w:hAnsi="Book Antiqua" w:cs="Book Antiqua"/>
          <w:color w:val="000000"/>
        </w:rPr>
        <w:t>).</w:t>
      </w:r>
    </w:p>
    <w:p w14:paraId="6EFDA806" w14:textId="77777777" w:rsidR="00754C3D" w:rsidRDefault="00754C3D">
      <w:pPr>
        <w:spacing w:line="360" w:lineRule="auto"/>
        <w:jc w:val="both"/>
        <w:rPr>
          <w:rFonts w:ascii="Book Antiqua" w:hAnsi="Book Antiqua" w:cs="Book Antiqua"/>
          <w:color w:val="000000"/>
          <w:lang w:eastAsia="zh-CN"/>
        </w:rPr>
      </w:pPr>
    </w:p>
    <w:p w14:paraId="1423CFD0" w14:textId="77777777" w:rsidR="00A77B3E" w:rsidRPr="00754C3D" w:rsidRDefault="001E2C53">
      <w:pPr>
        <w:spacing w:line="360" w:lineRule="auto"/>
        <w:jc w:val="both"/>
        <w:rPr>
          <w:b/>
          <w:i/>
        </w:rPr>
      </w:pPr>
      <w:r w:rsidRPr="00754C3D">
        <w:rPr>
          <w:rFonts w:ascii="Book Antiqua" w:eastAsia="Book Antiqua" w:hAnsi="Book Antiqua" w:cs="Book Antiqua"/>
          <w:b/>
          <w:i/>
          <w:color w:val="000000"/>
        </w:rPr>
        <w:t xml:space="preserve">Risk </w:t>
      </w:r>
      <w:r w:rsidR="00754C3D" w:rsidRPr="00754C3D">
        <w:rPr>
          <w:rFonts w:ascii="Book Antiqua" w:eastAsia="Book Antiqua" w:hAnsi="Book Antiqua" w:cs="Book Antiqua"/>
          <w:b/>
          <w:i/>
          <w:color w:val="000000"/>
        </w:rPr>
        <w:t>factors involving differences in the effects of trauma on indi</w:t>
      </w:r>
      <w:r w:rsidRPr="00754C3D">
        <w:rPr>
          <w:rFonts w:ascii="Book Antiqua" w:eastAsia="Book Antiqua" w:hAnsi="Book Antiqua" w:cs="Book Antiqua"/>
          <w:b/>
          <w:i/>
          <w:color w:val="000000"/>
        </w:rPr>
        <w:t>viduals</w:t>
      </w:r>
    </w:p>
    <w:p w14:paraId="3CE82C1D" w14:textId="1AFE5DAF" w:rsidR="00A77B3E" w:rsidRDefault="001E2C53">
      <w:pPr>
        <w:spacing w:line="360" w:lineRule="auto"/>
        <w:jc w:val="both"/>
      </w:pPr>
      <w:r>
        <w:rPr>
          <w:rFonts w:ascii="Book Antiqua" w:eastAsia="Book Antiqua" w:hAnsi="Book Antiqua" w:cs="Book Antiqua"/>
          <w:color w:val="000000"/>
        </w:rPr>
        <w:t xml:space="preserve">Three eligible factors concerning this aspect were selected for meta-analysis. With respect to the location of the fractured vertebra, </w:t>
      </w:r>
      <w:r w:rsidR="00E120BB">
        <w:rPr>
          <w:rFonts w:ascii="Book Antiqua" w:eastAsia="Book Antiqua" w:hAnsi="Book Antiqua" w:cs="Book Antiqua"/>
          <w:color w:val="000000"/>
        </w:rPr>
        <w:t xml:space="preserve">five </w:t>
      </w:r>
      <w:r>
        <w:rPr>
          <w:rFonts w:ascii="Book Antiqua" w:eastAsia="Book Antiqua" w:hAnsi="Book Antiqua" w:cs="Book Antiqua"/>
          <w:color w:val="000000"/>
        </w:rPr>
        <w:t>studies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13-15</w:t>
        </w:r>
      </w:hyperlink>
      <w:r w:rsidRPr="00D0555C">
        <w:rPr>
          <w:rFonts w:ascii="Book Antiqua" w:eastAsia="Book Antiqua" w:hAnsi="Book Antiqua" w:cs="Book Antiqua"/>
          <w:color w:val="000000"/>
          <w:szCs w:val="30"/>
          <w:vertAlign w:val="superscript"/>
        </w:rPr>
        <w:t>,</w:t>
      </w:r>
      <w:hyperlink w:anchor="_ENREF_19" w:tooltip="Yu, 2019 #19" w:history="1">
        <w:r w:rsidRPr="00D0555C">
          <w:rPr>
            <w:rFonts w:ascii="Book Antiqua" w:eastAsia="Book Antiqua" w:hAnsi="Book Antiqua" w:cs="Book Antiqua"/>
            <w:color w:val="000000"/>
            <w:szCs w:val="20"/>
            <w:vertAlign w:val="superscript"/>
          </w:rPr>
          <w:t>19</w:t>
        </w:r>
      </w:hyperlink>
      <w:r w:rsidRPr="00D055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consisting of 2191 patients were pooled for this outcome by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due to low heterogeneity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3.56; </w:t>
      </w:r>
      <w:r>
        <w:rPr>
          <w:rFonts w:ascii="Book Antiqua" w:eastAsia="Book Antiqua" w:hAnsi="Book Antiqua" w:cs="Book Antiqua"/>
          <w:i/>
          <w:iCs/>
          <w:color w:val="000000"/>
        </w:rPr>
        <w:t>P</w:t>
      </w:r>
      <w:r>
        <w:rPr>
          <w:rFonts w:ascii="Book Antiqua" w:eastAsia="Book Antiqua" w:hAnsi="Book Antiqua" w:cs="Book Antiqua"/>
          <w:color w:val="000000"/>
        </w:rPr>
        <w:t xml:space="preserve"> = 0.47;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The pooled results suggested that OVCFs located at the thoracolumbar junction (T10-L2) were associated with a significant increase in the incidence of the recollapse of cemented vertebrae after PVP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2.09; 95%CI: 1.30 to 3.38;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(Figure </w:t>
      </w:r>
      <w:r w:rsidR="003F09FD">
        <w:rPr>
          <w:rFonts w:ascii="Book Antiqua" w:eastAsia="Book Antiqua" w:hAnsi="Book Antiqua" w:cs="Book Antiqua"/>
          <w:color w:val="000000"/>
        </w:rPr>
        <w:t>2D</w:t>
      </w:r>
      <w:r>
        <w:rPr>
          <w:rFonts w:ascii="Book Antiqua" w:eastAsia="Book Antiqua" w:hAnsi="Book Antiqua" w:cs="Book Antiqua"/>
          <w:color w:val="000000"/>
        </w:rPr>
        <w:t>). Five studies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w:t>
        </w:r>
      </w:hyperlink>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6" w:tooltip="Oh, 2016 #16" w:history="1">
        <w:r w:rsidRPr="00D0555C">
          <w:rPr>
            <w:rFonts w:ascii="Book Antiqua" w:eastAsia="Book Antiqua" w:hAnsi="Book Antiqua" w:cs="Book Antiqua"/>
            <w:color w:val="000000"/>
            <w:szCs w:val="20"/>
            <w:vertAlign w:val="superscript"/>
          </w:rPr>
          <w:t>16</w:t>
        </w:r>
      </w:hyperlink>
      <w:r w:rsidRPr="00D0555C">
        <w:rPr>
          <w:rFonts w:ascii="Book Antiqua" w:eastAsia="Book Antiqua" w:hAnsi="Book Antiqua" w:cs="Book Antiqua"/>
          <w:color w:val="000000"/>
          <w:szCs w:val="30"/>
          <w:vertAlign w:val="superscript"/>
        </w:rPr>
        <w:t>,</w:t>
      </w:r>
      <w:hyperlink w:anchor="_ENREF_19" w:tooltip="Yu, 2019 #19" w:history="1">
        <w:r w:rsidRPr="00D0555C">
          <w:rPr>
            <w:rFonts w:ascii="Book Antiqua" w:eastAsia="Book Antiqua" w:hAnsi="Book Antiqua" w:cs="Book Antiqua"/>
            <w:color w:val="000000"/>
            <w:szCs w:val="20"/>
            <w:vertAlign w:val="superscript"/>
          </w:rPr>
          <w:t>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w:t>
      </w:r>
      <w:r>
        <w:rPr>
          <w:rFonts w:ascii="Book Antiqua" w:eastAsia="Book Antiqua" w:hAnsi="Book Antiqua" w:cs="Book Antiqua"/>
          <w:color w:val="000000"/>
        </w:rPr>
        <w:t xml:space="preserve">consisting of 435 patients investigated the association between preoperative IVC and the risk of recollapse after PVP.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was adopted as the studies had low heterogeneity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2.41; </w:t>
      </w:r>
      <w:r>
        <w:rPr>
          <w:rFonts w:ascii="Book Antiqua" w:eastAsia="Book Antiqua" w:hAnsi="Book Antiqua" w:cs="Book Antiqua"/>
          <w:i/>
          <w:iCs/>
          <w:color w:val="000000"/>
        </w:rPr>
        <w:t>P</w:t>
      </w:r>
      <w:r>
        <w:rPr>
          <w:rFonts w:ascii="Book Antiqua" w:eastAsia="Book Antiqua" w:hAnsi="Book Antiqua" w:cs="Book Antiqua"/>
          <w:color w:val="000000"/>
        </w:rPr>
        <w:t xml:space="preserve"> = 0.66;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The aggregated results demonstrated a statistically significant difference between the two groups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2.97; 95%CI: 1.93 to 4.57; </w:t>
      </w:r>
      <w:r w:rsidRPr="00A710C6">
        <w:rPr>
          <w:rFonts w:ascii="Book Antiqua" w:eastAsia="Book Antiqua" w:hAnsi="Book Antiqua" w:cs="Book Antiqua"/>
          <w:i/>
          <w:color w:val="000000"/>
        </w:rPr>
        <w:t>P</w:t>
      </w:r>
      <w:r>
        <w:rPr>
          <w:rFonts w:ascii="Book Antiqua" w:eastAsia="Book Antiqua" w:hAnsi="Book Antiqua" w:cs="Book Antiqua"/>
          <w:color w:val="000000"/>
        </w:rPr>
        <w:t xml:space="preserve"> &lt; 0.00001) (Figure </w:t>
      </w:r>
      <w:r w:rsidR="003F09FD">
        <w:rPr>
          <w:rFonts w:ascii="Book Antiqua" w:eastAsia="Book Antiqua" w:hAnsi="Book Antiqua" w:cs="Book Antiqua"/>
          <w:color w:val="000000"/>
        </w:rPr>
        <w:t>2E</w:t>
      </w:r>
      <w:r>
        <w:rPr>
          <w:rFonts w:ascii="Book Antiqua" w:eastAsia="Book Antiqua" w:hAnsi="Book Antiqua" w:cs="Book Antiqua"/>
          <w:color w:val="000000"/>
        </w:rPr>
        <w:t xml:space="preserve">). Data on preoperative visual analogue scale scores were available for analysis from </w:t>
      </w:r>
      <w:r w:rsidR="00E120BB">
        <w:rPr>
          <w:rFonts w:ascii="Book Antiqua" w:eastAsia="Book Antiqua" w:hAnsi="Book Antiqua" w:cs="Book Antiqua"/>
          <w:color w:val="000000"/>
        </w:rPr>
        <w:t xml:space="preserve">three </w:t>
      </w:r>
      <w:r>
        <w:rPr>
          <w:rFonts w:ascii="Book Antiqua" w:eastAsia="Book Antiqua" w:hAnsi="Book Antiqua" w:cs="Book Antiqua"/>
          <w:color w:val="000000"/>
        </w:rPr>
        <w:t>studies containing 436 patients</w:t>
      </w:r>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8" w:tooltip="He, 2018 #18" w:history="1">
        <w:r w:rsidRPr="00D0555C">
          <w:rPr>
            <w:rFonts w:ascii="Book Antiqua" w:eastAsia="Book Antiqua" w:hAnsi="Book Antiqua" w:cs="Book Antiqua"/>
            <w:color w:val="000000"/>
            <w:szCs w:val="20"/>
            <w:vertAlign w:val="superscript"/>
          </w:rPr>
          <w:t>18</w:t>
        </w:r>
      </w:hyperlink>
      <w:r w:rsidRPr="00D0555C">
        <w:rPr>
          <w:rFonts w:ascii="Book Antiqua" w:eastAsia="Book Antiqua" w:hAnsi="Book Antiqua" w:cs="Book Antiqua"/>
          <w:color w:val="000000"/>
          <w:szCs w:val="30"/>
          <w:vertAlign w:val="superscript"/>
        </w:rPr>
        <w:t>,</w:t>
      </w:r>
      <w:hyperlink w:anchor="_ENREF_19" w:tooltip="Yu, 2019 #19" w:history="1">
        <w:r w:rsidRPr="00D0555C">
          <w:rPr>
            <w:rFonts w:ascii="Book Antiqua" w:eastAsia="Book Antiqua" w:hAnsi="Book Antiqua" w:cs="Book Antiqua"/>
            <w:color w:val="000000"/>
            <w:szCs w:val="20"/>
            <w:vertAlign w:val="superscript"/>
          </w:rPr>
          <w:t>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and the studies were considered heterogeneous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6.21;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68%). Therefore,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random-effect model was applied to evaluate the effect. However, the results showed no significant differences between the recollapse group and the well-maintained group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0.14; 95%CI: -0.27 to 0.56; </w:t>
      </w:r>
      <w:r>
        <w:rPr>
          <w:rFonts w:ascii="Book Antiqua" w:eastAsia="Book Antiqua" w:hAnsi="Book Antiqua" w:cs="Book Antiqua"/>
          <w:i/>
          <w:iCs/>
          <w:color w:val="000000"/>
        </w:rPr>
        <w:t>P</w:t>
      </w:r>
      <w:r>
        <w:rPr>
          <w:rFonts w:ascii="Book Antiqua" w:eastAsia="Book Antiqua" w:hAnsi="Book Antiqua" w:cs="Book Antiqua"/>
          <w:color w:val="000000"/>
        </w:rPr>
        <w:t xml:space="preserve"> = 0.50) (Figure </w:t>
      </w:r>
      <w:r w:rsidR="003F09FD">
        <w:rPr>
          <w:rFonts w:ascii="Book Antiqua" w:eastAsia="Book Antiqua" w:hAnsi="Book Antiqua" w:cs="Book Antiqua"/>
          <w:color w:val="000000"/>
        </w:rPr>
        <w:t>2F</w:t>
      </w:r>
      <w:r>
        <w:rPr>
          <w:rFonts w:ascii="Book Antiqua" w:eastAsia="Book Antiqua" w:hAnsi="Book Antiqua" w:cs="Book Antiqua"/>
          <w:color w:val="000000"/>
        </w:rPr>
        <w:t>).</w:t>
      </w:r>
    </w:p>
    <w:p w14:paraId="31F12E4D" w14:textId="77777777" w:rsidR="009311FA" w:rsidRDefault="009311FA">
      <w:pPr>
        <w:spacing w:line="360" w:lineRule="auto"/>
        <w:jc w:val="both"/>
        <w:rPr>
          <w:rFonts w:ascii="Book Antiqua" w:hAnsi="Book Antiqua" w:cs="Book Antiqua"/>
          <w:color w:val="000000"/>
          <w:lang w:eastAsia="zh-CN"/>
        </w:rPr>
      </w:pPr>
    </w:p>
    <w:p w14:paraId="0C8A0AAE" w14:textId="77777777" w:rsidR="00A77B3E" w:rsidRPr="0019420F" w:rsidRDefault="001E2C53">
      <w:pPr>
        <w:spacing w:line="360" w:lineRule="auto"/>
        <w:jc w:val="both"/>
        <w:rPr>
          <w:b/>
          <w:i/>
        </w:rPr>
      </w:pPr>
      <w:r w:rsidRPr="0019420F">
        <w:rPr>
          <w:rFonts w:ascii="Book Antiqua" w:eastAsia="Book Antiqua" w:hAnsi="Book Antiqua" w:cs="Book Antiqua"/>
          <w:b/>
          <w:i/>
          <w:color w:val="000000"/>
        </w:rPr>
        <w:t>Risk</w:t>
      </w:r>
      <w:r w:rsidR="00ED642F" w:rsidRPr="0019420F">
        <w:rPr>
          <w:rFonts w:ascii="Book Antiqua" w:eastAsia="Book Antiqua" w:hAnsi="Book Antiqua" w:cs="Book Antiqua"/>
          <w:b/>
          <w:i/>
          <w:color w:val="000000"/>
        </w:rPr>
        <w:t xml:space="preserve"> factors involving the PVP procedure</w:t>
      </w:r>
    </w:p>
    <w:p w14:paraId="26C86C5C" w14:textId="211264C1" w:rsidR="00A77B3E" w:rsidRDefault="001E2C53">
      <w:pPr>
        <w:spacing w:line="360" w:lineRule="auto"/>
        <w:jc w:val="both"/>
      </w:pPr>
      <w:r>
        <w:rPr>
          <w:rFonts w:ascii="Book Antiqua" w:eastAsia="Book Antiqua" w:hAnsi="Book Antiqua" w:cs="Book Antiqua"/>
          <w:color w:val="000000"/>
        </w:rPr>
        <w:t xml:space="preserve">Four eligible factors related to the PVP procedure were selected for meta-analysis. A total of </w:t>
      </w:r>
      <w:r w:rsidR="00E120BB">
        <w:rPr>
          <w:rFonts w:ascii="Book Antiqua" w:eastAsia="Book Antiqua" w:hAnsi="Book Antiqua" w:cs="Book Antiqua"/>
          <w:color w:val="000000"/>
        </w:rPr>
        <w:t>seven</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11-14</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w:t>
      </w:r>
      <w:r>
        <w:rPr>
          <w:rFonts w:ascii="Book Antiqua" w:eastAsia="Book Antiqua" w:hAnsi="Book Antiqua" w:cs="Book Antiqua"/>
          <w:color w:val="000000"/>
        </w:rPr>
        <w:t>out of</w:t>
      </w:r>
      <w:r w:rsidR="00E120BB">
        <w:rPr>
          <w:rFonts w:ascii="Book Antiqua" w:eastAsia="Book Antiqua" w:hAnsi="Book Antiqua" w:cs="Book Antiqua"/>
          <w:color w:val="000000"/>
        </w:rPr>
        <w:t xml:space="preserve"> nine</w:t>
      </w:r>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containing 1130 patients were pooled to analyze the effect of injected cement volume. The heterogeneity among the studies was high, so a random-effect model was used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19.01;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68%). The results demonstrated that the injected cement volume was not associated with the recollapse of cemented vertebrae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0.11; 95%CI: -0.18 to 0.39; </w:t>
      </w:r>
      <w:r>
        <w:rPr>
          <w:rFonts w:ascii="Book Antiqua" w:eastAsia="Book Antiqua" w:hAnsi="Book Antiqua" w:cs="Book Antiqua"/>
          <w:i/>
          <w:iCs/>
          <w:color w:val="000000"/>
        </w:rPr>
        <w:t>P</w:t>
      </w:r>
      <w:r>
        <w:rPr>
          <w:rFonts w:ascii="Book Antiqua" w:eastAsia="Book Antiqua" w:hAnsi="Book Antiqua" w:cs="Book Antiqua"/>
          <w:color w:val="000000"/>
        </w:rPr>
        <w:t xml:space="preserve"> = 0.46) (Figure </w:t>
      </w:r>
      <w:r w:rsidR="003F09FD">
        <w:rPr>
          <w:rFonts w:ascii="Book Antiqua" w:eastAsia="Book Antiqua" w:hAnsi="Book Antiqua" w:cs="Book Antiqua"/>
          <w:color w:val="000000"/>
        </w:rPr>
        <w:t>2G</w:t>
      </w:r>
      <w:r>
        <w:rPr>
          <w:rFonts w:ascii="Book Antiqua" w:eastAsia="Book Antiqua" w:hAnsi="Book Antiqua" w:cs="Book Antiqua"/>
          <w:color w:val="000000"/>
        </w:rPr>
        <w:t xml:space="preserve">). In a total of </w:t>
      </w:r>
      <w:r w:rsidR="00E120BB">
        <w:rPr>
          <w:rFonts w:ascii="Book Antiqua" w:eastAsia="Book Antiqua" w:hAnsi="Book Antiqua" w:cs="Book Antiqua"/>
          <w:color w:val="000000"/>
        </w:rPr>
        <w:t xml:space="preserve">six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hyperlink w:anchor="_ENREF_13" w:tooltip="Lin, 2010 #13" w:history="1">
        <w:r w:rsidRPr="00A96071">
          <w:rPr>
            <w:rFonts w:ascii="Book Antiqua" w:eastAsia="Book Antiqua" w:hAnsi="Book Antiqua" w:cs="Book Antiqua"/>
            <w:color w:val="000000"/>
            <w:szCs w:val="20"/>
            <w:vertAlign w:val="superscript"/>
          </w:rPr>
          <w:t>13-17</w:t>
        </w:r>
      </w:hyperlink>
      <w:r w:rsidRPr="00A96071">
        <w:rPr>
          <w:rFonts w:ascii="Book Antiqua" w:eastAsia="Book Antiqua" w:hAnsi="Book Antiqua" w:cs="Book Antiqua"/>
          <w:color w:val="000000"/>
          <w:szCs w:val="30"/>
          <w:vertAlign w:val="superscript"/>
        </w:rPr>
        <w:t>,</w:t>
      </w:r>
      <w:hyperlink w:anchor="_ENREF_19" w:tooltip="Yu, 2019 #19" w:history="1">
        <w:r w:rsidRPr="00A96071">
          <w:rPr>
            <w:rFonts w:ascii="Book Antiqua" w:eastAsia="Book Antiqua" w:hAnsi="Book Antiqua" w:cs="Book Antiqua"/>
            <w:color w:val="000000"/>
            <w:szCs w:val="20"/>
            <w:vertAlign w:val="superscript"/>
          </w:rPr>
          <w:t>19</w:t>
        </w:r>
      </w:hyperlink>
      <w:r w:rsidRPr="00A9607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containing 2309 patients, the data of intradiscal cement leakage were evaluated.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was employed because of the low heterogeneity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3.65; </w:t>
      </w:r>
      <w:r>
        <w:rPr>
          <w:rFonts w:ascii="Book Antiqua" w:eastAsia="Book Antiqua" w:hAnsi="Book Antiqua" w:cs="Book Antiqua"/>
          <w:i/>
          <w:iCs/>
          <w:color w:val="000000"/>
        </w:rPr>
        <w:t>P</w:t>
      </w:r>
      <w:r>
        <w:rPr>
          <w:rFonts w:ascii="Book Antiqua" w:eastAsia="Book Antiqua" w:hAnsi="Book Antiqua" w:cs="Book Antiqua"/>
          <w:color w:val="000000"/>
        </w:rPr>
        <w:t xml:space="preserve"> = 0.60;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Consequently, intradiscal cement leakage was not significantly different between the two groups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1.25; 95%CI: 0.76 to 2.05; </w:t>
      </w:r>
      <w:r>
        <w:rPr>
          <w:rFonts w:ascii="Book Antiqua" w:eastAsia="Book Antiqua" w:hAnsi="Book Antiqua" w:cs="Book Antiqua"/>
          <w:i/>
          <w:iCs/>
          <w:color w:val="000000"/>
        </w:rPr>
        <w:t>P</w:t>
      </w:r>
      <w:r>
        <w:rPr>
          <w:rFonts w:ascii="Book Antiqua" w:eastAsia="Book Antiqua" w:hAnsi="Book Antiqua" w:cs="Book Antiqua"/>
          <w:color w:val="000000"/>
        </w:rPr>
        <w:t xml:space="preserve"> = 0.37) (Figure </w:t>
      </w:r>
      <w:r w:rsidR="003F09FD">
        <w:rPr>
          <w:rFonts w:ascii="Book Antiqua" w:eastAsia="Book Antiqua" w:hAnsi="Book Antiqua" w:cs="Book Antiqua"/>
          <w:color w:val="000000"/>
        </w:rPr>
        <w:t>2H</w:t>
      </w:r>
      <w:r>
        <w:rPr>
          <w:rFonts w:ascii="Book Antiqua" w:eastAsia="Book Antiqua" w:hAnsi="Book Antiqua" w:cs="Book Antiqua"/>
          <w:color w:val="000000"/>
        </w:rPr>
        <w:t xml:space="preserve">). Regarding the cement distribution pattern, the data of 2236 patients from </w:t>
      </w:r>
      <w:r w:rsidR="00E120BB">
        <w:rPr>
          <w:rFonts w:ascii="Book Antiqua" w:eastAsia="Book Antiqua" w:hAnsi="Book Antiqua" w:cs="Book Antiqua"/>
          <w:color w:val="000000"/>
        </w:rPr>
        <w:t xml:space="preserve">four </w:t>
      </w:r>
      <w:r>
        <w:rPr>
          <w:rFonts w:ascii="Book Antiqua" w:eastAsia="Book Antiqua" w:hAnsi="Book Antiqua" w:cs="Book Antiqua"/>
          <w:color w:val="000000"/>
        </w:rPr>
        <w:t>studie</w:t>
      </w:r>
      <w:r w:rsidRPr="00A96071">
        <w:rPr>
          <w:rFonts w:ascii="Book Antiqua" w:eastAsia="Book Antiqua" w:hAnsi="Book Antiqua" w:cs="Book Antiqua"/>
          <w:color w:val="000000"/>
        </w:rPr>
        <w:t>s</w:t>
      </w:r>
      <w:r w:rsidRPr="00A96071">
        <w:rPr>
          <w:rFonts w:ascii="Book Antiqua" w:eastAsia="Book Antiqua" w:hAnsi="Book Antiqua" w:cs="Book Antiqua"/>
          <w:color w:val="000000"/>
          <w:szCs w:val="30"/>
          <w:vertAlign w:val="superscript"/>
        </w:rPr>
        <w:t>[</w:t>
      </w:r>
      <w:hyperlink w:anchor="_ENREF_14" w:tooltip="Kang, 2011 #14" w:history="1">
        <w:r w:rsidRPr="00A96071">
          <w:rPr>
            <w:rFonts w:ascii="Book Antiqua" w:eastAsia="Book Antiqua" w:hAnsi="Book Antiqua" w:cs="Book Antiqua"/>
            <w:color w:val="000000"/>
            <w:szCs w:val="20"/>
            <w:vertAlign w:val="superscript"/>
          </w:rPr>
          <w:t>14</w:t>
        </w:r>
      </w:hyperlink>
      <w:r w:rsidRPr="00A96071">
        <w:rPr>
          <w:rFonts w:ascii="Book Antiqua" w:eastAsia="Book Antiqua" w:hAnsi="Book Antiqua" w:cs="Book Antiqua"/>
          <w:color w:val="000000"/>
          <w:szCs w:val="30"/>
          <w:vertAlign w:val="superscript"/>
        </w:rPr>
        <w:t>,</w:t>
      </w:r>
      <w:hyperlink w:anchor="_ENREF_15" w:tooltip="Chen, 2011 #15" w:history="1">
        <w:r w:rsidRPr="00A96071">
          <w:rPr>
            <w:rFonts w:ascii="Book Antiqua" w:eastAsia="Book Antiqua" w:hAnsi="Book Antiqua" w:cs="Book Antiqua"/>
            <w:color w:val="000000"/>
            <w:szCs w:val="20"/>
            <w:vertAlign w:val="superscript"/>
          </w:rPr>
          <w:t>15</w:t>
        </w:r>
      </w:hyperlink>
      <w:r w:rsidRPr="00A96071">
        <w:rPr>
          <w:rFonts w:ascii="Book Antiqua" w:eastAsia="Book Antiqua" w:hAnsi="Book Antiqua" w:cs="Book Antiqua"/>
          <w:color w:val="000000"/>
          <w:szCs w:val="30"/>
          <w:vertAlign w:val="superscript"/>
        </w:rPr>
        <w:t>,</w:t>
      </w:r>
      <w:hyperlink w:anchor="_ENREF_18" w:tooltip="He, 2018 #18" w:history="1">
        <w:r w:rsidRPr="00A96071">
          <w:rPr>
            <w:rFonts w:ascii="Book Antiqua" w:eastAsia="Book Antiqua" w:hAnsi="Book Antiqua" w:cs="Book Antiqua"/>
            <w:color w:val="000000"/>
            <w:szCs w:val="20"/>
            <w:vertAlign w:val="superscript"/>
          </w:rPr>
          <w:t>18</w:t>
        </w:r>
      </w:hyperlink>
      <w:r w:rsidRPr="00A96071">
        <w:rPr>
          <w:rFonts w:ascii="Book Antiqua" w:eastAsia="Book Antiqua" w:hAnsi="Book Antiqua" w:cs="Book Antiqua"/>
          <w:color w:val="000000"/>
          <w:szCs w:val="30"/>
          <w:vertAlign w:val="superscript"/>
        </w:rPr>
        <w:t>,</w:t>
      </w:r>
      <w:hyperlink w:anchor="_ENREF_19" w:tooltip="Yu, 2019 #19" w:history="1">
        <w:r w:rsidRPr="00A96071">
          <w:rPr>
            <w:rFonts w:ascii="Book Antiqua" w:eastAsia="Book Antiqua" w:hAnsi="Book Antiqua" w:cs="Book Antiqua"/>
            <w:color w:val="000000"/>
            <w:szCs w:val="20"/>
            <w:vertAlign w:val="superscript"/>
          </w:rPr>
          <w:t>19</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w:t>
      </w:r>
      <w:r>
        <w:rPr>
          <w:rFonts w:ascii="Book Antiqua" w:eastAsia="Book Antiqua" w:hAnsi="Book Antiqua" w:cs="Book Antiqua"/>
          <w:color w:val="000000"/>
        </w:rPr>
        <w:t>were pooled in the analysis. A fixed-effect model was adopted as the heterogeneity among the included studies was relatively low (</w:t>
      </w:r>
      <w:r w:rsidR="00A96071" w:rsidRPr="00D0555C">
        <w:rPr>
          <w:rFonts w:ascii="Book Antiqua" w:eastAsia="Book Antiqua" w:hAnsi="Book Antiqua" w:cs="Book Antiqua"/>
          <w:i/>
          <w:iCs/>
          <w:color w:val="000000"/>
        </w:rPr>
        <w:t>χ</w:t>
      </w:r>
      <w:r w:rsidR="00A9607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3.52; </w:t>
      </w:r>
      <w:r>
        <w:rPr>
          <w:rFonts w:ascii="Book Antiqua" w:eastAsia="Book Antiqua" w:hAnsi="Book Antiqua" w:cs="Book Antiqua"/>
          <w:i/>
          <w:iCs/>
          <w:color w:val="000000"/>
        </w:rPr>
        <w:t>P</w:t>
      </w:r>
      <w:r>
        <w:rPr>
          <w:rFonts w:ascii="Book Antiqua" w:eastAsia="Book Antiqua" w:hAnsi="Book Antiqua" w:cs="Book Antiqua"/>
          <w:color w:val="000000"/>
        </w:rPr>
        <w:t xml:space="preserve"> = 0.32;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15%). The solid lump distribution pattern of the cement was associated with an increase in the risk of recollapse of cemented vertebrae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3.11; 95%CI: 1.91 to 5.07; </w:t>
      </w:r>
      <w:r w:rsidRPr="003453AD">
        <w:rPr>
          <w:rFonts w:ascii="Book Antiqua" w:eastAsia="Book Antiqua" w:hAnsi="Book Antiqua" w:cs="Book Antiqua"/>
          <w:i/>
          <w:color w:val="000000"/>
        </w:rPr>
        <w:t>P</w:t>
      </w:r>
      <w:r>
        <w:rPr>
          <w:rFonts w:ascii="Book Antiqua" w:eastAsia="Book Antiqua" w:hAnsi="Book Antiqua" w:cs="Book Antiqua"/>
          <w:color w:val="000000"/>
        </w:rPr>
        <w:t xml:space="preserve"> &lt; 0.00001) (Figure </w:t>
      </w:r>
      <w:r w:rsidR="003F09FD">
        <w:rPr>
          <w:rFonts w:ascii="Book Antiqua" w:eastAsia="Book Antiqua" w:hAnsi="Book Antiqua" w:cs="Book Antiqua"/>
          <w:color w:val="000000"/>
        </w:rPr>
        <w:t>2I</w:t>
      </w:r>
      <w:r>
        <w:rPr>
          <w:rFonts w:ascii="Book Antiqua" w:eastAsia="Book Antiqua" w:hAnsi="Book Antiqua" w:cs="Book Antiqua"/>
          <w:color w:val="000000"/>
        </w:rPr>
        <w:t>). Four studies</w:t>
      </w:r>
      <w:r w:rsidRPr="00A96071">
        <w:rPr>
          <w:rFonts w:ascii="Book Antiqua" w:eastAsia="Book Antiqua" w:hAnsi="Book Antiqua" w:cs="Book Antiqua"/>
          <w:color w:val="000000"/>
          <w:szCs w:val="30"/>
          <w:vertAlign w:val="superscript"/>
        </w:rPr>
        <w:t>[</w:t>
      </w:r>
      <w:hyperlink w:anchor="_ENREF_11" w:tooltip="Lin, 2008 #11" w:history="1">
        <w:r w:rsidRPr="00A96071">
          <w:rPr>
            <w:rFonts w:ascii="Book Antiqua" w:eastAsia="Book Antiqua" w:hAnsi="Book Antiqua" w:cs="Book Antiqua"/>
            <w:color w:val="000000"/>
            <w:szCs w:val="20"/>
            <w:vertAlign w:val="superscript"/>
          </w:rPr>
          <w:t>11</w:t>
        </w:r>
      </w:hyperlink>
      <w:r w:rsidRPr="00A96071">
        <w:rPr>
          <w:rFonts w:ascii="Book Antiqua" w:eastAsia="Book Antiqua" w:hAnsi="Book Antiqua" w:cs="Book Antiqua"/>
          <w:color w:val="000000"/>
          <w:szCs w:val="30"/>
          <w:vertAlign w:val="superscript"/>
        </w:rPr>
        <w:t>,</w:t>
      </w:r>
      <w:hyperlink w:anchor="_ENREF_12" w:tooltip="Heo, 2009 #12" w:history="1">
        <w:r w:rsidRPr="00A96071">
          <w:rPr>
            <w:rFonts w:ascii="Book Antiqua" w:eastAsia="Book Antiqua" w:hAnsi="Book Antiqua" w:cs="Book Antiqua"/>
            <w:color w:val="000000"/>
            <w:szCs w:val="20"/>
            <w:vertAlign w:val="superscript"/>
          </w:rPr>
          <w:t>12</w:t>
        </w:r>
      </w:hyperlink>
      <w:r w:rsidRPr="00A96071">
        <w:rPr>
          <w:rFonts w:ascii="Book Antiqua" w:eastAsia="Book Antiqua" w:hAnsi="Book Antiqua" w:cs="Book Antiqua"/>
          <w:color w:val="000000"/>
          <w:szCs w:val="30"/>
          <w:vertAlign w:val="superscript"/>
        </w:rPr>
        <w:t>,</w:t>
      </w:r>
      <w:hyperlink w:anchor="_ENREF_17" w:tooltip="Zhang, 2017 #17" w:history="1">
        <w:r w:rsidRPr="00A96071">
          <w:rPr>
            <w:rFonts w:ascii="Book Antiqua" w:eastAsia="Book Antiqua" w:hAnsi="Book Antiqua" w:cs="Book Antiqua"/>
            <w:color w:val="000000"/>
            <w:szCs w:val="20"/>
            <w:vertAlign w:val="superscript"/>
          </w:rPr>
          <w:t>17</w:t>
        </w:r>
      </w:hyperlink>
      <w:r w:rsidRPr="00A96071">
        <w:rPr>
          <w:rFonts w:ascii="Book Antiqua" w:eastAsia="Book Antiqua" w:hAnsi="Book Antiqua" w:cs="Book Antiqua"/>
          <w:color w:val="000000"/>
          <w:szCs w:val="30"/>
          <w:vertAlign w:val="superscript"/>
        </w:rPr>
        <w:t>,</w:t>
      </w:r>
      <w:hyperlink w:anchor="_ENREF_19" w:tooltip="Yu, 2019 #19" w:history="1">
        <w:r w:rsidRPr="00A96071">
          <w:rPr>
            <w:rFonts w:ascii="Book Antiqua" w:eastAsia="Book Antiqua" w:hAnsi="Book Antiqua" w:cs="Book Antiqua"/>
            <w:color w:val="000000"/>
            <w:szCs w:val="20"/>
            <w:vertAlign w:val="superscript"/>
          </w:rPr>
          <w:t>19</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c</w:t>
      </w:r>
      <w:r>
        <w:rPr>
          <w:rFonts w:ascii="Book Antiqua" w:eastAsia="Book Antiqua" w:hAnsi="Book Antiqua" w:cs="Book Antiqua"/>
          <w:color w:val="000000"/>
        </w:rPr>
        <w:t>onsisting of 765 patients estimated the risk factor of VHR. Pooling these studies using a random-effect model showed that no significant differences were found between the two groups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0.58; 95%CI: -0.21 to 1.37; </w:t>
      </w:r>
      <w:r>
        <w:rPr>
          <w:rFonts w:ascii="Book Antiqua" w:eastAsia="Book Antiqua" w:hAnsi="Book Antiqua" w:cs="Book Antiqua"/>
          <w:i/>
          <w:iCs/>
          <w:color w:val="000000"/>
        </w:rPr>
        <w:t>P</w:t>
      </w:r>
      <w:r>
        <w:rPr>
          <w:rFonts w:ascii="Book Antiqua" w:eastAsia="Book Antiqua" w:hAnsi="Book Antiqua" w:cs="Book Antiqua"/>
          <w:color w:val="000000"/>
        </w:rPr>
        <w:t xml:space="preserve"> = 0.15), with high heterogeneity (</w:t>
      </w:r>
      <w:r w:rsidR="00A96071" w:rsidRPr="00D0555C">
        <w:rPr>
          <w:rFonts w:ascii="Book Antiqua" w:eastAsia="Book Antiqua" w:hAnsi="Book Antiqua" w:cs="Book Antiqua"/>
          <w:i/>
          <w:iCs/>
          <w:color w:val="000000"/>
        </w:rPr>
        <w:t>χ</w:t>
      </w:r>
      <w:r w:rsidR="00A9607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44.53; </w:t>
      </w:r>
      <w:r w:rsidRPr="00AC5473">
        <w:rPr>
          <w:rFonts w:ascii="Book Antiqua" w:eastAsia="Book Antiqua" w:hAnsi="Book Antiqua" w:cs="Book Antiqua"/>
          <w:i/>
          <w:color w:val="000000"/>
        </w:rPr>
        <w:t>P</w:t>
      </w:r>
      <w:r>
        <w:rPr>
          <w:rFonts w:ascii="Book Antiqua" w:eastAsia="Book Antiqua" w:hAnsi="Book Antiqua" w:cs="Book Antiqua"/>
          <w:color w:val="000000"/>
        </w:rPr>
        <w:t xml:space="preserve"> &lt; 0.00001;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sidR="00AC5473">
        <w:rPr>
          <w:rFonts w:ascii="Book Antiqua" w:eastAsia="Book Antiqua" w:hAnsi="Book Antiqua" w:cs="Book Antiqua"/>
          <w:color w:val="000000"/>
        </w:rPr>
        <w:t xml:space="preserve"> = 93%)</w:t>
      </w:r>
      <w:r w:rsidR="00AC547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w:t>
      </w:r>
      <w:r w:rsidR="003F09FD">
        <w:rPr>
          <w:rFonts w:ascii="Book Antiqua" w:eastAsia="Book Antiqua" w:hAnsi="Book Antiqua" w:cs="Book Antiqua"/>
          <w:color w:val="000000"/>
        </w:rPr>
        <w:t>2J</w:t>
      </w:r>
      <w:r>
        <w:rPr>
          <w:rFonts w:ascii="Book Antiqua" w:eastAsia="Book Antiqua" w:hAnsi="Book Antiqua" w:cs="Book Antiqua"/>
          <w:color w:val="000000"/>
        </w:rPr>
        <w:t>).</w:t>
      </w:r>
    </w:p>
    <w:bookmarkEnd w:id="63"/>
    <w:bookmarkEnd w:id="64"/>
    <w:bookmarkEnd w:id="65"/>
    <w:p w14:paraId="71F1D345" w14:textId="77777777" w:rsidR="00A77B3E" w:rsidRDefault="00A77B3E">
      <w:pPr>
        <w:spacing w:line="360" w:lineRule="auto"/>
        <w:jc w:val="both"/>
      </w:pPr>
    </w:p>
    <w:p w14:paraId="6542F3B4" w14:textId="77777777" w:rsidR="00A77B3E" w:rsidRDefault="001E2C53">
      <w:pPr>
        <w:spacing w:line="360" w:lineRule="auto"/>
        <w:jc w:val="both"/>
      </w:pPr>
      <w:r>
        <w:rPr>
          <w:rFonts w:ascii="Book Antiqua" w:eastAsia="Book Antiqua" w:hAnsi="Book Antiqua" w:cs="Book Antiqua"/>
          <w:b/>
          <w:caps/>
          <w:color w:val="000000"/>
          <w:u w:val="single"/>
        </w:rPr>
        <w:t>DISCUSSION</w:t>
      </w:r>
    </w:p>
    <w:p w14:paraId="548C211F" w14:textId="3496764D" w:rsidR="00A77B3E" w:rsidRPr="00A96071" w:rsidRDefault="001E2C53">
      <w:pPr>
        <w:spacing w:line="360" w:lineRule="auto"/>
        <w:jc w:val="both"/>
      </w:pPr>
      <w:bookmarkStart w:id="68" w:name="OLE_LINK50"/>
      <w:bookmarkStart w:id="69" w:name="OLE_LINK51"/>
      <w:bookmarkStart w:id="70" w:name="OLE_LINK52"/>
      <w:r w:rsidRPr="00A96071">
        <w:rPr>
          <w:rFonts w:ascii="Book Antiqua" w:eastAsia="Book Antiqua" w:hAnsi="Book Antiqua" w:cs="Book Antiqua"/>
          <w:color w:val="000000"/>
        </w:rPr>
        <w:t xml:space="preserve">In 1997, Jensen </w:t>
      </w:r>
      <w:r w:rsidRPr="00A96071">
        <w:rPr>
          <w:rFonts w:ascii="Book Antiqua" w:eastAsia="Book Antiqua" w:hAnsi="Book Antiqua" w:cs="Book Antiqua"/>
          <w:i/>
          <w:iCs/>
          <w:color w:val="000000"/>
        </w:rPr>
        <w:t>et al</w:t>
      </w:r>
      <w:r w:rsidRPr="00A96071">
        <w:rPr>
          <w:rFonts w:ascii="Book Antiqua" w:eastAsia="Book Antiqua" w:hAnsi="Book Antiqua" w:cs="Book Antiqua"/>
          <w:color w:val="000000"/>
          <w:szCs w:val="30"/>
          <w:vertAlign w:val="superscript"/>
        </w:rPr>
        <w:t>[</w:t>
      </w:r>
      <w:hyperlink w:anchor="_ENREF_20" w:tooltip="Jensen, 1997 #20" w:history="1">
        <w:r w:rsidRPr="00A96071">
          <w:rPr>
            <w:rFonts w:ascii="Book Antiqua" w:eastAsia="Book Antiqua" w:hAnsi="Book Antiqua" w:cs="Book Antiqua"/>
            <w:color w:val="000000"/>
            <w:szCs w:val="20"/>
            <w:vertAlign w:val="superscript"/>
          </w:rPr>
          <w:t>20</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first proposed that PVP was a valuable tool in the treatment of painful OVCFs, as it provided acute pain relief and early mobilization. As the safety and efficacy of PVP were gradually recognized by spine surgeons, this treatment was widely used in clinical practice. Recently, an increasing number of cases with the recollapse of cemented vertebrae after PVP without additional trauma have been reported</w:t>
      </w:r>
      <w:r w:rsidRPr="00A96071">
        <w:rPr>
          <w:rFonts w:ascii="Book Antiqua" w:eastAsia="Book Antiqua" w:hAnsi="Book Antiqua" w:cs="Book Antiqua"/>
          <w:color w:val="000000"/>
          <w:szCs w:val="30"/>
          <w:vertAlign w:val="superscript"/>
        </w:rPr>
        <w:t>[</w:t>
      </w:r>
      <w:hyperlink w:anchor="_ENREF_21" w:tooltip="Nagoshi, 2016 #21" w:history="1">
        <w:r w:rsidRPr="00A96071">
          <w:rPr>
            <w:rFonts w:ascii="Book Antiqua" w:eastAsia="Book Antiqua" w:hAnsi="Book Antiqua" w:cs="Book Antiqua"/>
            <w:color w:val="000000"/>
            <w:szCs w:val="20"/>
            <w:vertAlign w:val="superscript"/>
          </w:rPr>
          <w:t>21</w:t>
        </w:r>
      </w:hyperlink>
      <w:r w:rsidRPr="00A96071">
        <w:rPr>
          <w:rFonts w:ascii="Book Antiqua" w:eastAsia="Book Antiqua" w:hAnsi="Book Antiqua" w:cs="Book Antiqua"/>
          <w:color w:val="000000"/>
          <w:szCs w:val="30"/>
          <w:vertAlign w:val="superscript"/>
        </w:rPr>
        <w:t>,</w:t>
      </w:r>
      <w:hyperlink w:anchor="_ENREF_22" w:tooltip="Choi, 2013 #22" w:history="1">
        <w:r w:rsidRPr="00A96071">
          <w:rPr>
            <w:rFonts w:ascii="Book Antiqua" w:eastAsia="Book Antiqua" w:hAnsi="Book Antiqua" w:cs="Book Antiqua"/>
            <w:color w:val="000000"/>
            <w:szCs w:val="20"/>
            <w:vertAlign w:val="superscript"/>
          </w:rPr>
          <w:t>22</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This recollapse is considered a further insufficiency fracture that results in more severe symptoms, deserving our attention. According to our literature review, this is the first meta-analysis covering all relevant studies in a search of the risk factors for the recollapse of cemented vertebrae after PVP in the treatment of OVCFs. A previous meta-analysis</w:t>
      </w:r>
      <w:r w:rsidRPr="00A96071">
        <w:rPr>
          <w:rFonts w:ascii="Book Antiqua" w:eastAsia="Book Antiqua" w:hAnsi="Book Antiqua" w:cs="Book Antiqua"/>
          <w:color w:val="000000"/>
          <w:szCs w:val="30"/>
          <w:vertAlign w:val="superscript"/>
        </w:rPr>
        <w:t>[</w:t>
      </w:r>
      <w:hyperlink w:anchor="_ENREF_6" w:tooltip="Yu, 2018 #6" w:history="1">
        <w:r w:rsidRPr="00A96071">
          <w:rPr>
            <w:rFonts w:ascii="Book Antiqua" w:eastAsia="Book Antiqua" w:hAnsi="Book Antiqua" w:cs="Book Antiqua"/>
            <w:color w:val="000000"/>
            <w:szCs w:val="20"/>
            <w:vertAlign w:val="superscript"/>
          </w:rPr>
          <w:t>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evaluated risk factors for the recollapse of augmented vertebrae after percutaneous vertebral augmentation including PVP and PKP. Besides the three risk factors identified through our analysis including fractures located at the thoracolumbar junction (T10-L2), preoperative IVC, and solid lump distribution pattern of the cement, higher VHR and preoperative severe kyphosis were also considered to associate with the cemented </w:t>
      </w:r>
      <w:r w:rsidR="000F29F8" w:rsidRPr="00A96071">
        <w:rPr>
          <w:rFonts w:ascii="Book Antiqua" w:eastAsia="Book Antiqua" w:hAnsi="Book Antiqua" w:cs="Book Antiqua"/>
          <w:color w:val="000000"/>
        </w:rPr>
        <w:t>vertebra</w:t>
      </w:r>
      <w:r w:rsidRPr="00A96071">
        <w:rPr>
          <w:rFonts w:ascii="Book Antiqua" w:eastAsia="Book Antiqua" w:hAnsi="Book Antiqua" w:cs="Book Antiqua"/>
          <w:color w:val="000000"/>
        </w:rPr>
        <w:t xml:space="preserve"> recollapse in the previous work. Reasons for the differences were due to the details of the two techniques. PKP with balloon may better restore the height of fractured vertebrae but at the cost of partially destroying cancellous bones. In PVP, the bone cement penetrates evenly throughout the remaining trabeculae, which makes the stress distribution of the cemented vertebrae more balanced. This interlocking between trabeculae and cement is effective in restoring vertebral stability, but not as significant for vertebral height as PKP. On the other hand, preoperative severe kyphosis is usually accompanied by significant height loss of vertebral body, however, this condition may not be a standard indication for PVP</w:t>
      </w:r>
      <w:r w:rsidRPr="00A96071">
        <w:rPr>
          <w:rFonts w:ascii="Book Antiqua" w:eastAsia="Book Antiqua" w:hAnsi="Book Antiqua" w:cs="Book Antiqua"/>
          <w:color w:val="000000"/>
          <w:szCs w:val="30"/>
          <w:vertAlign w:val="superscript"/>
        </w:rPr>
        <w:t>[</w:t>
      </w:r>
      <w:hyperlink w:anchor="_ENREF_23" w:tooltip="Navarro-Navarro, 2020 #23" w:history="1">
        <w:r w:rsidRPr="00A96071">
          <w:rPr>
            <w:rFonts w:ascii="Book Antiqua" w:eastAsia="Book Antiqua" w:hAnsi="Book Antiqua" w:cs="Book Antiqua"/>
            <w:color w:val="000000"/>
            <w:szCs w:val="20"/>
            <w:vertAlign w:val="superscript"/>
          </w:rPr>
          <w:t>23</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Therefore, it is more appropriate to explore the risk factors associated with PVP separately.</w:t>
      </w:r>
    </w:p>
    <w:p w14:paraId="1EDF8F36" w14:textId="77777777" w:rsidR="00A77B3E" w:rsidRPr="00A96071" w:rsidRDefault="001E2C53" w:rsidP="006A1B35">
      <w:pPr>
        <w:spacing w:line="360" w:lineRule="auto"/>
        <w:ind w:firstLineChars="100" w:firstLine="240"/>
        <w:jc w:val="both"/>
      </w:pPr>
      <w:r w:rsidRPr="00A96071">
        <w:rPr>
          <w:rFonts w:ascii="Book Antiqua" w:eastAsia="Book Antiqua" w:hAnsi="Book Antiqua" w:cs="Book Antiqua"/>
          <w:color w:val="000000"/>
        </w:rPr>
        <w:t>It is well known that flexion and extension of the spine are greatest at the thoracolumbar junction</w:t>
      </w:r>
      <w:r w:rsidRPr="00A96071">
        <w:rPr>
          <w:rFonts w:ascii="Book Antiqua" w:eastAsia="Book Antiqua" w:hAnsi="Book Antiqua" w:cs="Book Antiqua"/>
          <w:color w:val="000000"/>
          <w:szCs w:val="30"/>
          <w:vertAlign w:val="superscript"/>
        </w:rPr>
        <w:t>[</w:t>
      </w:r>
      <w:hyperlink w:anchor="_ENREF_24" w:tooltip="Izzo, 2013 #24" w:history="1">
        <w:r w:rsidRPr="00A96071">
          <w:rPr>
            <w:rFonts w:ascii="Book Antiqua" w:eastAsia="Book Antiqua" w:hAnsi="Book Antiqua" w:cs="Book Antiqua"/>
            <w:color w:val="000000"/>
            <w:szCs w:val="20"/>
            <w:vertAlign w:val="superscript"/>
          </w:rPr>
          <w:t>24</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Relatively high mobility means a greater chance of injury. Moreover, early after PVP, higher mobility may lead to poor vertebral healing. An unhealed fracture appearing as an intravertebral cleft has been reported to occur frequently in thoracolumbar fractures</w:t>
      </w:r>
      <w:r w:rsidRPr="00A96071">
        <w:rPr>
          <w:rFonts w:ascii="Book Antiqua" w:eastAsia="Book Antiqua" w:hAnsi="Book Antiqua" w:cs="Book Antiqua"/>
          <w:color w:val="000000"/>
          <w:szCs w:val="30"/>
          <w:vertAlign w:val="superscript"/>
        </w:rPr>
        <w:t>[</w:t>
      </w:r>
      <w:hyperlink w:anchor="_ENREF_25" w:tooltip="Kim, 2004 #25" w:history="1">
        <w:r w:rsidRPr="00A96071">
          <w:rPr>
            <w:rFonts w:ascii="Book Antiqua" w:eastAsia="Book Antiqua" w:hAnsi="Book Antiqua" w:cs="Book Antiqua"/>
            <w:color w:val="000000"/>
            <w:szCs w:val="20"/>
            <w:vertAlign w:val="superscript"/>
          </w:rPr>
          <w:t>25</w:t>
        </w:r>
      </w:hyperlink>
      <w:r w:rsidRPr="00A96071">
        <w:rPr>
          <w:rFonts w:ascii="Book Antiqua" w:eastAsia="Book Antiqua" w:hAnsi="Book Antiqua" w:cs="Book Antiqua"/>
          <w:color w:val="000000"/>
          <w:szCs w:val="30"/>
          <w:vertAlign w:val="superscript"/>
        </w:rPr>
        <w:t>,</w:t>
      </w:r>
      <w:hyperlink w:anchor="_ENREF_26" w:tooltip="Mirovsky, 2005 #26" w:history="1">
        <w:r w:rsidRPr="00A96071">
          <w:rPr>
            <w:rFonts w:ascii="Book Antiqua" w:eastAsia="Book Antiqua" w:hAnsi="Book Antiqua" w:cs="Book Antiqua"/>
            <w:color w:val="000000"/>
            <w:szCs w:val="20"/>
            <w:vertAlign w:val="superscript"/>
          </w:rPr>
          <w:t>26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Additionally, the thoracolumbar junction is a transition area where the spine changes from thoracic kyphotic curve to lumbar lordotic curve</w:t>
      </w:r>
      <w:r w:rsidRPr="00A96071">
        <w:rPr>
          <w:rFonts w:ascii="Book Antiqua" w:eastAsia="Book Antiqua" w:hAnsi="Book Antiqua" w:cs="Book Antiqua"/>
          <w:color w:val="000000"/>
          <w:szCs w:val="30"/>
          <w:vertAlign w:val="superscript"/>
        </w:rPr>
        <w:t>[</w:t>
      </w:r>
      <w:hyperlink w:anchor="_ENREF_27" w:tooltip="Katsuura, 2016 #27" w:history="1">
        <w:r w:rsidRPr="00A96071">
          <w:rPr>
            <w:rFonts w:ascii="Book Antiqua" w:eastAsia="Book Antiqua" w:hAnsi="Book Antiqua" w:cs="Book Antiqua"/>
            <w:color w:val="000000"/>
            <w:szCs w:val="20"/>
            <w:vertAlign w:val="superscript"/>
          </w:rPr>
          <w:t>27</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This region bears great load when it is subjected to external force from different directions. In addition, PVP can only fill the fractured vertebra with bone cement but has little expansion effect on the compressed vertebral body. This treatment is thought to preserve local deformity to some extent. Due to the special morphology of the thoracolumbar junction, the center of gravity passes only in front of the anterior half of the vertebral body. Thus, persistent uncompensated sagittal imbalance is deemed a true risk factor for progressive collapse after PVP</w:t>
      </w:r>
      <w:r w:rsidRPr="00A96071">
        <w:rPr>
          <w:rFonts w:ascii="Book Antiqua" w:eastAsia="Book Antiqua" w:hAnsi="Book Antiqua" w:cs="Book Antiqua"/>
          <w:color w:val="000000"/>
          <w:szCs w:val="30"/>
          <w:vertAlign w:val="superscript"/>
        </w:rPr>
        <w:t>[</w:t>
      </w:r>
      <w:hyperlink w:anchor="_ENREF_28" w:tooltip="Mazel, 2018 #28" w:history="1">
        <w:r w:rsidRPr="00A96071">
          <w:rPr>
            <w:rFonts w:ascii="Book Antiqua" w:eastAsia="Book Antiqua" w:hAnsi="Book Antiqua" w:cs="Book Antiqua"/>
            <w:color w:val="000000"/>
            <w:szCs w:val="20"/>
            <w:vertAlign w:val="superscript"/>
          </w:rPr>
          <w:t>28</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A retrospective study</w:t>
      </w:r>
      <w:r w:rsidRPr="00A96071">
        <w:rPr>
          <w:rFonts w:ascii="Book Antiqua" w:eastAsia="Book Antiqua" w:hAnsi="Book Antiqua" w:cs="Book Antiqua"/>
          <w:color w:val="000000"/>
          <w:szCs w:val="30"/>
          <w:vertAlign w:val="superscript"/>
        </w:rPr>
        <w:t>[</w:t>
      </w:r>
      <w:hyperlink w:anchor="_ENREF_29" w:tooltip="Chou, 2014 #29" w:history="1">
        <w:r w:rsidRPr="00A96071">
          <w:rPr>
            <w:rFonts w:ascii="Book Antiqua" w:eastAsia="Book Antiqua" w:hAnsi="Book Antiqua" w:cs="Book Antiqua"/>
            <w:color w:val="000000"/>
            <w:szCs w:val="20"/>
            <w:vertAlign w:val="superscript"/>
          </w:rPr>
          <w:t>29</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in 2014 demonstrated that the thoracolumbar junction was the most frequent region undergoing delayed vertebral collapse after PVP. All of these findings may explain the high incidence of recollapse at the thoracolumbar junction.</w:t>
      </w:r>
    </w:p>
    <w:p w14:paraId="0185C225" w14:textId="015E3C3D" w:rsidR="00A77B3E" w:rsidRPr="00A96071" w:rsidRDefault="001E2C53" w:rsidP="005E070B">
      <w:pPr>
        <w:spacing w:line="360" w:lineRule="auto"/>
        <w:ind w:firstLineChars="100" w:firstLine="240"/>
        <w:jc w:val="both"/>
      </w:pPr>
      <w:r w:rsidRPr="00A96071">
        <w:rPr>
          <w:rFonts w:ascii="Book Antiqua" w:eastAsia="Book Antiqua" w:hAnsi="Book Antiqua" w:cs="Book Antiqua"/>
          <w:color w:val="000000"/>
        </w:rPr>
        <w:t>We also found that the recollapse of cemented vertebrae could be attributed to the presence of preoperative IVC, which was considered</w:t>
      </w:r>
      <w:r w:rsidR="00E51833">
        <w:rPr>
          <w:rFonts w:ascii="Book Antiqua" w:eastAsia="Book Antiqua" w:hAnsi="Book Antiqua" w:cs="Book Antiqua"/>
          <w:color w:val="000000"/>
        </w:rPr>
        <w:t xml:space="preserve"> </w:t>
      </w:r>
      <w:r w:rsidRPr="00A96071">
        <w:rPr>
          <w:rFonts w:ascii="Book Antiqua" w:eastAsia="Book Antiqua" w:hAnsi="Book Antiqua" w:cs="Book Antiqua"/>
          <w:color w:val="000000"/>
          <w:shd w:val="clear" w:color="auto" w:fill="FFFFFF"/>
        </w:rPr>
        <w:t>a sign of intravertebral instability</w:t>
      </w:r>
      <w:r w:rsidRPr="00A96071">
        <w:rPr>
          <w:rFonts w:ascii="Book Antiqua" w:eastAsia="Book Antiqua" w:hAnsi="Book Antiqua" w:cs="Book Antiqua"/>
          <w:color w:val="000000"/>
          <w:szCs w:val="30"/>
          <w:shd w:val="clear" w:color="auto" w:fill="FFFFFF"/>
          <w:vertAlign w:val="superscript"/>
        </w:rPr>
        <w:t>[</w:t>
      </w:r>
      <w:hyperlink w:anchor="_ENREF_30" w:tooltip="Yu, 2017 #30" w:history="1">
        <w:r w:rsidRPr="00A96071">
          <w:rPr>
            <w:rFonts w:ascii="Book Antiqua" w:eastAsia="Book Antiqua" w:hAnsi="Book Antiqua" w:cs="Book Antiqua"/>
            <w:color w:val="000000"/>
            <w:szCs w:val="20"/>
            <w:shd w:val="clear" w:color="auto" w:fill="FFFFFF"/>
            <w:vertAlign w:val="superscript"/>
          </w:rPr>
          <w:t>30</w:t>
        </w:r>
      </w:hyperlink>
      <w:r w:rsidRPr="00A96071">
        <w:rPr>
          <w:rFonts w:ascii="Book Antiqua" w:eastAsia="Book Antiqua" w:hAnsi="Book Antiqua" w:cs="Book Antiqua"/>
          <w:color w:val="000000"/>
          <w:szCs w:val="30"/>
          <w:shd w:val="clear" w:color="auto" w:fill="FFFFFF"/>
          <w:vertAlign w:val="superscript"/>
        </w:rPr>
        <w:t>]</w:t>
      </w:r>
      <w:r w:rsidRPr="00A96071">
        <w:rPr>
          <w:rFonts w:ascii="Book Antiqua" w:eastAsia="Book Antiqua" w:hAnsi="Book Antiqua" w:cs="Book Antiqua"/>
          <w:color w:val="000000"/>
        </w:rPr>
        <w:t>. The formation of IVC may be related to partial avascular necrosis in the vertebral body and is significantly associated with the anatomical characteristics of blood supply. In addition to the paired segmental arteries that correspond to a vertebra, the dorsum of the vertebral body can be supplied by collateral blood flow, while the ventral part could not</w:t>
      </w:r>
      <w:r w:rsidRPr="00A96071">
        <w:rPr>
          <w:rFonts w:ascii="Book Antiqua" w:eastAsia="Book Antiqua" w:hAnsi="Book Antiqua" w:cs="Book Antiqua"/>
          <w:color w:val="000000"/>
          <w:szCs w:val="30"/>
          <w:vertAlign w:val="superscript"/>
        </w:rPr>
        <w:t>[</w:t>
      </w:r>
      <w:hyperlink w:anchor="_ENREF_31" w:tooltip="Kim, 2014 #31" w:history="1">
        <w:r w:rsidRPr="00A96071">
          <w:rPr>
            <w:rFonts w:ascii="Book Antiqua" w:eastAsia="Book Antiqua" w:hAnsi="Book Antiqua" w:cs="Book Antiqua"/>
            <w:color w:val="000000"/>
            <w:vertAlign w:val="superscript"/>
          </w:rPr>
          <w:t>31</w:t>
        </w:r>
      </w:hyperlink>
      <w:r w:rsidRPr="00A96071">
        <w:rPr>
          <w:rFonts w:ascii="Book Antiqua" w:eastAsia="Book Antiqua" w:hAnsi="Book Antiqua" w:cs="Book Antiqua"/>
          <w:color w:val="000000"/>
          <w:vertAlign w:val="superscript"/>
        </w:rPr>
        <w:t>]</w:t>
      </w:r>
      <w:r w:rsidRPr="00A96071">
        <w:rPr>
          <w:rFonts w:ascii="Book Antiqua" w:eastAsia="Book Antiqua" w:hAnsi="Book Antiqua" w:cs="Book Antiqua"/>
          <w:color w:val="000000"/>
        </w:rPr>
        <w:t>. However, the most frequently damaged portion in OVCFs is the ventral part of the vertebral body. When segmental arteries are impaired, a cleft presenting with a “vacuum” sign on plain radiography develops in the vertebral body due to ischemia. In particular, osteoporotic vertebrae accompanied by severe demineralization may be more susceptible to developing posttraumatic IVCs due to poor blood supply and pre-existing microfractures. These clefts are similar to pseudarthrosis and are connected by fibrocartilaginous tissue with significant motion</w:t>
      </w:r>
      <w:r w:rsidRPr="00A96071">
        <w:rPr>
          <w:rFonts w:ascii="Book Antiqua" w:eastAsia="Book Antiqua" w:hAnsi="Book Antiqua" w:cs="Book Antiqua"/>
          <w:color w:val="000000"/>
          <w:szCs w:val="30"/>
          <w:vertAlign w:val="superscript"/>
        </w:rPr>
        <w:t>[</w:t>
      </w:r>
      <w:hyperlink w:anchor="_ENREF_32" w:tooltip="Hasegawa, 1993 #32" w:history="1">
        <w:r w:rsidRPr="00A96071">
          <w:rPr>
            <w:rFonts w:ascii="Book Antiqua" w:eastAsia="Book Antiqua" w:hAnsi="Book Antiqua" w:cs="Book Antiqua"/>
            <w:color w:val="000000"/>
            <w:szCs w:val="20"/>
            <w:vertAlign w:val="superscript"/>
          </w:rPr>
          <w:t>32</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which indicates instability within the fracture. The dynamic mobility of vertebrae with IVC can be evaluated by flexion and extension radiographs or supine cross-lateral radiographs</w:t>
      </w:r>
      <w:r w:rsidRPr="00A96071">
        <w:rPr>
          <w:rFonts w:ascii="Book Antiqua" w:eastAsia="Book Antiqua" w:hAnsi="Book Antiqua" w:cs="Book Antiqua"/>
          <w:color w:val="000000"/>
          <w:szCs w:val="30"/>
          <w:vertAlign w:val="superscript"/>
        </w:rPr>
        <w:t>[</w:t>
      </w:r>
      <w:hyperlink w:anchor="_ENREF_33" w:tooltip="Cho, 2013 #33" w:history="1">
        <w:r w:rsidRPr="00A96071">
          <w:rPr>
            <w:rFonts w:ascii="Book Antiqua" w:eastAsia="Book Antiqua" w:hAnsi="Book Antiqua" w:cs="Book Antiqua"/>
            <w:color w:val="000000"/>
            <w:vertAlign w:val="superscript"/>
          </w:rPr>
          <w:t>33</w:t>
        </w:r>
      </w:hyperlink>
      <w:r w:rsidRPr="00A96071">
        <w:rPr>
          <w:rFonts w:ascii="Book Antiqua" w:eastAsia="Book Antiqua" w:hAnsi="Book Antiqua" w:cs="Book Antiqua"/>
          <w:color w:val="000000"/>
          <w:vertAlign w:val="superscript"/>
        </w:rPr>
        <w:t>]</w:t>
      </w:r>
      <w:r w:rsidRPr="00A96071">
        <w:rPr>
          <w:rFonts w:ascii="Book Antiqua" w:eastAsia="Book Antiqua" w:hAnsi="Book Antiqua" w:cs="Book Antiqua"/>
          <w:color w:val="000000"/>
        </w:rPr>
        <w:t xml:space="preserve">. Even after PVP, persistent IVCs as weak regions of the vertebral body might further lead to the progressive collapse of cemented vertebrae. One study by Fang </w:t>
      </w:r>
      <w:r w:rsidRPr="00A96071">
        <w:rPr>
          <w:rFonts w:ascii="Book Antiqua" w:eastAsia="Book Antiqua" w:hAnsi="Book Antiqua" w:cs="Book Antiqua"/>
          <w:i/>
          <w:iCs/>
          <w:color w:val="000000"/>
        </w:rPr>
        <w:t>et al</w:t>
      </w:r>
      <w:r w:rsidRPr="00A96071">
        <w:rPr>
          <w:rFonts w:ascii="Book Antiqua" w:eastAsia="Book Antiqua" w:hAnsi="Book Antiqua" w:cs="Book Antiqua"/>
          <w:color w:val="000000"/>
          <w:szCs w:val="30"/>
          <w:vertAlign w:val="superscript"/>
        </w:rPr>
        <w:t>[</w:t>
      </w:r>
      <w:hyperlink w:anchor="_ENREF_34" w:tooltip="Fang, 2015 #34" w:history="1">
        <w:r w:rsidRPr="00A96071">
          <w:rPr>
            <w:rFonts w:ascii="Book Antiqua" w:eastAsia="Book Antiqua" w:hAnsi="Book Antiqua" w:cs="Book Antiqua"/>
            <w:color w:val="000000"/>
            <w:szCs w:val="20"/>
            <w:vertAlign w:val="superscript"/>
          </w:rPr>
          <w:t>34</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reported that a high incidence of recollapse could be observed in treated vertebrae with IVC through at least 2 years of follow-up. Similarly, it was suggested that the presence of preoperative IVC, whether with PVP or PKP, was considered high risk for the recollapse of cemented vertebrae</w:t>
      </w:r>
      <w:r w:rsidRPr="00A96071">
        <w:rPr>
          <w:rFonts w:ascii="Book Antiqua" w:eastAsia="Book Antiqua" w:hAnsi="Book Antiqua" w:cs="Book Antiqua"/>
          <w:color w:val="000000"/>
          <w:szCs w:val="30"/>
          <w:vertAlign w:val="superscript"/>
        </w:rPr>
        <w:t>[</w:t>
      </w:r>
      <w:hyperlink w:anchor="_ENREF_6" w:tooltip="Yu, 2018 #6" w:history="1">
        <w:r w:rsidRPr="00A96071">
          <w:rPr>
            <w:rFonts w:ascii="Book Antiqua" w:eastAsia="Book Antiqua" w:hAnsi="Book Antiqua" w:cs="Book Antiqua"/>
            <w:color w:val="000000"/>
            <w:szCs w:val="20"/>
            <w:vertAlign w:val="superscript"/>
          </w:rPr>
          <w:t>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w:t>
      </w:r>
    </w:p>
    <w:p w14:paraId="0375A969" w14:textId="1739A9A2" w:rsidR="00A77B3E" w:rsidRPr="00A96071" w:rsidRDefault="001E2C53" w:rsidP="003431A2">
      <w:pPr>
        <w:spacing w:line="360" w:lineRule="auto"/>
        <w:ind w:firstLineChars="100" w:firstLine="240"/>
        <w:jc w:val="both"/>
      </w:pPr>
      <w:r w:rsidRPr="00A96071">
        <w:rPr>
          <w:rFonts w:ascii="Book Antiqua" w:eastAsia="Book Antiqua" w:hAnsi="Book Antiqua" w:cs="Book Antiqua"/>
          <w:color w:val="000000"/>
        </w:rPr>
        <w:t>In addition, a solid lump distribution pattern of the cement was also shown to be a predictive risk factor for the recollapse of cemented vertebrae after PVP. It has been reported</w:t>
      </w:r>
      <w:r w:rsidRPr="00A96071">
        <w:rPr>
          <w:rFonts w:ascii="Book Antiqua" w:eastAsia="Book Antiqua" w:hAnsi="Book Antiqua" w:cs="Book Antiqua"/>
          <w:color w:val="000000"/>
          <w:szCs w:val="30"/>
          <w:vertAlign w:val="superscript"/>
        </w:rPr>
        <w:t>[</w:t>
      </w:r>
      <w:hyperlink w:anchor="_ENREF_18" w:tooltip="He, 2018 #18" w:history="1">
        <w:r w:rsidRPr="00A96071">
          <w:rPr>
            <w:rFonts w:ascii="Book Antiqua" w:eastAsia="Book Antiqua" w:hAnsi="Book Antiqua" w:cs="Book Antiqua"/>
            <w:color w:val="000000"/>
            <w:szCs w:val="20"/>
            <w:vertAlign w:val="superscript"/>
          </w:rPr>
          <w:t>18</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that the distribution patterns of cement injected into fractured vertebrae are mainly divided into two types: </w:t>
      </w:r>
      <w:r w:rsidR="001F7226">
        <w:rPr>
          <w:rFonts w:ascii="Book Antiqua" w:eastAsia="Book Antiqua" w:hAnsi="Book Antiqua" w:cs="Book Antiqua"/>
          <w:color w:val="000000"/>
        </w:rPr>
        <w:t>S</w:t>
      </w:r>
      <w:r w:rsidR="001F7226" w:rsidRPr="00A96071">
        <w:rPr>
          <w:rFonts w:ascii="Book Antiqua" w:eastAsia="Book Antiqua" w:hAnsi="Book Antiqua" w:cs="Book Antiqua"/>
          <w:color w:val="000000"/>
        </w:rPr>
        <w:t xml:space="preserve">olid </w:t>
      </w:r>
      <w:r w:rsidRPr="00A96071">
        <w:rPr>
          <w:rFonts w:ascii="Book Antiqua" w:eastAsia="Book Antiqua" w:hAnsi="Book Antiqua" w:cs="Book Antiqua"/>
          <w:color w:val="000000"/>
        </w:rPr>
        <w:t>lump and trabecular. As bone cement is directly injected into the vertebral body, the optimum status is that cement interdigitates throughout the fractured vertebrae so that the loads are transferred through the cement column exactly between the vertebral endplates</w:t>
      </w:r>
      <w:r w:rsidRPr="00A96071">
        <w:rPr>
          <w:rFonts w:ascii="Book Antiqua" w:eastAsia="Book Antiqua" w:hAnsi="Book Antiqua" w:cs="Book Antiqua"/>
          <w:color w:val="000000"/>
          <w:szCs w:val="30"/>
          <w:vertAlign w:val="superscript"/>
        </w:rPr>
        <w:t>[</w:t>
      </w:r>
      <w:hyperlink w:anchor="_ENREF_35" w:tooltip="Kurutz, 2019 #35" w:history="1">
        <w:r w:rsidRPr="00A96071">
          <w:rPr>
            <w:rFonts w:ascii="Book Antiqua" w:eastAsia="Book Antiqua" w:hAnsi="Book Antiqua" w:cs="Book Antiqua"/>
            <w:color w:val="000000"/>
            <w:szCs w:val="20"/>
            <w:vertAlign w:val="superscript"/>
          </w:rPr>
          <w:t>35</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However, this condition may not be guaranteed for some objective and operational reasons. For example, when injecting bone cement into the osteonecrosis region in osteoporotic vertebrae, a lump-shaped distribution will result after cement solidification</w:t>
      </w:r>
      <w:r w:rsidRPr="00A96071">
        <w:rPr>
          <w:rFonts w:ascii="Book Antiqua" w:eastAsia="Book Antiqua" w:hAnsi="Book Antiqua" w:cs="Book Antiqua"/>
          <w:color w:val="000000"/>
          <w:szCs w:val="30"/>
          <w:vertAlign w:val="superscript"/>
        </w:rPr>
        <w:t>[</w:t>
      </w:r>
      <w:hyperlink w:anchor="_ENREF_15" w:tooltip="Chen, 2011 #15" w:history="1">
        <w:r w:rsidRPr="00A96071">
          <w:rPr>
            <w:rFonts w:ascii="Book Antiqua" w:eastAsia="Book Antiqua" w:hAnsi="Book Antiqua" w:cs="Book Antiqua"/>
            <w:color w:val="000000"/>
            <w:szCs w:val="20"/>
            <w:vertAlign w:val="superscript"/>
          </w:rPr>
          <w:t>15</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where the stiffness of the cemented vertebrae is lower than that in a trabecular cement distribution pattern. The solid lump cement in vertebrae made surrounding non-cemented cancellous bones without load transfer, acting as a stress-shielding effect similar to PKP</w:t>
      </w:r>
      <w:r w:rsidRPr="00A96071">
        <w:rPr>
          <w:rFonts w:ascii="Book Antiqua" w:eastAsia="Book Antiqua" w:hAnsi="Book Antiqua" w:cs="Book Antiqua"/>
          <w:color w:val="000000"/>
          <w:szCs w:val="30"/>
          <w:vertAlign w:val="superscript"/>
        </w:rPr>
        <w:t>[</w:t>
      </w:r>
      <w:hyperlink w:anchor="_ENREF_36" w:tooltip="Kim, 2010 #36" w:history="1">
        <w:r w:rsidRPr="00A96071">
          <w:rPr>
            <w:rFonts w:ascii="Book Antiqua" w:eastAsia="Book Antiqua" w:hAnsi="Book Antiqua" w:cs="Book Antiqua"/>
            <w:color w:val="000000"/>
            <w:szCs w:val="20"/>
            <w:vertAlign w:val="superscript"/>
          </w:rPr>
          <w:t>36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The trabecular structure of this stress-shielded area can be destroyed by a round mass congregation of bone cement in daily activities. Due to the osteoporotic nature of vertebrae, a vicious cycle forms to induce recollapse. Differently, the trabecular pattern allows the vertebral body to withstand external forces more evenly, avoiding the stress-shielding effect. Moreover, the interlocking between bone cement and cancellous bone is weakened in the solid lump distribution pattern</w:t>
      </w:r>
      <w:r w:rsidRPr="00A96071">
        <w:rPr>
          <w:rFonts w:ascii="Book Antiqua" w:eastAsia="Book Antiqua" w:hAnsi="Book Antiqua" w:cs="Book Antiqua"/>
          <w:color w:val="000000"/>
          <w:szCs w:val="30"/>
          <w:vertAlign w:val="superscript"/>
        </w:rPr>
        <w:t>[</w:t>
      </w:r>
      <w:hyperlink w:anchor="_ENREF_18" w:tooltip="He, 2018 #18" w:history="1">
        <w:r w:rsidRPr="00A96071">
          <w:rPr>
            <w:rFonts w:ascii="Book Antiqua" w:eastAsia="Book Antiqua" w:hAnsi="Book Antiqua" w:cs="Book Antiqua"/>
            <w:color w:val="000000"/>
            <w:szCs w:val="20"/>
            <w:vertAlign w:val="superscript"/>
          </w:rPr>
          <w:t>18</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which leads to insufficient mechanical strength of the vertebral body. Consistent with our findings, Yang </w:t>
      </w:r>
      <w:r w:rsidRPr="00A96071">
        <w:rPr>
          <w:rFonts w:ascii="Book Antiqua" w:eastAsia="Book Antiqua" w:hAnsi="Book Antiqua" w:cs="Book Antiqua"/>
          <w:i/>
          <w:iCs/>
          <w:color w:val="000000"/>
        </w:rPr>
        <w:t>et al</w:t>
      </w:r>
      <w:r w:rsidRPr="00A96071">
        <w:rPr>
          <w:rFonts w:ascii="Book Antiqua" w:eastAsia="Book Antiqua" w:hAnsi="Book Antiqua" w:cs="Book Antiqua"/>
          <w:color w:val="000000"/>
          <w:szCs w:val="30"/>
          <w:vertAlign w:val="superscript"/>
        </w:rPr>
        <w:t>[</w:t>
      </w:r>
      <w:hyperlink w:anchor="_ENREF_37" w:tooltip="Yang, 2014 #37" w:history="1">
        <w:r w:rsidRPr="00A96071">
          <w:rPr>
            <w:rFonts w:ascii="Book Antiqua" w:eastAsia="Book Antiqua" w:hAnsi="Book Antiqua" w:cs="Book Antiqua"/>
            <w:color w:val="000000"/>
            <w:szCs w:val="20"/>
            <w:vertAlign w:val="superscript"/>
          </w:rPr>
          <w:t>37</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concluded that lump-shaped cement distribution increased the incidence of recollapse of cemented vertebrae after PVP.</w:t>
      </w:r>
    </w:p>
    <w:p w14:paraId="53F0DBD0" w14:textId="77777777" w:rsidR="00A77B3E" w:rsidRPr="00A96071" w:rsidRDefault="001E2C53" w:rsidP="003431A2">
      <w:pPr>
        <w:spacing w:line="360" w:lineRule="auto"/>
        <w:ind w:firstLineChars="100" w:firstLine="240"/>
        <w:jc w:val="both"/>
      </w:pPr>
      <w:r w:rsidRPr="00A96071">
        <w:rPr>
          <w:rFonts w:ascii="Book Antiqua" w:eastAsia="Book Antiqua" w:hAnsi="Book Antiqua" w:cs="Book Antiqua"/>
          <w:color w:val="000000"/>
        </w:rPr>
        <w:t>The recollapse of cemented vertebrae may lead to recurrent intractable back pain with no response to conservative treatment, which results from changes in loads over the facet joints along with progressive collapse. This situation seriously affects the quality of life of patients, resulting in certain psychological and physical burden. Not only that, the treatment of vertebral recollapse after PVP seems to be troublesome, which may require repeated PVP or revision surgery depending on the situation</w:t>
      </w:r>
      <w:r w:rsidRPr="00A96071">
        <w:rPr>
          <w:rFonts w:ascii="Book Antiqua" w:eastAsia="Book Antiqua" w:hAnsi="Book Antiqua" w:cs="Book Antiqua"/>
          <w:color w:val="000000"/>
          <w:szCs w:val="30"/>
          <w:vertAlign w:val="superscript"/>
        </w:rPr>
        <w:t>[</w:t>
      </w:r>
      <w:hyperlink w:anchor="_ENREF_29" w:tooltip="Chou, 2014 #29" w:history="1">
        <w:r w:rsidRPr="00A96071">
          <w:rPr>
            <w:rFonts w:ascii="Book Antiqua" w:eastAsia="Book Antiqua" w:hAnsi="Book Antiqua" w:cs="Book Antiqua"/>
            <w:color w:val="000000"/>
            <w:szCs w:val="20"/>
            <w:vertAlign w:val="superscript"/>
          </w:rPr>
          <w:t>29</w:t>
        </w:r>
      </w:hyperlink>
      <w:r w:rsidRPr="00A96071">
        <w:rPr>
          <w:rFonts w:ascii="Book Antiqua" w:eastAsia="Book Antiqua" w:hAnsi="Book Antiqua" w:cs="Book Antiqua"/>
          <w:color w:val="000000"/>
          <w:szCs w:val="30"/>
          <w:vertAlign w:val="superscript"/>
        </w:rPr>
        <w:t>,</w:t>
      </w:r>
      <w:hyperlink w:anchor="_ENREF_38" w:tooltip="Yang, 2008 #38" w:history="1">
        <w:r w:rsidRPr="00A96071">
          <w:rPr>
            <w:rFonts w:ascii="Book Antiqua" w:eastAsia="Book Antiqua" w:hAnsi="Book Antiqua" w:cs="Book Antiqua"/>
            <w:color w:val="000000"/>
            <w:szCs w:val="20"/>
            <w:vertAlign w:val="superscript"/>
          </w:rPr>
          <w:t>38-40</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Thus, if predictive risk factors for recollapse are identified preoperatively, </w:t>
      </w:r>
      <w:r w:rsidRPr="00A96071">
        <w:rPr>
          <w:rFonts w:ascii="Book Antiqua" w:eastAsia="Book Antiqua" w:hAnsi="Book Antiqua" w:cs="Book Antiqua"/>
          <w:color w:val="000000"/>
          <w:shd w:val="clear" w:color="auto" w:fill="FFFFFF"/>
        </w:rPr>
        <w:t>surgical fixation and restoration can be used as the initial treatment option for patients whose physical conditions permit.</w:t>
      </w:r>
      <w:r w:rsidRPr="00A96071">
        <w:rPr>
          <w:rFonts w:ascii="Book Antiqua" w:eastAsia="Book Antiqua" w:hAnsi="Book Antiqua" w:cs="Book Antiqua"/>
          <w:color w:val="000000"/>
        </w:rPr>
        <w:t xml:space="preserve"> Furthermore, if patients have undergone PVP with the presence of these conditions, surgeons should take the potential risk of recollapse seriously. Regardless of the surgical techniques, regular postoperative follow-up and systematic treatment of osteoporosis are necessary. Once diagnosed, further treatment should be provided by experienced surgeons timely to avoid more serious consequences.</w:t>
      </w:r>
    </w:p>
    <w:p w14:paraId="5A2DA884" w14:textId="5B83819C" w:rsidR="00A77B3E" w:rsidRDefault="001E2C53" w:rsidP="003431A2">
      <w:pPr>
        <w:spacing w:line="360" w:lineRule="auto"/>
        <w:ind w:firstLineChars="100" w:firstLine="240"/>
        <w:jc w:val="both"/>
      </w:pPr>
      <w:r w:rsidRPr="00A96071">
        <w:rPr>
          <w:rFonts w:ascii="Book Antiqua" w:eastAsia="Book Antiqua" w:hAnsi="Book Antiqua" w:cs="Book Antiqua"/>
          <w:color w:val="000000"/>
        </w:rPr>
        <w:t xml:space="preserve">Nevertheless, certain limitations cannot be ignored in this meta-analysis. First, the subjects in these </w:t>
      </w:r>
      <w:r w:rsidR="001F7226">
        <w:rPr>
          <w:rFonts w:ascii="Book Antiqua" w:eastAsia="Book Antiqua" w:hAnsi="Book Antiqua" w:cs="Book Antiqua"/>
          <w:color w:val="000000"/>
        </w:rPr>
        <w:t>nine</w:t>
      </w:r>
      <w:r w:rsidR="001F7226" w:rsidRPr="00A96071">
        <w:rPr>
          <w:rFonts w:ascii="Book Antiqua" w:eastAsia="Book Antiqua" w:hAnsi="Book Antiqua" w:cs="Book Antiqua"/>
          <w:color w:val="000000"/>
        </w:rPr>
        <w:t xml:space="preserve"> </w:t>
      </w:r>
      <w:r w:rsidRPr="00A96071">
        <w:rPr>
          <w:rFonts w:ascii="Book Antiqua" w:eastAsia="Book Antiqua" w:hAnsi="Book Antiqua" w:cs="Book Antiqua"/>
          <w:color w:val="000000"/>
        </w:rPr>
        <w:t>studies were Asian, and we thus could not predict whether the results are applicable to patients from other regions. Second, the incidence of recollapse in the included studies might have been affected by the different follow-up periods, which were considered heterogeneous among the studies. Third, some other potential risk factors, such as BMI, steroid usage, vertebral compression rate, and pedicle approach (uni</w:t>
      </w:r>
      <w:r w:rsidR="001F7226">
        <w:rPr>
          <w:rFonts w:ascii="Book Antiqua" w:eastAsia="Book Antiqua" w:hAnsi="Book Antiqua" w:cs="Book Antiqua"/>
          <w:color w:val="000000"/>
        </w:rPr>
        <w:t>lateral</w:t>
      </w:r>
      <w:r w:rsidR="001F7226" w:rsidRPr="00A96071">
        <w:rPr>
          <w:rFonts w:ascii="Book Antiqua" w:eastAsia="Book Antiqua" w:hAnsi="Book Antiqua" w:cs="Book Antiqua"/>
          <w:color w:val="000000"/>
        </w:rPr>
        <w:t xml:space="preserve"> </w:t>
      </w:r>
      <w:r w:rsidRPr="00A96071">
        <w:rPr>
          <w:rFonts w:ascii="Book Antiqua" w:eastAsia="Book Antiqua" w:hAnsi="Book Antiqua" w:cs="Book Antiqua"/>
          <w:color w:val="000000"/>
        </w:rPr>
        <w:t>or bilateral), were not included in this meta-analysis because of insufficient published data. Finally, the formation of recollapse might result from the interaction of multiple factors; however, the results from the univariate analysis were not able to reveal the effect of an interaction.</w:t>
      </w:r>
    </w:p>
    <w:bookmarkEnd w:id="68"/>
    <w:bookmarkEnd w:id="69"/>
    <w:bookmarkEnd w:id="70"/>
    <w:p w14:paraId="24A6A466" w14:textId="77777777" w:rsidR="00A77B3E" w:rsidRDefault="00A77B3E">
      <w:pPr>
        <w:spacing w:line="360" w:lineRule="auto"/>
        <w:jc w:val="both"/>
      </w:pPr>
    </w:p>
    <w:p w14:paraId="27FDABBB" w14:textId="77777777" w:rsidR="00A77B3E" w:rsidRDefault="001E2C53">
      <w:pPr>
        <w:spacing w:line="360" w:lineRule="auto"/>
        <w:jc w:val="both"/>
      </w:pPr>
      <w:r>
        <w:rPr>
          <w:rFonts w:ascii="Book Antiqua" w:eastAsia="Book Antiqua" w:hAnsi="Book Antiqua" w:cs="Book Antiqua"/>
          <w:b/>
          <w:caps/>
          <w:color w:val="000000"/>
          <w:u w:val="single"/>
        </w:rPr>
        <w:t>CONCLUSION</w:t>
      </w:r>
    </w:p>
    <w:p w14:paraId="49B1F422" w14:textId="3F2435D5" w:rsidR="00A77B3E" w:rsidRDefault="001E2C53">
      <w:pPr>
        <w:spacing w:line="360" w:lineRule="auto"/>
        <w:jc w:val="both"/>
      </w:pPr>
      <w:bookmarkStart w:id="71" w:name="OLE_LINK53"/>
      <w:bookmarkStart w:id="72" w:name="OLE_LINK54"/>
      <w:r>
        <w:rPr>
          <w:rFonts w:ascii="Book Antiqua" w:eastAsia="Book Antiqua" w:hAnsi="Book Antiqua" w:cs="Book Antiqua"/>
          <w:color w:val="000000"/>
        </w:rPr>
        <w:t>This meta-analysis suggests that three risk factors, including fractures located at the thoracolumbar junction (T10-L2), preoperative IVC, and solid lump distribution pattern of the cement</w:t>
      </w:r>
      <w:r w:rsidR="001F7226">
        <w:rPr>
          <w:rFonts w:ascii="Book Antiqua" w:eastAsia="Book Antiqua" w:hAnsi="Book Antiqua" w:cs="Book Antiqua"/>
          <w:color w:val="000000"/>
        </w:rPr>
        <w:t>,</w:t>
      </w:r>
      <w:r>
        <w:rPr>
          <w:rFonts w:ascii="Book Antiqua" w:eastAsia="Book Antiqua" w:hAnsi="Book Antiqua" w:cs="Book Antiqua"/>
          <w:color w:val="000000"/>
        </w:rPr>
        <w:t xml:space="preserve"> are associated with the recollapse of cemented vertebrae after PVP. To the best of our knowledge, this is the first meta-analysis to explore the predictive risk factors for recollapse by synthesizing the available information, and the results will assist surgeons in identifying risk factors both preoperatively and intraoperatively. When treating patients with these conditions, a more comprehensive treatment plan should be developed; moreover, regular and detailed follow-up is necessary for surgeons to detect PVP failure in a timely manner. Prospective multicenter studies with large cohorts should be encouraged to evaluate these results further as well as to clarify the unexplored factors.</w:t>
      </w:r>
    </w:p>
    <w:bookmarkEnd w:id="71"/>
    <w:bookmarkEnd w:id="72"/>
    <w:p w14:paraId="4AEF95F7" w14:textId="77777777" w:rsidR="00A77B3E" w:rsidRDefault="00A77B3E">
      <w:pPr>
        <w:spacing w:line="360" w:lineRule="auto"/>
        <w:jc w:val="both"/>
      </w:pPr>
    </w:p>
    <w:p w14:paraId="645907DC" w14:textId="77777777" w:rsidR="00A77B3E" w:rsidRDefault="001E2C53">
      <w:pPr>
        <w:spacing w:line="360" w:lineRule="auto"/>
        <w:jc w:val="both"/>
      </w:pPr>
      <w:r>
        <w:rPr>
          <w:rFonts w:ascii="Book Antiqua" w:eastAsia="Book Antiqua" w:hAnsi="Book Antiqua" w:cs="Book Antiqua"/>
          <w:b/>
          <w:caps/>
          <w:color w:val="000000"/>
          <w:u w:val="single"/>
        </w:rPr>
        <w:t>ARTICLE HIGHLIGHTS</w:t>
      </w:r>
    </w:p>
    <w:p w14:paraId="468F68AD" w14:textId="77777777" w:rsidR="00A77B3E" w:rsidRDefault="001E2C53">
      <w:pPr>
        <w:spacing w:line="360" w:lineRule="auto"/>
        <w:jc w:val="both"/>
      </w:pPr>
      <w:r>
        <w:rPr>
          <w:rFonts w:ascii="Book Antiqua" w:eastAsia="Book Antiqua" w:hAnsi="Book Antiqua" w:cs="Book Antiqua"/>
          <w:b/>
          <w:i/>
          <w:color w:val="000000"/>
        </w:rPr>
        <w:t>Research background</w:t>
      </w:r>
    </w:p>
    <w:p w14:paraId="06AF81F4" w14:textId="5F101227" w:rsidR="00A77B3E" w:rsidRDefault="001F7226">
      <w:pPr>
        <w:spacing w:line="360" w:lineRule="auto"/>
        <w:jc w:val="both"/>
      </w:pPr>
      <w:bookmarkStart w:id="73" w:name="OLE_LINK55"/>
      <w:bookmarkStart w:id="74" w:name="OLE_LINK56"/>
      <w:bookmarkStart w:id="75" w:name="OLE_LINK57"/>
      <w:r>
        <w:rPr>
          <w:rFonts w:ascii="Book Antiqua" w:eastAsia="Book Antiqua" w:hAnsi="Book Antiqua" w:cs="Book Antiqua"/>
          <w:color w:val="000000"/>
        </w:rPr>
        <w:t>O</w:t>
      </w:r>
      <w:r w:rsidR="001E2C53">
        <w:rPr>
          <w:rFonts w:ascii="Book Antiqua" w:eastAsia="Book Antiqua" w:hAnsi="Book Antiqua" w:cs="Book Antiqua"/>
          <w:color w:val="000000"/>
        </w:rPr>
        <w:t>steoporotic vertebral compression fracture (OVCF) is one of the most common complications of osteoporosis. As a minimally invasive technique for treating OVCFs, percutaneous vertebroplasty (PVP) has been widely used due to its good therapeutic efficacy and safety. However, there have been reports of the cemented vertebra recollapse after PVP, which deserves our attention.</w:t>
      </w:r>
    </w:p>
    <w:bookmarkEnd w:id="73"/>
    <w:bookmarkEnd w:id="74"/>
    <w:bookmarkEnd w:id="75"/>
    <w:p w14:paraId="16191D99" w14:textId="77777777" w:rsidR="00A77B3E" w:rsidRDefault="00A77B3E">
      <w:pPr>
        <w:spacing w:line="360" w:lineRule="auto"/>
        <w:jc w:val="both"/>
      </w:pPr>
    </w:p>
    <w:p w14:paraId="5C9133A6" w14:textId="77777777" w:rsidR="00A77B3E" w:rsidRDefault="001E2C53">
      <w:pPr>
        <w:spacing w:line="360" w:lineRule="auto"/>
        <w:jc w:val="both"/>
      </w:pPr>
      <w:r>
        <w:rPr>
          <w:rFonts w:ascii="Book Antiqua" w:eastAsia="Book Antiqua" w:hAnsi="Book Antiqua" w:cs="Book Antiqua"/>
          <w:b/>
          <w:i/>
          <w:color w:val="000000"/>
        </w:rPr>
        <w:t>Research motivation</w:t>
      </w:r>
    </w:p>
    <w:p w14:paraId="49774291" w14:textId="32AFD1CA" w:rsidR="00A77B3E" w:rsidRDefault="001E2C53">
      <w:pPr>
        <w:spacing w:line="360" w:lineRule="auto"/>
        <w:jc w:val="both"/>
      </w:pPr>
      <w:bookmarkStart w:id="76" w:name="OLE_LINK58"/>
      <w:bookmarkStart w:id="77" w:name="OLE_LINK59"/>
      <w:r>
        <w:rPr>
          <w:rFonts w:ascii="Book Antiqua" w:eastAsia="Book Antiqua" w:hAnsi="Book Antiqua" w:cs="Book Antiqua"/>
          <w:color w:val="000000"/>
        </w:rPr>
        <w:t>To the best of our knowledge, studies with high-quality and large-scale exploring these risk factors are scarce. The predictive risk factors associated with the recollapse of cemented vertebrae after PVP in OVCFs</w:t>
      </w:r>
      <w:r w:rsidR="001F7226">
        <w:rPr>
          <w:rFonts w:ascii="Book Antiqua" w:eastAsia="Book Antiqua" w:hAnsi="Book Antiqua" w:cs="Book Antiqua"/>
          <w:color w:val="000000"/>
        </w:rPr>
        <w:t xml:space="preserve"> </w:t>
      </w:r>
      <w:r>
        <w:rPr>
          <w:rFonts w:ascii="Book Antiqua" w:eastAsia="Book Antiqua" w:hAnsi="Book Antiqua" w:cs="Book Antiqua"/>
          <w:color w:val="000000"/>
        </w:rPr>
        <w:t>remain controversial.</w:t>
      </w:r>
    </w:p>
    <w:bookmarkEnd w:id="76"/>
    <w:bookmarkEnd w:id="77"/>
    <w:p w14:paraId="7F4197A7" w14:textId="77777777" w:rsidR="00A77B3E" w:rsidRDefault="00A77B3E">
      <w:pPr>
        <w:spacing w:line="360" w:lineRule="auto"/>
        <w:jc w:val="both"/>
      </w:pPr>
    </w:p>
    <w:p w14:paraId="1263DFDA" w14:textId="77777777" w:rsidR="00A77B3E" w:rsidRDefault="001E2C53">
      <w:pPr>
        <w:spacing w:line="360" w:lineRule="auto"/>
        <w:jc w:val="both"/>
      </w:pPr>
      <w:r>
        <w:rPr>
          <w:rFonts w:ascii="Book Antiqua" w:eastAsia="Book Antiqua" w:hAnsi="Book Antiqua" w:cs="Book Antiqua"/>
          <w:b/>
          <w:i/>
          <w:color w:val="000000"/>
        </w:rPr>
        <w:t>Research objectives</w:t>
      </w:r>
    </w:p>
    <w:p w14:paraId="1C8F5D2E" w14:textId="77777777" w:rsidR="00A77B3E" w:rsidRDefault="001E2C53">
      <w:pPr>
        <w:spacing w:line="360" w:lineRule="auto"/>
        <w:jc w:val="both"/>
      </w:pPr>
      <w:bookmarkStart w:id="78" w:name="OLE_LINK60"/>
      <w:bookmarkStart w:id="79" w:name="OLE_LINK61"/>
      <w:r>
        <w:rPr>
          <w:rFonts w:ascii="Book Antiqua" w:eastAsia="Book Antiqua" w:hAnsi="Book Antiqua" w:cs="Book Antiqua"/>
          <w:color w:val="000000"/>
        </w:rPr>
        <w:t>We performed this meta-analysis pooling all relevant published data to identify risk factors that might lead to the cemented vertebra recollapse after PVP in OVCFs.</w:t>
      </w:r>
    </w:p>
    <w:bookmarkEnd w:id="78"/>
    <w:bookmarkEnd w:id="79"/>
    <w:p w14:paraId="42F65CEA" w14:textId="77777777" w:rsidR="00A77B3E" w:rsidRDefault="00A77B3E">
      <w:pPr>
        <w:spacing w:line="360" w:lineRule="auto"/>
        <w:jc w:val="both"/>
      </w:pPr>
    </w:p>
    <w:p w14:paraId="0057677C" w14:textId="77777777" w:rsidR="00A77B3E" w:rsidRDefault="001E2C53">
      <w:pPr>
        <w:spacing w:line="360" w:lineRule="auto"/>
        <w:jc w:val="both"/>
      </w:pPr>
      <w:r>
        <w:rPr>
          <w:rFonts w:ascii="Book Antiqua" w:eastAsia="Book Antiqua" w:hAnsi="Book Antiqua" w:cs="Book Antiqua"/>
          <w:b/>
          <w:i/>
          <w:color w:val="000000"/>
        </w:rPr>
        <w:t>Research methods</w:t>
      </w:r>
    </w:p>
    <w:p w14:paraId="3429B7CB" w14:textId="1E0FF78B" w:rsidR="00A77B3E" w:rsidRDefault="001E2C53">
      <w:pPr>
        <w:spacing w:line="360" w:lineRule="auto"/>
        <w:jc w:val="both"/>
      </w:pPr>
      <w:bookmarkStart w:id="80" w:name="OLE_LINK62"/>
      <w:bookmarkStart w:id="81" w:name="OLE_LINK63"/>
      <w:r>
        <w:rPr>
          <w:rFonts w:ascii="Book Antiqua" w:eastAsia="Book Antiqua" w:hAnsi="Book Antiqua" w:cs="Book Antiqua"/>
          <w:color w:val="000000"/>
        </w:rPr>
        <w:t>A systematic search in EMBASE, MEDLINE, the Cochrane Library, and PubMed was conducted for original articles published up to March 2020. Ten independent variables (age, gender, lumbar bone mineral density, location of the fractured vertebra, preoperative intravertebral cleft, preoperative visual analogue scale score, injected cement volume, intradiscal cement leakage, cement distribution pattern, and vertebral height restoration) were extracted for assessment from the included studies. Review Manager 5.3 was applied for calculating odds ratios</w:t>
      </w:r>
      <w:r w:rsidR="001F7226">
        <w:rPr>
          <w:rFonts w:ascii="Book Antiqua" w:eastAsia="Book Antiqua" w:hAnsi="Book Antiqua" w:cs="Book Antiqua"/>
          <w:color w:val="000000"/>
        </w:rPr>
        <w:t xml:space="preserve"> (ORs)</w:t>
      </w:r>
      <w:r>
        <w:rPr>
          <w:rFonts w:ascii="Book Antiqua" w:eastAsia="Book Antiqua" w:hAnsi="Book Antiqua" w:cs="Book Antiqua"/>
          <w:color w:val="000000"/>
        </w:rPr>
        <w:t xml:space="preserve"> or standardized mean differences with 95%</w:t>
      </w:r>
      <w:r w:rsidR="00A96071">
        <w:rPr>
          <w:rFonts w:ascii="Book Antiqua" w:eastAsia="Book Antiqua" w:hAnsi="Book Antiqua" w:cs="Book Antiqua"/>
          <w:color w:val="000000"/>
        </w:rPr>
        <w:t xml:space="preserve"> </w:t>
      </w:r>
      <w:bookmarkStart w:id="82" w:name="OLE_LINK2624"/>
      <w:r w:rsidR="00A96071" w:rsidRPr="00663BB7">
        <w:rPr>
          <w:rFonts w:ascii="Book Antiqua" w:hAnsi="Book Antiqua"/>
        </w:rPr>
        <w:t>confidence interval</w:t>
      </w:r>
      <w:bookmarkEnd w:id="82"/>
      <w:r w:rsidR="00A96071">
        <w:rPr>
          <w:rFonts w:ascii="Book Antiqua" w:hAnsi="Book Antiqua" w:cs="Book Antiqua" w:hint="eastAsia"/>
          <w:color w:val="000000"/>
          <w:lang w:eastAsia="zh-CN"/>
        </w:rPr>
        <w:t xml:space="preserve"> </w:t>
      </w:r>
      <w:r w:rsidR="00A96071">
        <w:rPr>
          <w:rFonts w:ascii="Book Antiqua" w:hAnsi="Book Antiqua" w:cs="Book Antiqua"/>
          <w:color w:val="000000"/>
          <w:lang w:eastAsia="zh-CN"/>
        </w:rPr>
        <w:t>(</w:t>
      </w:r>
      <w:r w:rsidR="00344CA5">
        <w:rPr>
          <w:rFonts w:ascii="Book Antiqua" w:hAnsi="Book Antiqua" w:cs="Book Antiqua" w:hint="eastAsia"/>
          <w:color w:val="000000"/>
          <w:lang w:eastAsia="zh-CN"/>
        </w:rPr>
        <w:t>CI</w:t>
      </w:r>
      <w:r w:rsidR="00A96071">
        <w:rPr>
          <w:rFonts w:ascii="Book Antiqua" w:hAnsi="Book Antiqua" w:cs="Book Antiqua"/>
          <w:color w:val="000000"/>
          <w:lang w:eastAsia="zh-CN"/>
        </w:rPr>
        <w:t>)</w:t>
      </w:r>
      <w:r>
        <w:rPr>
          <w:rFonts w:ascii="Book Antiqua" w:eastAsia="Book Antiqua" w:hAnsi="Book Antiqua" w:cs="Book Antiqua"/>
          <w:color w:val="000000"/>
        </w:rPr>
        <w:t xml:space="preserve">, as well as assessing the heterogeneity </w:t>
      </w:r>
      <w:r w:rsidR="001F7226">
        <w:rPr>
          <w:rFonts w:ascii="Book Antiqua" w:eastAsia="Book Antiqua" w:hAnsi="Book Antiqua" w:cs="Book Antiqua"/>
          <w:color w:val="000000"/>
        </w:rPr>
        <w:t xml:space="preserve">by </w:t>
      </w:r>
      <w:r>
        <w:rPr>
          <w:rFonts w:ascii="Book Antiqua" w:eastAsia="Book Antiqua" w:hAnsi="Book Antiqua" w:cs="Book Antiqua"/>
          <w:color w:val="000000"/>
        </w:rPr>
        <w:t xml:space="preserve">both the chi-squared test and the </w:t>
      </w:r>
      <w:r w:rsidRPr="0094641C">
        <w:rPr>
          <w:rFonts w:ascii="Book Antiqua" w:eastAsia="Book Antiqua" w:hAnsi="Book Antiqua" w:cs="Book Antiqua"/>
          <w:i/>
          <w:color w:val="000000"/>
        </w:rPr>
        <w:t>I</w:t>
      </w:r>
      <w:r>
        <w:rPr>
          <w:rFonts w:ascii="Book Antiqua" w:eastAsia="Book Antiqua" w:hAnsi="Book Antiqua" w:cs="Book Antiqua"/>
          <w:color w:val="000000"/>
        </w:rPr>
        <w:t>-squared test.</w:t>
      </w:r>
    </w:p>
    <w:bookmarkEnd w:id="80"/>
    <w:bookmarkEnd w:id="81"/>
    <w:p w14:paraId="3F7CC5FB" w14:textId="77777777" w:rsidR="00A77B3E" w:rsidRDefault="00A77B3E">
      <w:pPr>
        <w:spacing w:line="360" w:lineRule="auto"/>
        <w:jc w:val="both"/>
      </w:pPr>
    </w:p>
    <w:p w14:paraId="30C4113D" w14:textId="77777777" w:rsidR="00A77B3E" w:rsidRDefault="001E2C53">
      <w:pPr>
        <w:spacing w:line="360" w:lineRule="auto"/>
        <w:jc w:val="both"/>
      </w:pPr>
      <w:r>
        <w:rPr>
          <w:rFonts w:ascii="Book Antiqua" w:eastAsia="Book Antiqua" w:hAnsi="Book Antiqua" w:cs="Book Antiqua"/>
          <w:b/>
          <w:i/>
          <w:color w:val="000000"/>
        </w:rPr>
        <w:t>Research results</w:t>
      </w:r>
    </w:p>
    <w:p w14:paraId="6CD62FF1" w14:textId="7E50E265" w:rsidR="00A77B3E" w:rsidRDefault="001E2C53">
      <w:pPr>
        <w:spacing w:line="360" w:lineRule="auto"/>
        <w:jc w:val="both"/>
      </w:pPr>
      <w:bookmarkStart w:id="83" w:name="OLE_LINK64"/>
      <w:bookmarkStart w:id="84" w:name="OLE_LINK65"/>
      <w:r>
        <w:rPr>
          <w:rFonts w:ascii="Book Antiqua" w:eastAsia="Book Antiqua" w:hAnsi="Book Antiqua" w:cs="Book Antiqua"/>
          <w:color w:val="000000"/>
        </w:rPr>
        <w:t xml:space="preserve">A total of </w:t>
      </w:r>
      <w:r w:rsidR="001F7226">
        <w:rPr>
          <w:rFonts w:ascii="Book Antiqua" w:eastAsia="Book Antiqua" w:hAnsi="Book Antiqua" w:cs="Book Antiqua"/>
          <w:color w:val="000000"/>
        </w:rPr>
        <w:t xml:space="preserve">nine </w:t>
      </w:r>
      <w:r>
        <w:rPr>
          <w:rFonts w:ascii="Book Antiqua" w:eastAsia="Book Antiqua" w:hAnsi="Book Antiqua" w:cs="Book Antiqua"/>
          <w:color w:val="000000"/>
        </w:rPr>
        <w:t xml:space="preserve">case-control studies published between 2008 and 2018 were included in our meta-analysis comprising 300 cases and 2674 controls. The significant risk factors for the recollapse of cemented vertebrae after PVP in OVCFs were fractures located at the thoracolumbar junction </w:t>
      </w:r>
      <w:bookmarkStart w:id="85" w:name="OLE_LINK1423"/>
      <w:bookmarkStart w:id="86" w:name="OLE_LINK1424"/>
      <w:bookmarkStart w:id="87" w:name="OLE_LINK1522"/>
      <w:bookmarkStart w:id="88" w:name="OLE_LINK1534"/>
      <w:bookmarkStart w:id="89" w:name="OLE_LINK1820"/>
      <w:r w:rsidR="001F7226">
        <w:rPr>
          <w:rFonts w:ascii="Book Antiqua" w:eastAsia="Book Antiqua" w:hAnsi="Book Antiqua" w:cs="Book Antiqua"/>
          <w:color w:val="000000"/>
        </w:rPr>
        <w:t>(</w:t>
      </w:r>
      <w:bookmarkEnd w:id="85"/>
      <w:bookmarkEnd w:id="86"/>
      <w:bookmarkEnd w:id="87"/>
      <w:bookmarkEnd w:id="88"/>
      <w:bookmarkEnd w:id="89"/>
      <w:r>
        <w:rPr>
          <w:rFonts w:ascii="Book Antiqua" w:eastAsia="Book Antiqua" w:hAnsi="Book Antiqua" w:cs="Book Antiqua"/>
          <w:color w:val="000000"/>
        </w:rPr>
        <w:t>OR</w:t>
      </w:r>
      <w:r w:rsidR="001F7226">
        <w:rPr>
          <w:rFonts w:ascii="Book Antiqua" w:eastAsia="Book Antiqua" w:hAnsi="Book Antiqua" w:cs="Book Antiqua"/>
          <w:color w:val="000000"/>
        </w:rPr>
        <w:t xml:space="preserve"> = </w:t>
      </w:r>
      <w:r>
        <w:rPr>
          <w:rFonts w:ascii="Book Antiqua" w:eastAsia="Book Antiqua" w:hAnsi="Book Antiqua" w:cs="Book Antiqua"/>
          <w:color w:val="000000"/>
        </w:rPr>
        <w:t xml:space="preserve">2.09; 95%CI: 1.30 to 3.38;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1F7226">
        <w:rPr>
          <w:rFonts w:ascii="Book Antiqua" w:eastAsia="Book Antiqua" w:hAnsi="Book Antiqua" w:cs="Book Antiqua"/>
          <w:color w:val="000000"/>
        </w:rPr>
        <w:t xml:space="preserve">), </w:t>
      </w:r>
      <w:r>
        <w:rPr>
          <w:rFonts w:ascii="Book Antiqua" w:eastAsia="Book Antiqua" w:hAnsi="Book Antiqua" w:cs="Book Antiqua"/>
          <w:color w:val="000000"/>
        </w:rPr>
        <w:t>preoperative intravertebral cleft (OR</w:t>
      </w:r>
      <w:r w:rsidR="001F7226">
        <w:rPr>
          <w:rFonts w:ascii="Book Antiqua" w:eastAsia="Book Antiqua" w:hAnsi="Book Antiqua" w:cs="Book Antiqua"/>
          <w:color w:val="000000"/>
        </w:rPr>
        <w:t xml:space="preserve"> = </w:t>
      </w:r>
      <w:r>
        <w:rPr>
          <w:rFonts w:ascii="Book Antiqua" w:eastAsia="Book Antiqua" w:hAnsi="Book Antiqua" w:cs="Book Antiqua"/>
          <w:color w:val="000000"/>
        </w:rPr>
        <w:t xml:space="preserve">2.97; 95%CI: 1.93 to 4.57; </w:t>
      </w:r>
      <w:r w:rsidRPr="00FB7600">
        <w:rPr>
          <w:rFonts w:ascii="Book Antiqua" w:eastAsia="Book Antiqua" w:hAnsi="Book Antiqua" w:cs="Book Antiqua"/>
          <w:i/>
          <w:color w:val="000000"/>
        </w:rPr>
        <w:t>P</w:t>
      </w:r>
      <w:r>
        <w:rPr>
          <w:rFonts w:ascii="Book Antiqua" w:eastAsia="Book Antiqua" w:hAnsi="Book Antiqua" w:cs="Book Antiqua"/>
          <w:color w:val="000000"/>
        </w:rPr>
        <w:t xml:space="preserve"> &lt; 0.00001), and solid lump distribution pattern of the cement (OR</w:t>
      </w:r>
      <w:r w:rsidR="001F7226">
        <w:rPr>
          <w:rFonts w:ascii="Book Antiqua" w:eastAsia="Book Antiqua" w:hAnsi="Book Antiqua" w:cs="Book Antiqua"/>
          <w:color w:val="000000"/>
        </w:rPr>
        <w:t xml:space="preserve"> = </w:t>
      </w:r>
      <w:r>
        <w:rPr>
          <w:rFonts w:ascii="Book Antiqua" w:eastAsia="Book Antiqua" w:hAnsi="Book Antiqua" w:cs="Book Antiqua"/>
          <w:color w:val="000000"/>
        </w:rPr>
        <w:t xml:space="preserve">3.11; 95%CI: 1.91 to 5.07; </w:t>
      </w:r>
      <w:r w:rsidRPr="00FB7600">
        <w:rPr>
          <w:rFonts w:ascii="Book Antiqua" w:eastAsia="Book Antiqua" w:hAnsi="Book Antiqua" w:cs="Book Antiqua"/>
          <w:i/>
          <w:color w:val="000000"/>
        </w:rPr>
        <w:t>P</w:t>
      </w:r>
      <w:r>
        <w:rPr>
          <w:rFonts w:ascii="Book Antiqua" w:eastAsia="Book Antiqua" w:hAnsi="Book Antiqua" w:cs="Book Antiqua"/>
          <w:color w:val="000000"/>
        </w:rPr>
        <w:t xml:space="preserve"> &lt; 0.00001). Furthermore, there was no significant correlation between age, gender, lumbar bone mineral density, preoperative visual analogue scale score, injected cement volume, intradiscal cement leakage, or vertebral height restoration and the cemented vertebra recollapse.</w:t>
      </w:r>
    </w:p>
    <w:bookmarkEnd w:id="83"/>
    <w:bookmarkEnd w:id="84"/>
    <w:p w14:paraId="6FFA2822" w14:textId="77777777" w:rsidR="00A77B3E" w:rsidRDefault="00A77B3E">
      <w:pPr>
        <w:spacing w:line="360" w:lineRule="auto"/>
        <w:jc w:val="both"/>
      </w:pPr>
    </w:p>
    <w:p w14:paraId="6AE29CA8" w14:textId="77777777" w:rsidR="00A77B3E" w:rsidRDefault="001E2C53">
      <w:pPr>
        <w:spacing w:line="360" w:lineRule="auto"/>
        <w:jc w:val="both"/>
      </w:pPr>
      <w:r>
        <w:rPr>
          <w:rFonts w:ascii="Book Antiqua" w:eastAsia="Book Antiqua" w:hAnsi="Book Antiqua" w:cs="Book Antiqua"/>
          <w:b/>
          <w:i/>
          <w:color w:val="000000"/>
        </w:rPr>
        <w:t>Research conclusions</w:t>
      </w:r>
    </w:p>
    <w:p w14:paraId="12A0C010" w14:textId="20389F76" w:rsidR="00A77B3E" w:rsidRDefault="001E2C53">
      <w:pPr>
        <w:spacing w:line="360" w:lineRule="auto"/>
        <w:jc w:val="both"/>
      </w:pPr>
      <w:bookmarkStart w:id="90" w:name="OLE_LINK66"/>
      <w:bookmarkStart w:id="91" w:name="OLE_LINK67"/>
      <w:bookmarkStart w:id="92" w:name="OLE_LINK68"/>
      <w:r>
        <w:rPr>
          <w:rFonts w:ascii="Book Antiqua" w:eastAsia="Book Antiqua" w:hAnsi="Book Antiqua" w:cs="Book Antiqua"/>
          <w:color w:val="000000"/>
        </w:rPr>
        <w:t>This meta-analysis supports that three risk factors, including fractures located at the thoracolumbar junction (T10-L2), preoperative IVC, and solid lump distribution pattern of the cement</w:t>
      </w:r>
      <w:r w:rsidR="001F7226">
        <w:rPr>
          <w:rFonts w:ascii="Book Antiqua" w:eastAsia="Book Antiqua" w:hAnsi="Book Antiqua" w:cs="Book Antiqua"/>
          <w:color w:val="000000"/>
        </w:rPr>
        <w:t>,</w:t>
      </w:r>
      <w:r>
        <w:rPr>
          <w:rFonts w:ascii="Book Antiqua" w:eastAsia="Book Antiqua" w:hAnsi="Book Antiqua" w:cs="Book Antiqua"/>
          <w:color w:val="000000"/>
        </w:rPr>
        <w:t xml:space="preserve"> are associated with the recollapse of cemented vertebrae after PVP in OVCFs.</w:t>
      </w:r>
    </w:p>
    <w:bookmarkEnd w:id="90"/>
    <w:bookmarkEnd w:id="91"/>
    <w:bookmarkEnd w:id="92"/>
    <w:p w14:paraId="3BF4CFFF" w14:textId="77777777" w:rsidR="00A77B3E" w:rsidRDefault="00A77B3E">
      <w:pPr>
        <w:spacing w:line="360" w:lineRule="auto"/>
        <w:jc w:val="both"/>
      </w:pPr>
    </w:p>
    <w:p w14:paraId="39DC4D97" w14:textId="77777777" w:rsidR="00A77B3E" w:rsidRDefault="001E2C53">
      <w:pPr>
        <w:spacing w:line="360" w:lineRule="auto"/>
        <w:jc w:val="both"/>
      </w:pPr>
      <w:r>
        <w:rPr>
          <w:rFonts w:ascii="Book Antiqua" w:eastAsia="Book Antiqua" w:hAnsi="Book Antiqua" w:cs="Book Antiqua"/>
          <w:b/>
          <w:i/>
          <w:color w:val="000000"/>
        </w:rPr>
        <w:t>Research perspectives</w:t>
      </w:r>
    </w:p>
    <w:p w14:paraId="53997F88" w14:textId="4BC246C6" w:rsidR="00A77B3E" w:rsidRDefault="001E2C53">
      <w:pPr>
        <w:spacing w:line="360" w:lineRule="auto"/>
        <w:jc w:val="both"/>
      </w:pPr>
      <w:bookmarkStart w:id="93" w:name="OLE_LINK69"/>
      <w:bookmarkStart w:id="94" w:name="OLE_LINK70"/>
      <w:r>
        <w:rPr>
          <w:rFonts w:ascii="Book Antiqua" w:eastAsia="Book Antiqua" w:hAnsi="Book Antiqua" w:cs="Book Antiqua"/>
          <w:color w:val="000000"/>
        </w:rPr>
        <w:t>This is the first meta-analysis pooling all relevant published data to identify risk factors that may lead to the recollapse of cemented vertebrae after PVP in OVCFs. These findings through analysis can provide valuable information for current clinical work. Also, some other potential risk factors, such as body mass index, steroid usage, vertebral compression rate, and pedicle approach (uni</w:t>
      </w:r>
      <w:r w:rsidR="0094641C">
        <w:rPr>
          <w:rFonts w:ascii="Book Antiqua" w:eastAsia="Book Antiqua" w:hAnsi="Book Antiqua" w:cs="Book Antiqua"/>
          <w:color w:val="000000"/>
        </w:rPr>
        <w:t>lateral</w:t>
      </w:r>
      <w:r>
        <w:rPr>
          <w:rFonts w:ascii="Book Antiqua" w:eastAsia="Book Antiqua" w:hAnsi="Book Antiqua" w:cs="Book Antiqua"/>
          <w:color w:val="000000"/>
        </w:rPr>
        <w:t xml:space="preserve"> or bilateral), need to </w:t>
      </w:r>
      <w:r w:rsidR="001F7226">
        <w:rPr>
          <w:rFonts w:ascii="Book Antiqua" w:eastAsia="Book Antiqua" w:hAnsi="Book Antiqua" w:cs="Book Antiqua"/>
          <w:color w:val="000000"/>
        </w:rPr>
        <w:t xml:space="preserve">be </w:t>
      </w:r>
      <w:r>
        <w:rPr>
          <w:rFonts w:ascii="Book Antiqua" w:eastAsia="Book Antiqua" w:hAnsi="Book Antiqua" w:cs="Book Antiqua"/>
          <w:color w:val="000000"/>
        </w:rPr>
        <w:t>evaluate</w:t>
      </w:r>
      <w:r w:rsidR="001F7226">
        <w:rPr>
          <w:rFonts w:ascii="Book Antiqua" w:eastAsia="Book Antiqua" w:hAnsi="Book Antiqua" w:cs="Book Antiqua"/>
          <w:color w:val="000000"/>
        </w:rPr>
        <w:t>d</w:t>
      </w:r>
      <w:r>
        <w:rPr>
          <w:rFonts w:ascii="Book Antiqua" w:eastAsia="Book Antiqua" w:hAnsi="Book Antiqua" w:cs="Book Antiqua"/>
          <w:color w:val="000000"/>
        </w:rPr>
        <w:t xml:space="preserve"> in the future.</w:t>
      </w:r>
    </w:p>
    <w:bookmarkEnd w:id="93"/>
    <w:bookmarkEnd w:id="94"/>
    <w:p w14:paraId="42BE70E7" w14:textId="77777777" w:rsidR="00A77B3E" w:rsidRDefault="00A77B3E">
      <w:pPr>
        <w:spacing w:line="360" w:lineRule="auto"/>
        <w:jc w:val="both"/>
      </w:pPr>
    </w:p>
    <w:p w14:paraId="1EFE285C" w14:textId="77777777" w:rsidR="00A77B3E" w:rsidRDefault="001E2C53">
      <w:pPr>
        <w:spacing w:line="360" w:lineRule="auto"/>
        <w:jc w:val="both"/>
      </w:pPr>
      <w:r>
        <w:rPr>
          <w:rFonts w:ascii="Book Antiqua" w:eastAsia="Book Antiqua" w:hAnsi="Book Antiqua" w:cs="Book Antiqua"/>
          <w:b/>
          <w:caps/>
          <w:color w:val="000000"/>
          <w:u w:val="single"/>
        </w:rPr>
        <w:t>ACKNOWLEDGEMENTS</w:t>
      </w:r>
    </w:p>
    <w:p w14:paraId="175F0E1E" w14:textId="47E0ECE4" w:rsidR="00A77B3E" w:rsidRDefault="001E2C53">
      <w:pPr>
        <w:spacing w:line="360" w:lineRule="auto"/>
        <w:jc w:val="both"/>
      </w:pPr>
      <w:bookmarkStart w:id="95" w:name="OLE_LINK71"/>
      <w:bookmarkStart w:id="96" w:name="OLE_LINK72"/>
      <w:r>
        <w:rPr>
          <w:rFonts w:ascii="Book Antiqua" w:eastAsia="Book Antiqua" w:hAnsi="Book Antiqua" w:cs="Book Antiqua"/>
          <w:color w:val="000000"/>
        </w:rPr>
        <w:t xml:space="preserve">The authors are grateful to Professor Kou </w:t>
      </w:r>
      <w:r w:rsidR="00A96071">
        <w:rPr>
          <w:rFonts w:ascii="Book Antiqua" w:eastAsia="Book Antiqua" w:hAnsi="Book Antiqua" w:cs="Book Antiqua"/>
          <w:color w:val="000000"/>
        </w:rPr>
        <w:t xml:space="preserve">CG </w:t>
      </w:r>
      <w:r>
        <w:rPr>
          <w:rFonts w:ascii="Book Antiqua" w:eastAsia="Book Antiqua" w:hAnsi="Book Antiqua" w:cs="Book Antiqua"/>
          <w:color w:val="000000"/>
        </w:rPr>
        <w:t xml:space="preserve">from the </w:t>
      </w:r>
      <w:r w:rsidR="00A96071">
        <w:rPr>
          <w:rFonts w:ascii="Book Antiqua" w:eastAsia="Book Antiqua" w:hAnsi="Book Antiqua" w:cs="Book Antiqua"/>
          <w:color w:val="000000"/>
        </w:rPr>
        <w:t>D</w:t>
      </w:r>
      <w:r>
        <w:rPr>
          <w:rFonts w:ascii="Book Antiqua" w:eastAsia="Book Antiqua" w:hAnsi="Book Antiqua" w:cs="Book Antiqua"/>
          <w:color w:val="000000"/>
        </w:rPr>
        <w:t>epartment of Health Statistics, School of Public Health, Jilin University for his kind help in reviewing the statistical methods and procedures in this meta-analysis.</w:t>
      </w:r>
    </w:p>
    <w:bookmarkEnd w:id="95"/>
    <w:bookmarkEnd w:id="96"/>
    <w:p w14:paraId="34AD4D52" w14:textId="77777777" w:rsidR="00A77B3E" w:rsidRDefault="00A77B3E">
      <w:pPr>
        <w:spacing w:line="360" w:lineRule="auto"/>
        <w:jc w:val="both"/>
      </w:pPr>
    </w:p>
    <w:p w14:paraId="777C1402" w14:textId="77777777" w:rsidR="00A77B3E" w:rsidRPr="002E04AC" w:rsidRDefault="001E2C53" w:rsidP="002E04AC">
      <w:pPr>
        <w:adjustRightInd w:val="0"/>
        <w:snapToGrid w:val="0"/>
        <w:spacing w:line="360" w:lineRule="auto"/>
        <w:jc w:val="both"/>
        <w:rPr>
          <w:rFonts w:ascii="Book Antiqua" w:hAnsi="Book Antiqua"/>
        </w:rPr>
      </w:pPr>
      <w:r w:rsidRPr="002E04AC">
        <w:rPr>
          <w:rFonts w:ascii="Book Antiqua" w:eastAsia="Book Antiqua" w:hAnsi="Book Antiqua" w:cs="Book Antiqua"/>
          <w:b/>
        </w:rPr>
        <w:t>REFERENCES</w:t>
      </w:r>
    </w:p>
    <w:p w14:paraId="6E188D0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97" w:name="OLE_LINK2622"/>
      <w:bookmarkStart w:id="98" w:name="OLE_LINK2623"/>
      <w:bookmarkStart w:id="99" w:name="OLE_LINK73"/>
      <w:bookmarkStart w:id="100" w:name="OLE_LINK74"/>
      <w:r w:rsidRPr="002E04AC">
        <w:rPr>
          <w:rFonts w:ascii="Book Antiqua" w:hAnsi="Book Antiqua"/>
        </w:rPr>
        <w:t>1 </w:t>
      </w:r>
      <w:r w:rsidRPr="002E04AC">
        <w:rPr>
          <w:rFonts w:ascii="Book Antiqua" w:hAnsi="Book Antiqua"/>
          <w:b/>
          <w:bCs/>
        </w:rPr>
        <w:t>Chen H</w:t>
      </w:r>
      <w:r w:rsidRPr="002E04AC">
        <w:rPr>
          <w:rFonts w:ascii="Book Antiqua" w:hAnsi="Book Antiqua"/>
        </w:rPr>
        <w:t>, Kubo KY. Bone three-dimensional microstructural features of the common osteoporotic fracture sites. </w:t>
      </w:r>
      <w:r w:rsidRPr="002E04AC">
        <w:rPr>
          <w:rFonts w:ascii="Book Antiqua" w:hAnsi="Book Antiqua"/>
          <w:i/>
          <w:iCs/>
        </w:rPr>
        <w:t>World J Orthop</w:t>
      </w:r>
      <w:r w:rsidRPr="002E04AC">
        <w:rPr>
          <w:rFonts w:ascii="Book Antiqua" w:hAnsi="Book Antiqua"/>
        </w:rPr>
        <w:t> 2014; </w:t>
      </w:r>
      <w:r w:rsidRPr="002E04AC">
        <w:rPr>
          <w:rFonts w:ascii="Book Antiqua" w:hAnsi="Book Antiqua"/>
          <w:b/>
          <w:bCs/>
        </w:rPr>
        <w:t>5</w:t>
      </w:r>
      <w:r w:rsidRPr="002E04AC">
        <w:rPr>
          <w:rFonts w:ascii="Book Antiqua" w:hAnsi="Book Antiqua"/>
        </w:rPr>
        <w:t>: 486-495 [PMID: 25232524 DOI: 10.5312/wjo.v5.i4.486]</w:t>
      </w:r>
    </w:p>
    <w:p w14:paraId="3EE752E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2 </w:t>
      </w:r>
      <w:r w:rsidRPr="002E04AC">
        <w:rPr>
          <w:rFonts w:ascii="Book Antiqua" w:hAnsi="Book Antiqua"/>
          <w:b/>
          <w:bCs/>
        </w:rPr>
        <w:t>Vandenbroucke A</w:t>
      </w:r>
      <w:r w:rsidRPr="002E04AC">
        <w:rPr>
          <w:rFonts w:ascii="Book Antiqua" w:hAnsi="Book Antiqua"/>
        </w:rPr>
        <w:t>, Luyten FP, Flamaing J, Gielen E. Pharmacological treatment of osteoporosis in the oldest old. </w:t>
      </w:r>
      <w:r w:rsidRPr="002E04AC">
        <w:rPr>
          <w:rFonts w:ascii="Book Antiqua" w:hAnsi="Book Antiqua"/>
          <w:i/>
          <w:iCs/>
        </w:rPr>
        <w:t>Clin Interv Aging</w:t>
      </w:r>
      <w:r w:rsidRPr="002E04AC">
        <w:rPr>
          <w:rFonts w:ascii="Book Antiqua" w:hAnsi="Book Antiqua"/>
        </w:rPr>
        <w:t> 2017; </w:t>
      </w:r>
      <w:r w:rsidRPr="002E04AC">
        <w:rPr>
          <w:rFonts w:ascii="Book Antiqua" w:hAnsi="Book Antiqua"/>
          <w:b/>
          <w:bCs/>
        </w:rPr>
        <w:t>12</w:t>
      </w:r>
      <w:r w:rsidRPr="002E04AC">
        <w:rPr>
          <w:rFonts w:ascii="Book Antiqua" w:hAnsi="Book Antiqua"/>
        </w:rPr>
        <w:t>: 1065-1077 [PMID: 28740372 DOI: 10.2147/CIA.S131023]</w:t>
      </w:r>
    </w:p>
    <w:p w14:paraId="4B656B5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3 </w:t>
      </w:r>
      <w:r w:rsidRPr="002E04AC">
        <w:rPr>
          <w:rFonts w:ascii="Book Antiqua" w:hAnsi="Book Antiqua"/>
          <w:b/>
          <w:bCs/>
        </w:rPr>
        <w:t>Agarwal R</w:t>
      </w:r>
      <w:r w:rsidRPr="002E04AC">
        <w:rPr>
          <w:rFonts w:ascii="Book Antiqua" w:hAnsi="Book Antiqua"/>
        </w:rPr>
        <w:t>, García AJ. Biomaterial strategies for engineering implants for enhanced osseointegration and bone repair. </w:t>
      </w:r>
      <w:r w:rsidRPr="002E04AC">
        <w:rPr>
          <w:rFonts w:ascii="Book Antiqua" w:hAnsi="Book Antiqua"/>
          <w:i/>
          <w:iCs/>
        </w:rPr>
        <w:t>Adv Drug Deliv Rev</w:t>
      </w:r>
      <w:r w:rsidRPr="002E04AC">
        <w:rPr>
          <w:rFonts w:ascii="Book Antiqua" w:hAnsi="Book Antiqua"/>
        </w:rPr>
        <w:t> 2015; </w:t>
      </w:r>
      <w:r w:rsidRPr="002E04AC">
        <w:rPr>
          <w:rFonts w:ascii="Book Antiqua" w:hAnsi="Book Antiqua"/>
          <w:b/>
          <w:bCs/>
        </w:rPr>
        <w:t>94</w:t>
      </w:r>
      <w:r w:rsidRPr="002E04AC">
        <w:rPr>
          <w:rFonts w:ascii="Book Antiqua" w:hAnsi="Book Antiqua"/>
        </w:rPr>
        <w:t>: 53-62 [PMID: 25861724 DOI: 10.1016/j.addr.2015.03.013]</w:t>
      </w:r>
    </w:p>
    <w:p w14:paraId="0CD4FF7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4 </w:t>
      </w:r>
      <w:r w:rsidRPr="002E04AC">
        <w:rPr>
          <w:rFonts w:ascii="Book Antiqua" w:hAnsi="Book Antiqua"/>
          <w:b/>
          <w:bCs/>
        </w:rPr>
        <w:t>Buchbinder R</w:t>
      </w:r>
      <w:r w:rsidRPr="002E04AC">
        <w:rPr>
          <w:rFonts w:ascii="Book Antiqua" w:hAnsi="Book Antiqua"/>
        </w:rPr>
        <w:t>, Johnston RV, Rischin KJ, Homik J, Jones CA, Golmohammadi K, Kallmes DF. Percutaneous vertebroplasty for osteoporotic vertebral compression fracture. </w:t>
      </w:r>
      <w:r w:rsidRPr="002E04AC">
        <w:rPr>
          <w:rFonts w:ascii="Book Antiqua" w:hAnsi="Book Antiqua"/>
          <w:i/>
          <w:iCs/>
        </w:rPr>
        <w:t>Cochrane Database Syst Rev</w:t>
      </w:r>
      <w:r w:rsidRPr="002E04AC">
        <w:rPr>
          <w:rFonts w:ascii="Book Antiqua" w:hAnsi="Book Antiqua"/>
        </w:rPr>
        <w:t> 2018; </w:t>
      </w:r>
      <w:r w:rsidRPr="002E04AC">
        <w:rPr>
          <w:rFonts w:ascii="Book Antiqua" w:hAnsi="Book Antiqua"/>
          <w:b/>
          <w:bCs/>
        </w:rPr>
        <w:t>4</w:t>
      </w:r>
      <w:r w:rsidRPr="002E04AC">
        <w:rPr>
          <w:rFonts w:ascii="Book Antiqua" w:hAnsi="Book Antiqua"/>
        </w:rPr>
        <w:t>: CD006349 [PMID: 29618171 DOI: 10.1002/14651858.CD006349.pub3]</w:t>
      </w:r>
    </w:p>
    <w:p w14:paraId="62595DE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5 </w:t>
      </w:r>
      <w:r w:rsidRPr="002E04AC">
        <w:rPr>
          <w:rFonts w:ascii="Book Antiqua" w:hAnsi="Book Antiqua"/>
          <w:b/>
          <w:bCs/>
        </w:rPr>
        <w:t>Li YX</w:t>
      </w:r>
      <w:r w:rsidRPr="002E04AC">
        <w:rPr>
          <w:rFonts w:ascii="Book Antiqua" w:hAnsi="Book Antiqua"/>
        </w:rPr>
        <w:t>, Guo DQ, Zhang SC, Liang, Yuan K, Mo GY, Li DX, Guo HZ, Tang Y, Luo PJ. Risk factor analysis for re-collapse of cemented vertebrae after percutaneous vertebroplasty (PVP) or percutaneous kyphoplasty (PKP). </w:t>
      </w:r>
      <w:r w:rsidRPr="002E04AC">
        <w:rPr>
          <w:rFonts w:ascii="Book Antiqua" w:hAnsi="Book Antiqua"/>
          <w:i/>
          <w:iCs/>
        </w:rPr>
        <w:t>Int Orthop</w:t>
      </w:r>
      <w:r w:rsidRPr="002E04AC">
        <w:rPr>
          <w:rFonts w:ascii="Book Antiqua" w:hAnsi="Book Antiqua"/>
        </w:rPr>
        <w:t> 2018; </w:t>
      </w:r>
      <w:r w:rsidRPr="002E04AC">
        <w:rPr>
          <w:rFonts w:ascii="Book Antiqua" w:hAnsi="Book Antiqua"/>
          <w:b/>
          <w:bCs/>
        </w:rPr>
        <w:t>42</w:t>
      </w:r>
      <w:r w:rsidRPr="002E04AC">
        <w:rPr>
          <w:rFonts w:ascii="Book Antiqua" w:hAnsi="Book Antiqua"/>
        </w:rPr>
        <w:t>: 2131-2139 [PMID: 29464371 DOI: 10.1007/s00264-018-3838-6]</w:t>
      </w:r>
    </w:p>
    <w:p w14:paraId="197479C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6 </w:t>
      </w:r>
      <w:r w:rsidRPr="002E04AC">
        <w:rPr>
          <w:rFonts w:ascii="Book Antiqua" w:hAnsi="Book Antiqua"/>
          <w:b/>
          <w:bCs/>
        </w:rPr>
        <w:t>Yu W</w:t>
      </w:r>
      <w:r w:rsidRPr="002E04AC">
        <w:rPr>
          <w:rFonts w:ascii="Book Antiqua" w:hAnsi="Book Antiqua"/>
        </w:rPr>
        <w:t>, Xu W, Jiang X, Liang, Jian W. Risk Factors for Recollapse of the Augmented Vertebrae After Percutaneous Vertebral Augmentation: A Systematic Review and Meta-Analysis. </w:t>
      </w:r>
      <w:r w:rsidRPr="002E04AC">
        <w:rPr>
          <w:rFonts w:ascii="Book Antiqua" w:hAnsi="Book Antiqua"/>
          <w:i/>
          <w:iCs/>
        </w:rPr>
        <w:t>World Neurosurg</w:t>
      </w:r>
      <w:r w:rsidRPr="002E04AC">
        <w:rPr>
          <w:rFonts w:ascii="Book Antiqua" w:hAnsi="Book Antiqua"/>
        </w:rPr>
        <w:t> 2018; </w:t>
      </w:r>
      <w:r w:rsidRPr="002E04AC">
        <w:rPr>
          <w:rFonts w:ascii="Book Antiqua" w:hAnsi="Book Antiqua"/>
          <w:b/>
          <w:bCs/>
        </w:rPr>
        <w:t>111</w:t>
      </w:r>
      <w:r w:rsidRPr="002E04AC">
        <w:rPr>
          <w:rFonts w:ascii="Book Antiqua" w:hAnsi="Book Antiqua"/>
        </w:rPr>
        <w:t>: 119-129 [PMID: 29253703 DOI: 10.1016/j.wneu.2017.12.019]</w:t>
      </w:r>
    </w:p>
    <w:p w14:paraId="2470A1BC"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7 </w:t>
      </w:r>
      <w:r w:rsidRPr="002E04AC">
        <w:rPr>
          <w:rFonts w:ascii="Book Antiqua" w:hAnsi="Book Antiqua"/>
          <w:b/>
          <w:bCs/>
        </w:rPr>
        <w:t>Gaughen JR Jr</w:t>
      </w:r>
      <w:r w:rsidRPr="002E04AC">
        <w:rPr>
          <w:rFonts w:ascii="Book Antiqua" w:hAnsi="Book Antiqua"/>
        </w:rPr>
        <w:t>, Jensen ME, Schweickert PA, Marx WF, Kallmes DF. The therapeutic benefit of repeat percutaneous vertebroplasty at previously treated vertebral levels. </w:t>
      </w:r>
      <w:r w:rsidRPr="002E04AC">
        <w:rPr>
          <w:rFonts w:ascii="Book Antiqua" w:hAnsi="Book Antiqua"/>
          <w:i/>
          <w:iCs/>
        </w:rPr>
        <w:t>AJNR Am J Neuroradiol</w:t>
      </w:r>
      <w:r w:rsidRPr="002E04AC">
        <w:rPr>
          <w:rFonts w:ascii="Book Antiqua" w:hAnsi="Book Antiqua"/>
        </w:rPr>
        <w:t> 2002; </w:t>
      </w:r>
      <w:r w:rsidRPr="002E04AC">
        <w:rPr>
          <w:rFonts w:ascii="Book Antiqua" w:hAnsi="Book Antiqua"/>
          <w:b/>
          <w:bCs/>
        </w:rPr>
        <w:t>23</w:t>
      </w:r>
      <w:r w:rsidRPr="002E04AC">
        <w:rPr>
          <w:rFonts w:ascii="Book Antiqua" w:hAnsi="Book Antiqua"/>
        </w:rPr>
        <w:t>: 1657-1661 [</w:t>
      </w:r>
      <w:bookmarkStart w:id="101" w:name="OLE_LINK95"/>
      <w:bookmarkStart w:id="102" w:name="OLE_LINK96"/>
      <w:bookmarkStart w:id="103" w:name="OLE_LINK97"/>
      <w:bookmarkStart w:id="104" w:name="OLE_LINK98"/>
      <w:r w:rsidRPr="002E04AC">
        <w:rPr>
          <w:rFonts w:ascii="Book Antiqua" w:hAnsi="Book Antiqua"/>
        </w:rPr>
        <w:t>PMID: 12427618</w:t>
      </w:r>
      <w:bookmarkEnd w:id="101"/>
      <w:bookmarkEnd w:id="102"/>
      <w:bookmarkEnd w:id="103"/>
      <w:bookmarkEnd w:id="104"/>
      <w:r w:rsidRPr="002E04AC">
        <w:rPr>
          <w:rFonts w:ascii="Book Antiqua" w:hAnsi="Book Antiqua"/>
        </w:rPr>
        <w:t>]</w:t>
      </w:r>
    </w:p>
    <w:p w14:paraId="0FF965FE"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8 </w:t>
      </w:r>
      <w:r w:rsidRPr="002E04AC">
        <w:rPr>
          <w:rFonts w:ascii="Book Antiqua" w:hAnsi="Book Antiqua"/>
          <w:b/>
          <w:bCs/>
        </w:rPr>
        <w:t>Stang A</w:t>
      </w:r>
      <w:r w:rsidRPr="002E04AC">
        <w:rPr>
          <w:rFonts w:ascii="Book Antiqua" w:hAnsi="Book Antiqua"/>
        </w:rPr>
        <w:t>. Critical evaluation of the Newcastle-Ottawa scale for the assessment of the quality of nonrandomized studies in meta-analyses. </w:t>
      </w:r>
      <w:r w:rsidRPr="002E04AC">
        <w:rPr>
          <w:rFonts w:ascii="Book Antiqua" w:hAnsi="Book Antiqua"/>
          <w:i/>
          <w:iCs/>
        </w:rPr>
        <w:t>Eur J Epidemiol</w:t>
      </w:r>
      <w:r w:rsidRPr="002E04AC">
        <w:rPr>
          <w:rFonts w:ascii="Book Antiqua" w:hAnsi="Book Antiqua"/>
        </w:rPr>
        <w:t> 2010; </w:t>
      </w:r>
      <w:r w:rsidRPr="002E04AC">
        <w:rPr>
          <w:rFonts w:ascii="Book Antiqua" w:hAnsi="Book Antiqua"/>
          <w:b/>
          <w:bCs/>
        </w:rPr>
        <w:t>25</w:t>
      </w:r>
      <w:r w:rsidRPr="002E04AC">
        <w:rPr>
          <w:rFonts w:ascii="Book Antiqua" w:hAnsi="Book Antiqua"/>
        </w:rPr>
        <w:t>: 603-605 [PMID: 20652370 DOI: 10.1007/s10654-010-9491-z]</w:t>
      </w:r>
    </w:p>
    <w:p w14:paraId="6DCA79B1"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9 </w:t>
      </w:r>
      <w:r w:rsidRPr="002E04AC">
        <w:rPr>
          <w:rFonts w:ascii="Book Antiqua" w:hAnsi="Book Antiqua"/>
          <w:b/>
          <w:bCs/>
        </w:rPr>
        <w:t>Lau J</w:t>
      </w:r>
      <w:r w:rsidRPr="002E04AC">
        <w:rPr>
          <w:rFonts w:ascii="Book Antiqua" w:hAnsi="Book Antiqua"/>
        </w:rPr>
        <w:t>, Ioannidis JP, Schmid CH. Quantitative synthesis in systematic reviews. </w:t>
      </w:r>
      <w:r w:rsidRPr="002E04AC">
        <w:rPr>
          <w:rFonts w:ascii="Book Antiqua" w:hAnsi="Book Antiqua"/>
          <w:i/>
          <w:iCs/>
        </w:rPr>
        <w:t>Ann Intern Med</w:t>
      </w:r>
      <w:r w:rsidRPr="002E04AC">
        <w:rPr>
          <w:rFonts w:ascii="Book Antiqua" w:hAnsi="Book Antiqua"/>
        </w:rPr>
        <w:t> 1997; </w:t>
      </w:r>
      <w:r w:rsidRPr="002E04AC">
        <w:rPr>
          <w:rFonts w:ascii="Book Antiqua" w:hAnsi="Book Antiqua"/>
          <w:b/>
          <w:bCs/>
        </w:rPr>
        <w:t>127</w:t>
      </w:r>
      <w:r w:rsidRPr="002E04AC">
        <w:rPr>
          <w:rFonts w:ascii="Book Antiqua" w:hAnsi="Book Antiqua"/>
        </w:rPr>
        <w:t>: 820-826 [PMID: 9382404 DOI: 10.7326/0003-4819-127-9-199711010-00008]</w:t>
      </w:r>
    </w:p>
    <w:p w14:paraId="0BAB72E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10 </w:t>
      </w:r>
      <w:r w:rsidRPr="002E04AC">
        <w:rPr>
          <w:rFonts w:ascii="Book Antiqua" w:hAnsi="Book Antiqua"/>
          <w:b/>
          <w:bCs/>
        </w:rPr>
        <w:t>Lau J</w:t>
      </w:r>
      <w:r w:rsidRPr="002E04AC">
        <w:rPr>
          <w:rFonts w:ascii="Book Antiqua" w:hAnsi="Book Antiqua"/>
        </w:rPr>
        <w:t>, Ioannidis JP, Terrin N, Schmid CH, Olkin I. The case of the misleading funnel plot. </w:t>
      </w:r>
      <w:r w:rsidRPr="002E04AC">
        <w:rPr>
          <w:rFonts w:ascii="Book Antiqua" w:hAnsi="Book Antiqua"/>
          <w:i/>
          <w:iCs/>
        </w:rPr>
        <w:t>BMJ</w:t>
      </w:r>
      <w:r w:rsidRPr="002E04AC">
        <w:rPr>
          <w:rFonts w:ascii="Book Antiqua" w:hAnsi="Book Antiqua"/>
        </w:rPr>
        <w:t> 2006; </w:t>
      </w:r>
      <w:r w:rsidRPr="002E04AC">
        <w:rPr>
          <w:rFonts w:ascii="Book Antiqua" w:hAnsi="Book Antiqua"/>
          <w:b/>
          <w:bCs/>
        </w:rPr>
        <w:t>333</w:t>
      </w:r>
      <w:r w:rsidRPr="002E04AC">
        <w:rPr>
          <w:rFonts w:ascii="Book Antiqua" w:hAnsi="Book Antiqua"/>
        </w:rPr>
        <w:t>: 597-600 [PMID: 16974018 DOI: 10.1136/bmj.333.7568.597]</w:t>
      </w:r>
    </w:p>
    <w:p w14:paraId="4B63446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11 </w:t>
      </w:r>
      <w:r w:rsidRPr="002E04AC">
        <w:rPr>
          <w:rFonts w:ascii="Book Antiqua" w:hAnsi="Book Antiqua"/>
          <w:b/>
          <w:bCs/>
        </w:rPr>
        <w:t>Lin WC</w:t>
      </w:r>
      <w:r w:rsidRPr="002E04AC">
        <w:rPr>
          <w:rFonts w:ascii="Book Antiqua" w:hAnsi="Book Antiqua"/>
        </w:rPr>
        <w:t>, Lee YC, Lee CH, Kuo YL, Cheng YF, Lui CC, Cheng TT. Refractures in cemented vertebrae after percutaneous vertebroplasty: a retrospective analysis. </w:t>
      </w:r>
      <w:r w:rsidRPr="002E04AC">
        <w:rPr>
          <w:rFonts w:ascii="Book Antiqua" w:hAnsi="Book Antiqua"/>
          <w:i/>
          <w:iCs/>
        </w:rPr>
        <w:t>Eur Spine J</w:t>
      </w:r>
      <w:r w:rsidRPr="002E04AC">
        <w:rPr>
          <w:rFonts w:ascii="Book Antiqua" w:hAnsi="Book Antiqua"/>
        </w:rPr>
        <w:t> 2008; </w:t>
      </w:r>
      <w:r w:rsidRPr="002E04AC">
        <w:rPr>
          <w:rFonts w:ascii="Book Antiqua" w:hAnsi="Book Antiqua"/>
          <w:b/>
          <w:bCs/>
        </w:rPr>
        <w:t>17</w:t>
      </w:r>
      <w:r w:rsidRPr="002E04AC">
        <w:rPr>
          <w:rFonts w:ascii="Book Antiqua" w:hAnsi="Book Antiqua"/>
        </w:rPr>
        <w:t>: 592-599 [PMID: 18204942 DOI: 10.1007/s00586-007-0564-y]</w:t>
      </w:r>
    </w:p>
    <w:p w14:paraId="3A4430BC"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12 </w:t>
      </w:r>
      <w:r w:rsidRPr="002E04AC">
        <w:rPr>
          <w:rFonts w:ascii="Book Antiqua" w:hAnsi="Book Antiqua"/>
          <w:b/>
          <w:bCs/>
        </w:rPr>
        <w:t>Heo DH</w:t>
      </w:r>
      <w:r w:rsidRPr="002E04AC">
        <w:rPr>
          <w:rFonts w:ascii="Book Antiqua" w:hAnsi="Book Antiqua"/>
        </w:rPr>
        <w:t>, Chin DK, Yoon YS, Kuh SU. Recollapse of previous vertebral compression fracture after percutaneous vertebroplasty. </w:t>
      </w:r>
      <w:r w:rsidRPr="002E04AC">
        <w:rPr>
          <w:rFonts w:ascii="Book Antiqua" w:hAnsi="Book Antiqua"/>
          <w:i/>
          <w:iCs/>
        </w:rPr>
        <w:t>Osteoporos Int</w:t>
      </w:r>
      <w:r w:rsidRPr="002E04AC">
        <w:rPr>
          <w:rFonts w:ascii="Book Antiqua" w:hAnsi="Book Antiqua"/>
        </w:rPr>
        <w:t> 2009; </w:t>
      </w:r>
      <w:r w:rsidRPr="002E04AC">
        <w:rPr>
          <w:rFonts w:ascii="Book Antiqua" w:hAnsi="Book Antiqua"/>
          <w:b/>
          <w:bCs/>
        </w:rPr>
        <w:t>20</w:t>
      </w:r>
      <w:r w:rsidRPr="002E04AC">
        <w:rPr>
          <w:rFonts w:ascii="Book Antiqua" w:hAnsi="Book Antiqua"/>
        </w:rPr>
        <w:t>: 473-480 [PMID: 18636218 DOI: 10.1007/s00198-008-0682-3]</w:t>
      </w:r>
    </w:p>
    <w:p w14:paraId="650E65CD"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13 </w:t>
      </w:r>
      <w:r w:rsidRPr="002E04AC">
        <w:rPr>
          <w:rFonts w:ascii="Book Antiqua" w:hAnsi="Book Antiqua"/>
          <w:b/>
          <w:bCs/>
        </w:rPr>
        <w:t>Lin WC</w:t>
      </w:r>
      <w:r w:rsidRPr="002E04AC">
        <w:rPr>
          <w:rFonts w:ascii="Book Antiqua" w:hAnsi="Book Antiqua"/>
        </w:rPr>
        <w:t>, Lu CH, Chen HL, Wang HC, Yu CY, Wu RW, Cheng YF, Lui CC. The impact of preoperative magnetic resonance images on outcome of cemented vertebrae. </w:t>
      </w:r>
      <w:r w:rsidRPr="002E04AC">
        <w:rPr>
          <w:rFonts w:ascii="Book Antiqua" w:hAnsi="Book Antiqua"/>
          <w:i/>
          <w:iCs/>
        </w:rPr>
        <w:t>Eur Spine J</w:t>
      </w:r>
      <w:r w:rsidRPr="002E04AC">
        <w:rPr>
          <w:rFonts w:ascii="Book Antiqua" w:hAnsi="Book Antiqua"/>
        </w:rPr>
        <w:t> 2010; </w:t>
      </w:r>
      <w:r w:rsidRPr="002E04AC">
        <w:rPr>
          <w:rFonts w:ascii="Book Antiqua" w:hAnsi="Book Antiqua"/>
          <w:b/>
          <w:bCs/>
        </w:rPr>
        <w:t>19</w:t>
      </w:r>
      <w:r w:rsidRPr="002E04AC">
        <w:rPr>
          <w:rFonts w:ascii="Book Antiqua" w:hAnsi="Book Antiqua"/>
        </w:rPr>
        <w:t>: 1899-1906 [PMID: 20607571 DOI: 10.1007/s00586-010-1434-6]</w:t>
      </w:r>
    </w:p>
    <w:p w14:paraId="74644A9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14 </w:t>
      </w:r>
      <w:r w:rsidRPr="002E04AC">
        <w:rPr>
          <w:rFonts w:ascii="Book Antiqua" w:hAnsi="Book Antiqua"/>
          <w:b/>
          <w:bCs/>
        </w:rPr>
        <w:t>Kang SK</w:t>
      </w:r>
      <w:r w:rsidRPr="002E04AC">
        <w:rPr>
          <w:rFonts w:ascii="Book Antiqua" w:hAnsi="Book Antiqua"/>
        </w:rPr>
        <w:t>, Lee CW, Park NK, Kang TW, Lim JW, Cha KY, Kim JH. Predictive risk factors for refracture after percutaneous vertebroplasty. </w:t>
      </w:r>
      <w:r w:rsidRPr="002E04AC">
        <w:rPr>
          <w:rFonts w:ascii="Book Antiqua" w:hAnsi="Book Antiqua"/>
          <w:i/>
          <w:iCs/>
        </w:rPr>
        <w:t>Ann Rehabil Med</w:t>
      </w:r>
      <w:r w:rsidRPr="002E04AC">
        <w:rPr>
          <w:rFonts w:ascii="Book Antiqua" w:hAnsi="Book Antiqua"/>
        </w:rPr>
        <w:t> 2011; </w:t>
      </w:r>
      <w:r w:rsidRPr="002E04AC">
        <w:rPr>
          <w:rFonts w:ascii="Book Antiqua" w:hAnsi="Book Antiqua"/>
          <w:b/>
          <w:bCs/>
        </w:rPr>
        <w:t>35</w:t>
      </w:r>
      <w:r w:rsidRPr="002E04AC">
        <w:rPr>
          <w:rFonts w:ascii="Book Antiqua" w:hAnsi="Book Antiqua"/>
        </w:rPr>
        <w:t>: 844-851 [PMID: 22506213 DOI: 10.5535/arm.2011.35.6.844]</w:t>
      </w:r>
    </w:p>
    <w:p w14:paraId="468DF931"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15 </w:t>
      </w:r>
      <w:r w:rsidRPr="002E04AC">
        <w:rPr>
          <w:rFonts w:ascii="Book Antiqua" w:hAnsi="Book Antiqua"/>
          <w:b/>
          <w:bCs/>
        </w:rPr>
        <w:t>Chen LH</w:t>
      </w:r>
      <w:r w:rsidRPr="002E04AC">
        <w:rPr>
          <w:rFonts w:ascii="Book Antiqua" w:hAnsi="Book Antiqua"/>
        </w:rPr>
        <w:t>, Hsieh MK, Liao JC, Lai PL, Niu CC, Fu TS, Tsai TT, Chen WJ. Repeated percutaneous vertebroplasty for refracture of cemented vertebrae. </w:t>
      </w:r>
      <w:r w:rsidRPr="002E04AC">
        <w:rPr>
          <w:rFonts w:ascii="Book Antiqua" w:hAnsi="Book Antiqua"/>
          <w:i/>
          <w:iCs/>
        </w:rPr>
        <w:t>Arch Orthop Trauma Surg</w:t>
      </w:r>
      <w:r w:rsidRPr="002E04AC">
        <w:rPr>
          <w:rFonts w:ascii="Book Antiqua" w:hAnsi="Book Antiqua"/>
        </w:rPr>
        <w:t> 2011; </w:t>
      </w:r>
      <w:r w:rsidRPr="002E04AC">
        <w:rPr>
          <w:rFonts w:ascii="Book Antiqua" w:hAnsi="Book Antiqua"/>
          <w:b/>
          <w:bCs/>
        </w:rPr>
        <w:t>131</w:t>
      </w:r>
      <w:r w:rsidRPr="002E04AC">
        <w:rPr>
          <w:rFonts w:ascii="Book Antiqua" w:hAnsi="Book Antiqua"/>
        </w:rPr>
        <w:t>: 927-933 [PMID: 21191607 DOI: 10.1007/s00402-010-1236-7]</w:t>
      </w:r>
    </w:p>
    <w:p w14:paraId="4F9D962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16 </w:t>
      </w:r>
      <w:r w:rsidRPr="002E04AC">
        <w:rPr>
          <w:rFonts w:ascii="Book Antiqua" w:hAnsi="Book Antiqua"/>
          <w:b/>
          <w:bCs/>
        </w:rPr>
        <w:t>Oh HS</w:t>
      </w:r>
      <w:r w:rsidRPr="002E04AC">
        <w:rPr>
          <w:rFonts w:ascii="Book Antiqua" w:hAnsi="Book Antiqua"/>
        </w:rPr>
        <w:t>, Kim TW, Kim HG, Park KH. Gradual Height Decrease of Augmented Vertebrae after Vertebroplasty at the Thoracolumbar Junction. </w:t>
      </w:r>
      <w:r w:rsidRPr="002E04AC">
        <w:rPr>
          <w:rFonts w:ascii="Book Antiqua" w:hAnsi="Book Antiqua"/>
          <w:i/>
          <w:iCs/>
        </w:rPr>
        <w:t>Korean J Neurotrauma</w:t>
      </w:r>
      <w:r w:rsidRPr="002E04AC">
        <w:rPr>
          <w:rFonts w:ascii="Book Antiqua" w:hAnsi="Book Antiqua"/>
        </w:rPr>
        <w:t> 2016; </w:t>
      </w:r>
      <w:r w:rsidRPr="002E04AC">
        <w:rPr>
          <w:rFonts w:ascii="Book Antiqua" w:hAnsi="Book Antiqua"/>
          <w:b/>
          <w:bCs/>
        </w:rPr>
        <w:t>12</w:t>
      </w:r>
      <w:r w:rsidRPr="002E04AC">
        <w:rPr>
          <w:rFonts w:ascii="Book Antiqua" w:hAnsi="Book Antiqua"/>
        </w:rPr>
        <w:t>: 18-21 [PMID: 27182497 DOI: 10.13004/kjnt.2016.12.1.18]</w:t>
      </w:r>
    </w:p>
    <w:p w14:paraId="6B964FB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17 </w:t>
      </w:r>
      <w:r w:rsidRPr="002E04AC">
        <w:rPr>
          <w:rFonts w:ascii="Book Antiqua" w:hAnsi="Book Antiqua"/>
          <w:b/>
          <w:bCs/>
        </w:rPr>
        <w:t>Zhang L</w:t>
      </w:r>
      <w:r w:rsidRPr="002E04AC">
        <w:rPr>
          <w:rFonts w:ascii="Book Antiqua" w:hAnsi="Book Antiqua"/>
        </w:rPr>
        <w:t>, Wang Q, Wang L, Shen J, Zhang Q, Sun C. Bone cement distribution in the vertebral body affects chances of recompression after percutaneous vertebroplasty treatment in elderly patients with osteoporotic vertebral compression fractures. </w:t>
      </w:r>
      <w:r w:rsidRPr="002E04AC">
        <w:rPr>
          <w:rFonts w:ascii="Book Antiqua" w:hAnsi="Book Antiqua"/>
          <w:i/>
          <w:iCs/>
        </w:rPr>
        <w:t>Clin Interv Aging</w:t>
      </w:r>
      <w:r w:rsidRPr="002E04AC">
        <w:rPr>
          <w:rFonts w:ascii="Book Antiqua" w:hAnsi="Book Antiqua"/>
        </w:rPr>
        <w:t> 2017; </w:t>
      </w:r>
      <w:r w:rsidRPr="002E04AC">
        <w:rPr>
          <w:rFonts w:ascii="Book Antiqua" w:hAnsi="Book Antiqua"/>
          <w:b/>
          <w:bCs/>
        </w:rPr>
        <w:t>12</w:t>
      </w:r>
      <w:r w:rsidRPr="002E04AC">
        <w:rPr>
          <w:rFonts w:ascii="Book Antiqua" w:hAnsi="Book Antiqua"/>
        </w:rPr>
        <w:t>: 431-436 [PMID: 28260871 DOI: 10.2147/CIA.S113240]</w:t>
      </w:r>
    </w:p>
    <w:p w14:paraId="007C77B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18 </w:t>
      </w:r>
      <w:r w:rsidRPr="002E04AC">
        <w:rPr>
          <w:rFonts w:ascii="Book Antiqua" w:hAnsi="Book Antiqua"/>
          <w:b/>
          <w:bCs/>
        </w:rPr>
        <w:t>He D</w:t>
      </w:r>
      <w:r w:rsidRPr="002E04AC">
        <w:rPr>
          <w:rFonts w:ascii="Book Antiqua" w:hAnsi="Book Antiqua"/>
        </w:rPr>
        <w:t>, Lou C, Yu W, Zhu K, Wu Z, Liu F, Chen M, Zheng L, Chen Z, Fan S. Cement Distribution Patterns Are Associated with Recompression in Cemented Vertebrae After Percutaneous Vertebroplasty: A Retrospective Study. </w:t>
      </w:r>
      <w:r w:rsidRPr="002E04AC">
        <w:rPr>
          <w:rFonts w:ascii="Book Antiqua" w:hAnsi="Book Antiqua"/>
          <w:i/>
          <w:iCs/>
        </w:rPr>
        <w:t>World Neurosurg</w:t>
      </w:r>
      <w:r w:rsidRPr="002E04AC">
        <w:rPr>
          <w:rFonts w:ascii="Book Antiqua" w:hAnsi="Book Antiqua"/>
        </w:rPr>
        <w:t> 2018; </w:t>
      </w:r>
      <w:r w:rsidRPr="002E04AC">
        <w:rPr>
          <w:rFonts w:ascii="Book Antiqua" w:hAnsi="Book Antiqua"/>
          <w:b/>
          <w:bCs/>
        </w:rPr>
        <w:t>120</w:t>
      </w:r>
      <w:r w:rsidRPr="002E04AC">
        <w:rPr>
          <w:rFonts w:ascii="Book Antiqua" w:hAnsi="Book Antiqua"/>
        </w:rPr>
        <w:t>: e1-e7 [PMID: 29945011 DOI: 10.1016/j.wneu.2018.06.113]</w:t>
      </w:r>
    </w:p>
    <w:p w14:paraId="4208B045"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19 </w:t>
      </w:r>
      <w:r w:rsidRPr="002E04AC">
        <w:rPr>
          <w:rFonts w:ascii="Book Antiqua" w:hAnsi="Book Antiqua"/>
          <w:b/>
          <w:bCs/>
        </w:rPr>
        <w:t>Yu WB</w:t>
      </w:r>
      <w:r w:rsidRPr="002E04AC">
        <w:rPr>
          <w:rFonts w:ascii="Book Antiqua" w:hAnsi="Book Antiqua"/>
        </w:rPr>
        <w:t>, Jiang XB, Liang D, Xu WX, Ye LQ, Wang J. Risk factors and score for recollapse of the augmented vertebrae after percutaneous vertebroplasty in osteoporotic vertebral compression fractures. </w:t>
      </w:r>
      <w:r w:rsidRPr="002E04AC">
        <w:rPr>
          <w:rFonts w:ascii="Book Antiqua" w:hAnsi="Book Antiqua"/>
          <w:i/>
          <w:iCs/>
        </w:rPr>
        <w:t>Osteoporos Int</w:t>
      </w:r>
      <w:r w:rsidRPr="002E04AC">
        <w:rPr>
          <w:rFonts w:ascii="Book Antiqua" w:hAnsi="Book Antiqua"/>
        </w:rPr>
        <w:t> 2019; </w:t>
      </w:r>
      <w:r w:rsidRPr="002E04AC">
        <w:rPr>
          <w:rFonts w:ascii="Book Antiqua" w:hAnsi="Book Antiqua"/>
          <w:b/>
          <w:bCs/>
        </w:rPr>
        <w:t>30</w:t>
      </w:r>
      <w:r w:rsidRPr="002E04AC">
        <w:rPr>
          <w:rFonts w:ascii="Book Antiqua" w:hAnsi="Book Antiqua"/>
        </w:rPr>
        <w:t>: 423-430 [PMID: 30368576 DOI: 10.1007/s00198-018-4754-8]</w:t>
      </w:r>
    </w:p>
    <w:p w14:paraId="625F214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20 </w:t>
      </w:r>
      <w:r w:rsidRPr="002E04AC">
        <w:rPr>
          <w:rFonts w:ascii="Book Antiqua" w:hAnsi="Book Antiqua"/>
          <w:b/>
          <w:bCs/>
        </w:rPr>
        <w:t>Jensen ME</w:t>
      </w:r>
      <w:r w:rsidRPr="002E04AC">
        <w:rPr>
          <w:rFonts w:ascii="Book Antiqua" w:hAnsi="Book Antiqua"/>
        </w:rPr>
        <w:t>, Evans AJ, Mathis JM, Kallmes DF, Cloft HJ, Dion JE. Percutaneous polymethylmethacrylate vertebroplasty in the treatment of osteoporotic vertebral body compression fractures: technical aspects. </w:t>
      </w:r>
      <w:r w:rsidRPr="002E04AC">
        <w:rPr>
          <w:rFonts w:ascii="Book Antiqua" w:hAnsi="Book Antiqua"/>
          <w:i/>
          <w:iCs/>
        </w:rPr>
        <w:t>AJNR Am J Neuroradiol</w:t>
      </w:r>
      <w:r w:rsidRPr="002E04AC">
        <w:rPr>
          <w:rFonts w:ascii="Book Antiqua" w:hAnsi="Book Antiqua"/>
        </w:rPr>
        <w:t> 1997; </w:t>
      </w:r>
      <w:r w:rsidRPr="002E04AC">
        <w:rPr>
          <w:rFonts w:ascii="Book Antiqua" w:hAnsi="Book Antiqua"/>
          <w:b/>
          <w:bCs/>
        </w:rPr>
        <w:t>18</w:t>
      </w:r>
      <w:r w:rsidRPr="002E04AC">
        <w:rPr>
          <w:rFonts w:ascii="Book Antiqua" w:hAnsi="Book Antiqua"/>
        </w:rPr>
        <w:t>: 1897-1904 [</w:t>
      </w:r>
      <w:bookmarkStart w:id="105" w:name="OLE_LINK99"/>
      <w:r w:rsidRPr="002E04AC">
        <w:rPr>
          <w:rFonts w:ascii="Book Antiqua" w:hAnsi="Book Antiqua"/>
        </w:rPr>
        <w:t>PMID: 9403451</w:t>
      </w:r>
      <w:bookmarkEnd w:id="105"/>
      <w:r w:rsidRPr="002E04AC">
        <w:rPr>
          <w:rFonts w:ascii="Book Antiqua" w:hAnsi="Book Antiqua"/>
        </w:rPr>
        <w:t>]</w:t>
      </w:r>
    </w:p>
    <w:p w14:paraId="768CA0C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21 </w:t>
      </w:r>
      <w:r w:rsidRPr="002E04AC">
        <w:rPr>
          <w:rFonts w:ascii="Book Antiqua" w:hAnsi="Book Antiqua"/>
          <w:b/>
          <w:bCs/>
        </w:rPr>
        <w:t>Nagoshi N</w:t>
      </w:r>
      <w:r w:rsidRPr="002E04AC">
        <w:rPr>
          <w:rFonts w:ascii="Book Antiqua" w:hAnsi="Book Antiqua"/>
        </w:rPr>
        <w:t>, Fukuda K, Shioda M, Machida M. Anterior spinal fixation for recollapse of cemented vertebrae after percutaneous vertebroplasty. </w:t>
      </w:r>
      <w:r w:rsidRPr="002E04AC">
        <w:rPr>
          <w:rFonts w:ascii="Book Antiqua" w:hAnsi="Book Antiqua"/>
          <w:i/>
          <w:iCs/>
        </w:rPr>
        <w:t>BMJ Case Rep</w:t>
      </w:r>
      <w:r w:rsidRPr="002E04AC">
        <w:rPr>
          <w:rFonts w:ascii="Book Antiqua" w:hAnsi="Book Antiqua"/>
        </w:rPr>
        <w:t> 2016; </w:t>
      </w:r>
      <w:r w:rsidRPr="002E04AC">
        <w:rPr>
          <w:rFonts w:ascii="Book Antiqua" w:hAnsi="Book Antiqua"/>
          <w:b/>
          <w:bCs/>
        </w:rPr>
        <w:t>2016</w:t>
      </w:r>
      <w:r w:rsidRPr="002E04AC">
        <w:rPr>
          <w:rFonts w:ascii="Book Antiqua" w:hAnsi="Book Antiqua"/>
        </w:rPr>
        <w:t> [PMID: 26994051 DOI: 10.1136/bcr-2016-214510]</w:t>
      </w:r>
    </w:p>
    <w:p w14:paraId="0C0088B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22 </w:t>
      </w:r>
      <w:r w:rsidRPr="002E04AC">
        <w:rPr>
          <w:rFonts w:ascii="Book Antiqua" w:hAnsi="Book Antiqua"/>
          <w:b/>
          <w:bCs/>
        </w:rPr>
        <w:t>Choi SS</w:t>
      </w:r>
      <w:r w:rsidRPr="002E04AC">
        <w:rPr>
          <w:rFonts w:ascii="Book Antiqua" w:hAnsi="Book Antiqua"/>
        </w:rPr>
        <w:t>, Hur WS, Lee JJ, Oh SK, Lee MK. Repeat vertebroplasty for the subsequent refracture of procedured vertebra. </w:t>
      </w:r>
      <w:r w:rsidRPr="002E04AC">
        <w:rPr>
          <w:rFonts w:ascii="Book Antiqua" w:hAnsi="Book Antiqua"/>
          <w:i/>
          <w:iCs/>
        </w:rPr>
        <w:t>Korean J Pain</w:t>
      </w:r>
      <w:r w:rsidRPr="002E04AC">
        <w:rPr>
          <w:rFonts w:ascii="Book Antiqua" w:hAnsi="Book Antiqua"/>
        </w:rPr>
        <w:t> 2013; </w:t>
      </w:r>
      <w:r w:rsidRPr="002E04AC">
        <w:rPr>
          <w:rFonts w:ascii="Book Antiqua" w:hAnsi="Book Antiqua"/>
          <w:b/>
          <w:bCs/>
        </w:rPr>
        <w:t>26</w:t>
      </w:r>
      <w:r w:rsidRPr="002E04AC">
        <w:rPr>
          <w:rFonts w:ascii="Book Antiqua" w:hAnsi="Book Antiqua"/>
        </w:rPr>
        <w:t>: 94-97 [PMID: 23342217 DOI: 10.3344/kjp.2013.26.1.94]</w:t>
      </w:r>
    </w:p>
    <w:p w14:paraId="0B88FA7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23 </w:t>
      </w:r>
      <w:r w:rsidRPr="002E04AC">
        <w:rPr>
          <w:rFonts w:ascii="Book Antiqua" w:hAnsi="Book Antiqua"/>
          <w:b/>
          <w:bCs/>
        </w:rPr>
        <w:t>Navarro-Navarro R</w:t>
      </w:r>
      <w:r w:rsidRPr="002E04AC">
        <w:rPr>
          <w:rFonts w:ascii="Book Antiqua" w:hAnsi="Book Antiqua"/>
        </w:rPr>
        <w:t>, Fernández-Varela T, Montesdeoca-Ara A, Lorenzo-Rivero JA. Outcomes of vertebroplasty in osteoporotic vertebral fractures with limited indication. </w:t>
      </w:r>
      <w:r w:rsidRPr="002E04AC">
        <w:rPr>
          <w:rFonts w:ascii="Book Antiqua" w:hAnsi="Book Antiqua"/>
          <w:i/>
          <w:iCs/>
        </w:rPr>
        <w:t>Rev Esp Cir Ortop Traumatol</w:t>
      </w:r>
      <w:r w:rsidRPr="002E04AC">
        <w:rPr>
          <w:rFonts w:ascii="Book Antiqua" w:hAnsi="Book Antiqua"/>
        </w:rPr>
        <w:t> 2020; </w:t>
      </w:r>
      <w:r w:rsidRPr="002E04AC">
        <w:rPr>
          <w:rFonts w:ascii="Book Antiqua" w:hAnsi="Book Antiqua"/>
          <w:b/>
          <w:bCs/>
        </w:rPr>
        <w:t>64</w:t>
      </w:r>
      <w:r w:rsidRPr="002E04AC">
        <w:rPr>
          <w:rFonts w:ascii="Book Antiqua" w:hAnsi="Book Antiqua"/>
        </w:rPr>
        <w:t>: 4-12 [PMID: 31786100 DOI: 10.1016/j.recot.2019.09.010]</w:t>
      </w:r>
    </w:p>
    <w:p w14:paraId="20FE87D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24 </w:t>
      </w:r>
      <w:r w:rsidRPr="002E04AC">
        <w:rPr>
          <w:rFonts w:ascii="Book Antiqua" w:hAnsi="Book Antiqua"/>
          <w:b/>
          <w:bCs/>
        </w:rPr>
        <w:t>Izzo R</w:t>
      </w:r>
      <w:r w:rsidRPr="002E04AC">
        <w:rPr>
          <w:rFonts w:ascii="Book Antiqua" w:hAnsi="Book Antiqua"/>
        </w:rPr>
        <w:t>, Guarnieri G, Guglielmi G, Muto M. Biomechanics of the spine. Part I: spinal stability. </w:t>
      </w:r>
      <w:r w:rsidRPr="002E04AC">
        <w:rPr>
          <w:rFonts w:ascii="Book Antiqua" w:hAnsi="Book Antiqua"/>
          <w:i/>
          <w:iCs/>
        </w:rPr>
        <w:t>Eur J Radiol</w:t>
      </w:r>
      <w:r w:rsidRPr="002E04AC">
        <w:rPr>
          <w:rFonts w:ascii="Book Antiqua" w:hAnsi="Book Antiqua"/>
        </w:rPr>
        <w:t> 2013; </w:t>
      </w:r>
      <w:r w:rsidRPr="002E04AC">
        <w:rPr>
          <w:rFonts w:ascii="Book Antiqua" w:hAnsi="Book Antiqua"/>
          <w:b/>
          <w:bCs/>
        </w:rPr>
        <w:t>82</w:t>
      </w:r>
      <w:r w:rsidRPr="002E04AC">
        <w:rPr>
          <w:rFonts w:ascii="Book Antiqua" w:hAnsi="Book Antiqua"/>
        </w:rPr>
        <w:t>: 118-126 [PMID: 23088879 DOI: 10.1016/j.ejrad.2012.07.024]</w:t>
      </w:r>
    </w:p>
    <w:p w14:paraId="5FAE3BAA"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25 </w:t>
      </w:r>
      <w:r w:rsidRPr="002E04AC">
        <w:rPr>
          <w:rFonts w:ascii="Book Antiqua" w:hAnsi="Book Antiqua"/>
          <w:b/>
          <w:bCs/>
        </w:rPr>
        <w:t>Kim DY</w:t>
      </w:r>
      <w:r w:rsidRPr="002E04AC">
        <w:rPr>
          <w:rFonts w:ascii="Book Antiqua" w:hAnsi="Book Antiqua"/>
        </w:rPr>
        <w:t>, Lee SH, Jang JS, Chung SK, Lee HY. Intravertebral vacuum phenomenon in osteoporotic compression fracture: report of 67 cases with quantitative evaluation of intravertebral instability. </w:t>
      </w:r>
      <w:r w:rsidRPr="002E04AC">
        <w:rPr>
          <w:rFonts w:ascii="Book Antiqua" w:hAnsi="Book Antiqua"/>
          <w:i/>
          <w:iCs/>
        </w:rPr>
        <w:t>J Neurosurg</w:t>
      </w:r>
      <w:r w:rsidRPr="002E04AC">
        <w:rPr>
          <w:rFonts w:ascii="Book Antiqua" w:hAnsi="Book Antiqua"/>
        </w:rPr>
        <w:t> 2004; </w:t>
      </w:r>
      <w:r w:rsidRPr="002E04AC">
        <w:rPr>
          <w:rFonts w:ascii="Book Antiqua" w:hAnsi="Book Antiqua"/>
          <w:b/>
          <w:bCs/>
        </w:rPr>
        <w:t>100</w:t>
      </w:r>
      <w:r w:rsidRPr="002E04AC">
        <w:rPr>
          <w:rFonts w:ascii="Book Antiqua" w:hAnsi="Book Antiqua"/>
        </w:rPr>
        <w:t>: 24-31 [PMID: 14748570 DOI: 10.3171/spi.2004.100.1.0024]</w:t>
      </w:r>
    </w:p>
    <w:p w14:paraId="3A33CC90"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26 </w:t>
      </w:r>
      <w:r w:rsidRPr="002E04AC">
        <w:rPr>
          <w:rFonts w:ascii="Book Antiqua" w:hAnsi="Book Antiqua"/>
          <w:b/>
          <w:bCs/>
        </w:rPr>
        <w:t>Mirovsky Y</w:t>
      </w:r>
      <w:r w:rsidRPr="002E04AC">
        <w:rPr>
          <w:rFonts w:ascii="Book Antiqua" w:hAnsi="Book Antiqua"/>
        </w:rPr>
        <w:t>, Anekstein Y, Shalmon E, Peer A. Vacuum clefts of the vertebral bodies. </w:t>
      </w:r>
      <w:r w:rsidRPr="002E04AC">
        <w:rPr>
          <w:rFonts w:ascii="Book Antiqua" w:hAnsi="Book Antiqua"/>
          <w:i/>
          <w:iCs/>
        </w:rPr>
        <w:t>AJNR Am J Neuroradiol</w:t>
      </w:r>
      <w:r w:rsidRPr="002E04AC">
        <w:rPr>
          <w:rFonts w:ascii="Book Antiqua" w:hAnsi="Book Antiqua"/>
        </w:rPr>
        <w:t> 2005; </w:t>
      </w:r>
      <w:r w:rsidRPr="002E04AC">
        <w:rPr>
          <w:rFonts w:ascii="Book Antiqua" w:hAnsi="Book Antiqua"/>
          <w:b/>
          <w:bCs/>
        </w:rPr>
        <w:t>26</w:t>
      </w:r>
      <w:r w:rsidRPr="002E04AC">
        <w:rPr>
          <w:rFonts w:ascii="Book Antiqua" w:hAnsi="Book Antiqua"/>
        </w:rPr>
        <w:t>: 1634-1640 [</w:t>
      </w:r>
      <w:bookmarkStart w:id="106" w:name="OLE_LINK100"/>
      <w:bookmarkStart w:id="107" w:name="OLE_LINK101"/>
      <w:r w:rsidRPr="002E04AC">
        <w:rPr>
          <w:rFonts w:ascii="Book Antiqua" w:hAnsi="Book Antiqua"/>
        </w:rPr>
        <w:t>PMID: 16091506</w:t>
      </w:r>
      <w:bookmarkEnd w:id="106"/>
      <w:bookmarkEnd w:id="107"/>
      <w:r w:rsidRPr="002E04AC">
        <w:rPr>
          <w:rFonts w:ascii="Book Antiqua" w:hAnsi="Book Antiqua"/>
        </w:rPr>
        <w:t>]</w:t>
      </w:r>
    </w:p>
    <w:p w14:paraId="703B880D"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27 </w:t>
      </w:r>
      <w:r w:rsidRPr="002E04AC">
        <w:rPr>
          <w:rFonts w:ascii="Book Antiqua" w:hAnsi="Book Antiqua"/>
          <w:b/>
          <w:bCs/>
        </w:rPr>
        <w:t>Katsuura Y</w:t>
      </w:r>
      <w:r w:rsidRPr="002E04AC">
        <w:rPr>
          <w:rFonts w:ascii="Book Antiqua" w:hAnsi="Book Antiqua"/>
        </w:rPr>
        <w:t>, Osborn JM, Cason GW. The epidemiology of thoracolumbar trauma: A meta-analysis. </w:t>
      </w:r>
      <w:r w:rsidRPr="002E04AC">
        <w:rPr>
          <w:rFonts w:ascii="Book Antiqua" w:hAnsi="Book Antiqua"/>
          <w:i/>
          <w:iCs/>
        </w:rPr>
        <w:t>J Orthop</w:t>
      </w:r>
      <w:r w:rsidRPr="002E04AC">
        <w:rPr>
          <w:rFonts w:ascii="Book Antiqua" w:hAnsi="Book Antiqua"/>
        </w:rPr>
        <w:t> 2016; </w:t>
      </w:r>
      <w:r w:rsidRPr="002E04AC">
        <w:rPr>
          <w:rFonts w:ascii="Book Antiqua" w:hAnsi="Book Antiqua"/>
          <w:b/>
          <w:bCs/>
        </w:rPr>
        <w:t>13</w:t>
      </w:r>
      <w:r w:rsidRPr="002E04AC">
        <w:rPr>
          <w:rFonts w:ascii="Book Antiqua" w:hAnsi="Book Antiqua"/>
        </w:rPr>
        <w:t>: 383-388 [PMID: 27504058 DOI: 10.1016/j.jor.2016.06.019]</w:t>
      </w:r>
    </w:p>
    <w:p w14:paraId="36DF4F76"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28 </w:t>
      </w:r>
      <w:r w:rsidRPr="002E04AC">
        <w:rPr>
          <w:rFonts w:ascii="Book Antiqua" w:hAnsi="Book Antiqua"/>
          <w:b/>
          <w:bCs/>
        </w:rPr>
        <w:t>Mazel C</w:t>
      </w:r>
      <w:r w:rsidRPr="002E04AC">
        <w:rPr>
          <w:rFonts w:ascii="Book Antiqua" w:hAnsi="Book Antiqua"/>
        </w:rPr>
        <w:t>, Ajavon L. Malunion of post-traumatic thoracolumbar fractures. </w:t>
      </w:r>
      <w:r w:rsidRPr="002E04AC">
        <w:rPr>
          <w:rFonts w:ascii="Book Antiqua" w:hAnsi="Book Antiqua"/>
          <w:i/>
          <w:iCs/>
        </w:rPr>
        <w:t>Orthop Traumatol Surg Res</w:t>
      </w:r>
      <w:r w:rsidRPr="002E04AC">
        <w:rPr>
          <w:rFonts w:ascii="Book Antiqua" w:hAnsi="Book Antiqua"/>
        </w:rPr>
        <w:t> 2018; </w:t>
      </w:r>
      <w:r w:rsidRPr="002E04AC">
        <w:rPr>
          <w:rFonts w:ascii="Book Antiqua" w:hAnsi="Book Antiqua"/>
          <w:b/>
          <w:bCs/>
        </w:rPr>
        <w:t>104</w:t>
      </w:r>
      <w:r w:rsidRPr="002E04AC">
        <w:rPr>
          <w:rFonts w:ascii="Book Antiqua" w:hAnsi="Book Antiqua"/>
        </w:rPr>
        <w:t>: S55-S62 [PMID: 29191468 DOI: 10.1016/j.otsr.2017.04.018]</w:t>
      </w:r>
    </w:p>
    <w:p w14:paraId="2FF83BB5"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29 </w:t>
      </w:r>
      <w:r w:rsidRPr="002E04AC">
        <w:rPr>
          <w:rFonts w:ascii="Book Antiqua" w:hAnsi="Book Antiqua"/>
          <w:b/>
          <w:bCs/>
        </w:rPr>
        <w:t>Chou KN</w:t>
      </w:r>
      <w:r w:rsidRPr="002E04AC">
        <w:rPr>
          <w:rFonts w:ascii="Book Antiqua" w:hAnsi="Book Antiqua"/>
        </w:rPr>
        <w:t>, Lin BJ, Wu YC, Liu MY, Hueng DY. Progressive kyphosis after vertebroplasty in osteoporotic vertebral compression fracture. </w:t>
      </w:r>
      <w:r w:rsidRPr="002E04AC">
        <w:rPr>
          <w:rFonts w:ascii="Book Antiqua" w:hAnsi="Book Antiqua"/>
          <w:i/>
          <w:iCs/>
        </w:rPr>
        <w:t>Spine (Phila Pa 1976)</w:t>
      </w:r>
      <w:r w:rsidRPr="002E04AC">
        <w:rPr>
          <w:rFonts w:ascii="Book Antiqua" w:hAnsi="Book Antiqua"/>
        </w:rPr>
        <w:t> 2014; </w:t>
      </w:r>
      <w:r w:rsidRPr="002E04AC">
        <w:rPr>
          <w:rFonts w:ascii="Book Antiqua" w:hAnsi="Book Antiqua"/>
          <w:b/>
          <w:bCs/>
        </w:rPr>
        <w:t>39</w:t>
      </w:r>
      <w:r w:rsidRPr="002E04AC">
        <w:rPr>
          <w:rFonts w:ascii="Book Antiqua" w:hAnsi="Book Antiqua"/>
        </w:rPr>
        <w:t>: 68-73 [PMID: 24108287 DOI: 10.1097/BRS.0000000000000042]</w:t>
      </w:r>
    </w:p>
    <w:p w14:paraId="6117606D"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30 </w:t>
      </w:r>
      <w:r w:rsidRPr="002E04AC">
        <w:rPr>
          <w:rFonts w:ascii="Book Antiqua" w:hAnsi="Book Antiqua"/>
          <w:b/>
          <w:bCs/>
        </w:rPr>
        <w:t>Yu W</w:t>
      </w:r>
      <w:r w:rsidRPr="002E04AC">
        <w:rPr>
          <w:rFonts w:ascii="Book Antiqua" w:hAnsi="Book Antiqua"/>
        </w:rPr>
        <w:t>, Jiang X, Liang, Yao Z, Qiu T, Ye L, Zhang S, Jin D. Intravertebral Vacuum Cleft and Its Varied Locations within Osteoporotic Vertebral Compression Fractures: Effect on Therapeutic Efficacy. </w:t>
      </w:r>
      <w:r w:rsidRPr="002E04AC">
        <w:rPr>
          <w:rFonts w:ascii="Book Antiqua" w:hAnsi="Book Antiqua"/>
          <w:i/>
          <w:iCs/>
        </w:rPr>
        <w:t>Pain Physician</w:t>
      </w:r>
      <w:r w:rsidRPr="002E04AC">
        <w:rPr>
          <w:rFonts w:ascii="Book Antiqua" w:hAnsi="Book Antiqua"/>
        </w:rPr>
        <w:t> 2017; </w:t>
      </w:r>
      <w:r w:rsidRPr="002E04AC">
        <w:rPr>
          <w:rFonts w:ascii="Book Antiqua" w:hAnsi="Book Antiqua"/>
          <w:b/>
          <w:bCs/>
        </w:rPr>
        <w:t>20</w:t>
      </w:r>
      <w:r w:rsidRPr="002E04AC">
        <w:rPr>
          <w:rFonts w:ascii="Book Antiqua" w:hAnsi="Book Antiqua"/>
        </w:rPr>
        <w:t>: E979-E986 [</w:t>
      </w:r>
      <w:bookmarkStart w:id="108" w:name="OLE_LINK102"/>
      <w:r w:rsidRPr="002E04AC">
        <w:rPr>
          <w:rFonts w:ascii="Book Antiqua" w:hAnsi="Book Antiqua"/>
        </w:rPr>
        <w:t>PMID: 28934802</w:t>
      </w:r>
      <w:bookmarkEnd w:id="108"/>
      <w:r w:rsidRPr="002E04AC">
        <w:rPr>
          <w:rFonts w:ascii="Book Antiqua" w:hAnsi="Book Antiqua"/>
        </w:rPr>
        <w:t>]</w:t>
      </w:r>
    </w:p>
    <w:p w14:paraId="58DB0EFC"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31 </w:t>
      </w:r>
      <w:r w:rsidRPr="002E04AC">
        <w:rPr>
          <w:rFonts w:ascii="Book Antiqua" w:hAnsi="Book Antiqua"/>
          <w:b/>
          <w:bCs/>
        </w:rPr>
        <w:t>Kim YC</w:t>
      </w:r>
      <w:r w:rsidRPr="002E04AC">
        <w:rPr>
          <w:rFonts w:ascii="Book Antiqua" w:hAnsi="Book Antiqua"/>
        </w:rPr>
        <w:t>, Kim YH, Ha KY. Pathomechanism of intravertebral clefts in osteoporotic compression fractures of the spine. </w:t>
      </w:r>
      <w:r w:rsidRPr="002E04AC">
        <w:rPr>
          <w:rFonts w:ascii="Book Antiqua" w:hAnsi="Book Antiqua"/>
          <w:i/>
          <w:iCs/>
        </w:rPr>
        <w:t>Spine J</w:t>
      </w:r>
      <w:r w:rsidRPr="002E04AC">
        <w:rPr>
          <w:rFonts w:ascii="Book Antiqua" w:hAnsi="Book Antiqua"/>
        </w:rPr>
        <w:t> 2014; </w:t>
      </w:r>
      <w:r w:rsidRPr="002E04AC">
        <w:rPr>
          <w:rFonts w:ascii="Book Antiqua" w:hAnsi="Book Antiqua"/>
          <w:b/>
          <w:bCs/>
        </w:rPr>
        <w:t>14</w:t>
      </w:r>
      <w:r w:rsidRPr="002E04AC">
        <w:rPr>
          <w:rFonts w:ascii="Book Antiqua" w:hAnsi="Book Antiqua"/>
        </w:rPr>
        <w:t>: 659-666 [PMID: 24055039 DOI: 10.1016/j.spinee.2013.06.106]</w:t>
      </w:r>
    </w:p>
    <w:p w14:paraId="66DACE22"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32 </w:t>
      </w:r>
      <w:r w:rsidRPr="002E04AC">
        <w:rPr>
          <w:rFonts w:ascii="Book Antiqua" w:hAnsi="Book Antiqua"/>
          <w:b/>
          <w:bCs/>
        </w:rPr>
        <w:t>Hasegawa K</w:t>
      </w:r>
      <w:r w:rsidRPr="002E04AC">
        <w:rPr>
          <w:rFonts w:ascii="Book Antiqua" w:hAnsi="Book Antiqua"/>
        </w:rPr>
        <w:t>, Takahashi HE, Koga Y, Kawashima T, Hara T, Tanabe Y, Tanaka S. Mechanical properties of osteopenic vertebral bodies monitored by acoustic emission. </w:t>
      </w:r>
      <w:r w:rsidRPr="002E04AC">
        <w:rPr>
          <w:rFonts w:ascii="Book Antiqua" w:hAnsi="Book Antiqua"/>
          <w:i/>
          <w:iCs/>
        </w:rPr>
        <w:t>Bone</w:t>
      </w:r>
      <w:r w:rsidRPr="002E04AC">
        <w:rPr>
          <w:rFonts w:ascii="Book Antiqua" w:hAnsi="Book Antiqua"/>
        </w:rPr>
        <w:t> 1993; </w:t>
      </w:r>
      <w:r w:rsidRPr="002E04AC">
        <w:rPr>
          <w:rFonts w:ascii="Book Antiqua" w:hAnsi="Book Antiqua"/>
          <w:b/>
          <w:bCs/>
        </w:rPr>
        <w:t>14</w:t>
      </w:r>
      <w:r w:rsidRPr="002E04AC">
        <w:rPr>
          <w:rFonts w:ascii="Book Antiqua" w:hAnsi="Book Antiqua"/>
        </w:rPr>
        <w:t>: 737-743 [PMID: 8268048 DOI: 10.1016/8756-3282(93)90205-o]</w:t>
      </w:r>
    </w:p>
    <w:p w14:paraId="7322E077"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33 </w:t>
      </w:r>
      <w:r w:rsidRPr="002E04AC">
        <w:rPr>
          <w:rFonts w:ascii="Book Antiqua" w:hAnsi="Book Antiqua"/>
          <w:b/>
          <w:bCs/>
        </w:rPr>
        <w:t>Cho JH</w:t>
      </w:r>
      <w:r w:rsidRPr="002E04AC">
        <w:rPr>
          <w:rFonts w:ascii="Book Antiqua" w:hAnsi="Book Antiqua"/>
        </w:rPr>
        <w:t>, Shin SI, Lee JH, Yeom JS, Chang BS, Lee CK. Usefulness of prone cross-table lateral radiographs in vertebral compression fractures. </w:t>
      </w:r>
      <w:r w:rsidRPr="002E04AC">
        <w:rPr>
          <w:rFonts w:ascii="Book Antiqua" w:hAnsi="Book Antiqua"/>
          <w:i/>
          <w:iCs/>
        </w:rPr>
        <w:t>Clin Orthop Surg</w:t>
      </w:r>
      <w:r w:rsidRPr="002E04AC">
        <w:rPr>
          <w:rFonts w:ascii="Book Antiqua" w:hAnsi="Book Antiqua"/>
        </w:rPr>
        <w:t> 2013; </w:t>
      </w:r>
      <w:r w:rsidRPr="002E04AC">
        <w:rPr>
          <w:rFonts w:ascii="Book Antiqua" w:hAnsi="Book Antiqua"/>
          <w:b/>
          <w:bCs/>
        </w:rPr>
        <w:t>5</w:t>
      </w:r>
      <w:r w:rsidRPr="002E04AC">
        <w:rPr>
          <w:rFonts w:ascii="Book Antiqua" w:hAnsi="Book Antiqua"/>
        </w:rPr>
        <w:t>: 195-201 [PMID: 24009905 DOI: 10.4055/cios.2013.5.3.195]</w:t>
      </w:r>
    </w:p>
    <w:p w14:paraId="1C0A279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34 </w:t>
      </w:r>
      <w:r w:rsidRPr="002E04AC">
        <w:rPr>
          <w:rFonts w:ascii="Book Antiqua" w:hAnsi="Book Antiqua"/>
          <w:b/>
          <w:bCs/>
        </w:rPr>
        <w:t>Fang X</w:t>
      </w:r>
      <w:r w:rsidRPr="002E04AC">
        <w:rPr>
          <w:rFonts w:ascii="Book Antiqua" w:hAnsi="Book Antiqua"/>
        </w:rPr>
        <w:t>, Yu F, Fu S, Song H. Intravertebral clefts in osteoporotic compression fractures of the spine: incidence, characteristics, and therapeutic efficacy. </w:t>
      </w:r>
      <w:r w:rsidRPr="002E04AC">
        <w:rPr>
          <w:rFonts w:ascii="Book Antiqua" w:hAnsi="Book Antiqua"/>
          <w:i/>
          <w:iCs/>
        </w:rPr>
        <w:t>Int J Clin Exp Med</w:t>
      </w:r>
      <w:r w:rsidRPr="002E04AC">
        <w:rPr>
          <w:rFonts w:ascii="Book Antiqua" w:hAnsi="Book Antiqua"/>
        </w:rPr>
        <w:t> 2015; </w:t>
      </w:r>
      <w:r w:rsidRPr="002E04AC">
        <w:rPr>
          <w:rFonts w:ascii="Book Antiqua" w:hAnsi="Book Antiqua"/>
          <w:b/>
          <w:bCs/>
        </w:rPr>
        <w:t>8</w:t>
      </w:r>
      <w:r w:rsidRPr="002E04AC">
        <w:rPr>
          <w:rFonts w:ascii="Book Antiqua" w:hAnsi="Book Antiqua"/>
        </w:rPr>
        <w:t>: 16960-16968 [</w:t>
      </w:r>
      <w:bookmarkStart w:id="109" w:name="OLE_LINK103"/>
      <w:r w:rsidRPr="002E04AC">
        <w:rPr>
          <w:rFonts w:ascii="Book Antiqua" w:hAnsi="Book Antiqua"/>
        </w:rPr>
        <w:t>PMID: 26629251</w:t>
      </w:r>
      <w:bookmarkEnd w:id="109"/>
      <w:r w:rsidRPr="002E04AC">
        <w:rPr>
          <w:rFonts w:ascii="Book Antiqua" w:hAnsi="Book Antiqua"/>
        </w:rPr>
        <w:t>]</w:t>
      </w:r>
    </w:p>
    <w:p w14:paraId="4C9CED12"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35 </w:t>
      </w:r>
      <w:r w:rsidRPr="002E04AC">
        <w:rPr>
          <w:rFonts w:ascii="Book Antiqua" w:hAnsi="Book Antiqua"/>
          <w:b/>
          <w:bCs/>
        </w:rPr>
        <w:t>Kurutz M</w:t>
      </w:r>
      <w:r w:rsidRPr="002E04AC">
        <w:rPr>
          <w:rFonts w:ascii="Book Antiqua" w:hAnsi="Book Antiqua"/>
        </w:rPr>
        <w:t>, Varga P, Jakab G. Prophylactic vertebroplasty versus kyphoplasty in osteoporosis: A comprehensive biomechanical matched-pair study by in vitro compressive testing. </w:t>
      </w:r>
      <w:r w:rsidRPr="002E04AC">
        <w:rPr>
          <w:rFonts w:ascii="Book Antiqua" w:hAnsi="Book Antiqua"/>
          <w:i/>
          <w:iCs/>
        </w:rPr>
        <w:t>Med Eng Phys</w:t>
      </w:r>
      <w:r w:rsidRPr="002E04AC">
        <w:rPr>
          <w:rFonts w:ascii="Book Antiqua" w:hAnsi="Book Antiqua"/>
        </w:rPr>
        <w:t> 2019; </w:t>
      </w:r>
      <w:r w:rsidRPr="002E04AC">
        <w:rPr>
          <w:rFonts w:ascii="Book Antiqua" w:hAnsi="Book Antiqua"/>
          <w:b/>
          <w:bCs/>
        </w:rPr>
        <w:t>65</w:t>
      </w:r>
      <w:r w:rsidRPr="002E04AC">
        <w:rPr>
          <w:rFonts w:ascii="Book Antiqua" w:hAnsi="Book Antiqua"/>
        </w:rPr>
        <w:t>: 46-56 [PMID: 30733174 DOI: 10.1016/j.medengphy.2019.01.004]</w:t>
      </w:r>
    </w:p>
    <w:p w14:paraId="3B3FADF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36 </w:t>
      </w:r>
      <w:r w:rsidRPr="002E04AC">
        <w:rPr>
          <w:rFonts w:ascii="Book Antiqua" w:hAnsi="Book Antiqua"/>
          <w:b/>
          <w:bCs/>
        </w:rPr>
        <w:t>Kim YY</w:t>
      </w:r>
      <w:r w:rsidRPr="002E04AC">
        <w:rPr>
          <w:rFonts w:ascii="Book Antiqua" w:hAnsi="Book Antiqua"/>
        </w:rPr>
        <w:t>, Rhyu KW. Recompression of vertebral body after balloon kyphoplasty for osteoporotic vertebral compression fracture. </w:t>
      </w:r>
      <w:r w:rsidRPr="002E04AC">
        <w:rPr>
          <w:rFonts w:ascii="Book Antiqua" w:hAnsi="Book Antiqua"/>
          <w:i/>
          <w:iCs/>
        </w:rPr>
        <w:t>Eur Spine J</w:t>
      </w:r>
      <w:r w:rsidRPr="002E04AC">
        <w:rPr>
          <w:rFonts w:ascii="Book Antiqua" w:hAnsi="Book Antiqua"/>
        </w:rPr>
        <w:t> 2010; </w:t>
      </w:r>
      <w:r w:rsidRPr="002E04AC">
        <w:rPr>
          <w:rFonts w:ascii="Book Antiqua" w:hAnsi="Book Antiqua"/>
          <w:b/>
          <w:bCs/>
        </w:rPr>
        <w:t>19</w:t>
      </w:r>
      <w:r w:rsidRPr="002E04AC">
        <w:rPr>
          <w:rFonts w:ascii="Book Antiqua" w:hAnsi="Book Antiqua"/>
        </w:rPr>
        <w:t>: 1907-1912 [PMID: 20559850 DOI: 10.1007/s00586-010-1479-6]</w:t>
      </w:r>
    </w:p>
    <w:p w14:paraId="1502DD0A"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37 </w:t>
      </w:r>
      <w:r w:rsidRPr="002E04AC">
        <w:rPr>
          <w:rFonts w:ascii="Book Antiqua" w:hAnsi="Book Antiqua"/>
          <w:b/>
          <w:bCs/>
        </w:rPr>
        <w:t>Yang DH</w:t>
      </w:r>
      <w:r w:rsidRPr="002E04AC">
        <w:rPr>
          <w:rFonts w:ascii="Book Antiqua" w:hAnsi="Book Antiqua"/>
        </w:rPr>
        <w:t>, Cho KH, Chung YS, Kim YR. Effect of vertebroplasty with bone filler device and comparison with balloon kyphoplasty. </w:t>
      </w:r>
      <w:r w:rsidRPr="002E04AC">
        <w:rPr>
          <w:rFonts w:ascii="Book Antiqua" w:hAnsi="Book Antiqua"/>
          <w:i/>
          <w:iCs/>
        </w:rPr>
        <w:t>Eur Spine J</w:t>
      </w:r>
      <w:r w:rsidRPr="002E04AC">
        <w:rPr>
          <w:rFonts w:ascii="Book Antiqua" w:hAnsi="Book Antiqua"/>
        </w:rPr>
        <w:t> 2014; </w:t>
      </w:r>
      <w:r w:rsidRPr="002E04AC">
        <w:rPr>
          <w:rFonts w:ascii="Book Antiqua" w:hAnsi="Book Antiqua"/>
          <w:b/>
          <w:bCs/>
        </w:rPr>
        <w:t>23</w:t>
      </w:r>
      <w:r w:rsidRPr="002E04AC">
        <w:rPr>
          <w:rFonts w:ascii="Book Antiqua" w:hAnsi="Book Antiqua"/>
        </w:rPr>
        <w:t>: 2718-2725 [PMID: 24875381 DOI: 10.1007/s00586-014-3379-7]</w:t>
      </w:r>
    </w:p>
    <w:p w14:paraId="29E69476"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38 </w:t>
      </w:r>
      <w:r w:rsidRPr="002E04AC">
        <w:rPr>
          <w:rFonts w:ascii="Book Antiqua" w:hAnsi="Book Antiqua"/>
          <w:b/>
          <w:bCs/>
        </w:rPr>
        <w:t>Yang SC</w:t>
      </w:r>
      <w:r w:rsidRPr="002E04AC">
        <w:rPr>
          <w:rFonts w:ascii="Book Antiqua" w:hAnsi="Book Antiqua"/>
        </w:rPr>
        <w:t>, Chen WJ, Yu SW, Tu YK, Kao YH, Chung KC. Revision strategies for complications and failure of vertebroplasties. </w:t>
      </w:r>
      <w:r w:rsidRPr="002E04AC">
        <w:rPr>
          <w:rFonts w:ascii="Book Antiqua" w:hAnsi="Book Antiqua"/>
          <w:i/>
          <w:iCs/>
        </w:rPr>
        <w:t>Eur Spine J</w:t>
      </w:r>
      <w:r w:rsidRPr="002E04AC">
        <w:rPr>
          <w:rFonts w:ascii="Book Antiqua" w:hAnsi="Book Antiqua"/>
        </w:rPr>
        <w:t> 2008; </w:t>
      </w:r>
      <w:r w:rsidRPr="002E04AC">
        <w:rPr>
          <w:rFonts w:ascii="Book Antiqua" w:hAnsi="Book Antiqua"/>
          <w:b/>
          <w:bCs/>
        </w:rPr>
        <w:t>17</w:t>
      </w:r>
      <w:r w:rsidRPr="002E04AC">
        <w:rPr>
          <w:rFonts w:ascii="Book Antiqua" w:hAnsi="Book Antiqua"/>
        </w:rPr>
        <w:t>: 982-988 [PMID: 18446385 DOI: 10.1007/s00586-008-0680-3]</w:t>
      </w:r>
    </w:p>
    <w:p w14:paraId="0DDA45D1"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39 </w:t>
      </w:r>
      <w:r w:rsidRPr="002E04AC">
        <w:rPr>
          <w:rFonts w:ascii="Book Antiqua" w:hAnsi="Book Antiqua"/>
          <w:b/>
          <w:bCs/>
        </w:rPr>
        <w:t>Miyagi R</w:t>
      </w:r>
      <w:r w:rsidRPr="002E04AC">
        <w:rPr>
          <w:rFonts w:ascii="Book Antiqua" w:hAnsi="Book Antiqua"/>
        </w:rPr>
        <w:t>, Sakai T, Bhatia NN, Sairyo K, Katoh S, Chikawa T. Anterior thoracolumbar reconstruction surgery for late collapse following vertebroplasty: report of three cases. </w:t>
      </w:r>
      <w:r w:rsidRPr="002E04AC">
        <w:rPr>
          <w:rFonts w:ascii="Book Antiqua" w:hAnsi="Book Antiqua"/>
          <w:i/>
          <w:iCs/>
        </w:rPr>
        <w:t>J Med Invest</w:t>
      </w:r>
      <w:r w:rsidRPr="002E04AC">
        <w:rPr>
          <w:rFonts w:ascii="Book Antiqua" w:hAnsi="Book Antiqua"/>
        </w:rPr>
        <w:t> 2011; </w:t>
      </w:r>
      <w:r w:rsidRPr="002E04AC">
        <w:rPr>
          <w:rFonts w:ascii="Book Antiqua" w:hAnsi="Book Antiqua"/>
          <w:b/>
          <w:bCs/>
        </w:rPr>
        <w:t>58</w:t>
      </w:r>
      <w:r w:rsidRPr="002E04AC">
        <w:rPr>
          <w:rFonts w:ascii="Book Antiqua" w:hAnsi="Book Antiqua"/>
        </w:rPr>
        <w:t>: 148-153 [PMID: 21372500 DOI: 10.2152/jmi.58.148]</w:t>
      </w:r>
    </w:p>
    <w:p w14:paraId="09B5195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40 </w:t>
      </w:r>
      <w:r w:rsidRPr="002E04AC">
        <w:rPr>
          <w:rFonts w:ascii="Book Antiqua" w:hAnsi="Book Antiqua"/>
          <w:b/>
          <w:bCs/>
        </w:rPr>
        <w:t>Ha KY</w:t>
      </w:r>
      <w:r w:rsidRPr="002E04AC">
        <w:rPr>
          <w:rFonts w:ascii="Book Antiqua" w:hAnsi="Book Antiqua"/>
        </w:rPr>
        <w:t>, Kim YH, Chang DG, Son IN, Kim KW, Kim SE. Causes of late revision surgery after bone cement augmentation in osteoporotic vertebral compression fractures. </w:t>
      </w:r>
      <w:r w:rsidRPr="002E04AC">
        <w:rPr>
          <w:rFonts w:ascii="Book Antiqua" w:hAnsi="Book Antiqua"/>
          <w:i/>
          <w:iCs/>
        </w:rPr>
        <w:t>Asian Spine J</w:t>
      </w:r>
      <w:r w:rsidRPr="002E04AC">
        <w:rPr>
          <w:rFonts w:ascii="Book Antiqua" w:hAnsi="Book Antiqua"/>
        </w:rPr>
        <w:t> 2013; </w:t>
      </w:r>
      <w:r w:rsidRPr="002E04AC">
        <w:rPr>
          <w:rFonts w:ascii="Book Antiqua" w:hAnsi="Book Antiqua"/>
          <w:b/>
          <w:bCs/>
        </w:rPr>
        <w:t>7</w:t>
      </w:r>
      <w:r w:rsidRPr="002E04AC">
        <w:rPr>
          <w:rFonts w:ascii="Book Antiqua" w:hAnsi="Book Antiqua"/>
        </w:rPr>
        <w:t>: 294-300 [PMID: 24353846 DOI: 10.4184/asj.2013.7.4.294]</w:t>
      </w:r>
    </w:p>
    <w:bookmarkEnd w:id="97"/>
    <w:bookmarkEnd w:id="98"/>
    <w:p w14:paraId="03995A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99"/>
    <w:bookmarkEnd w:id="100"/>
    <w:p w14:paraId="2D20507B" w14:textId="77777777" w:rsidR="00A77B3E" w:rsidRDefault="001E2C53">
      <w:pPr>
        <w:spacing w:line="360" w:lineRule="auto"/>
        <w:jc w:val="both"/>
      </w:pPr>
      <w:r>
        <w:rPr>
          <w:rFonts w:ascii="Book Antiqua" w:eastAsia="Book Antiqua" w:hAnsi="Book Antiqua" w:cs="Book Antiqua"/>
          <w:b/>
          <w:color w:val="000000"/>
        </w:rPr>
        <w:t>Footnotes</w:t>
      </w:r>
    </w:p>
    <w:p w14:paraId="4BBC5B85" w14:textId="77777777" w:rsidR="00A77B3E" w:rsidRDefault="001E2C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140FD92E" w14:textId="77777777" w:rsidR="00A77B3E" w:rsidRDefault="00A77B3E">
      <w:pPr>
        <w:spacing w:line="360" w:lineRule="auto"/>
        <w:jc w:val="both"/>
      </w:pPr>
    </w:p>
    <w:p w14:paraId="3F0B87B6" w14:textId="77777777" w:rsidR="00A77B3E" w:rsidRDefault="001E2C53">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38622E54" w14:textId="77777777" w:rsidR="00A77B3E" w:rsidRDefault="00A77B3E">
      <w:pPr>
        <w:spacing w:line="360" w:lineRule="auto"/>
        <w:jc w:val="both"/>
      </w:pPr>
    </w:p>
    <w:p w14:paraId="299824DC" w14:textId="77777777" w:rsidR="00A77B3E" w:rsidRDefault="001E2C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CAC551" w14:textId="77777777" w:rsidR="00A77B3E" w:rsidRDefault="00A77B3E">
      <w:pPr>
        <w:spacing w:line="360" w:lineRule="auto"/>
        <w:jc w:val="both"/>
      </w:pPr>
    </w:p>
    <w:p w14:paraId="1A009383" w14:textId="77777777" w:rsidR="00A77B3E" w:rsidRDefault="001E2C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A6617">
        <w:rPr>
          <w:rFonts w:ascii="Book Antiqua" w:eastAsia="Book Antiqua" w:hAnsi="Book Antiqua" w:cs="Book Antiqua"/>
          <w:color w:val="000000"/>
        </w:rPr>
        <w:t>manuscript</w:t>
      </w:r>
    </w:p>
    <w:p w14:paraId="2327CF53" w14:textId="77777777" w:rsidR="00A77B3E" w:rsidRDefault="00A77B3E">
      <w:pPr>
        <w:spacing w:line="360" w:lineRule="auto"/>
        <w:jc w:val="both"/>
      </w:pPr>
    </w:p>
    <w:p w14:paraId="4949689C" w14:textId="77777777" w:rsidR="00A77B3E" w:rsidRDefault="001E2C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203F1120" w14:textId="77777777" w:rsidR="00A77B3E" w:rsidRDefault="001E2C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2E80B40B" w14:textId="7EE2607E" w:rsidR="00A77B3E" w:rsidRDefault="001E2C53">
      <w:pPr>
        <w:spacing w:line="360" w:lineRule="auto"/>
        <w:jc w:val="both"/>
      </w:pPr>
      <w:r>
        <w:rPr>
          <w:rFonts w:ascii="Book Antiqua" w:eastAsia="Book Antiqua" w:hAnsi="Book Antiqua" w:cs="Book Antiqua"/>
          <w:b/>
          <w:color w:val="000000"/>
        </w:rPr>
        <w:t xml:space="preserve">Article in press: </w:t>
      </w:r>
      <w:r w:rsidR="00EE7D19" w:rsidRPr="000D5943">
        <w:rPr>
          <w:rFonts w:ascii="Book Antiqua" w:eastAsia="Book Antiqua" w:hAnsi="Book Antiqua" w:cs="Book Antiqua"/>
          <w:color w:val="000000"/>
        </w:rPr>
        <w:t>March 11, 2021</w:t>
      </w:r>
    </w:p>
    <w:p w14:paraId="1A87E569" w14:textId="77777777" w:rsidR="00A77B3E" w:rsidRDefault="00A77B3E">
      <w:pPr>
        <w:spacing w:line="360" w:lineRule="auto"/>
        <w:jc w:val="both"/>
      </w:pPr>
    </w:p>
    <w:p w14:paraId="6A78B7B2" w14:textId="77777777" w:rsidR="00A77B3E" w:rsidRDefault="001E2C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42C1D9A" w14:textId="77777777" w:rsidR="00A77B3E" w:rsidRDefault="001E2C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B78730A" w14:textId="77777777" w:rsidR="00A77B3E" w:rsidRDefault="001E2C53">
      <w:pPr>
        <w:spacing w:line="360" w:lineRule="auto"/>
        <w:jc w:val="both"/>
      </w:pPr>
      <w:r>
        <w:rPr>
          <w:rFonts w:ascii="Book Antiqua" w:eastAsia="Book Antiqua" w:hAnsi="Book Antiqua" w:cs="Book Antiqua"/>
          <w:b/>
          <w:color w:val="000000"/>
        </w:rPr>
        <w:t>Peer-review report’s scientific quality classification</w:t>
      </w:r>
    </w:p>
    <w:p w14:paraId="76E21528" w14:textId="77777777" w:rsidR="00A77B3E" w:rsidRDefault="001E2C53">
      <w:pPr>
        <w:spacing w:line="360" w:lineRule="auto"/>
        <w:jc w:val="both"/>
      </w:pPr>
      <w:r>
        <w:rPr>
          <w:rFonts w:ascii="Book Antiqua" w:eastAsia="Book Antiqua" w:hAnsi="Book Antiqua" w:cs="Book Antiqua"/>
          <w:color w:val="000000"/>
        </w:rPr>
        <w:t>Grade A (Excellent): A</w:t>
      </w:r>
    </w:p>
    <w:p w14:paraId="5A528728" w14:textId="77777777" w:rsidR="00A77B3E" w:rsidRDefault="001E2C53">
      <w:pPr>
        <w:spacing w:line="360" w:lineRule="auto"/>
        <w:jc w:val="both"/>
      </w:pPr>
      <w:r>
        <w:rPr>
          <w:rFonts w:ascii="Book Antiqua" w:eastAsia="Book Antiqua" w:hAnsi="Book Antiqua" w:cs="Book Antiqua"/>
          <w:color w:val="000000"/>
        </w:rPr>
        <w:t>Grade B (Very good): B</w:t>
      </w:r>
    </w:p>
    <w:p w14:paraId="2B17EB77" w14:textId="77777777" w:rsidR="00A77B3E" w:rsidRDefault="001E2C53">
      <w:pPr>
        <w:spacing w:line="360" w:lineRule="auto"/>
        <w:jc w:val="both"/>
      </w:pPr>
      <w:r>
        <w:rPr>
          <w:rFonts w:ascii="Book Antiqua" w:eastAsia="Book Antiqua" w:hAnsi="Book Antiqua" w:cs="Book Antiqua"/>
          <w:color w:val="000000"/>
        </w:rPr>
        <w:t>Grade C (Good): 0</w:t>
      </w:r>
    </w:p>
    <w:p w14:paraId="4FB0F737" w14:textId="77777777" w:rsidR="00A77B3E" w:rsidRDefault="001E2C53">
      <w:pPr>
        <w:spacing w:line="360" w:lineRule="auto"/>
        <w:jc w:val="both"/>
      </w:pPr>
      <w:r>
        <w:rPr>
          <w:rFonts w:ascii="Book Antiqua" w:eastAsia="Book Antiqua" w:hAnsi="Book Antiqua" w:cs="Book Antiqua"/>
          <w:color w:val="000000"/>
        </w:rPr>
        <w:t>Grade D (Fair): 0</w:t>
      </w:r>
    </w:p>
    <w:p w14:paraId="5308E1A8" w14:textId="77777777" w:rsidR="00A77B3E" w:rsidRDefault="001E2C53">
      <w:pPr>
        <w:spacing w:line="360" w:lineRule="auto"/>
        <w:jc w:val="both"/>
      </w:pPr>
      <w:r>
        <w:rPr>
          <w:rFonts w:ascii="Book Antiqua" w:eastAsia="Book Antiqua" w:hAnsi="Book Antiqua" w:cs="Book Antiqua"/>
          <w:color w:val="000000"/>
        </w:rPr>
        <w:t>Grade E (Poor): 0</w:t>
      </w:r>
    </w:p>
    <w:p w14:paraId="16C5BA5B" w14:textId="77777777" w:rsidR="00A77B3E" w:rsidRDefault="00A77B3E">
      <w:pPr>
        <w:spacing w:line="360" w:lineRule="auto"/>
        <w:jc w:val="both"/>
      </w:pPr>
    </w:p>
    <w:p w14:paraId="4D9CBD8E" w14:textId="19CCBC95" w:rsidR="00EE7D19" w:rsidRPr="00EE7D19" w:rsidRDefault="001E2C5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w:t>
      </w:r>
      <w:r w:rsidR="00FA6617">
        <w:rPr>
          <w:rFonts w:ascii="Book Antiqua" w:eastAsia="Book Antiqua" w:hAnsi="Book Antiqua" w:cs="Book Antiqua"/>
          <w:color w:val="000000"/>
        </w:rPr>
        <w:t>antiago</w:t>
      </w:r>
      <w:r>
        <w:rPr>
          <w:rFonts w:ascii="Book Antiqua" w:eastAsia="Book Antiqua" w:hAnsi="Book Antiqua" w:cs="Book Antiqua"/>
          <w:color w:val="000000"/>
        </w:rPr>
        <w:t xml:space="preserve"> 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A6617">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1F7226" w:rsidRPr="0094641C">
        <w:rPr>
          <w:rFonts w:ascii="Book Antiqua" w:eastAsia="Book Antiqua" w:hAnsi="Book Antiqua" w:cs="Book Antiqua"/>
          <w:color w:val="000000"/>
        </w:rPr>
        <w:t>Wang TQ</w:t>
      </w:r>
      <w:r w:rsidR="001F722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E7D19">
        <w:rPr>
          <w:rFonts w:ascii="Book Antiqua" w:hAnsi="Book Antiqua" w:cs="Book Antiqua" w:hint="eastAsia"/>
          <w:b/>
          <w:color w:val="000000"/>
          <w:lang w:eastAsia="zh-CN"/>
        </w:rPr>
        <w:t xml:space="preserve"> </w:t>
      </w:r>
      <w:r w:rsidR="00EE7D19" w:rsidRPr="00EE7D19">
        <w:rPr>
          <w:rFonts w:ascii="Book Antiqua" w:hAnsi="Book Antiqua" w:cs="Book Antiqua" w:hint="eastAsia"/>
          <w:color w:val="000000"/>
          <w:lang w:eastAsia="zh-CN"/>
        </w:rPr>
        <w:t>Liu JH</w:t>
      </w:r>
    </w:p>
    <w:p w14:paraId="3A8B041C" w14:textId="1120CD20" w:rsidR="00A77B3E" w:rsidRDefault="001E2C5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22971DB" w14:textId="77777777" w:rsidR="00A77B3E" w:rsidRDefault="001E2C53">
      <w:pPr>
        <w:spacing w:line="360" w:lineRule="auto"/>
        <w:jc w:val="both"/>
      </w:pPr>
      <w:r>
        <w:rPr>
          <w:rFonts w:ascii="Book Antiqua" w:eastAsia="Book Antiqua" w:hAnsi="Book Antiqua" w:cs="Book Antiqua"/>
          <w:b/>
          <w:color w:val="000000"/>
        </w:rPr>
        <w:t>Figure Legends</w:t>
      </w:r>
    </w:p>
    <w:p w14:paraId="0B017D35" w14:textId="78207B14" w:rsidR="00F556DC" w:rsidRDefault="006D5B5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AAF37BC" wp14:editId="07BF47C4">
            <wp:extent cx="5886164" cy="372491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810"/>
                    <a:stretch/>
                  </pic:blipFill>
                  <pic:spPr bwMode="auto">
                    <a:xfrm>
                      <a:off x="0" y="0"/>
                      <a:ext cx="5886450" cy="3725099"/>
                    </a:xfrm>
                    <a:prstGeom prst="rect">
                      <a:avLst/>
                    </a:prstGeom>
                    <a:noFill/>
                    <a:ln>
                      <a:noFill/>
                    </a:ln>
                    <a:extLst>
                      <a:ext uri="{53640926-AAD7-44D8-BBD7-CCE9431645EC}">
                        <a14:shadowObscured xmlns:a14="http://schemas.microsoft.com/office/drawing/2010/main"/>
                      </a:ext>
                    </a:extLst>
                  </pic:spPr>
                </pic:pic>
              </a:graphicData>
            </a:graphic>
          </wp:inline>
        </w:drawing>
      </w:r>
    </w:p>
    <w:p w14:paraId="532D18E5" w14:textId="7721FACF" w:rsidR="00A77B3E" w:rsidRPr="00766B3D" w:rsidRDefault="001E2C53">
      <w:pPr>
        <w:spacing w:line="360" w:lineRule="auto"/>
        <w:jc w:val="both"/>
        <w:rPr>
          <w:b/>
          <w:lang w:eastAsia="zh-CN"/>
        </w:rPr>
      </w:pPr>
      <w:bookmarkStart w:id="110" w:name="OLE_LINK75"/>
      <w:bookmarkStart w:id="111" w:name="OLE_LINK76"/>
      <w:bookmarkStart w:id="112" w:name="OLE_LINK77"/>
      <w:r w:rsidRPr="004133E3">
        <w:rPr>
          <w:rFonts w:ascii="Book Antiqua" w:eastAsia="Book Antiqua" w:hAnsi="Book Antiqua" w:cs="Book Antiqua"/>
          <w:b/>
          <w:color w:val="000000"/>
        </w:rPr>
        <w:t>Figure 1 Flow diagram of literature search.</w:t>
      </w:r>
      <w:r w:rsidR="00766B3D">
        <w:rPr>
          <w:rFonts w:ascii="Book Antiqua" w:hAnsi="Book Antiqua" w:cs="Book Antiqua" w:hint="eastAsia"/>
          <w:b/>
          <w:color w:val="000000"/>
          <w:lang w:eastAsia="zh-CN"/>
        </w:rPr>
        <w:t xml:space="preserve"> </w:t>
      </w:r>
      <w:r w:rsidR="00766B3D" w:rsidRPr="00766B3D">
        <w:rPr>
          <w:rFonts w:ascii="Book Antiqua" w:hAnsi="Book Antiqua" w:cs="Book Antiqua" w:hint="eastAsia"/>
          <w:color w:val="000000"/>
          <w:lang w:eastAsia="zh-CN"/>
        </w:rPr>
        <w:t xml:space="preserve">PKP: </w:t>
      </w:r>
      <w:r w:rsidR="00F02B54">
        <w:rPr>
          <w:rFonts w:ascii="Book Antiqua" w:hAnsi="Book Antiqua" w:cs="Book Antiqua" w:hint="eastAsia"/>
          <w:color w:val="000000"/>
          <w:lang w:eastAsia="zh-CN"/>
        </w:rPr>
        <w:t>P</w:t>
      </w:r>
      <w:r w:rsidR="00F02B54">
        <w:rPr>
          <w:rFonts w:ascii="Book Antiqua" w:eastAsia="Book Antiqua" w:hAnsi="Book Antiqua" w:cs="Book Antiqua"/>
          <w:color w:val="000000"/>
        </w:rPr>
        <w:t>ercutaneous kyphoplasty</w:t>
      </w:r>
      <w:r w:rsidR="00766B3D" w:rsidRPr="00766B3D">
        <w:rPr>
          <w:rFonts w:ascii="Book Antiqua" w:hAnsi="Book Antiqua" w:cs="Book Antiqua" w:hint="eastAsia"/>
          <w:color w:val="000000"/>
          <w:lang w:eastAsia="zh-CN"/>
        </w:rPr>
        <w:t>.</w:t>
      </w:r>
    </w:p>
    <w:bookmarkEnd w:id="110"/>
    <w:bookmarkEnd w:id="111"/>
    <w:bookmarkEnd w:id="112"/>
    <w:p w14:paraId="741A0604" w14:textId="59654606" w:rsidR="00A96071" w:rsidRDefault="006D5B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A96071">
        <w:rPr>
          <w:rFonts w:ascii="Book Antiqua" w:hAnsi="Book Antiqua" w:cs="Book Antiqua" w:hint="eastAsia"/>
          <w:b/>
          <w:color w:val="000000"/>
          <w:lang w:eastAsia="zh-CN"/>
        </w:rPr>
        <w:t>A</w:t>
      </w:r>
    </w:p>
    <w:p w14:paraId="1D3C3477" w14:textId="29B57C5E" w:rsidR="00A96071" w:rsidRPr="00A96071" w:rsidRDefault="00A96071">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3270F266" wp14:editId="61AD000D">
            <wp:extent cx="5943600" cy="14855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85584"/>
                    </a:xfrm>
                    <a:prstGeom prst="rect">
                      <a:avLst/>
                    </a:prstGeom>
                    <a:noFill/>
                  </pic:spPr>
                </pic:pic>
              </a:graphicData>
            </a:graphic>
          </wp:inline>
        </w:drawing>
      </w:r>
    </w:p>
    <w:p w14:paraId="49594FDB" w14:textId="0E85209F" w:rsidR="00A96071" w:rsidRDefault="00A96071">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B</w:t>
      </w:r>
    </w:p>
    <w:p w14:paraId="244131BB" w14:textId="1CB472C7" w:rsidR="00A96071"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6660108F" wp14:editId="4780366B">
            <wp:extent cx="5943600" cy="19125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2527"/>
                    </a:xfrm>
                    <a:prstGeom prst="rect">
                      <a:avLst/>
                    </a:prstGeom>
                    <a:noFill/>
                  </pic:spPr>
                </pic:pic>
              </a:graphicData>
            </a:graphic>
          </wp:inline>
        </w:drawing>
      </w:r>
    </w:p>
    <w:p w14:paraId="51A3EFD8" w14:textId="601342A3" w:rsidR="003F09FD" w:rsidRDefault="003F09F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w:t>
      </w:r>
    </w:p>
    <w:p w14:paraId="5DF0507D" w14:textId="50DF0FEA"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5E55FBB6" wp14:editId="6DFE53BB">
            <wp:extent cx="5943600" cy="12760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76080"/>
                    </a:xfrm>
                    <a:prstGeom prst="rect">
                      <a:avLst/>
                    </a:prstGeom>
                    <a:noFill/>
                  </pic:spPr>
                </pic:pic>
              </a:graphicData>
            </a:graphic>
          </wp:inline>
        </w:drawing>
      </w:r>
    </w:p>
    <w:p w14:paraId="18725BE7" w14:textId="3AD3FE85" w:rsidR="003F09FD" w:rsidRDefault="003F09F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D</w:t>
      </w:r>
    </w:p>
    <w:p w14:paraId="71D817D2" w14:textId="3D3BAEE6"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712F7B53" wp14:editId="58CFF6CB">
            <wp:extent cx="5943600" cy="151861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18613"/>
                    </a:xfrm>
                    <a:prstGeom prst="rect">
                      <a:avLst/>
                    </a:prstGeom>
                    <a:noFill/>
                  </pic:spPr>
                </pic:pic>
              </a:graphicData>
            </a:graphic>
          </wp:inline>
        </w:drawing>
      </w:r>
    </w:p>
    <w:p w14:paraId="35B18FA3" w14:textId="280482FB"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E</w:t>
      </w:r>
    </w:p>
    <w:p w14:paraId="50219C31" w14:textId="21954D6D"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84EC446" wp14:editId="10CC9D8E">
            <wp:extent cx="5934075" cy="145906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706" cy="1461929"/>
                    </a:xfrm>
                    <a:prstGeom prst="rect">
                      <a:avLst/>
                    </a:prstGeom>
                    <a:noFill/>
                  </pic:spPr>
                </pic:pic>
              </a:graphicData>
            </a:graphic>
          </wp:inline>
        </w:drawing>
      </w:r>
    </w:p>
    <w:p w14:paraId="77C80B10" w14:textId="557DD1C6"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p>
    <w:p w14:paraId="56E56D5F" w14:textId="57218711"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1C44C02E" wp14:editId="51E19BC4">
            <wp:extent cx="5943600" cy="105801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58013"/>
                    </a:xfrm>
                    <a:prstGeom prst="rect">
                      <a:avLst/>
                    </a:prstGeom>
                    <a:noFill/>
                  </pic:spPr>
                </pic:pic>
              </a:graphicData>
            </a:graphic>
          </wp:inline>
        </w:drawing>
      </w:r>
    </w:p>
    <w:p w14:paraId="3C47815A" w14:textId="1E4B7F64"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G</w:t>
      </w:r>
    </w:p>
    <w:p w14:paraId="5162D32E" w14:textId="440AED48"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62676AEB" wp14:editId="417F19BB">
            <wp:extent cx="5943600" cy="1485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pic:spPr>
                </pic:pic>
              </a:graphicData>
            </a:graphic>
          </wp:inline>
        </w:drawing>
      </w:r>
    </w:p>
    <w:p w14:paraId="723DAE88" w14:textId="19D51057"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H</w:t>
      </w:r>
    </w:p>
    <w:p w14:paraId="1DE0A6B6" w14:textId="4967941A"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7563ED4" wp14:editId="777472DE">
            <wp:extent cx="5943600" cy="15739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73977"/>
                    </a:xfrm>
                    <a:prstGeom prst="rect">
                      <a:avLst/>
                    </a:prstGeom>
                    <a:noFill/>
                  </pic:spPr>
                </pic:pic>
              </a:graphicData>
            </a:graphic>
          </wp:inline>
        </w:drawing>
      </w:r>
    </w:p>
    <w:p w14:paraId="25A98130" w14:textId="7F693418"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I</w:t>
      </w:r>
    </w:p>
    <w:p w14:paraId="02007642" w14:textId="15AF7079"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2B665318" wp14:editId="24636F3E">
            <wp:extent cx="5943600" cy="133669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36691"/>
                    </a:xfrm>
                    <a:prstGeom prst="rect">
                      <a:avLst/>
                    </a:prstGeom>
                    <a:noFill/>
                  </pic:spPr>
                </pic:pic>
              </a:graphicData>
            </a:graphic>
          </wp:inline>
        </w:drawing>
      </w:r>
    </w:p>
    <w:p w14:paraId="067A885C" w14:textId="3ECD321E"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J</w:t>
      </w:r>
    </w:p>
    <w:p w14:paraId="6108861C" w14:textId="28FE8D8C" w:rsidR="003F09FD" w:rsidRPr="00A96071"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888EFA7" wp14:editId="011B3AD5">
            <wp:extent cx="5943600" cy="115796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157964"/>
                    </a:xfrm>
                    <a:prstGeom prst="rect">
                      <a:avLst/>
                    </a:prstGeom>
                    <a:noFill/>
                  </pic:spPr>
                </pic:pic>
              </a:graphicData>
            </a:graphic>
          </wp:inline>
        </w:drawing>
      </w:r>
    </w:p>
    <w:p w14:paraId="4E678A07" w14:textId="1FD54DB6" w:rsidR="00A96071" w:rsidRDefault="001E2C53">
      <w:pPr>
        <w:spacing w:line="360" w:lineRule="auto"/>
        <w:jc w:val="both"/>
        <w:rPr>
          <w:rFonts w:ascii="Book Antiqua" w:hAnsi="Book Antiqua"/>
        </w:rPr>
      </w:pPr>
      <w:r w:rsidRPr="004133E3">
        <w:rPr>
          <w:rFonts w:ascii="Book Antiqua" w:eastAsia="Book Antiqua" w:hAnsi="Book Antiqua" w:cs="Book Antiqua"/>
          <w:b/>
          <w:color w:val="000000"/>
        </w:rPr>
        <w:t>Figure 2 Forest plots of</w:t>
      </w:r>
      <w:r w:rsidR="001F7226">
        <w:rPr>
          <w:rFonts w:ascii="Book Antiqua" w:eastAsia="Book Antiqua" w:hAnsi="Book Antiqua" w:cs="Book Antiqua"/>
          <w:b/>
          <w:color w:val="000000"/>
        </w:rPr>
        <w:t xml:space="preserve"> </w:t>
      </w:r>
      <w:r w:rsidRPr="004133E3">
        <w:rPr>
          <w:rFonts w:ascii="Book Antiqua" w:eastAsia="Book Antiqua" w:hAnsi="Book Antiqua" w:cs="Book Antiqua"/>
          <w:b/>
          <w:color w:val="000000"/>
        </w:rPr>
        <w:t>meta-analysis for age</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gender (female)</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lumbar bone mineral density</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fractures located at the thoracolumbar junction</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preoperative intravertebral cleft</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preoperative visual analogue scale scores</w:t>
      </w:r>
      <w:r w:rsidR="00A96071">
        <w:rPr>
          <w:rFonts w:ascii="Book Antiqua" w:eastAsia="Book Antiqua" w:hAnsi="Book Antiqua" w:cs="Book Antiqua"/>
          <w:b/>
          <w:color w:val="000000"/>
        </w:rPr>
        <w:t>,</w:t>
      </w:r>
      <w:r w:rsidR="001F7226">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injected cement volume</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intradiscal cement leakage</w:t>
      </w:r>
      <w:r w:rsidR="00A96071">
        <w:rPr>
          <w:rFonts w:ascii="Book Antiqua" w:eastAsia="Book Antiqua" w:hAnsi="Book Antiqua" w:cs="Book Antiqua"/>
          <w:b/>
          <w:color w:val="000000"/>
        </w:rPr>
        <w:t>,</w:t>
      </w:r>
      <w:r w:rsidR="001F7226">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cement distribution pattern</w:t>
      </w:r>
      <w:r w:rsidR="00A96071">
        <w:rPr>
          <w:rFonts w:ascii="Book Antiqua" w:eastAsia="Book Antiqua" w:hAnsi="Book Antiqua" w:cs="Book Antiqua"/>
          <w:b/>
          <w:color w:val="000000"/>
        </w:rPr>
        <w:t xml:space="preserve">, and </w:t>
      </w:r>
      <w:r w:rsidR="00A96071" w:rsidRPr="004133E3">
        <w:rPr>
          <w:rFonts w:ascii="Book Antiqua" w:eastAsia="Book Antiqua" w:hAnsi="Book Antiqua" w:cs="Book Antiqua"/>
          <w:b/>
          <w:color w:val="000000"/>
        </w:rPr>
        <w:t>vertebral height restoration</w:t>
      </w:r>
      <w:r w:rsidR="00A96071">
        <w:rPr>
          <w:rFonts w:ascii="Book Antiqua" w:eastAsia="Book Antiqua" w:hAnsi="Book Antiqua" w:cs="Book Antiqua"/>
          <w:b/>
          <w:color w:val="000000"/>
        </w:rPr>
        <w:t xml:space="preserve">. </w:t>
      </w:r>
      <w:r w:rsidR="00A96071" w:rsidRPr="003F09FD">
        <w:rPr>
          <w:rFonts w:ascii="Book Antiqua" w:eastAsia="Book Antiqua" w:hAnsi="Book Antiqua" w:cs="Book Antiqua"/>
          <w:bCs/>
          <w:color w:val="000000"/>
        </w:rPr>
        <w:t xml:space="preserve">A: Age; B: Gender (female); C: Lumbar bone mineral density; D: Fractures located at the thoracolumbar junction; E: Preoperative intravertebral cleft; F: Preoperative visual analogue scale scores; </w:t>
      </w:r>
      <w:r w:rsidR="003F09FD" w:rsidRPr="003F09FD">
        <w:rPr>
          <w:rFonts w:ascii="Book Antiqua" w:eastAsia="Book Antiqua" w:hAnsi="Book Antiqua" w:cs="Book Antiqua"/>
          <w:bCs/>
          <w:color w:val="000000"/>
        </w:rPr>
        <w:t xml:space="preserve">G: </w:t>
      </w:r>
      <w:r w:rsidR="001F7226">
        <w:rPr>
          <w:rFonts w:ascii="Book Antiqua" w:eastAsia="Book Antiqua" w:hAnsi="Book Antiqua" w:cs="Book Antiqua"/>
          <w:bCs/>
          <w:color w:val="000000"/>
        </w:rPr>
        <w:t>I</w:t>
      </w:r>
      <w:r w:rsidR="003F09FD" w:rsidRPr="003F09FD">
        <w:rPr>
          <w:rFonts w:ascii="Book Antiqua" w:eastAsia="Book Antiqua" w:hAnsi="Book Antiqua" w:cs="Book Antiqua"/>
          <w:bCs/>
          <w:color w:val="000000"/>
        </w:rPr>
        <w:t xml:space="preserve">njected cement volume; H: Intradiscal cement leakage; I: </w:t>
      </w:r>
      <w:r w:rsidR="001F7226">
        <w:rPr>
          <w:rFonts w:ascii="Book Antiqua" w:eastAsia="Book Antiqua" w:hAnsi="Book Antiqua" w:cs="Book Antiqua"/>
          <w:bCs/>
          <w:color w:val="000000"/>
        </w:rPr>
        <w:t>C</w:t>
      </w:r>
      <w:r w:rsidR="003F09FD" w:rsidRPr="003F09FD">
        <w:rPr>
          <w:rFonts w:ascii="Book Antiqua" w:eastAsia="Book Antiqua" w:hAnsi="Book Antiqua" w:cs="Book Antiqua"/>
          <w:bCs/>
          <w:color w:val="000000"/>
        </w:rPr>
        <w:t>ement distribution pattern; J: Vertebral height restoration.</w:t>
      </w:r>
      <w:r w:rsidR="003F09FD">
        <w:rPr>
          <w:rFonts w:ascii="Book Antiqua" w:eastAsia="Book Antiqua" w:hAnsi="Book Antiqua" w:cs="Book Antiqua"/>
          <w:bCs/>
          <w:color w:val="000000"/>
        </w:rPr>
        <w:t xml:space="preserve"> CI: </w:t>
      </w:r>
      <w:r w:rsidR="003F09FD" w:rsidRPr="00663BB7">
        <w:rPr>
          <w:rFonts w:ascii="Book Antiqua" w:hAnsi="Book Antiqua"/>
        </w:rPr>
        <w:t>Confidence interval</w:t>
      </w:r>
      <w:r w:rsidR="003F09FD">
        <w:rPr>
          <w:rFonts w:ascii="Book Antiqua" w:hAnsi="Book Antiqua"/>
        </w:rPr>
        <w:t xml:space="preserve">; SD: </w:t>
      </w:r>
      <w:r w:rsidR="003F09FD" w:rsidRPr="003F09FD">
        <w:rPr>
          <w:rFonts w:ascii="Book Antiqua" w:hAnsi="Book Antiqua"/>
        </w:rPr>
        <w:t>Standard deviation</w:t>
      </w:r>
      <w:r w:rsidR="003F09FD">
        <w:rPr>
          <w:rFonts w:ascii="Book Antiqua" w:hAnsi="Book Antiqua"/>
        </w:rPr>
        <w:t xml:space="preserve">. </w:t>
      </w:r>
    </w:p>
    <w:p w14:paraId="2E7D50C0" w14:textId="77777777" w:rsidR="003F09FD" w:rsidRDefault="003F09FD">
      <w:pPr>
        <w:spacing w:line="360" w:lineRule="auto"/>
        <w:jc w:val="both"/>
        <w:rPr>
          <w:rFonts w:ascii="Book Antiqua" w:eastAsia="Book Antiqua" w:hAnsi="Book Antiqua" w:cs="Book Antiqua"/>
          <w:bCs/>
          <w:color w:val="000000"/>
        </w:rPr>
        <w:sectPr w:rsidR="003F09FD">
          <w:pgSz w:w="12240" w:h="15840"/>
          <w:pgMar w:top="1440" w:right="1440" w:bottom="1440" w:left="1440" w:header="720" w:footer="720" w:gutter="0"/>
          <w:cols w:space="720"/>
          <w:docGrid w:linePitch="360"/>
        </w:sectPr>
      </w:pPr>
    </w:p>
    <w:p w14:paraId="1A1B97AD" w14:textId="1103BB71" w:rsidR="006920DF" w:rsidRPr="004A6203" w:rsidRDefault="006920DF" w:rsidP="003F09FD">
      <w:pPr>
        <w:spacing w:line="360" w:lineRule="auto"/>
        <w:jc w:val="both"/>
        <w:rPr>
          <w:rFonts w:ascii="Book Antiqua" w:hAnsi="Book Antiqua"/>
          <w:b/>
          <w:color w:val="000000"/>
          <w:lang w:eastAsia="zh-CN"/>
        </w:rPr>
      </w:pPr>
      <w:r w:rsidRPr="004A6203">
        <w:rPr>
          <w:rFonts w:ascii="Book Antiqua" w:hAnsi="Book Antiqua"/>
          <w:b/>
          <w:color w:val="000000"/>
        </w:rPr>
        <w:t>Table 1 Basic characte</w:t>
      </w:r>
      <w:r w:rsidR="004A6203" w:rsidRPr="004A6203">
        <w:rPr>
          <w:rFonts w:ascii="Book Antiqua" w:hAnsi="Book Antiqua"/>
          <w:b/>
          <w:color w:val="000000"/>
        </w:rPr>
        <w:t>ristics of the included studies</w:t>
      </w:r>
    </w:p>
    <w:tbl>
      <w:tblPr>
        <w:tblW w:w="12614" w:type="dxa"/>
        <w:tblInd w:w="99" w:type="dxa"/>
        <w:tblLayout w:type="fixed"/>
        <w:tblLook w:val="04A0" w:firstRow="1" w:lastRow="0" w:firstColumn="1" w:lastColumn="0" w:noHBand="0" w:noVBand="1"/>
      </w:tblPr>
      <w:tblGrid>
        <w:gridCol w:w="1473"/>
        <w:gridCol w:w="886"/>
        <w:gridCol w:w="887"/>
        <w:gridCol w:w="1200"/>
        <w:gridCol w:w="1285"/>
        <w:gridCol w:w="1556"/>
        <w:gridCol w:w="1285"/>
        <w:gridCol w:w="1066"/>
        <w:gridCol w:w="1065"/>
        <w:gridCol w:w="1085"/>
        <w:gridCol w:w="826"/>
      </w:tblGrid>
      <w:tr w:rsidR="006920DF" w14:paraId="0D82B478" w14:textId="77777777" w:rsidTr="003F09FD">
        <w:trPr>
          <w:trHeight w:val="938"/>
        </w:trPr>
        <w:tc>
          <w:tcPr>
            <w:tcW w:w="1473" w:type="dxa"/>
            <w:tcBorders>
              <w:top w:val="single" w:sz="4" w:space="0" w:color="auto"/>
              <w:left w:val="nil"/>
              <w:bottom w:val="single" w:sz="4" w:space="0" w:color="auto"/>
              <w:right w:val="nil"/>
            </w:tcBorders>
            <w:noWrap/>
            <w:vAlign w:val="center"/>
            <w:hideMark/>
          </w:tcPr>
          <w:p w14:paraId="2F967960" w14:textId="14A16BEB" w:rsidR="006920DF" w:rsidRPr="003F09FD" w:rsidRDefault="003F09FD" w:rsidP="00DF6702">
            <w:pPr>
              <w:adjustRightInd w:val="0"/>
              <w:snapToGrid w:val="0"/>
              <w:spacing w:line="360" w:lineRule="auto"/>
              <w:jc w:val="both"/>
              <w:rPr>
                <w:rFonts w:ascii="Book Antiqua" w:eastAsia="宋体" w:hAnsi="Book Antiqua"/>
                <w:b/>
                <w:bCs/>
                <w:lang w:eastAsia="zh-CN"/>
              </w:rPr>
            </w:pPr>
            <w:bookmarkStart w:id="113" w:name="_Hlk66189582"/>
            <w:r>
              <w:rPr>
                <w:rFonts w:ascii="Book Antiqua" w:hAnsi="Book Antiqua"/>
                <w:b/>
                <w:bCs/>
              </w:rPr>
              <w:t>Ref.</w:t>
            </w:r>
          </w:p>
        </w:tc>
        <w:tc>
          <w:tcPr>
            <w:tcW w:w="886" w:type="dxa"/>
            <w:tcBorders>
              <w:top w:val="single" w:sz="4" w:space="0" w:color="auto"/>
              <w:left w:val="nil"/>
              <w:bottom w:val="single" w:sz="4" w:space="0" w:color="auto"/>
              <w:right w:val="nil"/>
            </w:tcBorders>
            <w:vAlign w:val="center"/>
            <w:hideMark/>
          </w:tcPr>
          <w:p w14:paraId="3ABB3430" w14:textId="77777777" w:rsidR="006920DF" w:rsidRPr="003F09FD" w:rsidRDefault="006920DF" w:rsidP="00DF6702">
            <w:pPr>
              <w:adjustRightInd w:val="0"/>
              <w:snapToGrid w:val="0"/>
              <w:spacing w:line="360" w:lineRule="auto"/>
              <w:jc w:val="both"/>
              <w:rPr>
                <w:rFonts w:ascii="Book Antiqua" w:eastAsia="宋体" w:hAnsi="Book Antiqua"/>
                <w:b/>
                <w:bCs/>
              </w:rPr>
            </w:pPr>
            <w:bookmarkStart w:id="114" w:name="OLE_LINK80"/>
            <w:bookmarkStart w:id="115" w:name="OLE_LINK81"/>
            <w:r w:rsidRPr="003F09FD">
              <w:rPr>
                <w:rFonts w:ascii="Book Antiqua" w:hAnsi="Book Antiqua"/>
                <w:b/>
                <w:bCs/>
              </w:rPr>
              <w:t>P</w:t>
            </w:r>
            <w:bookmarkEnd w:id="114"/>
            <w:bookmarkEnd w:id="115"/>
            <w:r w:rsidRPr="003F09FD">
              <w:rPr>
                <w:rFonts w:ascii="Book Antiqua" w:hAnsi="Book Antiqua"/>
                <w:b/>
                <w:bCs/>
              </w:rPr>
              <w:t xml:space="preserve">ublication </w:t>
            </w:r>
            <w:r w:rsidR="00A373CD" w:rsidRPr="003F09FD">
              <w:rPr>
                <w:rFonts w:ascii="Book Antiqua" w:hAnsi="Book Antiqua"/>
                <w:b/>
                <w:bCs/>
              </w:rPr>
              <w:t>year</w:t>
            </w:r>
          </w:p>
        </w:tc>
        <w:tc>
          <w:tcPr>
            <w:tcW w:w="887" w:type="dxa"/>
            <w:tcBorders>
              <w:top w:val="single" w:sz="4" w:space="0" w:color="auto"/>
              <w:left w:val="nil"/>
              <w:bottom w:val="single" w:sz="4" w:space="0" w:color="auto"/>
              <w:right w:val="nil"/>
            </w:tcBorders>
            <w:vAlign w:val="center"/>
            <w:hideMark/>
          </w:tcPr>
          <w:p w14:paraId="3ACDE6E3"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Country</w:t>
            </w:r>
          </w:p>
        </w:tc>
        <w:tc>
          <w:tcPr>
            <w:tcW w:w="1200" w:type="dxa"/>
            <w:tcBorders>
              <w:top w:val="single" w:sz="4" w:space="0" w:color="auto"/>
              <w:left w:val="nil"/>
              <w:bottom w:val="single" w:sz="4" w:space="0" w:color="auto"/>
              <w:right w:val="nil"/>
            </w:tcBorders>
            <w:vAlign w:val="center"/>
            <w:hideMark/>
          </w:tcPr>
          <w:p w14:paraId="081F56F4"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Study </w:t>
            </w:r>
            <w:r w:rsidR="00A373CD" w:rsidRPr="003F09FD">
              <w:rPr>
                <w:rFonts w:ascii="Book Antiqua" w:hAnsi="Book Antiqua"/>
                <w:b/>
                <w:bCs/>
              </w:rPr>
              <w:t>period</w:t>
            </w:r>
          </w:p>
        </w:tc>
        <w:tc>
          <w:tcPr>
            <w:tcW w:w="1285" w:type="dxa"/>
            <w:tcBorders>
              <w:top w:val="single" w:sz="4" w:space="0" w:color="auto"/>
              <w:left w:val="nil"/>
              <w:bottom w:val="single" w:sz="4" w:space="0" w:color="auto"/>
              <w:right w:val="nil"/>
            </w:tcBorders>
            <w:vAlign w:val="center"/>
            <w:hideMark/>
          </w:tcPr>
          <w:p w14:paraId="355782DE"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Design</w:t>
            </w:r>
          </w:p>
        </w:tc>
        <w:tc>
          <w:tcPr>
            <w:tcW w:w="1556" w:type="dxa"/>
            <w:tcBorders>
              <w:top w:val="single" w:sz="4" w:space="0" w:color="auto"/>
              <w:left w:val="nil"/>
              <w:bottom w:val="single" w:sz="4" w:space="0" w:color="auto"/>
              <w:right w:val="nil"/>
            </w:tcBorders>
            <w:vAlign w:val="center"/>
            <w:hideMark/>
          </w:tcPr>
          <w:p w14:paraId="79444946" w14:textId="4DDC26AF"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Sample </w:t>
            </w:r>
            <w:r w:rsidR="00643E56" w:rsidRPr="003F09FD">
              <w:rPr>
                <w:rFonts w:ascii="Book Antiqua" w:hAnsi="Book Antiqua"/>
                <w:b/>
                <w:bCs/>
              </w:rPr>
              <w:t xml:space="preserve">size </w:t>
            </w:r>
            <w:r w:rsidRPr="003F09FD">
              <w:rPr>
                <w:rFonts w:ascii="Book Antiqua" w:hAnsi="Book Antiqua"/>
                <w:b/>
                <w:bCs/>
              </w:rPr>
              <w:t>(</w:t>
            </w:r>
            <w:r w:rsidR="003F09FD" w:rsidRPr="003F09FD">
              <w:rPr>
                <w:rFonts w:ascii="Book Antiqua" w:hAnsi="Book Antiqua"/>
                <w:b/>
                <w:bCs/>
              </w:rPr>
              <w:t>case/control</w:t>
            </w:r>
            <w:r w:rsidRPr="003F09FD">
              <w:rPr>
                <w:rFonts w:ascii="Book Antiqua" w:hAnsi="Book Antiqua"/>
                <w:b/>
                <w:bCs/>
              </w:rPr>
              <w:t>)</w:t>
            </w:r>
          </w:p>
        </w:tc>
        <w:tc>
          <w:tcPr>
            <w:tcW w:w="1285" w:type="dxa"/>
            <w:tcBorders>
              <w:top w:val="single" w:sz="4" w:space="0" w:color="auto"/>
              <w:left w:val="nil"/>
              <w:bottom w:val="single" w:sz="4" w:space="0" w:color="auto"/>
              <w:right w:val="nil"/>
            </w:tcBorders>
            <w:vAlign w:val="center"/>
            <w:hideMark/>
          </w:tcPr>
          <w:p w14:paraId="4BBBFF56"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Incidence of </w:t>
            </w:r>
            <w:r w:rsidR="003E6D42" w:rsidRPr="003F09FD">
              <w:rPr>
                <w:rFonts w:ascii="Book Antiqua" w:hAnsi="Book Antiqua"/>
                <w:b/>
                <w:bCs/>
              </w:rPr>
              <w:t xml:space="preserve">recollapse </w:t>
            </w:r>
            <w:r w:rsidRPr="003F09FD">
              <w:rPr>
                <w:rFonts w:ascii="Book Antiqua" w:hAnsi="Book Antiqua"/>
                <w:b/>
                <w:bCs/>
              </w:rPr>
              <w:t>(%)</w:t>
            </w:r>
          </w:p>
        </w:tc>
        <w:tc>
          <w:tcPr>
            <w:tcW w:w="1066" w:type="dxa"/>
            <w:tcBorders>
              <w:top w:val="single" w:sz="4" w:space="0" w:color="auto"/>
              <w:left w:val="nil"/>
              <w:bottom w:val="single" w:sz="4" w:space="0" w:color="auto"/>
              <w:right w:val="nil"/>
            </w:tcBorders>
            <w:vAlign w:val="center"/>
            <w:hideMark/>
          </w:tcPr>
          <w:p w14:paraId="063F584B" w14:textId="77777777" w:rsidR="006920DF" w:rsidRPr="003F09FD" w:rsidRDefault="00A373CD" w:rsidP="00DF6702">
            <w:pPr>
              <w:adjustRightInd w:val="0"/>
              <w:snapToGrid w:val="0"/>
              <w:spacing w:line="360" w:lineRule="auto"/>
              <w:jc w:val="both"/>
              <w:rPr>
                <w:rFonts w:ascii="Book Antiqua" w:eastAsia="宋体" w:hAnsi="Book Antiqua"/>
                <w:b/>
                <w:bCs/>
              </w:rPr>
            </w:pPr>
            <w:r w:rsidRPr="003F09FD">
              <w:rPr>
                <w:rFonts w:ascii="Book Antiqua" w:hAnsi="Book Antiqua"/>
                <w:b/>
                <w:bCs/>
              </w:rPr>
              <w:t>Mean age (yr</w:t>
            </w:r>
            <w:r w:rsidR="006920DF" w:rsidRPr="003F09FD">
              <w:rPr>
                <w:rFonts w:ascii="Book Antiqua" w:hAnsi="Book Antiqua"/>
                <w:b/>
                <w:bCs/>
              </w:rPr>
              <w:t>)</w:t>
            </w:r>
          </w:p>
        </w:tc>
        <w:tc>
          <w:tcPr>
            <w:tcW w:w="1065" w:type="dxa"/>
            <w:tcBorders>
              <w:top w:val="single" w:sz="4" w:space="0" w:color="auto"/>
              <w:left w:val="nil"/>
              <w:bottom w:val="single" w:sz="4" w:space="0" w:color="auto"/>
              <w:right w:val="nil"/>
            </w:tcBorders>
            <w:noWrap/>
            <w:vAlign w:val="center"/>
            <w:hideMark/>
          </w:tcPr>
          <w:p w14:paraId="472AE4C0" w14:textId="42BBDA44"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Sex (M:F)</w:t>
            </w:r>
          </w:p>
        </w:tc>
        <w:tc>
          <w:tcPr>
            <w:tcW w:w="1085" w:type="dxa"/>
            <w:tcBorders>
              <w:top w:val="single" w:sz="4" w:space="0" w:color="auto"/>
              <w:left w:val="nil"/>
              <w:bottom w:val="single" w:sz="4" w:space="0" w:color="auto"/>
              <w:right w:val="nil"/>
            </w:tcBorders>
            <w:vAlign w:val="center"/>
            <w:hideMark/>
          </w:tcPr>
          <w:p w14:paraId="539679BB" w14:textId="4745257C" w:rsidR="006920DF" w:rsidRPr="003F09FD" w:rsidRDefault="00A373CD"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Mean </w:t>
            </w:r>
            <w:r w:rsidR="003F09FD" w:rsidRPr="003F09FD">
              <w:rPr>
                <w:rFonts w:ascii="Book Antiqua" w:hAnsi="Book Antiqua"/>
                <w:b/>
                <w:bCs/>
              </w:rPr>
              <w:t>f</w:t>
            </w:r>
            <w:r w:rsidRPr="003F09FD">
              <w:rPr>
                <w:rFonts w:ascii="Book Antiqua" w:hAnsi="Book Antiqua"/>
                <w:b/>
                <w:bCs/>
              </w:rPr>
              <w:t>ollow-up (mo</w:t>
            </w:r>
            <w:r w:rsidR="006920DF" w:rsidRPr="003F09FD">
              <w:rPr>
                <w:rFonts w:ascii="Book Antiqua" w:hAnsi="Book Antiqua"/>
                <w:b/>
                <w:bCs/>
              </w:rPr>
              <w:t>)</w:t>
            </w:r>
          </w:p>
        </w:tc>
        <w:tc>
          <w:tcPr>
            <w:tcW w:w="826" w:type="dxa"/>
            <w:tcBorders>
              <w:top w:val="single" w:sz="4" w:space="0" w:color="auto"/>
              <w:left w:val="nil"/>
              <w:bottom w:val="single" w:sz="4" w:space="0" w:color="auto"/>
              <w:right w:val="nil"/>
            </w:tcBorders>
            <w:vAlign w:val="center"/>
            <w:hideMark/>
          </w:tcPr>
          <w:p w14:paraId="4EC8EEEC"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NOS </w:t>
            </w:r>
            <w:r w:rsidR="00A373CD" w:rsidRPr="003F09FD">
              <w:rPr>
                <w:rFonts w:ascii="Book Antiqua" w:hAnsi="Book Antiqua"/>
                <w:b/>
                <w:bCs/>
              </w:rPr>
              <w:t>score</w:t>
            </w:r>
          </w:p>
        </w:tc>
      </w:tr>
      <w:bookmarkEnd w:id="113"/>
      <w:tr w:rsidR="006920DF" w14:paraId="42C88ADB" w14:textId="77777777" w:rsidTr="00363B97">
        <w:trPr>
          <w:trHeight w:val="625"/>
        </w:trPr>
        <w:tc>
          <w:tcPr>
            <w:tcW w:w="1473" w:type="dxa"/>
            <w:noWrap/>
            <w:vAlign w:val="center"/>
            <w:hideMark/>
          </w:tcPr>
          <w:p w14:paraId="6A52262D" w14:textId="78D3E602" w:rsidR="006920DF" w:rsidRDefault="006920DF">
            <w:pPr>
              <w:adjustRightInd w:val="0"/>
              <w:snapToGrid w:val="0"/>
              <w:spacing w:line="360" w:lineRule="auto"/>
              <w:jc w:val="both"/>
              <w:rPr>
                <w:rFonts w:ascii="Book Antiqua" w:eastAsia="宋体" w:hAnsi="Book Antiqua"/>
                <w:lang w:eastAsia="zh-CN"/>
              </w:rPr>
            </w:pPr>
            <w:r>
              <w:rPr>
                <w:rFonts w:ascii="Book Antiqua" w:hAnsi="Book Antiqua"/>
              </w:rPr>
              <w:t xml:space="preserve">Lin </w:t>
            </w:r>
            <w:r w:rsidRPr="00A51138">
              <w:rPr>
                <w:rFonts w:ascii="Book Antiqua" w:hAnsi="Book Antiqua"/>
                <w:i/>
              </w:rPr>
              <w:t>et al</w:t>
            </w:r>
            <w:r>
              <w:rPr>
                <w:rFonts w:ascii="Book Antiqua" w:hAnsi="Book Antiqua"/>
                <w:vertAlign w:val="superscript"/>
              </w:rPr>
              <w:t>[11]</w:t>
            </w:r>
            <w:r w:rsidR="00363B97">
              <w:rPr>
                <w:rFonts w:ascii="Book Antiqua" w:hAnsi="Book Antiqua" w:hint="eastAsia"/>
                <w:vertAlign w:val="superscript"/>
                <w:lang w:eastAsia="zh-CN"/>
              </w:rPr>
              <w:t xml:space="preserve"> </w:t>
            </w:r>
          </w:p>
        </w:tc>
        <w:tc>
          <w:tcPr>
            <w:tcW w:w="886" w:type="dxa"/>
            <w:vAlign w:val="center"/>
          </w:tcPr>
          <w:p w14:paraId="6C8F6A3B" w14:textId="11762F03" w:rsidR="006920DF" w:rsidRDefault="00DF6702">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2008</w:t>
            </w:r>
          </w:p>
        </w:tc>
        <w:tc>
          <w:tcPr>
            <w:tcW w:w="887" w:type="dxa"/>
            <w:vAlign w:val="center"/>
            <w:hideMark/>
          </w:tcPr>
          <w:p w14:paraId="54EB4A20"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Taiwan, China</w:t>
            </w:r>
          </w:p>
        </w:tc>
        <w:tc>
          <w:tcPr>
            <w:tcW w:w="1200" w:type="dxa"/>
            <w:vAlign w:val="center"/>
            <w:hideMark/>
          </w:tcPr>
          <w:p w14:paraId="61878EA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2001-2005</w:t>
            </w:r>
          </w:p>
        </w:tc>
        <w:tc>
          <w:tcPr>
            <w:tcW w:w="1285" w:type="dxa"/>
            <w:vAlign w:val="center"/>
            <w:hideMark/>
          </w:tcPr>
          <w:p w14:paraId="2878A57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377179D0"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98 (62/36)</w:t>
            </w:r>
          </w:p>
        </w:tc>
        <w:tc>
          <w:tcPr>
            <w:tcW w:w="1285" w:type="dxa"/>
            <w:noWrap/>
            <w:vAlign w:val="center"/>
            <w:hideMark/>
          </w:tcPr>
          <w:p w14:paraId="175AEC6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63.3</w:t>
            </w:r>
          </w:p>
        </w:tc>
        <w:tc>
          <w:tcPr>
            <w:tcW w:w="1066" w:type="dxa"/>
            <w:noWrap/>
            <w:vAlign w:val="center"/>
            <w:hideMark/>
          </w:tcPr>
          <w:p w14:paraId="162B8B4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72.6</w:t>
            </w:r>
          </w:p>
        </w:tc>
        <w:tc>
          <w:tcPr>
            <w:tcW w:w="1065" w:type="dxa"/>
            <w:noWrap/>
            <w:vAlign w:val="center"/>
            <w:hideMark/>
          </w:tcPr>
          <w:p w14:paraId="1F8AD931" w14:textId="3BB142D6" w:rsidR="006920DF" w:rsidRDefault="006920DF">
            <w:pPr>
              <w:adjustRightInd w:val="0"/>
              <w:snapToGrid w:val="0"/>
              <w:spacing w:line="360" w:lineRule="auto"/>
              <w:jc w:val="both"/>
              <w:rPr>
                <w:rFonts w:ascii="Book Antiqua" w:eastAsia="宋体" w:hAnsi="Book Antiqua"/>
              </w:rPr>
            </w:pPr>
            <w:r>
              <w:rPr>
                <w:rFonts w:ascii="Book Antiqua" w:hAnsi="Book Antiqua"/>
              </w:rPr>
              <w:t>8:90</w:t>
            </w:r>
          </w:p>
        </w:tc>
        <w:tc>
          <w:tcPr>
            <w:tcW w:w="1085" w:type="dxa"/>
            <w:noWrap/>
            <w:vAlign w:val="center"/>
            <w:hideMark/>
          </w:tcPr>
          <w:p w14:paraId="2CBB01B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26.9</w:t>
            </w:r>
          </w:p>
        </w:tc>
        <w:tc>
          <w:tcPr>
            <w:tcW w:w="826" w:type="dxa"/>
            <w:vAlign w:val="center"/>
            <w:hideMark/>
          </w:tcPr>
          <w:p w14:paraId="1D3CDBC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10A04B92" w14:textId="77777777" w:rsidTr="003F09FD">
        <w:trPr>
          <w:trHeight w:val="625"/>
        </w:trPr>
        <w:tc>
          <w:tcPr>
            <w:tcW w:w="1473" w:type="dxa"/>
            <w:noWrap/>
            <w:vAlign w:val="center"/>
            <w:hideMark/>
          </w:tcPr>
          <w:p w14:paraId="2283CF6C" w14:textId="77777777" w:rsidR="006920DF" w:rsidRDefault="006920DF">
            <w:pPr>
              <w:adjustRightInd w:val="0"/>
              <w:snapToGrid w:val="0"/>
              <w:spacing w:line="360" w:lineRule="auto"/>
              <w:jc w:val="both"/>
              <w:rPr>
                <w:rFonts w:ascii="Book Antiqua" w:eastAsia="宋体" w:hAnsi="Book Antiqua"/>
                <w:lang w:eastAsia="zh-CN"/>
              </w:rPr>
            </w:pPr>
            <w:r>
              <w:rPr>
                <w:rFonts w:ascii="Book Antiqua" w:hAnsi="Book Antiqua"/>
              </w:rPr>
              <w:t xml:space="preserve">Heo </w:t>
            </w:r>
            <w:r w:rsidRPr="00A51138">
              <w:rPr>
                <w:rFonts w:ascii="Book Antiqua" w:hAnsi="Book Antiqua"/>
                <w:i/>
              </w:rPr>
              <w:t>et al</w:t>
            </w:r>
            <w:r>
              <w:rPr>
                <w:rFonts w:ascii="Book Antiqua" w:hAnsi="Book Antiqua"/>
                <w:vertAlign w:val="superscript"/>
              </w:rPr>
              <w:t>[12]</w:t>
            </w:r>
          </w:p>
        </w:tc>
        <w:tc>
          <w:tcPr>
            <w:tcW w:w="886" w:type="dxa"/>
            <w:vAlign w:val="center"/>
            <w:hideMark/>
          </w:tcPr>
          <w:p w14:paraId="35B9303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2009</w:t>
            </w:r>
          </w:p>
        </w:tc>
        <w:tc>
          <w:tcPr>
            <w:tcW w:w="887" w:type="dxa"/>
            <w:vAlign w:val="center"/>
            <w:hideMark/>
          </w:tcPr>
          <w:p w14:paraId="1C7C4B0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Korea</w:t>
            </w:r>
          </w:p>
        </w:tc>
        <w:tc>
          <w:tcPr>
            <w:tcW w:w="1200" w:type="dxa"/>
            <w:vAlign w:val="center"/>
            <w:hideMark/>
          </w:tcPr>
          <w:p w14:paraId="6756641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2002-2006</w:t>
            </w:r>
          </w:p>
        </w:tc>
        <w:tc>
          <w:tcPr>
            <w:tcW w:w="1285" w:type="dxa"/>
            <w:vAlign w:val="center"/>
            <w:hideMark/>
          </w:tcPr>
          <w:p w14:paraId="7849BFEE"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405512E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343 (11/332)</w:t>
            </w:r>
          </w:p>
        </w:tc>
        <w:tc>
          <w:tcPr>
            <w:tcW w:w="1285" w:type="dxa"/>
            <w:noWrap/>
            <w:vAlign w:val="center"/>
            <w:hideMark/>
          </w:tcPr>
          <w:p w14:paraId="1AC33B7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3.2</w:t>
            </w:r>
          </w:p>
        </w:tc>
        <w:tc>
          <w:tcPr>
            <w:tcW w:w="1066" w:type="dxa"/>
            <w:noWrap/>
            <w:vAlign w:val="center"/>
            <w:hideMark/>
          </w:tcPr>
          <w:p w14:paraId="4ECC9D9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68.06</w:t>
            </w:r>
          </w:p>
        </w:tc>
        <w:tc>
          <w:tcPr>
            <w:tcW w:w="1065" w:type="dxa"/>
            <w:noWrap/>
            <w:vAlign w:val="center"/>
            <w:hideMark/>
          </w:tcPr>
          <w:p w14:paraId="1AC5A802" w14:textId="1A5DE74F" w:rsidR="006920DF" w:rsidRDefault="006920DF">
            <w:pPr>
              <w:adjustRightInd w:val="0"/>
              <w:snapToGrid w:val="0"/>
              <w:spacing w:line="360" w:lineRule="auto"/>
              <w:jc w:val="both"/>
              <w:rPr>
                <w:rFonts w:ascii="Book Antiqua" w:eastAsia="宋体" w:hAnsi="Book Antiqua"/>
              </w:rPr>
            </w:pPr>
            <w:r>
              <w:rPr>
                <w:rFonts w:ascii="Book Antiqua" w:hAnsi="Book Antiqua"/>
              </w:rPr>
              <w:t>82:261</w:t>
            </w:r>
          </w:p>
        </w:tc>
        <w:tc>
          <w:tcPr>
            <w:tcW w:w="1085" w:type="dxa"/>
            <w:noWrap/>
            <w:vAlign w:val="center"/>
            <w:hideMark/>
          </w:tcPr>
          <w:p w14:paraId="2BCB108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12</w:t>
            </w:r>
          </w:p>
        </w:tc>
        <w:tc>
          <w:tcPr>
            <w:tcW w:w="826" w:type="dxa"/>
            <w:vAlign w:val="center"/>
            <w:hideMark/>
          </w:tcPr>
          <w:p w14:paraId="2845963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6F8C773A" w14:textId="77777777" w:rsidTr="003F09FD">
        <w:trPr>
          <w:trHeight w:val="625"/>
        </w:trPr>
        <w:tc>
          <w:tcPr>
            <w:tcW w:w="1473" w:type="dxa"/>
            <w:noWrap/>
            <w:vAlign w:val="center"/>
            <w:hideMark/>
          </w:tcPr>
          <w:p w14:paraId="707FCB1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Lin </w:t>
            </w:r>
            <w:r w:rsidRPr="00A51138">
              <w:rPr>
                <w:rFonts w:ascii="Book Antiqua" w:hAnsi="Book Antiqua"/>
                <w:i/>
              </w:rPr>
              <w:t>et al</w:t>
            </w:r>
            <w:r>
              <w:rPr>
                <w:rFonts w:ascii="Book Antiqua" w:hAnsi="Book Antiqua"/>
                <w:vertAlign w:val="superscript"/>
              </w:rPr>
              <w:t>[13]</w:t>
            </w:r>
          </w:p>
        </w:tc>
        <w:tc>
          <w:tcPr>
            <w:tcW w:w="886" w:type="dxa"/>
            <w:vAlign w:val="center"/>
            <w:hideMark/>
          </w:tcPr>
          <w:p w14:paraId="71A04F1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2010</w:t>
            </w:r>
          </w:p>
        </w:tc>
        <w:tc>
          <w:tcPr>
            <w:tcW w:w="887" w:type="dxa"/>
            <w:vAlign w:val="center"/>
            <w:hideMark/>
          </w:tcPr>
          <w:p w14:paraId="2E07BFE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Taiwan, China</w:t>
            </w:r>
          </w:p>
        </w:tc>
        <w:tc>
          <w:tcPr>
            <w:tcW w:w="1200" w:type="dxa"/>
            <w:vAlign w:val="center"/>
            <w:hideMark/>
          </w:tcPr>
          <w:p w14:paraId="7A5A264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2004-2007</w:t>
            </w:r>
          </w:p>
        </w:tc>
        <w:tc>
          <w:tcPr>
            <w:tcW w:w="1285" w:type="dxa"/>
            <w:vAlign w:val="center"/>
            <w:hideMark/>
          </w:tcPr>
          <w:p w14:paraId="6F7B93C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72E17B2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81 (46/35)</w:t>
            </w:r>
          </w:p>
        </w:tc>
        <w:tc>
          <w:tcPr>
            <w:tcW w:w="1285" w:type="dxa"/>
            <w:noWrap/>
            <w:vAlign w:val="center"/>
            <w:hideMark/>
          </w:tcPr>
          <w:p w14:paraId="4F3D9D9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56.8</w:t>
            </w:r>
          </w:p>
        </w:tc>
        <w:tc>
          <w:tcPr>
            <w:tcW w:w="1066" w:type="dxa"/>
            <w:noWrap/>
            <w:vAlign w:val="center"/>
            <w:hideMark/>
          </w:tcPr>
          <w:p w14:paraId="09D3ACC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74.3</w:t>
            </w:r>
          </w:p>
        </w:tc>
        <w:tc>
          <w:tcPr>
            <w:tcW w:w="1065" w:type="dxa"/>
            <w:noWrap/>
            <w:vAlign w:val="center"/>
            <w:hideMark/>
          </w:tcPr>
          <w:p w14:paraId="18974E78" w14:textId="1F7F73D4" w:rsidR="006920DF" w:rsidRDefault="006920DF">
            <w:pPr>
              <w:adjustRightInd w:val="0"/>
              <w:snapToGrid w:val="0"/>
              <w:spacing w:line="360" w:lineRule="auto"/>
              <w:jc w:val="both"/>
              <w:rPr>
                <w:rFonts w:ascii="Book Antiqua" w:eastAsia="宋体" w:hAnsi="Book Antiqua"/>
              </w:rPr>
            </w:pPr>
            <w:r>
              <w:rPr>
                <w:rFonts w:ascii="Book Antiqua" w:hAnsi="Book Antiqua"/>
              </w:rPr>
              <w:t>16:73</w:t>
            </w:r>
          </w:p>
        </w:tc>
        <w:tc>
          <w:tcPr>
            <w:tcW w:w="1085" w:type="dxa"/>
            <w:noWrap/>
            <w:vAlign w:val="center"/>
            <w:hideMark/>
          </w:tcPr>
          <w:p w14:paraId="7FAA09B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23.0</w:t>
            </w:r>
          </w:p>
        </w:tc>
        <w:tc>
          <w:tcPr>
            <w:tcW w:w="826" w:type="dxa"/>
            <w:vAlign w:val="center"/>
            <w:hideMark/>
          </w:tcPr>
          <w:p w14:paraId="39438D3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9</w:t>
            </w:r>
          </w:p>
        </w:tc>
      </w:tr>
      <w:tr w:rsidR="006920DF" w14:paraId="4226BDB1" w14:textId="77777777" w:rsidTr="003F09FD">
        <w:trPr>
          <w:trHeight w:val="625"/>
        </w:trPr>
        <w:tc>
          <w:tcPr>
            <w:tcW w:w="1473" w:type="dxa"/>
            <w:noWrap/>
            <w:vAlign w:val="center"/>
            <w:hideMark/>
          </w:tcPr>
          <w:p w14:paraId="7AC6D18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Kang </w:t>
            </w:r>
            <w:r w:rsidRPr="00A51138">
              <w:rPr>
                <w:rFonts w:ascii="Book Antiqua" w:hAnsi="Book Antiqua"/>
                <w:i/>
              </w:rPr>
              <w:t>et al</w:t>
            </w:r>
            <w:r>
              <w:rPr>
                <w:rFonts w:ascii="Book Antiqua" w:hAnsi="Book Antiqua"/>
                <w:vertAlign w:val="superscript"/>
              </w:rPr>
              <w:t>[14]</w:t>
            </w:r>
          </w:p>
        </w:tc>
        <w:tc>
          <w:tcPr>
            <w:tcW w:w="886" w:type="dxa"/>
            <w:vAlign w:val="center"/>
            <w:hideMark/>
          </w:tcPr>
          <w:p w14:paraId="3860D96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2011</w:t>
            </w:r>
          </w:p>
        </w:tc>
        <w:tc>
          <w:tcPr>
            <w:tcW w:w="887" w:type="dxa"/>
            <w:vAlign w:val="center"/>
            <w:hideMark/>
          </w:tcPr>
          <w:p w14:paraId="7681D2AE"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Korea</w:t>
            </w:r>
          </w:p>
        </w:tc>
        <w:tc>
          <w:tcPr>
            <w:tcW w:w="1200" w:type="dxa"/>
            <w:vAlign w:val="center"/>
            <w:hideMark/>
          </w:tcPr>
          <w:p w14:paraId="6D7C643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2008-2010</w:t>
            </w:r>
          </w:p>
        </w:tc>
        <w:tc>
          <w:tcPr>
            <w:tcW w:w="1285" w:type="dxa"/>
            <w:vAlign w:val="center"/>
            <w:hideMark/>
          </w:tcPr>
          <w:p w14:paraId="581E118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14948AF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60 (20/40)</w:t>
            </w:r>
          </w:p>
        </w:tc>
        <w:tc>
          <w:tcPr>
            <w:tcW w:w="1285" w:type="dxa"/>
            <w:noWrap/>
            <w:vAlign w:val="center"/>
            <w:hideMark/>
          </w:tcPr>
          <w:p w14:paraId="21A414C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33.3</w:t>
            </w:r>
          </w:p>
        </w:tc>
        <w:tc>
          <w:tcPr>
            <w:tcW w:w="1066" w:type="dxa"/>
            <w:noWrap/>
            <w:vAlign w:val="center"/>
            <w:hideMark/>
          </w:tcPr>
          <w:p w14:paraId="2EBDD11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70</w:t>
            </w:r>
          </w:p>
        </w:tc>
        <w:tc>
          <w:tcPr>
            <w:tcW w:w="1065" w:type="dxa"/>
            <w:noWrap/>
            <w:vAlign w:val="center"/>
            <w:hideMark/>
          </w:tcPr>
          <w:p w14:paraId="430C0F90" w14:textId="778B5358" w:rsidR="006920DF" w:rsidRDefault="006920DF">
            <w:pPr>
              <w:adjustRightInd w:val="0"/>
              <w:snapToGrid w:val="0"/>
              <w:spacing w:line="360" w:lineRule="auto"/>
              <w:jc w:val="both"/>
              <w:rPr>
                <w:rFonts w:ascii="Book Antiqua" w:eastAsia="宋体" w:hAnsi="Book Antiqua"/>
              </w:rPr>
            </w:pPr>
            <w:r>
              <w:rPr>
                <w:rFonts w:ascii="Book Antiqua" w:hAnsi="Book Antiqua"/>
              </w:rPr>
              <w:t>10:50</w:t>
            </w:r>
          </w:p>
        </w:tc>
        <w:tc>
          <w:tcPr>
            <w:tcW w:w="1085" w:type="dxa"/>
            <w:noWrap/>
            <w:vAlign w:val="center"/>
            <w:hideMark/>
          </w:tcPr>
          <w:p w14:paraId="40BDF2D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12</w:t>
            </w:r>
          </w:p>
        </w:tc>
        <w:tc>
          <w:tcPr>
            <w:tcW w:w="826" w:type="dxa"/>
            <w:vAlign w:val="center"/>
            <w:hideMark/>
          </w:tcPr>
          <w:p w14:paraId="5219C85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w:t>
            </w:r>
          </w:p>
        </w:tc>
      </w:tr>
      <w:tr w:rsidR="006920DF" w14:paraId="0BF4CFCC" w14:textId="77777777" w:rsidTr="003F09FD">
        <w:trPr>
          <w:trHeight w:val="625"/>
        </w:trPr>
        <w:tc>
          <w:tcPr>
            <w:tcW w:w="1473" w:type="dxa"/>
            <w:noWrap/>
            <w:vAlign w:val="center"/>
            <w:hideMark/>
          </w:tcPr>
          <w:p w14:paraId="6348093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Chen </w:t>
            </w:r>
            <w:r w:rsidRPr="00A51138">
              <w:rPr>
                <w:rFonts w:ascii="Book Antiqua" w:hAnsi="Book Antiqua"/>
                <w:i/>
              </w:rPr>
              <w:t>et al</w:t>
            </w:r>
            <w:r>
              <w:rPr>
                <w:rFonts w:ascii="Book Antiqua" w:hAnsi="Book Antiqua"/>
                <w:vertAlign w:val="superscript"/>
              </w:rPr>
              <w:t>[15]</w:t>
            </w:r>
          </w:p>
        </w:tc>
        <w:tc>
          <w:tcPr>
            <w:tcW w:w="886" w:type="dxa"/>
            <w:vAlign w:val="center"/>
            <w:hideMark/>
          </w:tcPr>
          <w:p w14:paraId="5D965B9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2011</w:t>
            </w:r>
          </w:p>
        </w:tc>
        <w:tc>
          <w:tcPr>
            <w:tcW w:w="887" w:type="dxa"/>
            <w:vAlign w:val="center"/>
            <w:hideMark/>
          </w:tcPr>
          <w:p w14:paraId="6C45B80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Taiwan, China</w:t>
            </w:r>
          </w:p>
        </w:tc>
        <w:tc>
          <w:tcPr>
            <w:tcW w:w="1200" w:type="dxa"/>
            <w:vAlign w:val="center"/>
            <w:hideMark/>
          </w:tcPr>
          <w:p w14:paraId="49B1D98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2001-2008</w:t>
            </w:r>
          </w:p>
        </w:tc>
        <w:tc>
          <w:tcPr>
            <w:tcW w:w="1285" w:type="dxa"/>
            <w:vAlign w:val="center"/>
            <w:hideMark/>
          </w:tcPr>
          <w:p w14:paraId="46F2188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50A3FE1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1800 (10/1790)</w:t>
            </w:r>
          </w:p>
        </w:tc>
        <w:tc>
          <w:tcPr>
            <w:tcW w:w="1285" w:type="dxa"/>
            <w:noWrap/>
            <w:vAlign w:val="center"/>
            <w:hideMark/>
          </w:tcPr>
          <w:p w14:paraId="3E5856C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0.6</w:t>
            </w:r>
          </w:p>
        </w:tc>
        <w:tc>
          <w:tcPr>
            <w:tcW w:w="1066" w:type="dxa"/>
            <w:noWrap/>
            <w:vAlign w:val="center"/>
            <w:hideMark/>
          </w:tcPr>
          <w:p w14:paraId="5E07067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77.7</w:t>
            </w:r>
          </w:p>
        </w:tc>
        <w:tc>
          <w:tcPr>
            <w:tcW w:w="1065" w:type="dxa"/>
            <w:noWrap/>
            <w:vAlign w:val="center"/>
            <w:hideMark/>
          </w:tcPr>
          <w:p w14:paraId="4E90A13B" w14:textId="3709542D" w:rsidR="006920DF" w:rsidRDefault="006920DF">
            <w:pPr>
              <w:adjustRightInd w:val="0"/>
              <w:snapToGrid w:val="0"/>
              <w:spacing w:line="360" w:lineRule="auto"/>
              <w:jc w:val="both"/>
              <w:rPr>
                <w:rFonts w:ascii="Book Antiqua" w:eastAsia="宋体" w:hAnsi="Book Antiqua"/>
              </w:rPr>
            </w:pPr>
            <w:r>
              <w:rPr>
                <w:rFonts w:ascii="Book Antiqua" w:hAnsi="Book Antiqua"/>
              </w:rPr>
              <w:t>323:1477</w:t>
            </w:r>
          </w:p>
        </w:tc>
        <w:tc>
          <w:tcPr>
            <w:tcW w:w="1085" w:type="dxa"/>
            <w:noWrap/>
            <w:vAlign w:val="center"/>
            <w:hideMark/>
          </w:tcPr>
          <w:p w14:paraId="1D863AA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24</w:t>
            </w:r>
          </w:p>
        </w:tc>
        <w:tc>
          <w:tcPr>
            <w:tcW w:w="826" w:type="dxa"/>
            <w:vAlign w:val="center"/>
            <w:hideMark/>
          </w:tcPr>
          <w:p w14:paraId="41844FC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2E0298F5" w14:textId="77777777" w:rsidTr="003F09FD">
        <w:trPr>
          <w:trHeight w:val="625"/>
        </w:trPr>
        <w:tc>
          <w:tcPr>
            <w:tcW w:w="1473" w:type="dxa"/>
            <w:noWrap/>
            <w:vAlign w:val="center"/>
            <w:hideMark/>
          </w:tcPr>
          <w:p w14:paraId="49D4846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Oh </w:t>
            </w:r>
            <w:r w:rsidRPr="00A51138">
              <w:rPr>
                <w:rFonts w:ascii="Book Antiqua" w:hAnsi="Book Antiqua"/>
                <w:i/>
              </w:rPr>
              <w:t>et al</w:t>
            </w:r>
            <w:r>
              <w:rPr>
                <w:rFonts w:ascii="Book Antiqua" w:hAnsi="Book Antiqua"/>
                <w:vertAlign w:val="superscript"/>
              </w:rPr>
              <w:t>[16]</w:t>
            </w:r>
          </w:p>
        </w:tc>
        <w:tc>
          <w:tcPr>
            <w:tcW w:w="886" w:type="dxa"/>
            <w:vAlign w:val="center"/>
            <w:hideMark/>
          </w:tcPr>
          <w:p w14:paraId="78E90FB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2016</w:t>
            </w:r>
          </w:p>
        </w:tc>
        <w:tc>
          <w:tcPr>
            <w:tcW w:w="887" w:type="dxa"/>
            <w:vAlign w:val="center"/>
            <w:hideMark/>
          </w:tcPr>
          <w:p w14:paraId="200D5360"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Korea</w:t>
            </w:r>
          </w:p>
        </w:tc>
        <w:tc>
          <w:tcPr>
            <w:tcW w:w="1200" w:type="dxa"/>
            <w:vAlign w:val="center"/>
            <w:hideMark/>
          </w:tcPr>
          <w:p w14:paraId="3A4446A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2012-2013</w:t>
            </w:r>
          </w:p>
        </w:tc>
        <w:tc>
          <w:tcPr>
            <w:tcW w:w="1285" w:type="dxa"/>
            <w:vAlign w:val="center"/>
            <w:hideMark/>
          </w:tcPr>
          <w:p w14:paraId="6856E75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68F574F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44 (22/22)</w:t>
            </w:r>
          </w:p>
        </w:tc>
        <w:tc>
          <w:tcPr>
            <w:tcW w:w="1285" w:type="dxa"/>
            <w:noWrap/>
            <w:vAlign w:val="center"/>
            <w:hideMark/>
          </w:tcPr>
          <w:p w14:paraId="2B95978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50</w:t>
            </w:r>
          </w:p>
        </w:tc>
        <w:tc>
          <w:tcPr>
            <w:tcW w:w="1066" w:type="dxa"/>
            <w:noWrap/>
            <w:vAlign w:val="center"/>
            <w:hideMark/>
          </w:tcPr>
          <w:p w14:paraId="24E1ECE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76.1</w:t>
            </w:r>
          </w:p>
        </w:tc>
        <w:tc>
          <w:tcPr>
            <w:tcW w:w="1065" w:type="dxa"/>
            <w:noWrap/>
            <w:vAlign w:val="center"/>
            <w:hideMark/>
          </w:tcPr>
          <w:p w14:paraId="0A4B41BA" w14:textId="7BEF09E7" w:rsidR="006920DF" w:rsidRDefault="006920DF">
            <w:pPr>
              <w:adjustRightInd w:val="0"/>
              <w:snapToGrid w:val="0"/>
              <w:spacing w:line="360" w:lineRule="auto"/>
              <w:jc w:val="both"/>
              <w:rPr>
                <w:rFonts w:ascii="Book Antiqua" w:eastAsia="宋体" w:hAnsi="Book Antiqua"/>
              </w:rPr>
            </w:pPr>
            <w:r>
              <w:rPr>
                <w:rFonts w:ascii="Book Antiqua" w:hAnsi="Book Antiqua"/>
              </w:rPr>
              <w:t>26:18</w:t>
            </w:r>
          </w:p>
        </w:tc>
        <w:tc>
          <w:tcPr>
            <w:tcW w:w="1085" w:type="dxa"/>
            <w:noWrap/>
            <w:vAlign w:val="center"/>
            <w:hideMark/>
          </w:tcPr>
          <w:p w14:paraId="0425393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16.5</w:t>
            </w:r>
          </w:p>
        </w:tc>
        <w:tc>
          <w:tcPr>
            <w:tcW w:w="826" w:type="dxa"/>
            <w:vAlign w:val="center"/>
            <w:hideMark/>
          </w:tcPr>
          <w:p w14:paraId="230FBE4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w:t>
            </w:r>
          </w:p>
        </w:tc>
      </w:tr>
      <w:tr w:rsidR="006920DF" w14:paraId="3822C69F" w14:textId="77777777" w:rsidTr="003F09FD">
        <w:trPr>
          <w:trHeight w:val="625"/>
        </w:trPr>
        <w:tc>
          <w:tcPr>
            <w:tcW w:w="1473" w:type="dxa"/>
            <w:noWrap/>
            <w:vAlign w:val="center"/>
            <w:hideMark/>
          </w:tcPr>
          <w:p w14:paraId="34B2C49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Zhang</w:t>
            </w:r>
            <w:r w:rsidRPr="00A51138">
              <w:rPr>
                <w:rFonts w:ascii="Book Antiqua" w:hAnsi="Book Antiqua"/>
                <w:i/>
              </w:rPr>
              <w:t xml:space="preserve"> et al</w:t>
            </w:r>
            <w:r>
              <w:rPr>
                <w:rFonts w:ascii="Book Antiqua" w:hAnsi="Book Antiqua"/>
                <w:vertAlign w:val="superscript"/>
              </w:rPr>
              <w:t>[17]</w:t>
            </w:r>
          </w:p>
        </w:tc>
        <w:tc>
          <w:tcPr>
            <w:tcW w:w="886" w:type="dxa"/>
            <w:vAlign w:val="center"/>
            <w:hideMark/>
          </w:tcPr>
          <w:p w14:paraId="492BFF8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2017</w:t>
            </w:r>
          </w:p>
        </w:tc>
        <w:tc>
          <w:tcPr>
            <w:tcW w:w="887" w:type="dxa"/>
            <w:vAlign w:val="center"/>
            <w:hideMark/>
          </w:tcPr>
          <w:p w14:paraId="37F622B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China</w:t>
            </w:r>
          </w:p>
        </w:tc>
        <w:tc>
          <w:tcPr>
            <w:tcW w:w="1200" w:type="dxa"/>
            <w:vAlign w:val="center"/>
            <w:hideMark/>
          </w:tcPr>
          <w:p w14:paraId="789E0C4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2008-2013</w:t>
            </w:r>
          </w:p>
        </w:tc>
        <w:tc>
          <w:tcPr>
            <w:tcW w:w="1285" w:type="dxa"/>
            <w:vAlign w:val="center"/>
            <w:hideMark/>
          </w:tcPr>
          <w:p w14:paraId="62493B0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2E699F7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172 (50/122)</w:t>
            </w:r>
          </w:p>
        </w:tc>
        <w:tc>
          <w:tcPr>
            <w:tcW w:w="1285" w:type="dxa"/>
            <w:noWrap/>
            <w:vAlign w:val="center"/>
            <w:hideMark/>
          </w:tcPr>
          <w:p w14:paraId="25171C4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29.1</w:t>
            </w:r>
          </w:p>
        </w:tc>
        <w:tc>
          <w:tcPr>
            <w:tcW w:w="1066" w:type="dxa"/>
            <w:noWrap/>
            <w:vAlign w:val="center"/>
            <w:hideMark/>
          </w:tcPr>
          <w:p w14:paraId="02A4A24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88.65</w:t>
            </w:r>
          </w:p>
        </w:tc>
        <w:tc>
          <w:tcPr>
            <w:tcW w:w="1065" w:type="dxa"/>
            <w:noWrap/>
            <w:vAlign w:val="center"/>
            <w:hideMark/>
          </w:tcPr>
          <w:p w14:paraId="00F2CA34" w14:textId="1C5BCEAB" w:rsidR="006920DF" w:rsidRDefault="006920DF">
            <w:pPr>
              <w:adjustRightInd w:val="0"/>
              <w:snapToGrid w:val="0"/>
              <w:spacing w:line="360" w:lineRule="auto"/>
              <w:jc w:val="both"/>
              <w:rPr>
                <w:rFonts w:ascii="Book Antiqua" w:eastAsia="宋体" w:hAnsi="Book Antiqua"/>
              </w:rPr>
            </w:pPr>
            <w:r>
              <w:rPr>
                <w:rFonts w:ascii="Book Antiqua" w:hAnsi="Book Antiqua"/>
              </w:rPr>
              <w:t>88:84</w:t>
            </w:r>
          </w:p>
        </w:tc>
        <w:tc>
          <w:tcPr>
            <w:tcW w:w="1085" w:type="dxa"/>
            <w:noWrap/>
            <w:vAlign w:val="center"/>
            <w:hideMark/>
          </w:tcPr>
          <w:p w14:paraId="7D43CDC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w:t>
            </w:r>
            <w:r w:rsidR="00A51138">
              <w:rPr>
                <w:rFonts w:ascii="Book Antiqua" w:hAnsi="Book Antiqua" w:hint="eastAsia"/>
                <w:lang w:eastAsia="zh-CN"/>
              </w:rPr>
              <w:t xml:space="preserve"> </w:t>
            </w:r>
            <w:r>
              <w:rPr>
                <w:rFonts w:ascii="Book Antiqua" w:hAnsi="Book Antiqua"/>
              </w:rPr>
              <w:t>12</w:t>
            </w:r>
          </w:p>
        </w:tc>
        <w:tc>
          <w:tcPr>
            <w:tcW w:w="826" w:type="dxa"/>
            <w:vAlign w:val="center"/>
            <w:hideMark/>
          </w:tcPr>
          <w:p w14:paraId="2D3A7EE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0B88696D" w14:textId="77777777" w:rsidTr="003F09FD">
        <w:trPr>
          <w:trHeight w:val="625"/>
        </w:trPr>
        <w:tc>
          <w:tcPr>
            <w:tcW w:w="1473" w:type="dxa"/>
            <w:noWrap/>
            <w:vAlign w:val="center"/>
            <w:hideMark/>
          </w:tcPr>
          <w:p w14:paraId="292A9AC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He </w:t>
            </w:r>
            <w:r w:rsidRPr="00A51138">
              <w:rPr>
                <w:rFonts w:ascii="Book Antiqua" w:hAnsi="Book Antiqua"/>
                <w:i/>
              </w:rPr>
              <w:t>et al</w:t>
            </w:r>
            <w:r>
              <w:rPr>
                <w:rFonts w:ascii="Book Antiqua" w:hAnsi="Book Antiqua"/>
                <w:vertAlign w:val="superscript"/>
              </w:rPr>
              <w:t>[18]</w:t>
            </w:r>
          </w:p>
        </w:tc>
        <w:tc>
          <w:tcPr>
            <w:tcW w:w="886" w:type="dxa"/>
            <w:vAlign w:val="center"/>
            <w:hideMark/>
          </w:tcPr>
          <w:p w14:paraId="6280960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2018</w:t>
            </w:r>
          </w:p>
        </w:tc>
        <w:tc>
          <w:tcPr>
            <w:tcW w:w="887" w:type="dxa"/>
            <w:vAlign w:val="center"/>
            <w:hideMark/>
          </w:tcPr>
          <w:p w14:paraId="7A08DDF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China</w:t>
            </w:r>
          </w:p>
        </w:tc>
        <w:tc>
          <w:tcPr>
            <w:tcW w:w="1200" w:type="dxa"/>
            <w:vAlign w:val="center"/>
            <w:hideMark/>
          </w:tcPr>
          <w:p w14:paraId="4139236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2012-2015</w:t>
            </w:r>
          </w:p>
        </w:tc>
        <w:tc>
          <w:tcPr>
            <w:tcW w:w="1285" w:type="dxa"/>
            <w:vAlign w:val="center"/>
            <w:hideMark/>
          </w:tcPr>
          <w:p w14:paraId="480F0C7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045D1A7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224 (37/187)</w:t>
            </w:r>
          </w:p>
        </w:tc>
        <w:tc>
          <w:tcPr>
            <w:tcW w:w="1285" w:type="dxa"/>
            <w:noWrap/>
            <w:vAlign w:val="center"/>
            <w:hideMark/>
          </w:tcPr>
          <w:p w14:paraId="02CD827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16.5</w:t>
            </w:r>
          </w:p>
        </w:tc>
        <w:tc>
          <w:tcPr>
            <w:tcW w:w="1066" w:type="dxa"/>
            <w:noWrap/>
            <w:vAlign w:val="center"/>
            <w:hideMark/>
          </w:tcPr>
          <w:p w14:paraId="2113591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71.9</w:t>
            </w:r>
          </w:p>
        </w:tc>
        <w:tc>
          <w:tcPr>
            <w:tcW w:w="1065" w:type="dxa"/>
            <w:noWrap/>
            <w:vAlign w:val="center"/>
            <w:hideMark/>
          </w:tcPr>
          <w:p w14:paraId="7E4D87DE" w14:textId="09143165" w:rsidR="006920DF" w:rsidRDefault="006920DF">
            <w:pPr>
              <w:adjustRightInd w:val="0"/>
              <w:snapToGrid w:val="0"/>
              <w:spacing w:line="360" w:lineRule="auto"/>
              <w:jc w:val="both"/>
              <w:rPr>
                <w:rFonts w:ascii="Book Antiqua" w:eastAsia="宋体" w:hAnsi="Book Antiqua"/>
              </w:rPr>
            </w:pPr>
            <w:r>
              <w:rPr>
                <w:rFonts w:ascii="Book Antiqua" w:hAnsi="Book Antiqua"/>
              </w:rPr>
              <w:t>39:185</w:t>
            </w:r>
          </w:p>
        </w:tc>
        <w:tc>
          <w:tcPr>
            <w:tcW w:w="1085" w:type="dxa"/>
            <w:noWrap/>
            <w:vAlign w:val="center"/>
            <w:hideMark/>
          </w:tcPr>
          <w:p w14:paraId="7F624F8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16.5</w:t>
            </w:r>
          </w:p>
        </w:tc>
        <w:tc>
          <w:tcPr>
            <w:tcW w:w="826" w:type="dxa"/>
            <w:vAlign w:val="center"/>
            <w:hideMark/>
          </w:tcPr>
          <w:p w14:paraId="7992B07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28F181F3" w14:textId="77777777" w:rsidTr="003F09FD">
        <w:trPr>
          <w:trHeight w:val="625"/>
        </w:trPr>
        <w:tc>
          <w:tcPr>
            <w:tcW w:w="1473" w:type="dxa"/>
            <w:tcBorders>
              <w:top w:val="nil"/>
              <w:left w:val="nil"/>
              <w:bottom w:val="single" w:sz="4" w:space="0" w:color="auto"/>
              <w:right w:val="nil"/>
            </w:tcBorders>
            <w:noWrap/>
            <w:vAlign w:val="center"/>
            <w:hideMark/>
          </w:tcPr>
          <w:p w14:paraId="0B4123E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Yu </w:t>
            </w:r>
            <w:r w:rsidRPr="00A51138">
              <w:rPr>
                <w:rFonts w:ascii="Book Antiqua" w:hAnsi="Book Antiqua"/>
                <w:i/>
              </w:rPr>
              <w:t>et al</w:t>
            </w:r>
            <w:r>
              <w:rPr>
                <w:rFonts w:ascii="Book Antiqua" w:hAnsi="Book Antiqua"/>
                <w:vertAlign w:val="superscript"/>
              </w:rPr>
              <w:t>[19]</w:t>
            </w:r>
          </w:p>
        </w:tc>
        <w:tc>
          <w:tcPr>
            <w:tcW w:w="886" w:type="dxa"/>
            <w:tcBorders>
              <w:top w:val="nil"/>
              <w:left w:val="nil"/>
              <w:bottom w:val="single" w:sz="4" w:space="0" w:color="auto"/>
              <w:right w:val="nil"/>
            </w:tcBorders>
            <w:vAlign w:val="center"/>
            <w:hideMark/>
          </w:tcPr>
          <w:p w14:paraId="5D0A7229" w14:textId="318C8A72" w:rsidR="006920DF" w:rsidRDefault="006920DF">
            <w:pPr>
              <w:adjustRightInd w:val="0"/>
              <w:snapToGrid w:val="0"/>
              <w:spacing w:line="360" w:lineRule="auto"/>
              <w:jc w:val="both"/>
              <w:rPr>
                <w:rFonts w:ascii="Book Antiqua" w:eastAsia="宋体" w:hAnsi="Book Antiqua"/>
              </w:rPr>
            </w:pPr>
            <w:r>
              <w:rPr>
                <w:rFonts w:ascii="Book Antiqua" w:hAnsi="Book Antiqua"/>
              </w:rPr>
              <w:t>201</w:t>
            </w:r>
            <w:r w:rsidR="001C10B0">
              <w:rPr>
                <w:rFonts w:ascii="Book Antiqua" w:hAnsi="Book Antiqua"/>
              </w:rPr>
              <w:t>9</w:t>
            </w:r>
          </w:p>
        </w:tc>
        <w:tc>
          <w:tcPr>
            <w:tcW w:w="887" w:type="dxa"/>
            <w:tcBorders>
              <w:top w:val="nil"/>
              <w:left w:val="nil"/>
              <w:bottom w:val="single" w:sz="4" w:space="0" w:color="auto"/>
              <w:right w:val="nil"/>
            </w:tcBorders>
            <w:vAlign w:val="center"/>
            <w:hideMark/>
          </w:tcPr>
          <w:p w14:paraId="74CA7FA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China</w:t>
            </w:r>
          </w:p>
        </w:tc>
        <w:tc>
          <w:tcPr>
            <w:tcW w:w="1200" w:type="dxa"/>
            <w:tcBorders>
              <w:top w:val="nil"/>
              <w:left w:val="nil"/>
              <w:bottom w:val="single" w:sz="4" w:space="0" w:color="auto"/>
              <w:right w:val="nil"/>
            </w:tcBorders>
            <w:vAlign w:val="center"/>
            <w:hideMark/>
          </w:tcPr>
          <w:p w14:paraId="17905E6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2011-2014</w:t>
            </w:r>
          </w:p>
        </w:tc>
        <w:tc>
          <w:tcPr>
            <w:tcW w:w="1285" w:type="dxa"/>
            <w:tcBorders>
              <w:top w:val="nil"/>
              <w:left w:val="nil"/>
              <w:bottom w:val="single" w:sz="4" w:space="0" w:color="auto"/>
              <w:right w:val="nil"/>
            </w:tcBorders>
            <w:vAlign w:val="center"/>
            <w:hideMark/>
          </w:tcPr>
          <w:p w14:paraId="1882270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tcBorders>
              <w:top w:val="nil"/>
              <w:left w:val="nil"/>
              <w:bottom w:val="single" w:sz="4" w:space="0" w:color="auto"/>
              <w:right w:val="nil"/>
            </w:tcBorders>
            <w:noWrap/>
            <w:vAlign w:val="center"/>
            <w:hideMark/>
          </w:tcPr>
          <w:p w14:paraId="5420055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152 (42/110)</w:t>
            </w:r>
          </w:p>
        </w:tc>
        <w:tc>
          <w:tcPr>
            <w:tcW w:w="1285" w:type="dxa"/>
            <w:tcBorders>
              <w:top w:val="nil"/>
              <w:left w:val="nil"/>
              <w:bottom w:val="single" w:sz="4" w:space="0" w:color="auto"/>
              <w:right w:val="nil"/>
            </w:tcBorders>
            <w:noWrap/>
            <w:vAlign w:val="center"/>
            <w:hideMark/>
          </w:tcPr>
          <w:p w14:paraId="6B78E31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27.6</w:t>
            </w:r>
          </w:p>
        </w:tc>
        <w:tc>
          <w:tcPr>
            <w:tcW w:w="1066" w:type="dxa"/>
            <w:tcBorders>
              <w:top w:val="nil"/>
              <w:left w:val="nil"/>
              <w:bottom w:val="single" w:sz="4" w:space="0" w:color="auto"/>
              <w:right w:val="nil"/>
            </w:tcBorders>
            <w:noWrap/>
            <w:vAlign w:val="center"/>
            <w:hideMark/>
          </w:tcPr>
          <w:p w14:paraId="17ACF46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70.22</w:t>
            </w:r>
          </w:p>
        </w:tc>
        <w:tc>
          <w:tcPr>
            <w:tcW w:w="1065" w:type="dxa"/>
            <w:tcBorders>
              <w:top w:val="nil"/>
              <w:left w:val="nil"/>
              <w:bottom w:val="single" w:sz="4" w:space="0" w:color="auto"/>
              <w:right w:val="nil"/>
            </w:tcBorders>
            <w:noWrap/>
            <w:vAlign w:val="center"/>
            <w:hideMark/>
          </w:tcPr>
          <w:p w14:paraId="6129B1DE" w14:textId="66B796CD" w:rsidR="006920DF" w:rsidRDefault="006920DF">
            <w:pPr>
              <w:adjustRightInd w:val="0"/>
              <w:snapToGrid w:val="0"/>
              <w:spacing w:line="360" w:lineRule="auto"/>
              <w:jc w:val="both"/>
              <w:rPr>
                <w:rFonts w:ascii="Book Antiqua" w:eastAsia="宋体" w:hAnsi="Book Antiqua"/>
              </w:rPr>
            </w:pPr>
            <w:r>
              <w:rPr>
                <w:rFonts w:ascii="Book Antiqua" w:hAnsi="Book Antiqua"/>
              </w:rPr>
              <w:t>15:137</w:t>
            </w:r>
          </w:p>
        </w:tc>
        <w:tc>
          <w:tcPr>
            <w:tcW w:w="1085" w:type="dxa"/>
            <w:tcBorders>
              <w:top w:val="nil"/>
              <w:left w:val="nil"/>
              <w:bottom w:val="single" w:sz="4" w:space="0" w:color="auto"/>
              <w:right w:val="nil"/>
            </w:tcBorders>
            <w:noWrap/>
            <w:vAlign w:val="center"/>
            <w:hideMark/>
          </w:tcPr>
          <w:p w14:paraId="17997B4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w:t>
            </w:r>
            <w:r w:rsidR="00A51138">
              <w:rPr>
                <w:rFonts w:ascii="Book Antiqua" w:hAnsi="Book Antiqua" w:hint="eastAsia"/>
                <w:lang w:eastAsia="zh-CN"/>
              </w:rPr>
              <w:t xml:space="preserve"> </w:t>
            </w:r>
            <w:r>
              <w:rPr>
                <w:rFonts w:ascii="Book Antiqua" w:hAnsi="Book Antiqua"/>
              </w:rPr>
              <w:t>24</w:t>
            </w:r>
          </w:p>
        </w:tc>
        <w:tc>
          <w:tcPr>
            <w:tcW w:w="826" w:type="dxa"/>
            <w:tcBorders>
              <w:top w:val="nil"/>
              <w:left w:val="nil"/>
              <w:bottom w:val="single" w:sz="4" w:space="0" w:color="auto"/>
              <w:right w:val="nil"/>
            </w:tcBorders>
            <w:vAlign w:val="center"/>
            <w:hideMark/>
          </w:tcPr>
          <w:p w14:paraId="761BF0C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bl>
    <w:p w14:paraId="541317D3" w14:textId="77777777" w:rsidR="006920DF" w:rsidRPr="001D1C2B" w:rsidRDefault="00B0154E" w:rsidP="006920DF">
      <w:pPr>
        <w:adjustRightInd w:val="0"/>
        <w:snapToGrid w:val="0"/>
        <w:spacing w:line="360" w:lineRule="auto"/>
        <w:rPr>
          <w:rFonts w:ascii="Book Antiqua" w:hAnsi="Book Antiqua"/>
          <w:kern w:val="2"/>
          <w:lang w:eastAsia="zh-CN"/>
        </w:rPr>
      </w:pPr>
      <w:r>
        <w:rPr>
          <w:rFonts w:ascii="Book Antiqua" w:hAnsi="Book Antiqua" w:hint="eastAsia"/>
          <w:kern w:val="2"/>
          <w:lang w:eastAsia="zh-CN"/>
        </w:rPr>
        <w:t>NOS:</w:t>
      </w:r>
      <w:r w:rsidR="001D1C2B" w:rsidRPr="001D1C2B">
        <w:rPr>
          <w:rFonts w:ascii="Book Antiqua" w:eastAsia="Book Antiqua" w:hAnsi="Book Antiqua" w:cs="Book Antiqua"/>
          <w:color w:val="000000"/>
        </w:rPr>
        <w:t xml:space="preserve"> </w:t>
      </w:r>
      <w:r w:rsidR="001D1C2B">
        <w:rPr>
          <w:rFonts w:ascii="Book Antiqua" w:eastAsia="Book Antiqua" w:hAnsi="Book Antiqua" w:cs="Book Antiqua"/>
          <w:color w:val="000000"/>
        </w:rPr>
        <w:t>Newcastle-Ottawa Scale</w:t>
      </w:r>
      <w:r w:rsidR="001D1C2B">
        <w:rPr>
          <w:rFonts w:ascii="Book Antiqua" w:hAnsi="Book Antiqua" w:cs="Book Antiqua" w:hint="eastAsia"/>
          <w:color w:val="000000"/>
          <w:lang w:eastAsia="zh-CN"/>
        </w:rPr>
        <w:t>.</w:t>
      </w:r>
    </w:p>
    <w:p w14:paraId="7B85DD9A" w14:textId="5512EF38" w:rsidR="006920DF" w:rsidRPr="006920DF" w:rsidRDefault="006920DF" w:rsidP="006920DF">
      <w:pPr>
        <w:adjustRightInd w:val="0"/>
        <w:snapToGrid w:val="0"/>
        <w:spacing w:line="360" w:lineRule="auto"/>
        <w:jc w:val="both"/>
        <w:rPr>
          <w:rFonts w:ascii="Book Antiqua" w:hAnsi="Book Antiqua"/>
          <w:b/>
          <w:lang w:eastAsia="zh-CN"/>
        </w:rPr>
      </w:pPr>
      <w:r>
        <w:rPr>
          <w:rFonts w:ascii="Book Antiqua" w:hAnsi="Book Antiqua"/>
        </w:rPr>
        <w:br w:type="page"/>
      </w:r>
      <w:r w:rsidRPr="006920DF">
        <w:rPr>
          <w:rFonts w:ascii="Book Antiqua" w:hAnsi="Book Antiqua"/>
          <w:b/>
          <w:color w:val="000000"/>
        </w:rPr>
        <w:t>Table 2 Summary of</w:t>
      </w:r>
      <w:r w:rsidR="00A91602">
        <w:rPr>
          <w:rFonts w:ascii="Book Antiqua" w:hAnsi="Book Antiqua"/>
          <w:b/>
          <w:color w:val="000000"/>
        </w:rPr>
        <w:t xml:space="preserve"> </w:t>
      </w:r>
      <w:r w:rsidRPr="006920DF">
        <w:rPr>
          <w:rFonts w:ascii="Book Antiqua" w:hAnsi="Book Antiqua"/>
          <w:b/>
        </w:rPr>
        <w:t>potential risk factors for recollapse involved in all included studies</w:t>
      </w:r>
    </w:p>
    <w:tbl>
      <w:tblPr>
        <w:tblW w:w="5000" w:type="pct"/>
        <w:tblLook w:val="04A0" w:firstRow="1" w:lastRow="0" w:firstColumn="1" w:lastColumn="0" w:noHBand="0" w:noVBand="1"/>
      </w:tblPr>
      <w:tblGrid>
        <w:gridCol w:w="2377"/>
        <w:gridCol w:w="2833"/>
        <w:gridCol w:w="7966"/>
      </w:tblGrid>
      <w:tr w:rsidR="00DF6702" w:rsidRPr="00B65EFD" w14:paraId="431FF84E" w14:textId="77777777" w:rsidTr="001D7BD2">
        <w:trPr>
          <w:trHeight w:val="312"/>
        </w:trPr>
        <w:tc>
          <w:tcPr>
            <w:tcW w:w="902" w:type="pct"/>
            <w:tcBorders>
              <w:top w:val="single" w:sz="4" w:space="0" w:color="auto"/>
              <w:left w:val="nil"/>
              <w:bottom w:val="single" w:sz="4" w:space="0" w:color="auto"/>
              <w:right w:val="nil"/>
            </w:tcBorders>
            <w:noWrap/>
            <w:vAlign w:val="center"/>
            <w:hideMark/>
          </w:tcPr>
          <w:p w14:paraId="599368FC" w14:textId="77777777" w:rsidR="00DF6702" w:rsidRPr="00B65EFD" w:rsidRDefault="00DF6702" w:rsidP="00B65EFD">
            <w:pPr>
              <w:adjustRightInd w:val="0"/>
              <w:snapToGrid w:val="0"/>
              <w:spacing w:line="360" w:lineRule="auto"/>
              <w:ind w:rightChars="-105" w:right="-252"/>
              <w:jc w:val="both"/>
              <w:rPr>
                <w:rFonts w:ascii="Book Antiqua" w:eastAsia="宋体" w:hAnsi="Book Antiqua"/>
                <w:b/>
                <w:lang w:eastAsia="zh-CN"/>
              </w:rPr>
            </w:pPr>
            <w:r w:rsidRPr="00B65EFD">
              <w:rPr>
                <w:rFonts w:ascii="Book Antiqua" w:hAnsi="Book Antiqua"/>
                <w:b/>
              </w:rPr>
              <w:t>Ref</w:t>
            </w:r>
            <w:r w:rsidRPr="00B65EFD">
              <w:rPr>
                <w:rFonts w:ascii="Book Antiqua" w:hAnsi="Book Antiqua" w:hint="eastAsia"/>
                <w:b/>
                <w:lang w:eastAsia="zh-CN"/>
              </w:rPr>
              <w:t>.</w:t>
            </w:r>
          </w:p>
        </w:tc>
        <w:tc>
          <w:tcPr>
            <w:tcW w:w="1075" w:type="pct"/>
            <w:tcBorders>
              <w:top w:val="single" w:sz="4" w:space="0" w:color="auto"/>
              <w:left w:val="nil"/>
              <w:bottom w:val="single" w:sz="4" w:space="0" w:color="auto"/>
              <w:right w:val="nil"/>
            </w:tcBorders>
            <w:vAlign w:val="center"/>
          </w:tcPr>
          <w:p w14:paraId="3EEE59C9" w14:textId="2B3EC9D2" w:rsidR="00DF6702" w:rsidRPr="00DF6702" w:rsidRDefault="00DF6702" w:rsidP="00DF6702">
            <w:pPr>
              <w:adjustRightInd w:val="0"/>
              <w:snapToGrid w:val="0"/>
              <w:spacing w:line="360" w:lineRule="auto"/>
              <w:jc w:val="both"/>
              <w:rPr>
                <w:rFonts w:ascii="Book Antiqua" w:eastAsia="宋体" w:hAnsi="Book Antiqua"/>
                <w:b/>
                <w:bCs/>
                <w:lang w:eastAsia="zh-CN"/>
              </w:rPr>
            </w:pPr>
            <w:r>
              <w:rPr>
                <w:rFonts w:ascii="Book Antiqua" w:hAnsi="Book Antiqua"/>
                <w:b/>
                <w:bCs/>
              </w:rPr>
              <w:t>Publication year</w:t>
            </w:r>
          </w:p>
        </w:tc>
        <w:tc>
          <w:tcPr>
            <w:tcW w:w="3023" w:type="pct"/>
            <w:tcBorders>
              <w:top w:val="single" w:sz="4" w:space="0" w:color="auto"/>
              <w:left w:val="nil"/>
              <w:bottom w:val="single" w:sz="4" w:space="0" w:color="auto"/>
              <w:right w:val="nil"/>
            </w:tcBorders>
            <w:noWrap/>
            <w:vAlign w:val="center"/>
            <w:hideMark/>
          </w:tcPr>
          <w:p w14:paraId="072F781F" w14:textId="4712FFDB" w:rsidR="00DF6702" w:rsidRPr="00B65EFD" w:rsidRDefault="00DF6702" w:rsidP="003C682A">
            <w:pPr>
              <w:adjustRightInd w:val="0"/>
              <w:snapToGrid w:val="0"/>
              <w:spacing w:line="360" w:lineRule="auto"/>
              <w:jc w:val="both"/>
              <w:rPr>
                <w:rFonts w:ascii="Book Antiqua" w:eastAsia="宋体" w:hAnsi="Book Antiqua"/>
                <w:b/>
              </w:rPr>
            </w:pPr>
            <w:r w:rsidRPr="00B65EFD">
              <w:rPr>
                <w:rFonts w:ascii="Book Antiqua" w:hAnsi="Book Antiqua"/>
                <w:b/>
              </w:rPr>
              <w:t>Predictive factor</w:t>
            </w:r>
          </w:p>
        </w:tc>
      </w:tr>
      <w:tr w:rsidR="00DF6702" w14:paraId="2EC33BC6" w14:textId="77777777" w:rsidTr="001D7BD2">
        <w:trPr>
          <w:trHeight w:val="624"/>
        </w:trPr>
        <w:tc>
          <w:tcPr>
            <w:tcW w:w="902" w:type="pct"/>
            <w:noWrap/>
            <w:vAlign w:val="center"/>
            <w:hideMark/>
          </w:tcPr>
          <w:p w14:paraId="3C85A745" w14:textId="00BCC129"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Lin </w:t>
            </w:r>
            <w:r w:rsidRPr="00B65EFD">
              <w:rPr>
                <w:rFonts w:ascii="Book Antiqua" w:hAnsi="Book Antiqua"/>
                <w:i/>
              </w:rPr>
              <w:t>et al</w:t>
            </w:r>
            <w:r>
              <w:rPr>
                <w:rFonts w:ascii="Book Antiqua" w:hAnsi="Book Antiqua"/>
                <w:vertAlign w:val="superscript"/>
              </w:rPr>
              <w:t>[11]</w:t>
            </w:r>
          </w:p>
        </w:tc>
        <w:tc>
          <w:tcPr>
            <w:tcW w:w="1075" w:type="pct"/>
            <w:vAlign w:val="center"/>
          </w:tcPr>
          <w:p w14:paraId="24BA4858" w14:textId="19ABA3C2"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2008</w:t>
            </w:r>
          </w:p>
        </w:tc>
        <w:tc>
          <w:tcPr>
            <w:tcW w:w="3023" w:type="pct"/>
            <w:vAlign w:val="center"/>
            <w:hideMark/>
          </w:tcPr>
          <w:p w14:paraId="6E6EE139" w14:textId="33D6A124" w:rsidR="00DF6702" w:rsidRDefault="00DF6702">
            <w:pPr>
              <w:adjustRightInd w:val="0"/>
              <w:snapToGrid w:val="0"/>
              <w:spacing w:line="360" w:lineRule="auto"/>
              <w:jc w:val="both"/>
              <w:rPr>
                <w:rFonts w:ascii="Book Antiqua" w:eastAsia="宋体" w:hAnsi="Book Antiqua"/>
              </w:rPr>
            </w:pPr>
            <w:r>
              <w:rPr>
                <w:rFonts w:ascii="Book Antiqua" w:hAnsi="Book Antiqua"/>
              </w:rPr>
              <w:t xml:space="preserve">Age, gender, </w:t>
            </w:r>
            <w:r w:rsidR="00A91602">
              <w:rPr>
                <w:rFonts w:ascii="Book Antiqua" w:hAnsi="Book Antiqua"/>
              </w:rPr>
              <w:t xml:space="preserve">body </w:t>
            </w:r>
            <w:r>
              <w:rPr>
                <w:rFonts w:ascii="Book Antiqua" w:hAnsi="Book Antiqua"/>
              </w:rPr>
              <w:t>weight and height, lumbar BMD, location of fractured vertebrae, gas-containing vertebrae, pedicle approach, cement volume, VHR</w:t>
            </w:r>
          </w:p>
        </w:tc>
      </w:tr>
      <w:tr w:rsidR="00DF6702" w14:paraId="59325431" w14:textId="77777777" w:rsidTr="001D7BD2">
        <w:trPr>
          <w:trHeight w:val="936"/>
        </w:trPr>
        <w:tc>
          <w:tcPr>
            <w:tcW w:w="902" w:type="pct"/>
            <w:noWrap/>
            <w:vAlign w:val="center"/>
            <w:hideMark/>
          </w:tcPr>
          <w:p w14:paraId="12D8DC58" w14:textId="29ED663B"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Heo </w:t>
            </w:r>
            <w:r w:rsidRPr="00B65EFD">
              <w:rPr>
                <w:rFonts w:ascii="Book Antiqua" w:hAnsi="Book Antiqua"/>
                <w:i/>
              </w:rPr>
              <w:t>et al</w:t>
            </w:r>
            <w:r>
              <w:rPr>
                <w:rFonts w:ascii="Book Antiqua" w:hAnsi="Book Antiqua"/>
                <w:vertAlign w:val="superscript"/>
              </w:rPr>
              <w:t>[12]</w:t>
            </w:r>
          </w:p>
        </w:tc>
        <w:tc>
          <w:tcPr>
            <w:tcW w:w="1075" w:type="pct"/>
            <w:vAlign w:val="center"/>
          </w:tcPr>
          <w:p w14:paraId="61AD3A0F" w14:textId="3F814793"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2009</w:t>
            </w:r>
          </w:p>
        </w:tc>
        <w:tc>
          <w:tcPr>
            <w:tcW w:w="3023" w:type="pct"/>
            <w:vAlign w:val="center"/>
            <w:hideMark/>
          </w:tcPr>
          <w:p w14:paraId="2489E567" w14:textId="4BF09F72" w:rsidR="00DF6702" w:rsidRDefault="00DF6702">
            <w:pPr>
              <w:adjustRightInd w:val="0"/>
              <w:snapToGrid w:val="0"/>
              <w:spacing w:line="360" w:lineRule="auto"/>
              <w:jc w:val="both"/>
              <w:rPr>
                <w:rFonts w:ascii="Book Antiqua" w:eastAsia="宋体" w:hAnsi="Book Antiqua"/>
              </w:rPr>
            </w:pPr>
            <w:r>
              <w:rPr>
                <w:rFonts w:ascii="Book Antiqua" w:hAnsi="Book Antiqua"/>
              </w:rPr>
              <w:t>Age, gender, lumbar BMD, cement volume, vertebrae with osteonecrosis, vertebral compression rate, location of</w:t>
            </w:r>
            <w:r w:rsidR="00A91602">
              <w:rPr>
                <w:rFonts w:ascii="Book Antiqua" w:hAnsi="Book Antiqua"/>
              </w:rPr>
              <w:t xml:space="preserve"> </w:t>
            </w:r>
            <w:r>
              <w:rPr>
                <w:rFonts w:ascii="Book Antiqua" w:hAnsi="Book Antiqua"/>
              </w:rPr>
              <w:t>fractured vertebrae, VHR, chemotherapy history, trauma history, medical history</w:t>
            </w:r>
          </w:p>
        </w:tc>
      </w:tr>
      <w:tr w:rsidR="00DF6702" w14:paraId="54A407F5" w14:textId="77777777" w:rsidTr="001D7BD2">
        <w:trPr>
          <w:trHeight w:val="1248"/>
        </w:trPr>
        <w:tc>
          <w:tcPr>
            <w:tcW w:w="902" w:type="pct"/>
            <w:noWrap/>
            <w:vAlign w:val="center"/>
            <w:hideMark/>
          </w:tcPr>
          <w:p w14:paraId="7AD4C958" w14:textId="3890914E"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Lin </w:t>
            </w:r>
            <w:r w:rsidRPr="00B65EFD">
              <w:rPr>
                <w:rFonts w:ascii="Book Antiqua" w:hAnsi="Book Antiqua"/>
                <w:i/>
              </w:rPr>
              <w:t>et al</w:t>
            </w:r>
            <w:r>
              <w:rPr>
                <w:rFonts w:ascii="Book Antiqua" w:hAnsi="Book Antiqua"/>
                <w:vertAlign w:val="superscript"/>
              </w:rPr>
              <w:t>[13]</w:t>
            </w:r>
          </w:p>
        </w:tc>
        <w:tc>
          <w:tcPr>
            <w:tcW w:w="1075" w:type="pct"/>
            <w:vAlign w:val="center"/>
          </w:tcPr>
          <w:p w14:paraId="081BA7B0" w14:textId="45CE76F8"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2010</w:t>
            </w:r>
          </w:p>
        </w:tc>
        <w:tc>
          <w:tcPr>
            <w:tcW w:w="3023" w:type="pct"/>
            <w:vAlign w:val="center"/>
            <w:hideMark/>
          </w:tcPr>
          <w:p w14:paraId="503D243D" w14:textId="6229311D" w:rsidR="00DF6702" w:rsidRDefault="00DF6702">
            <w:pPr>
              <w:adjustRightInd w:val="0"/>
              <w:snapToGrid w:val="0"/>
              <w:spacing w:line="360" w:lineRule="auto"/>
              <w:jc w:val="both"/>
              <w:rPr>
                <w:rFonts w:ascii="Book Antiqua" w:eastAsia="宋体" w:hAnsi="Book Antiqua"/>
              </w:rPr>
            </w:pPr>
            <w:r>
              <w:rPr>
                <w:rFonts w:ascii="Book Antiqua" w:hAnsi="Book Antiqua"/>
              </w:rPr>
              <w:t xml:space="preserve">Age, gender, </w:t>
            </w:r>
            <w:r w:rsidR="00A91602">
              <w:rPr>
                <w:rFonts w:ascii="Book Antiqua" w:hAnsi="Book Antiqua"/>
              </w:rPr>
              <w:t xml:space="preserve">body </w:t>
            </w:r>
            <w:r>
              <w:rPr>
                <w:rFonts w:ascii="Book Antiqua" w:hAnsi="Book Antiqua"/>
              </w:rPr>
              <w:t>weight and height, lumbar BMD, location of fractured vertebrae, gas-containing vertebrae, fracture type, cement volume, cement leakage, signal intensity of</w:t>
            </w:r>
            <w:r w:rsidR="00A91602">
              <w:rPr>
                <w:rFonts w:ascii="Book Antiqua" w:hAnsi="Book Antiqua"/>
              </w:rPr>
              <w:t xml:space="preserve"> </w:t>
            </w:r>
            <w:r>
              <w:rPr>
                <w:rFonts w:ascii="Book Antiqua" w:hAnsi="Book Antiqua"/>
              </w:rPr>
              <w:t xml:space="preserve">fractured vertebrae </w:t>
            </w:r>
            <w:r w:rsidR="00A91602">
              <w:rPr>
                <w:rFonts w:ascii="Book Antiqua" w:hAnsi="Book Antiqua"/>
              </w:rPr>
              <w:t xml:space="preserve">on </w:t>
            </w:r>
            <w:r>
              <w:rPr>
                <w:rFonts w:ascii="Book Antiqua" w:hAnsi="Book Antiqua"/>
              </w:rPr>
              <w:t>magnetic resonance imaging, volume ratio of</w:t>
            </w:r>
            <w:r w:rsidR="00A91602">
              <w:rPr>
                <w:rFonts w:ascii="Book Antiqua" w:hAnsi="Book Antiqua"/>
              </w:rPr>
              <w:t xml:space="preserve"> </w:t>
            </w:r>
            <w:r>
              <w:rPr>
                <w:rFonts w:ascii="Book Antiqua" w:hAnsi="Book Antiqua"/>
              </w:rPr>
              <w:t>fractured vertebrae</w:t>
            </w:r>
          </w:p>
        </w:tc>
      </w:tr>
      <w:tr w:rsidR="00DF6702" w14:paraId="477F9A6E" w14:textId="77777777" w:rsidTr="001D7BD2">
        <w:trPr>
          <w:trHeight w:val="1248"/>
        </w:trPr>
        <w:tc>
          <w:tcPr>
            <w:tcW w:w="902" w:type="pct"/>
            <w:noWrap/>
            <w:vAlign w:val="center"/>
            <w:hideMark/>
          </w:tcPr>
          <w:p w14:paraId="33D22D01" w14:textId="7A86D0EF"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Kang </w:t>
            </w:r>
            <w:r w:rsidRPr="00B65EFD">
              <w:rPr>
                <w:rFonts w:ascii="Book Antiqua" w:hAnsi="Book Antiqua"/>
                <w:i/>
              </w:rPr>
              <w:t>et al</w:t>
            </w:r>
            <w:r>
              <w:rPr>
                <w:rFonts w:ascii="Book Antiqua" w:hAnsi="Book Antiqua"/>
                <w:vertAlign w:val="superscript"/>
              </w:rPr>
              <w:t>[14]</w:t>
            </w:r>
          </w:p>
        </w:tc>
        <w:tc>
          <w:tcPr>
            <w:tcW w:w="1075" w:type="pct"/>
            <w:vAlign w:val="center"/>
          </w:tcPr>
          <w:p w14:paraId="26AE93D8" w14:textId="32364888"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2011</w:t>
            </w:r>
          </w:p>
        </w:tc>
        <w:tc>
          <w:tcPr>
            <w:tcW w:w="3023" w:type="pct"/>
            <w:vAlign w:val="center"/>
            <w:hideMark/>
          </w:tcPr>
          <w:p w14:paraId="21154187" w14:textId="0BE86DE8" w:rsidR="00DF6702" w:rsidRDefault="00DF6702">
            <w:pPr>
              <w:adjustRightInd w:val="0"/>
              <w:snapToGrid w:val="0"/>
              <w:spacing w:line="360" w:lineRule="auto"/>
              <w:jc w:val="both"/>
              <w:rPr>
                <w:rFonts w:ascii="Book Antiqua" w:eastAsia="宋体" w:hAnsi="Book Antiqua"/>
              </w:rPr>
            </w:pPr>
            <w:r>
              <w:rPr>
                <w:rFonts w:ascii="Book Antiqua" w:hAnsi="Book Antiqua"/>
              </w:rPr>
              <w:t xml:space="preserve">Age, gender, </w:t>
            </w:r>
            <w:r w:rsidR="00A91602">
              <w:rPr>
                <w:rFonts w:ascii="Book Antiqua" w:hAnsi="Book Antiqua"/>
              </w:rPr>
              <w:t xml:space="preserve">body </w:t>
            </w:r>
            <w:r>
              <w:rPr>
                <w:rFonts w:ascii="Book Antiqua" w:hAnsi="Book Antiqua"/>
              </w:rPr>
              <w:t>weight and height, BMI, lumbar BMD, preoperative VAS score, gas-containing vertebrae, location of</w:t>
            </w:r>
            <w:r w:rsidR="00183864">
              <w:rPr>
                <w:rFonts w:ascii="Book Antiqua" w:hAnsi="Book Antiqua"/>
              </w:rPr>
              <w:t xml:space="preserve"> </w:t>
            </w:r>
            <w:r>
              <w:rPr>
                <w:rFonts w:ascii="Book Antiqua" w:hAnsi="Book Antiqua"/>
              </w:rPr>
              <w:t>fractured vertebrae, preoperative LKA, cobb angle, sagittal index, cement volume, cement leakage, cement distribution pattern, height of vertebral body</w:t>
            </w:r>
          </w:p>
        </w:tc>
      </w:tr>
      <w:tr w:rsidR="00DF6702" w14:paraId="2B9C358D" w14:textId="77777777" w:rsidTr="001D7BD2">
        <w:trPr>
          <w:trHeight w:val="936"/>
        </w:trPr>
        <w:tc>
          <w:tcPr>
            <w:tcW w:w="902" w:type="pct"/>
            <w:noWrap/>
            <w:vAlign w:val="center"/>
            <w:hideMark/>
          </w:tcPr>
          <w:p w14:paraId="05544542" w14:textId="4E0BADA8"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Chen </w:t>
            </w:r>
            <w:r w:rsidRPr="00B65EFD">
              <w:rPr>
                <w:rFonts w:ascii="Book Antiqua" w:hAnsi="Book Antiqua"/>
                <w:i/>
              </w:rPr>
              <w:t>et al</w:t>
            </w:r>
            <w:r>
              <w:rPr>
                <w:rFonts w:ascii="Book Antiqua" w:hAnsi="Book Antiqua"/>
                <w:vertAlign w:val="superscript"/>
              </w:rPr>
              <w:t>[15]</w:t>
            </w:r>
          </w:p>
        </w:tc>
        <w:tc>
          <w:tcPr>
            <w:tcW w:w="1075" w:type="pct"/>
            <w:vAlign w:val="center"/>
          </w:tcPr>
          <w:p w14:paraId="1DD91D9C" w14:textId="0D805607"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2011</w:t>
            </w:r>
          </w:p>
        </w:tc>
        <w:tc>
          <w:tcPr>
            <w:tcW w:w="3023" w:type="pct"/>
            <w:vAlign w:val="center"/>
            <w:hideMark/>
          </w:tcPr>
          <w:p w14:paraId="0CF1998C" w14:textId="6ECD200A" w:rsidR="00DF6702" w:rsidRDefault="00DF6702">
            <w:pPr>
              <w:adjustRightInd w:val="0"/>
              <w:snapToGrid w:val="0"/>
              <w:spacing w:line="360" w:lineRule="auto"/>
              <w:jc w:val="both"/>
              <w:rPr>
                <w:rFonts w:ascii="Book Antiqua" w:eastAsia="宋体" w:hAnsi="Book Antiqua"/>
              </w:rPr>
            </w:pPr>
            <w:r>
              <w:rPr>
                <w:rFonts w:ascii="Book Antiqua" w:hAnsi="Book Antiqua"/>
              </w:rPr>
              <w:t>Age, gender, cement volume, location of</w:t>
            </w:r>
            <w:r w:rsidR="00183864">
              <w:rPr>
                <w:rFonts w:ascii="Book Antiqua" w:hAnsi="Book Antiqua"/>
              </w:rPr>
              <w:t xml:space="preserve"> </w:t>
            </w:r>
            <w:r>
              <w:rPr>
                <w:rFonts w:ascii="Book Antiqua" w:hAnsi="Book Antiqua"/>
              </w:rPr>
              <w:t xml:space="preserve">fractured vertebrae, vertebrae with osteonecrosis, pedicle approach, cement leakage, cement distribution pattern, VHR, </w:t>
            </w:r>
            <w:bookmarkStart w:id="116" w:name="OLE_LINK114"/>
            <w:bookmarkStart w:id="117" w:name="OLE_LINK115"/>
            <w:r>
              <w:rPr>
                <w:rFonts w:ascii="Book Antiqua" w:hAnsi="Book Antiqua"/>
              </w:rPr>
              <w:t>LKA correction</w:t>
            </w:r>
            <w:bookmarkEnd w:id="116"/>
            <w:bookmarkEnd w:id="117"/>
          </w:p>
        </w:tc>
      </w:tr>
      <w:tr w:rsidR="00DF6702" w14:paraId="6DDE16F8" w14:textId="77777777" w:rsidTr="001D7BD2">
        <w:trPr>
          <w:trHeight w:val="624"/>
        </w:trPr>
        <w:tc>
          <w:tcPr>
            <w:tcW w:w="902" w:type="pct"/>
            <w:noWrap/>
            <w:vAlign w:val="center"/>
            <w:hideMark/>
          </w:tcPr>
          <w:p w14:paraId="22BF23B6" w14:textId="5AF56BC9"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Oh </w:t>
            </w:r>
            <w:r w:rsidRPr="00B65EFD">
              <w:rPr>
                <w:rFonts w:ascii="Book Antiqua" w:hAnsi="Book Antiqua"/>
                <w:i/>
              </w:rPr>
              <w:t>et al</w:t>
            </w:r>
            <w:r>
              <w:rPr>
                <w:rFonts w:ascii="Book Antiqua" w:hAnsi="Book Antiqua"/>
                <w:vertAlign w:val="superscript"/>
              </w:rPr>
              <w:t>[16]</w:t>
            </w:r>
          </w:p>
        </w:tc>
        <w:tc>
          <w:tcPr>
            <w:tcW w:w="1075" w:type="pct"/>
            <w:vAlign w:val="center"/>
          </w:tcPr>
          <w:p w14:paraId="2FCCE38E" w14:textId="5A5576E0"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2016</w:t>
            </w:r>
          </w:p>
        </w:tc>
        <w:tc>
          <w:tcPr>
            <w:tcW w:w="3023" w:type="pct"/>
            <w:vAlign w:val="center"/>
            <w:hideMark/>
          </w:tcPr>
          <w:p w14:paraId="19C9CD85" w14:textId="4E5319C4" w:rsidR="00DF6702" w:rsidRDefault="00DF6702">
            <w:pPr>
              <w:adjustRightInd w:val="0"/>
              <w:snapToGrid w:val="0"/>
              <w:spacing w:line="360" w:lineRule="auto"/>
              <w:jc w:val="both"/>
              <w:rPr>
                <w:rFonts w:ascii="Book Antiqua" w:eastAsia="宋体" w:hAnsi="Book Antiqua"/>
              </w:rPr>
            </w:pPr>
            <w:r>
              <w:rPr>
                <w:rFonts w:ascii="Book Antiqua" w:hAnsi="Book Antiqua"/>
              </w:rPr>
              <w:t>Age, gender, lumbar BMD, BMI, location of</w:t>
            </w:r>
            <w:r w:rsidR="00183864">
              <w:rPr>
                <w:rFonts w:ascii="Book Antiqua" w:hAnsi="Book Antiqua"/>
              </w:rPr>
              <w:t xml:space="preserve"> </w:t>
            </w:r>
            <w:r>
              <w:rPr>
                <w:rFonts w:ascii="Book Antiqua" w:hAnsi="Book Antiqua"/>
              </w:rPr>
              <w:t>fractured vertebrae, cement volume, cement leakage, preoperative IVC</w:t>
            </w:r>
          </w:p>
        </w:tc>
      </w:tr>
      <w:tr w:rsidR="00DF6702" w14:paraId="71923F2B" w14:textId="77777777" w:rsidTr="001D7BD2">
        <w:trPr>
          <w:trHeight w:val="624"/>
        </w:trPr>
        <w:tc>
          <w:tcPr>
            <w:tcW w:w="902" w:type="pct"/>
            <w:noWrap/>
            <w:vAlign w:val="center"/>
            <w:hideMark/>
          </w:tcPr>
          <w:p w14:paraId="7C241603" w14:textId="2DA9AB99"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Zhang </w:t>
            </w:r>
            <w:r w:rsidRPr="00B65EFD">
              <w:rPr>
                <w:rFonts w:ascii="Book Antiqua" w:hAnsi="Book Antiqua"/>
                <w:i/>
              </w:rPr>
              <w:t>et al</w:t>
            </w:r>
            <w:r>
              <w:rPr>
                <w:rFonts w:ascii="Book Antiqua" w:hAnsi="Book Antiqua"/>
                <w:vertAlign w:val="superscript"/>
              </w:rPr>
              <w:t>[17]</w:t>
            </w:r>
          </w:p>
        </w:tc>
        <w:tc>
          <w:tcPr>
            <w:tcW w:w="1075" w:type="pct"/>
            <w:vAlign w:val="center"/>
          </w:tcPr>
          <w:p w14:paraId="2D6E9B56" w14:textId="5E5FC718"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2017</w:t>
            </w:r>
          </w:p>
        </w:tc>
        <w:tc>
          <w:tcPr>
            <w:tcW w:w="3023" w:type="pct"/>
            <w:vAlign w:val="center"/>
            <w:hideMark/>
          </w:tcPr>
          <w:p w14:paraId="0F6D5CEA" w14:textId="6242882A" w:rsidR="00DF6702" w:rsidRDefault="00DF6702" w:rsidP="003C682A">
            <w:pPr>
              <w:adjustRightInd w:val="0"/>
              <w:snapToGrid w:val="0"/>
              <w:spacing w:line="360" w:lineRule="auto"/>
              <w:jc w:val="both"/>
              <w:rPr>
                <w:rFonts w:ascii="Book Antiqua" w:eastAsia="宋体" w:hAnsi="Book Antiqua"/>
              </w:rPr>
            </w:pPr>
            <w:r>
              <w:rPr>
                <w:rFonts w:ascii="Book Antiqua" w:hAnsi="Book Antiqua"/>
              </w:rPr>
              <w:t>Age, gender, lumbar BMD, cement volume, cement leakage, duration of symptoms, vertebral compression rate, VHR, dispersion of bone cement</w:t>
            </w:r>
          </w:p>
        </w:tc>
      </w:tr>
      <w:tr w:rsidR="00DF6702" w14:paraId="10903582" w14:textId="77777777" w:rsidTr="001D7BD2">
        <w:trPr>
          <w:trHeight w:val="936"/>
        </w:trPr>
        <w:tc>
          <w:tcPr>
            <w:tcW w:w="902" w:type="pct"/>
            <w:noWrap/>
            <w:vAlign w:val="center"/>
            <w:hideMark/>
          </w:tcPr>
          <w:p w14:paraId="128E3D60" w14:textId="5A540447"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He </w:t>
            </w:r>
            <w:r w:rsidRPr="00B65EFD">
              <w:rPr>
                <w:rFonts w:ascii="Book Antiqua" w:hAnsi="Book Antiqua"/>
                <w:i/>
              </w:rPr>
              <w:t>et al</w:t>
            </w:r>
            <w:r>
              <w:rPr>
                <w:rFonts w:ascii="Book Antiqua" w:hAnsi="Book Antiqua"/>
                <w:vertAlign w:val="superscript"/>
              </w:rPr>
              <w:t>[18]</w:t>
            </w:r>
          </w:p>
        </w:tc>
        <w:tc>
          <w:tcPr>
            <w:tcW w:w="1075" w:type="pct"/>
            <w:vAlign w:val="center"/>
          </w:tcPr>
          <w:p w14:paraId="3AB661BB" w14:textId="113602FE"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2018</w:t>
            </w:r>
          </w:p>
        </w:tc>
        <w:tc>
          <w:tcPr>
            <w:tcW w:w="3023" w:type="pct"/>
            <w:vAlign w:val="center"/>
            <w:hideMark/>
          </w:tcPr>
          <w:p w14:paraId="75D53CF3" w14:textId="0749F130" w:rsidR="00DF6702" w:rsidRDefault="00DF6702" w:rsidP="003C682A">
            <w:pPr>
              <w:adjustRightInd w:val="0"/>
              <w:snapToGrid w:val="0"/>
              <w:spacing w:line="360" w:lineRule="auto"/>
              <w:jc w:val="both"/>
              <w:rPr>
                <w:rFonts w:ascii="Book Antiqua" w:eastAsia="宋体" w:hAnsi="Book Antiqua"/>
              </w:rPr>
            </w:pPr>
            <w:r>
              <w:rPr>
                <w:rFonts w:ascii="Book Antiqua" w:hAnsi="Book Antiqua"/>
              </w:rPr>
              <w:t>Age, gender, weight and height of body, BMI, lumbar BMD, LKA correction, VHR, cement volume, pedicle approach, preoperative VAS score, cement distribution pattern</w:t>
            </w:r>
          </w:p>
        </w:tc>
      </w:tr>
      <w:tr w:rsidR="00DF6702" w14:paraId="309C2526" w14:textId="77777777" w:rsidTr="001D7BD2">
        <w:trPr>
          <w:trHeight w:val="936"/>
        </w:trPr>
        <w:tc>
          <w:tcPr>
            <w:tcW w:w="902" w:type="pct"/>
            <w:tcBorders>
              <w:top w:val="nil"/>
              <w:left w:val="nil"/>
              <w:bottom w:val="single" w:sz="4" w:space="0" w:color="auto"/>
              <w:right w:val="nil"/>
            </w:tcBorders>
            <w:noWrap/>
            <w:vAlign w:val="center"/>
            <w:hideMark/>
          </w:tcPr>
          <w:p w14:paraId="07618031" w14:textId="118ABE37"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Yu </w:t>
            </w:r>
            <w:r w:rsidRPr="00B65EFD">
              <w:rPr>
                <w:rFonts w:ascii="Book Antiqua" w:hAnsi="Book Antiqua"/>
                <w:i/>
              </w:rPr>
              <w:t>et al</w:t>
            </w:r>
            <w:r>
              <w:rPr>
                <w:rFonts w:ascii="Book Antiqua" w:hAnsi="Book Antiqua"/>
                <w:vertAlign w:val="superscript"/>
              </w:rPr>
              <w:t>[19]</w:t>
            </w:r>
          </w:p>
        </w:tc>
        <w:tc>
          <w:tcPr>
            <w:tcW w:w="1075" w:type="pct"/>
            <w:tcBorders>
              <w:top w:val="nil"/>
              <w:left w:val="nil"/>
              <w:bottom w:val="single" w:sz="4" w:space="0" w:color="auto"/>
              <w:right w:val="nil"/>
            </w:tcBorders>
            <w:vAlign w:val="center"/>
          </w:tcPr>
          <w:p w14:paraId="255A6738" w14:textId="3772159B"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2019</w:t>
            </w:r>
          </w:p>
        </w:tc>
        <w:tc>
          <w:tcPr>
            <w:tcW w:w="3023" w:type="pct"/>
            <w:tcBorders>
              <w:top w:val="nil"/>
              <w:left w:val="nil"/>
              <w:bottom w:val="single" w:sz="4" w:space="0" w:color="auto"/>
              <w:right w:val="nil"/>
            </w:tcBorders>
            <w:vAlign w:val="center"/>
            <w:hideMark/>
          </w:tcPr>
          <w:p w14:paraId="427F819C" w14:textId="6510510A" w:rsidR="00DF6702" w:rsidRDefault="00DF6702">
            <w:pPr>
              <w:adjustRightInd w:val="0"/>
              <w:snapToGrid w:val="0"/>
              <w:spacing w:line="360" w:lineRule="auto"/>
              <w:jc w:val="both"/>
              <w:rPr>
                <w:rFonts w:ascii="Book Antiqua" w:eastAsia="宋体" w:hAnsi="Book Antiqua"/>
              </w:rPr>
            </w:pPr>
            <w:r>
              <w:rPr>
                <w:rFonts w:ascii="Book Antiqua" w:hAnsi="Book Antiqua"/>
              </w:rPr>
              <w:t>Age, gender, lumbar BMD, location of</w:t>
            </w:r>
            <w:r w:rsidR="00183864">
              <w:rPr>
                <w:rFonts w:ascii="Book Antiqua" w:hAnsi="Book Antiqua"/>
              </w:rPr>
              <w:t xml:space="preserve"> </w:t>
            </w:r>
            <w:r>
              <w:rPr>
                <w:rFonts w:ascii="Book Antiqua" w:hAnsi="Book Antiqua"/>
              </w:rPr>
              <w:t>fractured vertebrae, preoperative IVC, fracture type, cement volume, cement leakage, cement distribution pattern, VHR, reduction angle, preoperative and postoperative VAS score</w:t>
            </w:r>
          </w:p>
        </w:tc>
      </w:tr>
    </w:tbl>
    <w:p w14:paraId="3EC6DDB9" w14:textId="77777777" w:rsidR="008A0424" w:rsidRDefault="003C682A">
      <w:pPr>
        <w:spacing w:line="360" w:lineRule="auto"/>
        <w:jc w:val="both"/>
        <w:rPr>
          <w:rFonts w:ascii="Book Antiqua" w:hAnsi="Book Antiqua" w:cs="Book Antiqua"/>
          <w:color w:val="000000"/>
          <w:lang w:eastAsia="zh-CN"/>
        </w:rPr>
        <w:sectPr w:rsidR="008A0424" w:rsidSect="003F09FD">
          <w:headerReference w:type="default" r:id="rId19"/>
          <w:pgSz w:w="15840" w:h="12240" w:orient="landscape"/>
          <w:pgMar w:top="1440" w:right="1440" w:bottom="1440" w:left="1440" w:header="720" w:footer="720" w:gutter="0"/>
          <w:cols w:space="720"/>
          <w:docGrid w:linePitch="360"/>
        </w:sectPr>
      </w:pPr>
      <w:r w:rsidRPr="009A3214">
        <w:rPr>
          <w:rFonts w:ascii="Book Antiqua" w:hAnsi="Book Antiqua"/>
          <w:lang w:eastAsia="zh-CN"/>
        </w:rPr>
        <w:t xml:space="preserve">BMD: </w:t>
      </w:r>
      <w:r w:rsidR="001745F3">
        <w:rPr>
          <w:rFonts w:ascii="Book Antiqua" w:hAnsi="Book Antiqua" w:cs="Book Antiqua" w:hint="eastAsia"/>
          <w:color w:val="000000"/>
          <w:lang w:eastAsia="zh-CN"/>
        </w:rPr>
        <w:t>B</w:t>
      </w:r>
      <w:r w:rsidR="001745F3">
        <w:rPr>
          <w:rFonts w:ascii="Book Antiqua" w:eastAsia="Book Antiqua" w:hAnsi="Book Antiqua" w:cs="Book Antiqua"/>
          <w:color w:val="000000"/>
        </w:rPr>
        <w:t>one mineral density</w:t>
      </w:r>
      <w:r w:rsidRPr="009A3214">
        <w:rPr>
          <w:rFonts w:ascii="Book Antiqua" w:hAnsi="Book Antiqua"/>
          <w:lang w:eastAsia="zh-CN"/>
        </w:rPr>
        <w:t xml:space="preserve">; VHR: </w:t>
      </w:r>
      <w:r w:rsidR="001745F3">
        <w:rPr>
          <w:rFonts w:ascii="Book Antiqua" w:hAnsi="Book Antiqua" w:cs="Book Antiqua" w:hint="eastAsia"/>
          <w:color w:val="000000"/>
          <w:lang w:eastAsia="zh-CN"/>
        </w:rPr>
        <w:t>V</w:t>
      </w:r>
      <w:r w:rsidR="001745F3">
        <w:rPr>
          <w:rFonts w:ascii="Book Antiqua" w:eastAsia="Book Antiqua" w:hAnsi="Book Antiqua" w:cs="Book Antiqua"/>
          <w:color w:val="000000"/>
        </w:rPr>
        <w:t>ertebral height restoration</w:t>
      </w:r>
      <w:r w:rsidRPr="009A3214">
        <w:rPr>
          <w:rFonts w:ascii="Book Antiqua" w:hAnsi="Book Antiqua"/>
          <w:lang w:eastAsia="zh-CN"/>
        </w:rPr>
        <w:t xml:space="preserve">; BMI: </w:t>
      </w:r>
      <w:r w:rsidR="001745F3">
        <w:rPr>
          <w:rFonts w:ascii="Book Antiqua" w:hAnsi="Book Antiqua" w:cs="Book Antiqua" w:hint="eastAsia"/>
          <w:color w:val="000000"/>
          <w:lang w:eastAsia="zh-CN"/>
        </w:rPr>
        <w:t>B</w:t>
      </w:r>
      <w:r w:rsidR="001745F3">
        <w:rPr>
          <w:rFonts w:ascii="Book Antiqua" w:eastAsia="Book Antiqua" w:hAnsi="Book Antiqua" w:cs="Book Antiqua"/>
          <w:color w:val="000000"/>
        </w:rPr>
        <w:t>ody mass index</w:t>
      </w:r>
      <w:r w:rsidRPr="009A3214">
        <w:rPr>
          <w:rFonts w:ascii="Book Antiqua" w:hAnsi="Book Antiqua"/>
          <w:lang w:eastAsia="zh-CN"/>
        </w:rPr>
        <w:t>;</w:t>
      </w:r>
      <w:r w:rsidR="0051794E">
        <w:rPr>
          <w:rFonts w:ascii="Book Antiqua" w:hAnsi="Book Antiqua" w:hint="eastAsia"/>
          <w:lang w:eastAsia="zh-CN"/>
        </w:rPr>
        <w:t xml:space="preserve"> LKA: </w:t>
      </w:r>
      <w:r w:rsidR="00B73DB1">
        <w:rPr>
          <w:rFonts w:ascii="Book Antiqua" w:hAnsi="Book Antiqua" w:cs="Book Antiqua"/>
          <w:color w:val="000000"/>
          <w:lang w:eastAsia="zh-CN"/>
        </w:rPr>
        <w:t>Local kyphotic angle</w:t>
      </w:r>
      <w:r w:rsidRPr="0051794E">
        <w:rPr>
          <w:rFonts w:ascii="Book Antiqua" w:hAnsi="Book Antiqua" w:cs="Book Antiqua"/>
          <w:color w:val="000000"/>
          <w:lang w:eastAsia="zh-CN"/>
        </w:rPr>
        <w:t>;</w:t>
      </w:r>
      <w:r w:rsidRPr="009A3214">
        <w:rPr>
          <w:rFonts w:ascii="Book Antiqua" w:hAnsi="Book Antiqua"/>
          <w:lang w:eastAsia="zh-CN"/>
        </w:rPr>
        <w:t xml:space="preserve"> IVC: </w:t>
      </w:r>
      <w:r w:rsidR="001745F3">
        <w:rPr>
          <w:rFonts w:ascii="Book Antiqua" w:hAnsi="Book Antiqua" w:cs="Book Antiqua" w:hint="eastAsia"/>
          <w:color w:val="000000"/>
          <w:lang w:eastAsia="zh-CN"/>
        </w:rPr>
        <w:t>I</w:t>
      </w:r>
      <w:r w:rsidR="001745F3">
        <w:rPr>
          <w:rFonts w:ascii="Book Antiqua" w:eastAsia="Book Antiqua" w:hAnsi="Book Antiqua" w:cs="Book Antiqua"/>
          <w:color w:val="000000"/>
        </w:rPr>
        <w:t>ntravertebral cleft</w:t>
      </w:r>
      <w:r w:rsidRPr="009A3214">
        <w:rPr>
          <w:rFonts w:ascii="Book Antiqua" w:hAnsi="Book Antiqua"/>
          <w:lang w:eastAsia="zh-CN"/>
        </w:rPr>
        <w:t>; VAS:</w:t>
      </w:r>
      <w:r w:rsidRPr="001745F3">
        <w:rPr>
          <w:rFonts w:ascii="Book Antiqua" w:hAnsi="Book Antiqua" w:cs="Book Antiqua"/>
          <w:color w:val="000000"/>
          <w:lang w:eastAsia="zh-CN"/>
        </w:rPr>
        <w:t xml:space="preserve"> </w:t>
      </w:r>
      <w:r w:rsidR="001745F3" w:rsidRPr="001745F3">
        <w:rPr>
          <w:rFonts w:ascii="Book Antiqua" w:hAnsi="Book Antiqua" w:cs="Book Antiqua"/>
          <w:color w:val="000000"/>
          <w:lang w:eastAsia="zh-CN"/>
        </w:rPr>
        <w:t>Visual Analogue Scale</w:t>
      </w:r>
      <w:r w:rsidRPr="001745F3">
        <w:rPr>
          <w:rFonts w:ascii="Book Antiqua" w:hAnsi="Book Antiqua" w:cs="Book Antiqua"/>
          <w:color w:val="000000"/>
          <w:lang w:eastAsia="zh-CN"/>
        </w:rPr>
        <w:t>.</w:t>
      </w:r>
    </w:p>
    <w:p w14:paraId="546B45A1" w14:textId="77777777" w:rsidR="008A0424" w:rsidRDefault="008A0424" w:rsidP="008A0424">
      <w:pPr>
        <w:jc w:val="center"/>
        <w:rPr>
          <w:rFonts w:ascii="Book Antiqua" w:hAnsi="Book Antiqua"/>
          <w:lang w:eastAsia="zh-CN"/>
        </w:rPr>
      </w:pPr>
    </w:p>
    <w:p w14:paraId="325B239B" w14:textId="77777777" w:rsidR="008A0424" w:rsidRDefault="008A0424" w:rsidP="008A0424">
      <w:pPr>
        <w:jc w:val="center"/>
        <w:rPr>
          <w:rFonts w:ascii="Book Antiqua" w:hAnsi="Book Antiqua"/>
          <w:lang w:eastAsia="zh-CN"/>
        </w:rPr>
      </w:pPr>
    </w:p>
    <w:p w14:paraId="6D71BD49" w14:textId="77777777" w:rsidR="008A0424" w:rsidRDefault="008A0424" w:rsidP="008A0424">
      <w:pPr>
        <w:jc w:val="center"/>
        <w:rPr>
          <w:rFonts w:ascii="Book Antiqua" w:hAnsi="Book Antiqua"/>
          <w:lang w:eastAsia="zh-CN"/>
        </w:rPr>
      </w:pPr>
    </w:p>
    <w:p w14:paraId="3F777A67" w14:textId="77777777" w:rsidR="008A0424" w:rsidRDefault="008A0424" w:rsidP="008A0424">
      <w:pPr>
        <w:jc w:val="center"/>
        <w:rPr>
          <w:rFonts w:ascii="Book Antiqua" w:hAnsi="Book Antiqua"/>
          <w:lang w:eastAsia="zh-CN"/>
        </w:rPr>
      </w:pPr>
    </w:p>
    <w:p w14:paraId="659F9603" w14:textId="77777777" w:rsidR="008A0424" w:rsidRDefault="008A0424" w:rsidP="008A0424">
      <w:pPr>
        <w:jc w:val="center"/>
        <w:rPr>
          <w:rFonts w:ascii="Book Antiqua" w:hAnsi="Book Antiqua"/>
          <w:lang w:eastAsia="zh-CN"/>
        </w:rPr>
      </w:pPr>
    </w:p>
    <w:p w14:paraId="364ACDB4" w14:textId="77777777" w:rsidR="008A0424" w:rsidRDefault="008A0424" w:rsidP="008A0424">
      <w:pPr>
        <w:jc w:val="center"/>
        <w:rPr>
          <w:rFonts w:ascii="Book Antiqua" w:hAnsi="Book Antiqua"/>
          <w:lang w:eastAsia="zh-CN"/>
        </w:rPr>
      </w:pPr>
      <w:r>
        <w:rPr>
          <w:rFonts w:ascii="Book Antiqua" w:hAnsi="Book Antiqua"/>
          <w:noProof/>
          <w:lang w:eastAsia="zh-CN"/>
        </w:rPr>
        <w:drawing>
          <wp:inline distT="0" distB="0" distL="0" distR="0" wp14:anchorId="6FBDAEF7" wp14:editId="5AEE33C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C23958" w14:textId="77777777" w:rsidR="008A0424" w:rsidRDefault="008A0424" w:rsidP="008A0424">
      <w:pPr>
        <w:jc w:val="center"/>
        <w:rPr>
          <w:rFonts w:ascii="Book Antiqua" w:hAnsi="Book Antiqua"/>
          <w:lang w:eastAsia="zh-CN"/>
        </w:rPr>
      </w:pPr>
    </w:p>
    <w:p w14:paraId="2C1EE5B2" w14:textId="77777777" w:rsidR="008A0424" w:rsidRPr="00763D22" w:rsidRDefault="008A0424" w:rsidP="008A042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5EB9C0" w14:textId="77777777" w:rsidR="008A0424" w:rsidRPr="00763D22" w:rsidRDefault="008A0424" w:rsidP="008A04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08DDA8" w14:textId="77777777" w:rsidR="008A0424" w:rsidRPr="00763D22" w:rsidRDefault="008A0424" w:rsidP="008A04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2C46E1" w14:textId="77777777" w:rsidR="008A0424" w:rsidRPr="00763D22" w:rsidRDefault="008A0424" w:rsidP="008A04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DA7FF35" w14:textId="77777777" w:rsidR="008A0424" w:rsidRPr="00763D22" w:rsidRDefault="008A0424" w:rsidP="008A04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F64315" w14:textId="77777777" w:rsidR="008A0424" w:rsidRPr="00763D22" w:rsidRDefault="008A0424" w:rsidP="008A042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786AA0" w14:textId="77777777" w:rsidR="008A0424" w:rsidRDefault="008A0424" w:rsidP="008A0424">
      <w:pPr>
        <w:jc w:val="center"/>
        <w:rPr>
          <w:rFonts w:ascii="Book Antiqua" w:hAnsi="Book Antiqua"/>
          <w:lang w:eastAsia="zh-CN"/>
        </w:rPr>
      </w:pPr>
    </w:p>
    <w:p w14:paraId="309F487A" w14:textId="77777777" w:rsidR="008A0424" w:rsidRDefault="008A0424" w:rsidP="008A0424">
      <w:pPr>
        <w:jc w:val="center"/>
        <w:rPr>
          <w:rFonts w:ascii="Book Antiqua" w:hAnsi="Book Antiqua"/>
          <w:lang w:eastAsia="zh-CN"/>
        </w:rPr>
      </w:pPr>
    </w:p>
    <w:p w14:paraId="69AC4DAE" w14:textId="77777777" w:rsidR="008A0424" w:rsidRDefault="008A0424" w:rsidP="008A0424">
      <w:pPr>
        <w:jc w:val="center"/>
        <w:rPr>
          <w:rFonts w:ascii="Book Antiqua" w:hAnsi="Book Antiqua"/>
          <w:lang w:eastAsia="zh-CN"/>
        </w:rPr>
      </w:pPr>
    </w:p>
    <w:p w14:paraId="122CF27E" w14:textId="77777777" w:rsidR="008A0424" w:rsidRDefault="008A0424" w:rsidP="008A0424">
      <w:pPr>
        <w:jc w:val="center"/>
        <w:rPr>
          <w:rFonts w:ascii="Book Antiqua" w:hAnsi="Book Antiqua"/>
          <w:lang w:eastAsia="zh-CN"/>
        </w:rPr>
      </w:pPr>
      <w:r>
        <w:rPr>
          <w:rFonts w:ascii="Book Antiqua" w:hAnsi="Book Antiqua"/>
          <w:noProof/>
          <w:lang w:eastAsia="zh-CN"/>
        </w:rPr>
        <w:drawing>
          <wp:inline distT="0" distB="0" distL="0" distR="0" wp14:anchorId="7F45A22C" wp14:editId="2D6B715D">
            <wp:extent cx="1447800" cy="1440180"/>
            <wp:effectExtent l="0" t="0" r="0" b="7620"/>
            <wp:docPr id="13" name="图片 1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5F7CED" w14:textId="77777777" w:rsidR="008A0424" w:rsidRDefault="008A0424" w:rsidP="008A0424">
      <w:pPr>
        <w:jc w:val="center"/>
        <w:rPr>
          <w:rFonts w:ascii="Book Antiqua" w:hAnsi="Book Antiqua"/>
          <w:lang w:eastAsia="zh-CN"/>
        </w:rPr>
      </w:pPr>
    </w:p>
    <w:p w14:paraId="27486FEF" w14:textId="77777777" w:rsidR="008A0424" w:rsidRDefault="008A0424" w:rsidP="008A0424">
      <w:pPr>
        <w:jc w:val="center"/>
        <w:rPr>
          <w:rFonts w:ascii="Book Antiqua" w:hAnsi="Book Antiqua"/>
          <w:lang w:eastAsia="zh-CN"/>
        </w:rPr>
      </w:pPr>
    </w:p>
    <w:p w14:paraId="20FAE384" w14:textId="77777777" w:rsidR="008A0424" w:rsidRDefault="008A0424" w:rsidP="008A0424">
      <w:pPr>
        <w:jc w:val="center"/>
        <w:rPr>
          <w:rFonts w:ascii="Book Antiqua" w:hAnsi="Book Antiqua"/>
          <w:lang w:eastAsia="zh-CN"/>
        </w:rPr>
      </w:pPr>
    </w:p>
    <w:p w14:paraId="53F70190" w14:textId="77777777" w:rsidR="008A0424" w:rsidRDefault="008A0424" w:rsidP="008A0424">
      <w:pPr>
        <w:jc w:val="center"/>
        <w:rPr>
          <w:rFonts w:ascii="Book Antiqua" w:hAnsi="Book Antiqua"/>
          <w:lang w:eastAsia="zh-CN"/>
        </w:rPr>
      </w:pPr>
    </w:p>
    <w:p w14:paraId="4603DD82" w14:textId="77777777" w:rsidR="008A0424" w:rsidRDefault="008A0424" w:rsidP="008A0424">
      <w:pPr>
        <w:jc w:val="center"/>
        <w:rPr>
          <w:rFonts w:ascii="Book Antiqua" w:hAnsi="Book Antiqua"/>
          <w:lang w:eastAsia="zh-CN"/>
        </w:rPr>
      </w:pPr>
    </w:p>
    <w:p w14:paraId="1D55A928" w14:textId="77777777" w:rsidR="008A0424" w:rsidRDefault="008A0424" w:rsidP="008A0424">
      <w:pPr>
        <w:jc w:val="center"/>
        <w:rPr>
          <w:rFonts w:ascii="Book Antiqua" w:hAnsi="Book Antiqua"/>
          <w:lang w:eastAsia="zh-CN"/>
        </w:rPr>
      </w:pPr>
    </w:p>
    <w:p w14:paraId="7A4730B4" w14:textId="77777777" w:rsidR="008A0424" w:rsidRDefault="008A0424" w:rsidP="008A0424">
      <w:pPr>
        <w:jc w:val="center"/>
        <w:rPr>
          <w:rFonts w:ascii="Book Antiqua" w:hAnsi="Book Antiqua"/>
          <w:lang w:eastAsia="zh-CN"/>
        </w:rPr>
      </w:pPr>
    </w:p>
    <w:p w14:paraId="18246D0B" w14:textId="77777777" w:rsidR="008A0424" w:rsidRDefault="008A0424" w:rsidP="008A0424">
      <w:pPr>
        <w:jc w:val="center"/>
        <w:rPr>
          <w:rFonts w:ascii="Book Antiqua" w:hAnsi="Book Antiqua"/>
          <w:lang w:eastAsia="zh-CN"/>
        </w:rPr>
      </w:pPr>
    </w:p>
    <w:p w14:paraId="4877F804" w14:textId="77777777" w:rsidR="008A0424" w:rsidRDefault="008A0424" w:rsidP="008A0424">
      <w:pPr>
        <w:jc w:val="center"/>
        <w:rPr>
          <w:rFonts w:ascii="Book Antiqua" w:hAnsi="Book Antiqua"/>
          <w:lang w:eastAsia="zh-CN"/>
        </w:rPr>
      </w:pPr>
    </w:p>
    <w:p w14:paraId="3D72940F" w14:textId="77777777" w:rsidR="008A0424" w:rsidRPr="00763D22" w:rsidRDefault="008A0424" w:rsidP="008A0424">
      <w:pPr>
        <w:jc w:val="right"/>
        <w:rPr>
          <w:rFonts w:ascii="Book Antiqua" w:hAnsi="Book Antiqua"/>
          <w:color w:val="000000" w:themeColor="text1"/>
          <w:lang w:eastAsia="zh-CN"/>
        </w:rPr>
      </w:pPr>
    </w:p>
    <w:p w14:paraId="7149F6B9" w14:textId="6FA6DEC9" w:rsidR="00A77B3E" w:rsidRPr="009A3214" w:rsidRDefault="008A0424" w:rsidP="008A0424">
      <w:pPr>
        <w:spacing w:line="360" w:lineRule="auto"/>
        <w:jc w:val="both"/>
        <w:rPr>
          <w:rFonts w:ascii="Book Antiqua" w:hAnsi="Book Antiqua"/>
          <w:lang w:eastAsia="zh-CN"/>
        </w:rPr>
      </w:pPr>
      <w:r w:rsidRPr="00763D22">
        <w:rPr>
          <w:rFonts w:ascii="Book Antiqua" w:eastAsia="BookAntiqua-Bold" w:hAnsi="Book Antiqua" w:cs="BookAntiqua-Bold"/>
          <w:b/>
          <w:bCs/>
          <w:color w:val="000000" w:themeColor="text1"/>
        </w:rPr>
        <w:t>© 2021 Baishideng Publishing Group Inc. All rights reserved.</w:t>
      </w:r>
      <w:bookmarkStart w:id="118" w:name="_GoBack"/>
      <w:bookmarkEnd w:id="118"/>
    </w:p>
    <w:sectPr w:rsidR="00A77B3E" w:rsidRPr="009A3214" w:rsidSect="008A04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713" w16cex:dateUtc="2021-03-22T08:40:00Z"/>
  <w16cex:commentExtensible w16cex:durableId="24034944" w16cex:dateUtc="2021-03-22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A4C649" w16cid:durableId="24034713"/>
  <w16cid:commentId w16cid:paraId="4365CD77" w16cid:durableId="24034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7D40C" w14:textId="77777777" w:rsidR="00EB3123" w:rsidRDefault="00EB3123" w:rsidP="00FE4A51">
      <w:r>
        <w:separator/>
      </w:r>
    </w:p>
  </w:endnote>
  <w:endnote w:type="continuationSeparator" w:id="0">
    <w:p w14:paraId="4ED5AD56" w14:textId="77777777" w:rsidR="00EB3123" w:rsidRDefault="00EB3123" w:rsidP="00F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00815"/>
      <w:docPartObj>
        <w:docPartGallery w:val="Page Numbers (Bottom of Page)"/>
        <w:docPartUnique/>
      </w:docPartObj>
    </w:sdtPr>
    <w:sdtEndPr/>
    <w:sdtContent>
      <w:sdt>
        <w:sdtPr>
          <w:id w:val="860082579"/>
          <w:docPartObj>
            <w:docPartGallery w:val="Page Numbers (Top of Page)"/>
            <w:docPartUnique/>
          </w:docPartObj>
        </w:sdtPr>
        <w:sdtEndPr/>
        <w:sdtContent>
          <w:p w14:paraId="276C8C27" w14:textId="77777777" w:rsidR="0034329F" w:rsidRDefault="0034329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B312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B3123">
              <w:rPr>
                <w:b/>
                <w:bCs/>
                <w:noProof/>
              </w:rPr>
              <w:t>1</w:t>
            </w:r>
            <w:r>
              <w:rPr>
                <w:b/>
                <w:bCs/>
                <w:sz w:val="24"/>
                <w:szCs w:val="24"/>
              </w:rPr>
              <w:fldChar w:fldCharType="end"/>
            </w:r>
          </w:p>
        </w:sdtContent>
      </w:sdt>
    </w:sdtContent>
  </w:sdt>
  <w:p w14:paraId="0A497163" w14:textId="77777777" w:rsidR="0034329F" w:rsidRDefault="00343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ED31" w14:textId="77777777" w:rsidR="00EB3123" w:rsidRDefault="00EB3123" w:rsidP="00FE4A51">
      <w:r>
        <w:separator/>
      </w:r>
    </w:p>
  </w:footnote>
  <w:footnote w:type="continuationSeparator" w:id="0">
    <w:p w14:paraId="5C72452E" w14:textId="77777777" w:rsidR="00EB3123" w:rsidRDefault="00EB3123" w:rsidP="00FE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534F" w14:textId="77777777" w:rsidR="0034329F" w:rsidRDefault="003432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7CC"/>
    <w:rsid w:val="00061CE4"/>
    <w:rsid w:val="00094C45"/>
    <w:rsid w:val="000A04B2"/>
    <w:rsid w:val="000A2FE5"/>
    <w:rsid w:val="000D5943"/>
    <w:rsid w:val="000F29F8"/>
    <w:rsid w:val="0010143E"/>
    <w:rsid w:val="00110651"/>
    <w:rsid w:val="00120B66"/>
    <w:rsid w:val="00141B53"/>
    <w:rsid w:val="001477CB"/>
    <w:rsid w:val="00147F11"/>
    <w:rsid w:val="001628D2"/>
    <w:rsid w:val="001745F3"/>
    <w:rsid w:val="00183864"/>
    <w:rsid w:val="00187800"/>
    <w:rsid w:val="0019420F"/>
    <w:rsid w:val="001944B2"/>
    <w:rsid w:val="001A3F20"/>
    <w:rsid w:val="001C10B0"/>
    <w:rsid w:val="001D1C2B"/>
    <w:rsid w:val="001D7BD2"/>
    <w:rsid w:val="001E202E"/>
    <w:rsid w:val="001E2C53"/>
    <w:rsid w:val="001F7226"/>
    <w:rsid w:val="00213CEC"/>
    <w:rsid w:val="00243249"/>
    <w:rsid w:val="00262A39"/>
    <w:rsid w:val="002A664B"/>
    <w:rsid w:val="002C034B"/>
    <w:rsid w:val="002E04AC"/>
    <w:rsid w:val="00336AFD"/>
    <w:rsid w:val="003431A2"/>
    <w:rsid w:val="0034329F"/>
    <w:rsid w:val="00344CA5"/>
    <w:rsid w:val="003453AD"/>
    <w:rsid w:val="00363B97"/>
    <w:rsid w:val="0037260F"/>
    <w:rsid w:val="003854C7"/>
    <w:rsid w:val="003C0C76"/>
    <w:rsid w:val="003C682A"/>
    <w:rsid w:val="003E6D42"/>
    <w:rsid w:val="003F09FD"/>
    <w:rsid w:val="003F6451"/>
    <w:rsid w:val="004054AF"/>
    <w:rsid w:val="004133E3"/>
    <w:rsid w:val="004135C5"/>
    <w:rsid w:val="00494440"/>
    <w:rsid w:val="004A6203"/>
    <w:rsid w:val="004B0B5B"/>
    <w:rsid w:val="004B71DD"/>
    <w:rsid w:val="00513D53"/>
    <w:rsid w:val="0051794E"/>
    <w:rsid w:val="0054352D"/>
    <w:rsid w:val="00546925"/>
    <w:rsid w:val="00566488"/>
    <w:rsid w:val="005771CB"/>
    <w:rsid w:val="00581B74"/>
    <w:rsid w:val="005A73D1"/>
    <w:rsid w:val="005E070B"/>
    <w:rsid w:val="005F29A3"/>
    <w:rsid w:val="006107C8"/>
    <w:rsid w:val="00630B7C"/>
    <w:rsid w:val="00643E56"/>
    <w:rsid w:val="00670147"/>
    <w:rsid w:val="0067348D"/>
    <w:rsid w:val="006920DF"/>
    <w:rsid w:val="006937F8"/>
    <w:rsid w:val="006A1B35"/>
    <w:rsid w:val="006D5B52"/>
    <w:rsid w:val="006F1F8C"/>
    <w:rsid w:val="00754C3D"/>
    <w:rsid w:val="00766B3D"/>
    <w:rsid w:val="007C06AD"/>
    <w:rsid w:val="007D22A7"/>
    <w:rsid w:val="00844BD4"/>
    <w:rsid w:val="00894D71"/>
    <w:rsid w:val="008A0424"/>
    <w:rsid w:val="008A12B2"/>
    <w:rsid w:val="008A2FA8"/>
    <w:rsid w:val="008C4033"/>
    <w:rsid w:val="0091771B"/>
    <w:rsid w:val="009311FA"/>
    <w:rsid w:val="0094641C"/>
    <w:rsid w:val="00956B75"/>
    <w:rsid w:val="00993390"/>
    <w:rsid w:val="009A3214"/>
    <w:rsid w:val="009E5C5F"/>
    <w:rsid w:val="00A06D56"/>
    <w:rsid w:val="00A11195"/>
    <w:rsid w:val="00A2368E"/>
    <w:rsid w:val="00A373CD"/>
    <w:rsid w:val="00A51138"/>
    <w:rsid w:val="00A63115"/>
    <w:rsid w:val="00A710C6"/>
    <w:rsid w:val="00A77B3E"/>
    <w:rsid w:val="00A91602"/>
    <w:rsid w:val="00A96071"/>
    <w:rsid w:val="00AC5473"/>
    <w:rsid w:val="00AD3A34"/>
    <w:rsid w:val="00B0154E"/>
    <w:rsid w:val="00B14417"/>
    <w:rsid w:val="00B65EFD"/>
    <w:rsid w:val="00B67691"/>
    <w:rsid w:val="00B73DB1"/>
    <w:rsid w:val="00B9147D"/>
    <w:rsid w:val="00BB1D79"/>
    <w:rsid w:val="00BE2511"/>
    <w:rsid w:val="00C966E2"/>
    <w:rsid w:val="00CA2A55"/>
    <w:rsid w:val="00CB792E"/>
    <w:rsid w:val="00CC0A40"/>
    <w:rsid w:val="00D0555C"/>
    <w:rsid w:val="00D7320F"/>
    <w:rsid w:val="00D74F11"/>
    <w:rsid w:val="00D84B8E"/>
    <w:rsid w:val="00DF6702"/>
    <w:rsid w:val="00E120BB"/>
    <w:rsid w:val="00E42F24"/>
    <w:rsid w:val="00E51833"/>
    <w:rsid w:val="00E52011"/>
    <w:rsid w:val="00E5663F"/>
    <w:rsid w:val="00E70F9D"/>
    <w:rsid w:val="00E72415"/>
    <w:rsid w:val="00E85A6B"/>
    <w:rsid w:val="00EB3123"/>
    <w:rsid w:val="00ED642F"/>
    <w:rsid w:val="00EE7D19"/>
    <w:rsid w:val="00F02B54"/>
    <w:rsid w:val="00F556DC"/>
    <w:rsid w:val="00F75F52"/>
    <w:rsid w:val="00F80A49"/>
    <w:rsid w:val="00FA6617"/>
    <w:rsid w:val="00FB7600"/>
    <w:rsid w:val="00FE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2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4AC"/>
    <w:pPr>
      <w:spacing w:before="100" w:beforeAutospacing="1" w:after="100" w:afterAutospacing="1"/>
    </w:pPr>
    <w:rPr>
      <w:rFonts w:ascii="宋体" w:eastAsia="宋体" w:hAnsi="宋体" w:cs="宋体"/>
      <w:lang w:eastAsia="zh-CN"/>
    </w:rPr>
  </w:style>
  <w:style w:type="paragraph" w:styleId="a4">
    <w:name w:val="Balloon Text"/>
    <w:basedOn w:val="a"/>
    <w:link w:val="Char"/>
    <w:rsid w:val="00F556DC"/>
    <w:rPr>
      <w:sz w:val="18"/>
      <w:szCs w:val="18"/>
    </w:rPr>
  </w:style>
  <w:style w:type="character" w:customStyle="1" w:styleId="Char">
    <w:name w:val="批注框文本 Char"/>
    <w:basedOn w:val="a0"/>
    <w:link w:val="a4"/>
    <w:rsid w:val="00F556DC"/>
    <w:rPr>
      <w:sz w:val="18"/>
      <w:szCs w:val="18"/>
    </w:rPr>
  </w:style>
  <w:style w:type="paragraph" w:styleId="a5">
    <w:name w:val="header"/>
    <w:basedOn w:val="a"/>
    <w:link w:val="Char0"/>
    <w:rsid w:val="00FE4A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E4A51"/>
    <w:rPr>
      <w:sz w:val="18"/>
      <w:szCs w:val="18"/>
    </w:rPr>
  </w:style>
  <w:style w:type="paragraph" w:styleId="a6">
    <w:name w:val="footer"/>
    <w:basedOn w:val="a"/>
    <w:link w:val="Char1"/>
    <w:uiPriority w:val="99"/>
    <w:rsid w:val="00FE4A51"/>
    <w:pPr>
      <w:tabs>
        <w:tab w:val="center" w:pos="4153"/>
        <w:tab w:val="right" w:pos="8306"/>
      </w:tabs>
      <w:snapToGrid w:val="0"/>
    </w:pPr>
    <w:rPr>
      <w:sz w:val="18"/>
      <w:szCs w:val="18"/>
    </w:rPr>
  </w:style>
  <w:style w:type="character" w:customStyle="1" w:styleId="Char1">
    <w:name w:val="页脚 Char"/>
    <w:basedOn w:val="a0"/>
    <w:link w:val="a6"/>
    <w:uiPriority w:val="99"/>
    <w:rsid w:val="00FE4A51"/>
    <w:rPr>
      <w:sz w:val="18"/>
      <w:szCs w:val="18"/>
    </w:rPr>
  </w:style>
  <w:style w:type="character" w:styleId="a7">
    <w:name w:val="annotation reference"/>
    <w:basedOn w:val="a0"/>
    <w:semiHidden/>
    <w:unhideWhenUsed/>
    <w:rsid w:val="001477CB"/>
    <w:rPr>
      <w:sz w:val="21"/>
      <w:szCs w:val="21"/>
    </w:rPr>
  </w:style>
  <w:style w:type="paragraph" w:styleId="a8">
    <w:name w:val="annotation text"/>
    <w:basedOn w:val="a"/>
    <w:link w:val="Char2"/>
    <w:semiHidden/>
    <w:unhideWhenUsed/>
    <w:rsid w:val="001477CB"/>
  </w:style>
  <w:style w:type="character" w:customStyle="1" w:styleId="Char2">
    <w:name w:val="批注文字 Char"/>
    <w:basedOn w:val="a0"/>
    <w:link w:val="a8"/>
    <w:semiHidden/>
    <w:rsid w:val="001477CB"/>
    <w:rPr>
      <w:sz w:val="24"/>
      <w:szCs w:val="24"/>
    </w:rPr>
  </w:style>
  <w:style w:type="paragraph" w:styleId="a9">
    <w:name w:val="annotation subject"/>
    <w:basedOn w:val="a8"/>
    <w:next w:val="a8"/>
    <w:link w:val="Char3"/>
    <w:semiHidden/>
    <w:unhideWhenUsed/>
    <w:rsid w:val="001477CB"/>
    <w:rPr>
      <w:b/>
      <w:bCs/>
    </w:rPr>
  </w:style>
  <w:style w:type="character" w:customStyle="1" w:styleId="Char3">
    <w:name w:val="批注主题 Char"/>
    <w:basedOn w:val="Char2"/>
    <w:link w:val="a9"/>
    <w:semiHidden/>
    <w:rsid w:val="001477CB"/>
    <w:rPr>
      <w:b/>
      <w:bCs/>
      <w:sz w:val="24"/>
      <w:szCs w:val="24"/>
    </w:rPr>
  </w:style>
  <w:style w:type="paragraph" w:styleId="aa">
    <w:name w:val="Revision"/>
    <w:hidden/>
    <w:uiPriority w:val="99"/>
    <w:semiHidden/>
    <w:rsid w:val="003432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4AC"/>
    <w:pPr>
      <w:spacing w:before="100" w:beforeAutospacing="1" w:after="100" w:afterAutospacing="1"/>
    </w:pPr>
    <w:rPr>
      <w:rFonts w:ascii="宋体" w:eastAsia="宋体" w:hAnsi="宋体" w:cs="宋体"/>
      <w:lang w:eastAsia="zh-CN"/>
    </w:rPr>
  </w:style>
  <w:style w:type="paragraph" w:styleId="a4">
    <w:name w:val="Balloon Text"/>
    <w:basedOn w:val="a"/>
    <w:link w:val="Char"/>
    <w:rsid w:val="00F556DC"/>
    <w:rPr>
      <w:sz w:val="18"/>
      <w:szCs w:val="18"/>
    </w:rPr>
  </w:style>
  <w:style w:type="character" w:customStyle="1" w:styleId="Char">
    <w:name w:val="批注框文本 Char"/>
    <w:basedOn w:val="a0"/>
    <w:link w:val="a4"/>
    <w:rsid w:val="00F556DC"/>
    <w:rPr>
      <w:sz w:val="18"/>
      <w:szCs w:val="18"/>
    </w:rPr>
  </w:style>
  <w:style w:type="paragraph" w:styleId="a5">
    <w:name w:val="header"/>
    <w:basedOn w:val="a"/>
    <w:link w:val="Char0"/>
    <w:rsid w:val="00FE4A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E4A51"/>
    <w:rPr>
      <w:sz w:val="18"/>
      <w:szCs w:val="18"/>
    </w:rPr>
  </w:style>
  <w:style w:type="paragraph" w:styleId="a6">
    <w:name w:val="footer"/>
    <w:basedOn w:val="a"/>
    <w:link w:val="Char1"/>
    <w:uiPriority w:val="99"/>
    <w:rsid w:val="00FE4A51"/>
    <w:pPr>
      <w:tabs>
        <w:tab w:val="center" w:pos="4153"/>
        <w:tab w:val="right" w:pos="8306"/>
      </w:tabs>
      <w:snapToGrid w:val="0"/>
    </w:pPr>
    <w:rPr>
      <w:sz w:val="18"/>
      <w:szCs w:val="18"/>
    </w:rPr>
  </w:style>
  <w:style w:type="character" w:customStyle="1" w:styleId="Char1">
    <w:name w:val="页脚 Char"/>
    <w:basedOn w:val="a0"/>
    <w:link w:val="a6"/>
    <w:uiPriority w:val="99"/>
    <w:rsid w:val="00FE4A51"/>
    <w:rPr>
      <w:sz w:val="18"/>
      <w:szCs w:val="18"/>
    </w:rPr>
  </w:style>
  <w:style w:type="character" w:styleId="a7">
    <w:name w:val="annotation reference"/>
    <w:basedOn w:val="a0"/>
    <w:semiHidden/>
    <w:unhideWhenUsed/>
    <w:rsid w:val="001477CB"/>
    <w:rPr>
      <w:sz w:val="21"/>
      <w:szCs w:val="21"/>
    </w:rPr>
  </w:style>
  <w:style w:type="paragraph" w:styleId="a8">
    <w:name w:val="annotation text"/>
    <w:basedOn w:val="a"/>
    <w:link w:val="Char2"/>
    <w:semiHidden/>
    <w:unhideWhenUsed/>
    <w:rsid w:val="001477CB"/>
  </w:style>
  <w:style w:type="character" w:customStyle="1" w:styleId="Char2">
    <w:name w:val="批注文字 Char"/>
    <w:basedOn w:val="a0"/>
    <w:link w:val="a8"/>
    <w:semiHidden/>
    <w:rsid w:val="001477CB"/>
    <w:rPr>
      <w:sz w:val="24"/>
      <w:szCs w:val="24"/>
    </w:rPr>
  </w:style>
  <w:style w:type="paragraph" w:styleId="a9">
    <w:name w:val="annotation subject"/>
    <w:basedOn w:val="a8"/>
    <w:next w:val="a8"/>
    <w:link w:val="Char3"/>
    <w:semiHidden/>
    <w:unhideWhenUsed/>
    <w:rsid w:val="001477CB"/>
    <w:rPr>
      <w:b/>
      <w:bCs/>
    </w:rPr>
  </w:style>
  <w:style w:type="character" w:customStyle="1" w:styleId="Char3">
    <w:name w:val="批注主题 Char"/>
    <w:basedOn w:val="Char2"/>
    <w:link w:val="a9"/>
    <w:semiHidden/>
    <w:rsid w:val="001477CB"/>
    <w:rPr>
      <w:b/>
      <w:bCs/>
      <w:sz w:val="24"/>
      <w:szCs w:val="24"/>
    </w:rPr>
  </w:style>
  <w:style w:type="paragraph" w:styleId="aa">
    <w:name w:val="Revision"/>
    <w:hidden/>
    <w:uiPriority w:val="99"/>
    <w:semiHidden/>
    <w:rsid w:val="00343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92">
      <w:bodyDiv w:val="1"/>
      <w:marLeft w:val="0"/>
      <w:marRight w:val="0"/>
      <w:marTop w:val="0"/>
      <w:marBottom w:val="0"/>
      <w:divBdr>
        <w:top w:val="none" w:sz="0" w:space="0" w:color="auto"/>
        <w:left w:val="none" w:sz="0" w:space="0" w:color="auto"/>
        <w:bottom w:val="none" w:sz="0" w:space="0" w:color="auto"/>
        <w:right w:val="none" w:sz="0" w:space="0" w:color="auto"/>
      </w:divBdr>
    </w:div>
    <w:div w:id="800196186">
      <w:bodyDiv w:val="1"/>
      <w:marLeft w:val="0"/>
      <w:marRight w:val="0"/>
      <w:marTop w:val="0"/>
      <w:marBottom w:val="0"/>
      <w:divBdr>
        <w:top w:val="none" w:sz="0" w:space="0" w:color="auto"/>
        <w:left w:val="none" w:sz="0" w:space="0" w:color="auto"/>
        <w:bottom w:val="none" w:sz="0" w:space="0" w:color="auto"/>
        <w:right w:val="none" w:sz="0" w:space="0" w:color="auto"/>
      </w:divBdr>
    </w:div>
    <w:div w:id="132246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6/09/relationships/commentsIds" Target="commentsIds.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2021-03-27T09:52:00Z</dcterms:created>
  <dcterms:modified xsi:type="dcterms:W3CDTF">2021-04-13T03:56:00Z</dcterms:modified>
</cp:coreProperties>
</file>