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DDD1" w14:textId="77777777" w:rsidR="00A77B3E" w:rsidRDefault="004711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4DF991D6" w14:textId="77777777" w:rsidR="00A77B3E" w:rsidRDefault="004711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63072</w:t>
      </w:r>
    </w:p>
    <w:p w14:paraId="7A5CA2C5" w14:textId="77777777" w:rsidR="00A77B3E" w:rsidRDefault="004711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EDD4C36" w14:textId="77777777" w:rsidR="00A77B3E" w:rsidRDefault="00A77B3E">
      <w:pPr>
        <w:spacing w:line="360" w:lineRule="auto"/>
        <w:jc w:val="both"/>
      </w:pPr>
    </w:p>
    <w:p w14:paraId="1AC19C25" w14:textId="77777777" w:rsidR="00A77B3E" w:rsidRDefault="00471120">
      <w:pPr>
        <w:spacing w:line="360" w:lineRule="auto"/>
        <w:jc w:val="both"/>
      </w:pPr>
      <w:r>
        <w:rPr>
          <w:rFonts w:ascii="Book Antiqua" w:eastAsia="Book Antiqua" w:hAnsi="Book Antiqua" w:cs="Book Antiqua"/>
          <w:b/>
          <w:bCs/>
          <w:color w:val="000000"/>
          <w:szCs w:val="28"/>
        </w:rPr>
        <w:t>Hypertension and obesity in living kidney donors</w:t>
      </w:r>
    </w:p>
    <w:p w14:paraId="108FF9D5" w14:textId="77777777" w:rsidR="00A77B3E" w:rsidRDefault="00A77B3E">
      <w:pPr>
        <w:spacing w:line="360" w:lineRule="auto"/>
        <w:jc w:val="both"/>
      </w:pPr>
    </w:p>
    <w:p w14:paraId="7E70114E" w14:textId="381084D5" w:rsidR="00A77B3E" w:rsidRDefault="00186E28">
      <w:pPr>
        <w:spacing w:line="360" w:lineRule="auto"/>
        <w:jc w:val="both"/>
      </w:pPr>
      <w:r>
        <w:rPr>
          <w:rFonts w:ascii="Book Antiqua" w:eastAsia="Book Antiqua" w:hAnsi="Book Antiqua" w:cs="Book Antiqua"/>
          <w:color w:val="000000"/>
        </w:rPr>
        <w:t xml:space="preserve">Mohamed MM </w:t>
      </w:r>
      <w:r w:rsidRPr="00186E2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71120">
        <w:rPr>
          <w:rFonts w:ascii="Book Antiqua" w:eastAsia="Book Antiqua" w:hAnsi="Book Antiqua" w:cs="Book Antiqua"/>
          <w:color w:val="000000"/>
        </w:rPr>
        <w:t>Hypertension and obesity in LKD</w:t>
      </w:r>
    </w:p>
    <w:p w14:paraId="2C54CEA1" w14:textId="77777777" w:rsidR="00A77B3E" w:rsidRDefault="00A77B3E">
      <w:pPr>
        <w:spacing w:line="360" w:lineRule="auto"/>
        <w:jc w:val="both"/>
      </w:pPr>
    </w:p>
    <w:p w14:paraId="4C87C28A" w14:textId="77777777" w:rsidR="00A77B3E" w:rsidRDefault="00471120">
      <w:pPr>
        <w:spacing w:line="360" w:lineRule="auto"/>
        <w:jc w:val="both"/>
      </w:pPr>
      <w:r>
        <w:rPr>
          <w:rFonts w:ascii="Book Antiqua" w:eastAsia="Book Antiqua" w:hAnsi="Book Antiqua" w:cs="Book Antiqua"/>
          <w:color w:val="000000"/>
        </w:rPr>
        <w:t xml:space="preserve">Mahmoud M Mohamed, Ahmed </w:t>
      </w:r>
      <w:proofErr w:type="spellStart"/>
      <w:r>
        <w:rPr>
          <w:rFonts w:ascii="Book Antiqua" w:eastAsia="Book Antiqua" w:hAnsi="Book Antiqua" w:cs="Book Antiqua"/>
          <w:color w:val="000000"/>
        </w:rPr>
        <w:t>Daoud</w:t>
      </w:r>
      <w:proofErr w:type="spellEnd"/>
      <w:r>
        <w:rPr>
          <w:rFonts w:ascii="Book Antiqua" w:eastAsia="Book Antiqua" w:hAnsi="Book Antiqua" w:cs="Book Antiqua"/>
          <w:color w:val="000000"/>
        </w:rPr>
        <w:t xml:space="preserve">, Syed </w:t>
      </w:r>
      <w:proofErr w:type="spellStart"/>
      <w:r>
        <w:rPr>
          <w:rFonts w:ascii="Book Antiqua" w:eastAsia="Book Antiqua" w:hAnsi="Book Antiqua" w:cs="Book Antiqua"/>
          <w:color w:val="000000"/>
        </w:rPr>
        <w:t>Quadri</w:t>
      </w:r>
      <w:proofErr w:type="spellEnd"/>
      <w:r>
        <w:rPr>
          <w:rFonts w:ascii="Book Antiqua" w:eastAsia="Book Antiqua" w:hAnsi="Book Antiqua" w:cs="Book Antiqua"/>
          <w:color w:val="000000"/>
        </w:rPr>
        <w:t xml:space="preserve">, Michael J Casey, Mariah Aurora Posadas Salas, </w:t>
      </w:r>
      <w:proofErr w:type="spellStart"/>
      <w:r>
        <w:rPr>
          <w:rFonts w:ascii="Book Antiqua" w:eastAsia="Book Antiqua" w:hAnsi="Book Antiqua" w:cs="Book Antiqua"/>
          <w:color w:val="000000"/>
        </w:rPr>
        <w:t>Vinaya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Tibor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Fülöp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Soliman</w:t>
      </w:r>
      <w:proofErr w:type="spellEnd"/>
    </w:p>
    <w:p w14:paraId="0F3F0FFD" w14:textId="77777777" w:rsidR="00A77B3E" w:rsidRDefault="00A77B3E">
      <w:pPr>
        <w:spacing w:line="360" w:lineRule="auto"/>
        <w:jc w:val="both"/>
      </w:pPr>
    </w:p>
    <w:p w14:paraId="015506F3" w14:textId="77777777" w:rsidR="00A77B3E" w:rsidRDefault="00471120">
      <w:pPr>
        <w:spacing w:line="360" w:lineRule="auto"/>
        <w:jc w:val="both"/>
      </w:pPr>
      <w:r>
        <w:rPr>
          <w:rFonts w:ascii="Book Antiqua" w:eastAsia="Book Antiqua" w:hAnsi="Book Antiqua" w:cs="Book Antiqua"/>
          <w:b/>
          <w:bCs/>
          <w:color w:val="000000"/>
        </w:rPr>
        <w:t xml:space="preserve">Mahmoud M Mohamed, </w:t>
      </w:r>
      <w:r>
        <w:rPr>
          <w:rFonts w:ascii="Book Antiqua" w:eastAsia="Book Antiqua" w:hAnsi="Book Antiqua" w:cs="Book Antiqua"/>
          <w:color w:val="000000"/>
        </w:rPr>
        <w:t>Department of Medicine, Division of Nephrology, University of Tennessee, Memphis, TN 38163, United States</w:t>
      </w:r>
    </w:p>
    <w:p w14:paraId="35F847EF" w14:textId="77777777" w:rsidR="00A77B3E" w:rsidRDefault="00A77B3E">
      <w:pPr>
        <w:spacing w:line="360" w:lineRule="auto"/>
        <w:jc w:val="both"/>
      </w:pPr>
    </w:p>
    <w:p w14:paraId="10EC6363" w14:textId="77777777" w:rsidR="00A77B3E" w:rsidRDefault="00471120">
      <w:pPr>
        <w:spacing w:line="360" w:lineRule="auto"/>
        <w:jc w:val="both"/>
      </w:pPr>
      <w:r>
        <w:rPr>
          <w:rFonts w:ascii="Book Antiqua" w:eastAsia="Book Antiqua" w:hAnsi="Book Antiqua" w:cs="Book Antiqua"/>
          <w:b/>
          <w:bCs/>
          <w:color w:val="000000"/>
        </w:rPr>
        <w:t xml:space="preserve">Ahmed </w:t>
      </w:r>
      <w:proofErr w:type="spellStart"/>
      <w:r>
        <w:rPr>
          <w:rFonts w:ascii="Book Antiqua" w:eastAsia="Book Antiqua" w:hAnsi="Book Antiqua" w:cs="Book Antiqua"/>
          <w:b/>
          <w:bCs/>
          <w:color w:val="000000"/>
        </w:rPr>
        <w:t>Daoud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Division of Nephrology, Cairo University, Cairo 11562, Egypt</w:t>
      </w:r>
    </w:p>
    <w:p w14:paraId="57AD7773" w14:textId="77777777" w:rsidR="00A77B3E" w:rsidRDefault="00A77B3E">
      <w:pPr>
        <w:spacing w:line="360" w:lineRule="auto"/>
        <w:jc w:val="both"/>
      </w:pPr>
    </w:p>
    <w:p w14:paraId="34CC503E" w14:textId="77777777" w:rsidR="00A77B3E" w:rsidRDefault="00471120">
      <w:pPr>
        <w:spacing w:line="360" w:lineRule="auto"/>
        <w:jc w:val="both"/>
      </w:pPr>
      <w:r>
        <w:rPr>
          <w:rFonts w:ascii="Book Antiqua" w:eastAsia="Book Antiqua" w:hAnsi="Book Antiqua" w:cs="Book Antiqua"/>
          <w:b/>
          <w:bCs/>
          <w:color w:val="000000"/>
        </w:rPr>
        <w:t xml:space="preserve">Syed </w:t>
      </w:r>
      <w:proofErr w:type="spellStart"/>
      <w:r>
        <w:rPr>
          <w:rFonts w:ascii="Book Antiqua" w:eastAsia="Book Antiqua" w:hAnsi="Book Antiqua" w:cs="Book Antiqua"/>
          <w:b/>
          <w:bCs/>
          <w:color w:val="000000"/>
        </w:rPr>
        <w:t>Quadri</w:t>
      </w:r>
      <w:proofErr w:type="spellEnd"/>
      <w:r>
        <w:rPr>
          <w:rFonts w:ascii="Book Antiqua" w:eastAsia="Book Antiqua" w:hAnsi="Book Antiqua" w:cs="Book Antiqua"/>
          <w:b/>
          <w:bCs/>
          <w:color w:val="000000"/>
        </w:rPr>
        <w:t xml:space="preserve">, Michael J Casey, Mariah Aurora Posadas Salas, </w:t>
      </w:r>
      <w:proofErr w:type="spellStart"/>
      <w:r>
        <w:rPr>
          <w:rFonts w:ascii="Book Antiqua" w:eastAsia="Book Antiqua" w:hAnsi="Book Antiqua" w:cs="Book Antiqua"/>
          <w:b/>
          <w:bCs/>
          <w:color w:val="000000"/>
        </w:rPr>
        <w:t>Vinaya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Tibor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Fülöp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Karim</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Soliman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Division of Nephrology, Medical University of South Carolina, Charleston, SC 29425, United States</w:t>
      </w:r>
    </w:p>
    <w:p w14:paraId="1D2F2FB8" w14:textId="77777777" w:rsidR="00A77B3E" w:rsidRDefault="00A77B3E">
      <w:pPr>
        <w:spacing w:line="360" w:lineRule="auto"/>
        <w:jc w:val="both"/>
      </w:pPr>
    </w:p>
    <w:p w14:paraId="36466D7A" w14:textId="77777777" w:rsidR="00A77B3E" w:rsidRDefault="00471120">
      <w:pPr>
        <w:spacing w:line="360" w:lineRule="auto"/>
        <w:jc w:val="both"/>
      </w:pPr>
      <w:proofErr w:type="spellStart"/>
      <w:r>
        <w:rPr>
          <w:rFonts w:ascii="Book Antiqua" w:eastAsia="Book Antiqua" w:hAnsi="Book Antiqua" w:cs="Book Antiqua"/>
          <w:b/>
          <w:bCs/>
          <w:color w:val="000000"/>
        </w:rPr>
        <w:t>Tibor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Fülöp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Medicine Service, Ralph H. Johnson VA Medical Center, Charleston, SC 29401, United States</w:t>
      </w:r>
    </w:p>
    <w:p w14:paraId="46E2ADAC" w14:textId="77777777" w:rsidR="00A77B3E" w:rsidRDefault="00A77B3E">
      <w:pPr>
        <w:spacing w:line="360" w:lineRule="auto"/>
        <w:jc w:val="both"/>
      </w:pPr>
    </w:p>
    <w:p w14:paraId="2D9D350F" w14:textId="078732F6" w:rsidR="00A77B3E" w:rsidRDefault="00471120" w:rsidP="004A7648">
      <w:pPr>
        <w:spacing w:line="360" w:lineRule="auto"/>
        <w:jc w:val="both"/>
      </w:pPr>
      <w:r>
        <w:rPr>
          <w:rFonts w:ascii="Book Antiqua" w:eastAsia="Book Antiqua" w:hAnsi="Book Antiqua" w:cs="Book Antiqua"/>
          <w:b/>
          <w:bCs/>
          <w:color w:val="000000"/>
        </w:rPr>
        <w:t xml:space="preserve">Author contributions: </w:t>
      </w:r>
      <w:r w:rsidR="00186E28">
        <w:rPr>
          <w:rFonts w:ascii="Book Antiqua" w:eastAsia="Book Antiqua" w:hAnsi="Book Antiqua" w:cs="Book Antiqua"/>
          <w:color w:val="000000"/>
        </w:rPr>
        <w:t>Mohamed MM</w:t>
      </w:r>
      <w:r>
        <w:rPr>
          <w:rFonts w:ascii="Book Antiqua" w:eastAsia="Book Antiqua" w:hAnsi="Book Antiqua" w:cs="Book Antiqua"/>
          <w:color w:val="000000"/>
        </w:rPr>
        <w:t xml:space="preserve"> </w:t>
      </w:r>
      <w:r w:rsidR="00186E28">
        <w:rPr>
          <w:rFonts w:ascii="Book Antiqua" w:eastAsia="Book Antiqua" w:hAnsi="Book Antiqua" w:cs="Book Antiqua"/>
          <w:color w:val="000000"/>
        </w:rPr>
        <w:t>w</w:t>
      </w:r>
      <w:r>
        <w:rPr>
          <w:rFonts w:ascii="Book Antiqua" w:eastAsia="Book Antiqua" w:hAnsi="Book Antiqua" w:cs="Book Antiqua"/>
          <w:color w:val="000000"/>
        </w:rPr>
        <w:t>rote the initial draft</w:t>
      </w:r>
      <w:r w:rsidR="00186E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Daoud</w:t>
      </w:r>
      <w:proofErr w:type="spellEnd"/>
      <w:r w:rsidR="00186E28">
        <w:rPr>
          <w:rFonts w:ascii="Book Antiqua" w:eastAsia="Book Antiqua" w:hAnsi="Book Antiqua" w:cs="Book Antiqua"/>
          <w:color w:val="000000"/>
        </w:rPr>
        <w:t xml:space="preserve"> A, Salas MAP, </w:t>
      </w:r>
      <w:proofErr w:type="spellStart"/>
      <w:r w:rsidR="00186E28">
        <w:rPr>
          <w:rFonts w:ascii="Book Antiqua" w:eastAsia="Book Antiqua" w:hAnsi="Book Antiqua" w:cs="Book Antiqua"/>
          <w:color w:val="000000"/>
        </w:rPr>
        <w:t>Rao</w:t>
      </w:r>
      <w:proofErr w:type="spellEnd"/>
      <w:r w:rsidR="00186E28">
        <w:rPr>
          <w:rFonts w:ascii="Book Antiqua" w:eastAsia="Book Antiqua" w:hAnsi="Book Antiqua" w:cs="Book Antiqua"/>
          <w:color w:val="000000"/>
        </w:rPr>
        <w:t xml:space="preserve"> V</w:t>
      </w:r>
      <w:r w:rsidR="00675090">
        <w:rPr>
          <w:rFonts w:ascii="Book Antiqua" w:eastAsia="Book Antiqua" w:hAnsi="Book Antiqua" w:cs="Book Antiqua"/>
          <w:color w:val="000000"/>
        </w:rPr>
        <w:t xml:space="preserve"> and</w:t>
      </w:r>
      <w:r w:rsidR="00987A0A">
        <w:rPr>
          <w:rFonts w:ascii="Book Antiqua" w:eastAsia="Book Antiqua" w:hAnsi="Book Antiqua" w:cs="Book Antiqua"/>
          <w:color w:val="000000"/>
        </w:rPr>
        <w:t xml:space="preserve"> Casey MJ</w:t>
      </w:r>
      <w:r w:rsidR="00186E28">
        <w:rPr>
          <w:rFonts w:ascii="Book Antiqua" w:eastAsia="Book Antiqua" w:hAnsi="Book Antiqua" w:cs="Book Antiqua"/>
          <w:color w:val="000000"/>
        </w:rPr>
        <w:t xml:space="preserve"> r</w:t>
      </w:r>
      <w:r>
        <w:rPr>
          <w:rFonts w:ascii="Book Antiqua" w:eastAsia="Book Antiqua" w:hAnsi="Book Antiqua" w:cs="Book Antiqua"/>
          <w:color w:val="000000"/>
        </w:rPr>
        <w:t>eviewed the manuscript</w:t>
      </w:r>
      <w:r w:rsidR="00186E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w:t>
      </w:r>
      <w:r w:rsidR="00987A0A">
        <w:rPr>
          <w:rFonts w:ascii="Book Antiqua" w:eastAsia="Book Antiqua" w:hAnsi="Book Antiqua" w:cs="Book Antiqua"/>
          <w:color w:val="000000"/>
        </w:rPr>
        <w:t>u</w:t>
      </w:r>
      <w:r>
        <w:rPr>
          <w:rFonts w:ascii="Book Antiqua" w:eastAsia="Book Antiqua" w:hAnsi="Book Antiqua" w:cs="Book Antiqua"/>
          <w:color w:val="000000"/>
        </w:rPr>
        <w:t>adri</w:t>
      </w:r>
      <w:proofErr w:type="spellEnd"/>
      <w:r w:rsidR="00186E28">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r w:rsidR="00186E28">
        <w:rPr>
          <w:rFonts w:ascii="Book Antiqua" w:eastAsia="Book Antiqua" w:hAnsi="Book Antiqua" w:cs="Book Antiqua"/>
          <w:color w:val="000000"/>
        </w:rPr>
        <w:t>p</w:t>
      </w:r>
      <w:r>
        <w:rPr>
          <w:rFonts w:ascii="Book Antiqua" w:eastAsia="Book Antiqua" w:hAnsi="Book Antiqua" w:cs="Book Antiqua"/>
          <w:color w:val="000000"/>
        </w:rPr>
        <w:t>articipated in writing</w:t>
      </w:r>
      <w:r w:rsidR="00B83B3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4A7648">
        <w:rPr>
          <w:rFonts w:ascii="Book Antiqua" w:eastAsia="Book Antiqua" w:hAnsi="Book Antiqua" w:cs="Book Antiqua"/>
          <w:color w:val="000000"/>
        </w:rPr>
        <w:t>Fülöp</w:t>
      </w:r>
      <w:proofErr w:type="spellEnd"/>
      <w:r w:rsidR="004A7648">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Soliman</w:t>
      </w:r>
      <w:proofErr w:type="spellEnd"/>
      <w:r w:rsidR="00186E28">
        <w:rPr>
          <w:rFonts w:ascii="Book Antiqua" w:eastAsia="Book Antiqua" w:hAnsi="Book Antiqua" w:cs="Book Antiqua"/>
          <w:color w:val="000000"/>
        </w:rPr>
        <w:t xml:space="preserve"> K</w:t>
      </w:r>
      <w:r w:rsidR="00FD553E">
        <w:rPr>
          <w:rFonts w:ascii="Book Antiqua" w:hAnsi="Book Antiqua" w:cs="Book Antiqua" w:hint="eastAsia"/>
          <w:color w:val="000000"/>
          <w:lang w:eastAsia="zh-CN"/>
        </w:rPr>
        <w:t>M</w:t>
      </w:r>
      <w:r>
        <w:rPr>
          <w:rFonts w:ascii="Book Antiqua" w:eastAsia="Book Antiqua" w:hAnsi="Book Antiqua" w:cs="Book Antiqua"/>
          <w:color w:val="000000"/>
        </w:rPr>
        <w:t xml:space="preserve"> participated in writing </w:t>
      </w:r>
      <w:r w:rsidR="00987A0A">
        <w:rPr>
          <w:rFonts w:ascii="Book Antiqua" w:eastAsia="Book Antiqua" w:hAnsi="Book Antiqua" w:cs="Book Antiqua"/>
          <w:color w:val="000000"/>
        </w:rPr>
        <w:t xml:space="preserve">and reviewed the </w:t>
      </w:r>
      <w:r>
        <w:rPr>
          <w:rFonts w:ascii="Book Antiqua" w:eastAsia="Book Antiqua" w:hAnsi="Book Antiqua" w:cs="Book Antiqua"/>
          <w:color w:val="000000"/>
        </w:rPr>
        <w:t>manuscript</w:t>
      </w:r>
      <w:r w:rsidR="00186E28">
        <w:rPr>
          <w:rFonts w:ascii="Book Antiqua" w:eastAsia="Book Antiqua" w:hAnsi="Book Antiqua" w:cs="Book Antiqua"/>
          <w:color w:val="000000"/>
        </w:rPr>
        <w:t>.</w:t>
      </w:r>
    </w:p>
    <w:p w14:paraId="030946D0" w14:textId="77777777" w:rsidR="00A77B3E" w:rsidRDefault="00A77B3E">
      <w:pPr>
        <w:spacing w:line="360" w:lineRule="auto"/>
        <w:jc w:val="both"/>
      </w:pPr>
    </w:p>
    <w:p w14:paraId="15EE3C2F" w14:textId="77777777" w:rsidR="00A77B3E" w:rsidRDefault="00471120">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Karim</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Soliman</w:t>
      </w:r>
      <w:proofErr w:type="spellEnd"/>
      <w:r>
        <w:rPr>
          <w:rFonts w:ascii="Book Antiqua" w:eastAsia="Book Antiqua" w:hAnsi="Book Antiqua" w:cs="Book Antiqua"/>
          <w:b/>
          <w:bCs/>
          <w:color w:val="000000"/>
        </w:rPr>
        <w:t xml:space="preserve">, MD, MSc, Assistant Professor, </w:t>
      </w:r>
      <w:r>
        <w:rPr>
          <w:rFonts w:ascii="Book Antiqua" w:eastAsia="Book Antiqua" w:hAnsi="Book Antiqua" w:cs="Book Antiqua"/>
          <w:color w:val="000000"/>
        </w:rPr>
        <w:t>Department of Medicine, Division of Nephrology, Medical University of South Carolina, 96 Jonathan Lucas St., Charleston, SC 29425, United States. drkarimsoliman@gmail.com</w:t>
      </w:r>
    </w:p>
    <w:p w14:paraId="6F878767" w14:textId="77777777" w:rsidR="00A77B3E" w:rsidRDefault="00A77B3E">
      <w:pPr>
        <w:spacing w:line="360" w:lineRule="auto"/>
        <w:jc w:val="both"/>
      </w:pPr>
    </w:p>
    <w:p w14:paraId="3D627154" w14:textId="77777777" w:rsidR="00A77B3E" w:rsidRDefault="004711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2021</w:t>
      </w:r>
    </w:p>
    <w:p w14:paraId="04A2878D" w14:textId="77777777" w:rsidR="00A77B3E" w:rsidRDefault="004711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26, 2021</w:t>
      </w:r>
    </w:p>
    <w:p w14:paraId="6A36CC24" w14:textId="761FCD7E" w:rsidR="00A77B3E" w:rsidRDefault="00471120">
      <w:pPr>
        <w:spacing w:line="360" w:lineRule="auto"/>
        <w:jc w:val="both"/>
      </w:pPr>
      <w:r>
        <w:rPr>
          <w:rFonts w:ascii="Book Antiqua" w:eastAsia="Book Antiqua" w:hAnsi="Book Antiqua" w:cs="Book Antiqua"/>
          <w:b/>
          <w:bCs/>
          <w:color w:val="000000"/>
        </w:rPr>
        <w:t xml:space="preserve">Accepted: </w:t>
      </w:r>
      <w:r w:rsidR="006F2B0E" w:rsidRPr="006F2B0E">
        <w:rPr>
          <w:rFonts w:ascii="Book Antiqua" w:eastAsia="Book Antiqua" w:hAnsi="Book Antiqua" w:cs="Book Antiqua"/>
          <w:bCs/>
          <w:color w:val="000000"/>
        </w:rPr>
        <w:t>May 22, 2021</w:t>
      </w:r>
    </w:p>
    <w:p w14:paraId="53426974" w14:textId="2ED28A6C" w:rsidR="00A77B3E" w:rsidRDefault="00471120">
      <w:pPr>
        <w:spacing w:line="360" w:lineRule="auto"/>
        <w:jc w:val="both"/>
      </w:pPr>
      <w:r>
        <w:rPr>
          <w:rFonts w:ascii="Book Antiqua" w:eastAsia="Book Antiqua" w:hAnsi="Book Antiqua" w:cs="Book Antiqua"/>
          <w:b/>
          <w:bCs/>
          <w:color w:val="000000"/>
        </w:rPr>
        <w:t xml:space="preserve">Published online: </w:t>
      </w:r>
      <w:r w:rsidR="00364EB2">
        <w:rPr>
          <w:rFonts w:ascii="Book Antiqua" w:hAnsi="Book Antiqua" w:cs="Book Antiqua" w:hint="eastAsia"/>
          <w:bCs/>
          <w:color w:val="000000"/>
          <w:lang w:eastAsia="zh-CN"/>
        </w:rPr>
        <w:t>June 18</w:t>
      </w:r>
      <w:r w:rsidR="00364EB2" w:rsidRPr="00364EB2">
        <w:rPr>
          <w:rFonts w:ascii="Book Antiqua" w:eastAsia="Book Antiqua" w:hAnsi="Book Antiqua" w:cs="Book Antiqua"/>
          <w:bCs/>
          <w:color w:val="000000"/>
        </w:rPr>
        <w:t>, 2021</w:t>
      </w:r>
    </w:p>
    <w:p w14:paraId="35D461F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FBEAD2D" w14:textId="77777777" w:rsidR="00A77B3E" w:rsidRDefault="00471120">
      <w:pPr>
        <w:spacing w:line="360" w:lineRule="auto"/>
        <w:jc w:val="both"/>
      </w:pPr>
      <w:r>
        <w:rPr>
          <w:rFonts w:ascii="Book Antiqua" w:eastAsia="Book Antiqua" w:hAnsi="Book Antiqua" w:cs="Book Antiqua"/>
          <w:b/>
          <w:color w:val="000000"/>
        </w:rPr>
        <w:lastRenderedPageBreak/>
        <w:t>Abstract</w:t>
      </w:r>
    </w:p>
    <w:p w14:paraId="41066187" w14:textId="7287B5A4" w:rsidR="00A77B3E" w:rsidRDefault="00471120">
      <w:pPr>
        <w:spacing w:line="360" w:lineRule="auto"/>
        <w:jc w:val="both"/>
      </w:pPr>
      <w:r>
        <w:rPr>
          <w:rFonts w:ascii="Book Antiqua" w:eastAsia="Book Antiqua" w:hAnsi="Book Antiqua" w:cs="Book Antiqua"/>
          <w:color w:val="000000"/>
        </w:rPr>
        <w:t>Over the past few decades, the shortage in the kidney donor pool as compared to the increasing number of candidates on the kidney transplant waitlist led to loosening of kidney donors’ acceptance criteria. Hypertension and obesity represent risk factors for chronic kidney disease, both in native kidneys and those in kidney transplant recipients. While great progress has been made in kidney transplantation from living donors to benefit the recipient survival and quality of life, progress has been slow to fully risk-characterize the donors. This review critically reassesses the current state of understanding regarding the risk of end-stage kidney disease in those donors with obesity, hypertension or both. Accurate risk assessment tools need to be developed urgently to fully understand the risk glomerular filtration rate compensation failure in the remaining kidney of the donors.</w:t>
      </w:r>
    </w:p>
    <w:p w14:paraId="2CD84B24" w14:textId="77777777" w:rsidR="00A77B3E" w:rsidRDefault="00A77B3E">
      <w:pPr>
        <w:spacing w:line="360" w:lineRule="auto"/>
        <w:jc w:val="both"/>
      </w:pPr>
    </w:p>
    <w:p w14:paraId="00C7686B" w14:textId="7B962EA5" w:rsidR="00A77B3E" w:rsidRDefault="00471120">
      <w:pPr>
        <w:spacing w:line="360" w:lineRule="auto"/>
        <w:jc w:val="both"/>
      </w:pPr>
      <w:r>
        <w:rPr>
          <w:rFonts w:ascii="Book Antiqua" w:eastAsia="Book Antiqua" w:hAnsi="Book Antiqua" w:cs="Book Antiqua"/>
          <w:b/>
          <w:bCs/>
          <w:color w:val="000000"/>
        </w:rPr>
        <w:t>Key Words:</w:t>
      </w:r>
      <w:r w:rsidR="00186E28">
        <w:rPr>
          <w:rFonts w:ascii="Book Antiqua" w:eastAsia="Book Antiqua" w:hAnsi="Book Antiqua" w:cs="Book Antiqua"/>
          <w:b/>
          <w:bCs/>
          <w:color w:val="000000"/>
        </w:rPr>
        <w:t xml:space="preserve"> </w:t>
      </w:r>
      <w:r>
        <w:rPr>
          <w:rFonts w:ascii="Book Antiqua" w:eastAsia="Book Antiqua" w:hAnsi="Book Antiqua" w:cs="Book Antiqua"/>
          <w:color w:val="000000"/>
          <w:szCs w:val="22"/>
        </w:rPr>
        <w:t>Living donor</w:t>
      </w:r>
      <w:r w:rsidR="00186E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86E28">
        <w:rPr>
          <w:rFonts w:ascii="Book Antiqua" w:eastAsia="Book Antiqua" w:hAnsi="Book Antiqua" w:cs="Book Antiqua"/>
          <w:color w:val="000000"/>
          <w:szCs w:val="22"/>
        </w:rPr>
        <w:t>K</w:t>
      </w:r>
      <w:r>
        <w:rPr>
          <w:rFonts w:ascii="Book Antiqua" w:eastAsia="Book Antiqua" w:hAnsi="Book Antiqua" w:cs="Book Antiqua"/>
          <w:color w:val="000000"/>
          <w:szCs w:val="22"/>
        </w:rPr>
        <w:t>idney</w:t>
      </w:r>
      <w:r w:rsidR="00186E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86E28">
        <w:rPr>
          <w:rFonts w:ascii="Book Antiqua" w:eastAsia="Book Antiqua" w:hAnsi="Book Antiqua" w:cs="Book Antiqua"/>
          <w:color w:val="000000"/>
          <w:szCs w:val="22"/>
        </w:rPr>
        <w:t>O</w:t>
      </w:r>
      <w:r>
        <w:rPr>
          <w:rFonts w:ascii="Book Antiqua" w:eastAsia="Book Antiqua" w:hAnsi="Book Antiqua" w:cs="Book Antiqua"/>
          <w:color w:val="000000"/>
          <w:szCs w:val="22"/>
        </w:rPr>
        <w:t>besity</w:t>
      </w:r>
      <w:r w:rsidR="00186E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86E28">
        <w:rPr>
          <w:rFonts w:ascii="Book Antiqua" w:eastAsia="Book Antiqua" w:hAnsi="Book Antiqua" w:cs="Book Antiqua"/>
          <w:color w:val="000000"/>
          <w:szCs w:val="22"/>
        </w:rPr>
        <w:t>H</w:t>
      </w:r>
      <w:r>
        <w:rPr>
          <w:rFonts w:ascii="Book Antiqua" w:eastAsia="Book Antiqua" w:hAnsi="Book Antiqua" w:cs="Book Antiqua"/>
          <w:color w:val="000000"/>
          <w:szCs w:val="22"/>
        </w:rPr>
        <w:t>ypertension</w:t>
      </w:r>
      <w:r w:rsidR="00186E28">
        <w:rPr>
          <w:rFonts w:ascii="Book Antiqua" w:eastAsia="Book Antiqua" w:hAnsi="Book Antiqua" w:cs="Book Antiqua"/>
          <w:color w:val="000000"/>
          <w:szCs w:val="22"/>
        </w:rPr>
        <w:t xml:space="preserve">; </w:t>
      </w:r>
      <w:r w:rsidR="00186E28">
        <w:rPr>
          <w:rFonts w:ascii="Book Antiqua" w:eastAsia="Book Antiqua" w:hAnsi="Book Antiqua" w:cs="Book Antiqua"/>
          <w:color w:val="000000"/>
        </w:rPr>
        <w:t>Living kidney donors</w:t>
      </w:r>
    </w:p>
    <w:p w14:paraId="7CFD7728" w14:textId="77777777" w:rsidR="00A77B3E" w:rsidRDefault="00A77B3E">
      <w:pPr>
        <w:spacing w:line="360" w:lineRule="auto"/>
        <w:jc w:val="both"/>
        <w:rPr>
          <w:rFonts w:hint="eastAsia"/>
          <w:lang w:eastAsia="zh-CN"/>
        </w:rPr>
      </w:pPr>
    </w:p>
    <w:p w14:paraId="248EF1DE" w14:textId="5D3D9A70" w:rsidR="00B05B90" w:rsidRPr="00B05B90" w:rsidRDefault="00B05B90" w:rsidP="00B05B90">
      <w:pPr>
        <w:spacing w:line="360" w:lineRule="auto"/>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6E01C5CA" w14:textId="77777777" w:rsidR="00B05B90" w:rsidRDefault="00B05B90">
      <w:pPr>
        <w:spacing w:line="360" w:lineRule="auto"/>
        <w:jc w:val="both"/>
        <w:rPr>
          <w:rFonts w:hint="eastAsia"/>
          <w:lang w:eastAsia="zh-CN"/>
        </w:rPr>
      </w:pPr>
    </w:p>
    <w:p w14:paraId="5F75D3FD" w14:textId="029D4960" w:rsidR="00B05B90" w:rsidRPr="00B05B90" w:rsidRDefault="00B05B90">
      <w:pPr>
        <w:spacing w:line="360" w:lineRule="auto"/>
        <w:jc w:val="both"/>
        <w:rPr>
          <w:rFonts w:ascii="Book Antiqua" w:hAnsi="Book Antiqua" w:cs="Book Antiqua" w:hint="eastAsia"/>
          <w:color w:val="000000"/>
          <w:lang w:eastAsia="zh-CN"/>
        </w:rPr>
      </w:pPr>
      <w:r w:rsidRPr="00B05B90">
        <w:rPr>
          <w:rFonts w:ascii="Book Antiqua" w:eastAsia="Book Antiqua" w:hAnsi="Book Antiqua" w:cs="Book Antiqua"/>
          <w:b/>
          <w:color w:val="000000"/>
        </w:rPr>
        <w:t xml:space="preserve">Citation: </w:t>
      </w:r>
      <w:r w:rsidR="00471120">
        <w:rPr>
          <w:rFonts w:ascii="Book Antiqua" w:eastAsia="Book Antiqua" w:hAnsi="Book Antiqua" w:cs="Book Antiqua"/>
          <w:color w:val="000000"/>
        </w:rPr>
        <w:t xml:space="preserve">Mohamed MM, </w:t>
      </w:r>
      <w:proofErr w:type="spellStart"/>
      <w:r w:rsidR="00471120">
        <w:rPr>
          <w:rFonts w:ascii="Book Antiqua" w:eastAsia="Book Antiqua" w:hAnsi="Book Antiqua" w:cs="Book Antiqua"/>
          <w:color w:val="000000"/>
        </w:rPr>
        <w:t>Daoud</w:t>
      </w:r>
      <w:proofErr w:type="spellEnd"/>
      <w:r w:rsidR="00471120">
        <w:rPr>
          <w:rFonts w:ascii="Book Antiqua" w:eastAsia="Book Antiqua" w:hAnsi="Book Antiqua" w:cs="Book Antiqua"/>
          <w:color w:val="000000"/>
        </w:rPr>
        <w:t xml:space="preserve"> A, </w:t>
      </w:r>
      <w:proofErr w:type="spellStart"/>
      <w:r w:rsidR="00471120">
        <w:rPr>
          <w:rFonts w:ascii="Book Antiqua" w:eastAsia="Book Antiqua" w:hAnsi="Book Antiqua" w:cs="Book Antiqua"/>
          <w:color w:val="000000"/>
        </w:rPr>
        <w:t>Quadri</w:t>
      </w:r>
      <w:proofErr w:type="spellEnd"/>
      <w:r w:rsidR="00471120">
        <w:rPr>
          <w:rFonts w:ascii="Book Antiqua" w:eastAsia="Book Antiqua" w:hAnsi="Book Antiqua" w:cs="Book Antiqua"/>
          <w:color w:val="000000"/>
        </w:rPr>
        <w:t xml:space="preserve"> S, Casey MJ, Salas MAP, </w:t>
      </w:r>
      <w:proofErr w:type="spellStart"/>
      <w:r w:rsidR="00471120">
        <w:rPr>
          <w:rFonts w:ascii="Book Antiqua" w:eastAsia="Book Antiqua" w:hAnsi="Book Antiqua" w:cs="Book Antiqua"/>
          <w:color w:val="000000"/>
        </w:rPr>
        <w:t>Rao</w:t>
      </w:r>
      <w:proofErr w:type="spellEnd"/>
      <w:r w:rsidR="00471120">
        <w:rPr>
          <w:rFonts w:ascii="Book Antiqua" w:eastAsia="Book Antiqua" w:hAnsi="Book Antiqua" w:cs="Book Antiqua"/>
          <w:color w:val="000000"/>
        </w:rPr>
        <w:t xml:space="preserve"> V, </w:t>
      </w:r>
      <w:proofErr w:type="spellStart"/>
      <w:r w:rsidR="00471120">
        <w:rPr>
          <w:rFonts w:ascii="Book Antiqua" w:eastAsia="Book Antiqua" w:hAnsi="Book Antiqua" w:cs="Book Antiqua"/>
          <w:color w:val="000000"/>
        </w:rPr>
        <w:t>Fülöp</w:t>
      </w:r>
      <w:proofErr w:type="spellEnd"/>
      <w:r w:rsidR="00471120">
        <w:rPr>
          <w:rFonts w:ascii="Book Antiqua" w:eastAsia="Book Antiqua" w:hAnsi="Book Antiqua" w:cs="Book Antiqua"/>
          <w:color w:val="000000"/>
        </w:rPr>
        <w:t xml:space="preserve"> T, </w:t>
      </w:r>
      <w:proofErr w:type="spellStart"/>
      <w:r w:rsidR="00471120">
        <w:rPr>
          <w:rFonts w:ascii="Book Antiqua" w:eastAsia="Book Antiqua" w:hAnsi="Book Antiqua" w:cs="Book Antiqua"/>
          <w:color w:val="000000"/>
        </w:rPr>
        <w:t>Soliman</w:t>
      </w:r>
      <w:proofErr w:type="spellEnd"/>
      <w:r w:rsidR="00471120">
        <w:rPr>
          <w:rFonts w:ascii="Book Antiqua" w:eastAsia="Book Antiqua" w:hAnsi="Book Antiqua" w:cs="Book Antiqua"/>
          <w:color w:val="000000"/>
        </w:rPr>
        <w:t xml:space="preserve"> KM. Hypertension and obesity in living kidney donors. </w:t>
      </w:r>
      <w:r w:rsidR="00471120">
        <w:rPr>
          <w:rFonts w:ascii="Book Antiqua" w:eastAsia="Book Antiqua" w:hAnsi="Book Antiqua" w:cs="Book Antiqua"/>
          <w:i/>
          <w:iCs/>
          <w:color w:val="000000"/>
        </w:rPr>
        <w:t>World J Transplant</w:t>
      </w:r>
      <w:r w:rsidR="00471120">
        <w:rPr>
          <w:rFonts w:ascii="Book Antiqua" w:eastAsia="Book Antiqua" w:hAnsi="Book Antiqua" w:cs="Book Antiqua"/>
          <w:color w:val="000000"/>
        </w:rPr>
        <w:t xml:space="preserve"> 2021;</w:t>
      </w:r>
      <w:r w:rsidR="00364EB2" w:rsidRPr="00364EB2">
        <w:rPr>
          <w:rFonts w:ascii="Book Antiqua" w:eastAsia="Book Antiqua" w:hAnsi="Book Antiqua" w:cs="Book Antiqua"/>
          <w:color w:val="000000"/>
        </w:rPr>
        <w:t xml:space="preserve"> 1</w:t>
      </w:r>
      <w:r w:rsidR="00364EB2">
        <w:rPr>
          <w:rFonts w:ascii="Book Antiqua" w:hAnsi="Book Antiqua" w:cs="Book Antiqua" w:hint="eastAsia"/>
          <w:color w:val="000000"/>
          <w:lang w:eastAsia="zh-CN"/>
        </w:rPr>
        <w:t>1</w:t>
      </w:r>
      <w:r w:rsidR="00364EB2" w:rsidRPr="00364EB2">
        <w:rPr>
          <w:rFonts w:ascii="Book Antiqua" w:eastAsia="Book Antiqua" w:hAnsi="Book Antiqua" w:cs="Book Antiqua"/>
          <w:color w:val="000000"/>
        </w:rPr>
        <w:t>(</w:t>
      </w:r>
      <w:r w:rsidR="00364EB2">
        <w:rPr>
          <w:rFonts w:ascii="Book Antiqua" w:hAnsi="Book Antiqua" w:cs="Book Antiqua" w:hint="eastAsia"/>
          <w:color w:val="000000"/>
          <w:lang w:eastAsia="zh-CN"/>
        </w:rPr>
        <w:t>6</w:t>
      </w:r>
      <w:r w:rsidR="00364EB2" w:rsidRPr="00364EB2">
        <w:rPr>
          <w:rFonts w:ascii="Book Antiqua" w:eastAsia="Book Antiqua" w:hAnsi="Book Antiqua" w:cs="Book Antiqua"/>
          <w:color w:val="000000"/>
        </w:rPr>
        <w:t xml:space="preserve">): </w:t>
      </w:r>
      <w:r>
        <w:rPr>
          <w:rFonts w:ascii="Book Antiqua" w:hAnsi="Book Antiqua" w:cs="Book Antiqua" w:hint="eastAsia"/>
          <w:color w:val="000000"/>
          <w:lang w:eastAsia="zh-CN"/>
        </w:rPr>
        <w:t>18</w:t>
      </w:r>
      <w:r w:rsidR="00364EB2" w:rsidRPr="00364EB2">
        <w:rPr>
          <w:rFonts w:ascii="Book Antiqua" w:eastAsia="Book Antiqua" w:hAnsi="Book Antiqua" w:cs="Book Antiqua"/>
          <w:color w:val="000000"/>
        </w:rPr>
        <w:t>0-</w:t>
      </w:r>
      <w:r>
        <w:rPr>
          <w:rFonts w:ascii="Book Antiqua" w:hAnsi="Book Antiqua" w:cs="Book Antiqua" w:hint="eastAsia"/>
          <w:color w:val="000000"/>
          <w:lang w:eastAsia="zh-CN"/>
        </w:rPr>
        <w:t>186</w:t>
      </w:r>
      <w:bookmarkStart w:id="0" w:name="_GoBack"/>
      <w:bookmarkEnd w:id="0"/>
    </w:p>
    <w:p w14:paraId="0C2B1E19" w14:textId="3C679F02" w:rsidR="00B05B90" w:rsidRDefault="00364EB2">
      <w:pPr>
        <w:spacing w:line="360" w:lineRule="auto"/>
        <w:jc w:val="both"/>
        <w:rPr>
          <w:rFonts w:ascii="Book Antiqua" w:hAnsi="Book Antiqua" w:cs="Book Antiqua" w:hint="eastAsia"/>
          <w:color w:val="000000"/>
          <w:lang w:eastAsia="zh-CN"/>
        </w:rPr>
      </w:pPr>
      <w:r w:rsidRPr="00B05B90">
        <w:rPr>
          <w:rFonts w:ascii="Book Antiqua" w:eastAsia="Book Antiqua" w:hAnsi="Book Antiqua" w:cs="Book Antiqua"/>
          <w:b/>
          <w:color w:val="000000"/>
        </w:rPr>
        <w:t xml:space="preserve">URL: </w:t>
      </w:r>
      <w:r w:rsidRPr="00364EB2">
        <w:rPr>
          <w:rFonts w:ascii="Book Antiqua" w:eastAsia="Book Antiqua" w:hAnsi="Book Antiqua" w:cs="Book Antiqua"/>
          <w:color w:val="000000"/>
        </w:rPr>
        <w:t>https://www.wjgnet.com/2220-3230/full/v1</w:t>
      </w:r>
      <w:r>
        <w:rPr>
          <w:rFonts w:ascii="Book Antiqua" w:hAnsi="Book Antiqua" w:cs="Book Antiqua" w:hint="eastAsia"/>
          <w:color w:val="000000"/>
          <w:lang w:eastAsia="zh-CN"/>
        </w:rPr>
        <w:t>1</w:t>
      </w:r>
      <w:r w:rsidRPr="00364EB2">
        <w:rPr>
          <w:rFonts w:ascii="Book Antiqua" w:eastAsia="Book Antiqua" w:hAnsi="Book Antiqua" w:cs="Book Antiqua"/>
          <w:color w:val="000000"/>
        </w:rPr>
        <w:t>/i</w:t>
      </w:r>
      <w:r>
        <w:rPr>
          <w:rFonts w:ascii="Book Antiqua" w:hAnsi="Book Antiqua" w:cs="Book Antiqua" w:hint="eastAsia"/>
          <w:color w:val="000000"/>
          <w:lang w:eastAsia="zh-CN"/>
        </w:rPr>
        <w:t>6</w:t>
      </w:r>
      <w:r w:rsidRPr="00364EB2">
        <w:rPr>
          <w:rFonts w:ascii="Book Antiqua" w:eastAsia="Book Antiqua" w:hAnsi="Book Antiqua" w:cs="Book Antiqua"/>
          <w:color w:val="000000"/>
        </w:rPr>
        <w:t>/</w:t>
      </w:r>
      <w:r w:rsidR="00B05B90">
        <w:rPr>
          <w:rFonts w:ascii="Book Antiqua" w:hAnsi="Book Antiqua" w:cs="Book Antiqua" w:hint="eastAsia"/>
          <w:color w:val="000000"/>
          <w:lang w:eastAsia="zh-CN"/>
        </w:rPr>
        <w:t>18</w:t>
      </w:r>
      <w:r w:rsidRPr="00364EB2">
        <w:rPr>
          <w:rFonts w:ascii="Book Antiqua" w:eastAsia="Book Antiqua" w:hAnsi="Book Antiqua" w:cs="Book Antiqua"/>
          <w:color w:val="000000"/>
        </w:rPr>
        <w:t>0.htm</w:t>
      </w:r>
    </w:p>
    <w:p w14:paraId="22D132C5" w14:textId="16848881" w:rsidR="00A77B3E" w:rsidRDefault="00364EB2">
      <w:pPr>
        <w:spacing w:line="360" w:lineRule="auto"/>
        <w:jc w:val="both"/>
      </w:pPr>
      <w:r w:rsidRPr="00B05B90">
        <w:rPr>
          <w:rFonts w:ascii="Book Antiqua" w:eastAsia="Book Antiqua" w:hAnsi="Book Antiqua" w:cs="Book Antiqua"/>
          <w:b/>
          <w:color w:val="000000"/>
        </w:rPr>
        <w:t xml:space="preserve">DOI: </w:t>
      </w:r>
      <w:r w:rsidRPr="00364EB2">
        <w:rPr>
          <w:rFonts w:ascii="Book Antiqua" w:eastAsia="Book Antiqua" w:hAnsi="Book Antiqua" w:cs="Book Antiqua"/>
          <w:color w:val="000000"/>
        </w:rPr>
        <w:t>https://dx.doi.org/10.5500/</w:t>
      </w:r>
      <w:r>
        <w:rPr>
          <w:rFonts w:ascii="Book Antiqua" w:hAnsi="Book Antiqua" w:cs="Book Antiqua" w:hint="eastAsia"/>
          <w:color w:val="000000"/>
          <w:lang w:eastAsia="zh-CN"/>
        </w:rPr>
        <w:t>wjt</w:t>
      </w:r>
      <w:r w:rsidRPr="00364EB2">
        <w:rPr>
          <w:rFonts w:ascii="Book Antiqua" w:eastAsia="Book Antiqua" w:hAnsi="Book Antiqua" w:cs="Book Antiqua"/>
          <w:color w:val="000000"/>
        </w:rPr>
        <w:t>.v1</w:t>
      </w:r>
      <w:r>
        <w:rPr>
          <w:rFonts w:ascii="Book Antiqua" w:hAnsi="Book Antiqua" w:cs="Book Antiqua" w:hint="eastAsia"/>
          <w:color w:val="000000"/>
          <w:lang w:eastAsia="zh-CN"/>
        </w:rPr>
        <w:t>1</w:t>
      </w:r>
      <w:r w:rsidRPr="00364EB2">
        <w:rPr>
          <w:rFonts w:ascii="Book Antiqua" w:eastAsia="Book Antiqua" w:hAnsi="Book Antiqua" w:cs="Book Antiqua"/>
          <w:color w:val="000000"/>
        </w:rPr>
        <w:t>.i</w:t>
      </w:r>
      <w:r>
        <w:rPr>
          <w:rFonts w:ascii="Book Antiqua" w:hAnsi="Book Antiqua" w:cs="Book Antiqua" w:hint="eastAsia"/>
          <w:color w:val="000000"/>
          <w:lang w:eastAsia="zh-CN"/>
        </w:rPr>
        <w:t>6</w:t>
      </w:r>
      <w:r w:rsidRPr="00364EB2">
        <w:rPr>
          <w:rFonts w:ascii="Book Antiqua" w:eastAsia="Book Antiqua" w:hAnsi="Book Antiqua" w:cs="Book Antiqua"/>
          <w:color w:val="000000"/>
        </w:rPr>
        <w:t>.</w:t>
      </w:r>
      <w:r w:rsidR="00B05B90">
        <w:rPr>
          <w:rFonts w:ascii="Book Antiqua" w:hAnsi="Book Antiqua" w:cs="Book Antiqua" w:hint="eastAsia"/>
          <w:color w:val="000000"/>
          <w:lang w:eastAsia="zh-CN"/>
        </w:rPr>
        <w:t>18</w:t>
      </w:r>
      <w:r w:rsidRPr="00364EB2">
        <w:rPr>
          <w:rFonts w:ascii="Book Antiqua" w:eastAsia="Book Antiqua" w:hAnsi="Book Antiqua" w:cs="Book Antiqua"/>
          <w:color w:val="000000"/>
        </w:rPr>
        <w:t>0</w:t>
      </w:r>
    </w:p>
    <w:p w14:paraId="4E956A89" w14:textId="77777777" w:rsidR="00A77B3E" w:rsidRDefault="00A77B3E">
      <w:pPr>
        <w:spacing w:line="360" w:lineRule="auto"/>
        <w:jc w:val="both"/>
      </w:pPr>
    </w:p>
    <w:p w14:paraId="5524E1BC" w14:textId="2222BA83" w:rsidR="00A77B3E" w:rsidRDefault="00471120">
      <w:pPr>
        <w:spacing w:line="360" w:lineRule="auto"/>
        <w:jc w:val="both"/>
      </w:pPr>
      <w:r>
        <w:rPr>
          <w:rFonts w:ascii="Book Antiqua" w:eastAsia="Book Antiqua" w:hAnsi="Book Antiqua" w:cs="Book Antiqua"/>
          <w:b/>
          <w:bCs/>
          <w:color w:val="000000"/>
        </w:rPr>
        <w:t>Core Tip:</w:t>
      </w:r>
      <w:r w:rsidRPr="00186E28">
        <w:rPr>
          <w:rFonts w:ascii="Book Antiqua" w:eastAsia="Book Antiqua" w:hAnsi="Book Antiqua" w:cs="Book Antiqua"/>
          <w:color w:val="000000"/>
        </w:rPr>
        <w:t xml:space="preserve"> </w:t>
      </w:r>
      <w:r w:rsidR="00186E28" w:rsidRPr="00186E28">
        <w:rPr>
          <w:rFonts w:ascii="Book Antiqua" w:eastAsia="Book Antiqua" w:hAnsi="Book Antiqua" w:cs="Book Antiqua"/>
          <w:color w:val="000000"/>
        </w:rPr>
        <w:t xml:space="preserve">Hypertension and obesity represent risk factors for chronic kidney disease, both in native kidneys and those in kidney transplant recipients. While great progress has been made in kidney transplantation from living donors to benefit the recipient survival and quality of life, progress has been slow to fully risk-characterize the donors. </w:t>
      </w:r>
      <w:r>
        <w:rPr>
          <w:rFonts w:ascii="Book Antiqua" w:eastAsia="Book Antiqua" w:hAnsi="Book Antiqua" w:cs="Book Antiqua"/>
          <w:color w:val="000000"/>
        </w:rPr>
        <w:lastRenderedPageBreak/>
        <w:t>This review critically reassesses the current state of understanding regarding the risk of end-stage kidney disease in those donors with obesity, hypertension or both.</w:t>
      </w:r>
    </w:p>
    <w:p w14:paraId="04591718" w14:textId="7B60CD8E" w:rsidR="00A77B3E" w:rsidRDefault="00186E28">
      <w:pPr>
        <w:spacing w:line="360" w:lineRule="auto"/>
        <w:jc w:val="both"/>
      </w:pPr>
      <w:r>
        <w:br w:type="page"/>
      </w:r>
      <w:r w:rsidR="00471120">
        <w:rPr>
          <w:rFonts w:ascii="Book Antiqua" w:eastAsia="Book Antiqua" w:hAnsi="Book Antiqua" w:cs="Book Antiqua"/>
          <w:b/>
          <w:caps/>
          <w:color w:val="000000"/>
          <w:u w:val="single"/>
        </w:rPr>
        <w:lastRenderedPageBreak/>
        <w:t>INTRODUCTION</w:t>
      </w:r>
    </w:p>
    <w:p w14:paraId="68D7B894" w14:textId="376D8FA3" w:rsidR="00A77B3E" w:rsidRDefault="00471120">
      <w:pPr>
        <w:spacing w:line="360" w:lineRule="auto"/>
        <w:jc w:val="both"/>
      </w:pPr>
      <w:r>
        <w:rPr>
          <w:rFonts w:ascii="Book Antiqua" w:eastAsia="Book Antiqua" w:hAnsi="Book Antiqua" w:cs="Book Antiqua"/>
          <w:color w:val="000000"/>
        </w:rPr>
        <w:t xml:space="preserve">According to a recent United Nation Organ Sharing update, there are more than 110000 candidates on the kidney transplant waitlist, with the number growing every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Kidney transplant is the standard of care for patients with end-stage kidney disease </w:t>
      </w:r>
      <w:r w:rsidR="00186E28">
        <w:rPr>
          <w:rFonts w:ascii="Book Antiqua" w:eastAsia="Book Antiqua" w:hAnsi="Book Antiqua" w:cs="Book Antiqua"/>
          <w:color w:val="000000"/>
        </w:rPr>
        <w:t xml:space="preserve">(ESKD) </w:t>
      </w:r>
      <w:r>
        <w:rPr>
          <w:rFonts w:ascii="Book Antiqua" w:eastAsia="Book Antiqua" w:hAnsi="Book Antiqua" w:cs="Book Antiqua"/>
          <w:color w:val="000000"/>
        </w:rPr>
        <w:t xml:space="preserve">and there is an increasing demand for organs available for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6D0F3D4" w14:textId="012C3D81" w:rsidR="00A77B3E" w:rsidRDefault="00471120" w:rsidP="00186E28">
      <w:pPr>
        <w:spacing w:line="360" w:lineRule="auto"/>
        <w:ind w:firstLineChars="100" w:firstLine="240"/>
        <w:jc w:val="both"/>
      </w:pPr>
      <w:r>
        <w:rPr>
          <w:rFonts w:ascii="Book Antiqua" w:eastAsia="Book Antiqua" w:hAnsi="Book Antiqua" w:cs="Book Antiqua"/>
          <w:color w:val="000000"/>
        </w:rPr>
        <w:t xml:space="preserve">Over the past few decades, the noted shortage in the kidney donor pool as compared to the increasing number of candidates on the kidney transplant waitlist has made it necessary to loosen the kidney donors’ acceptance criteria. Looking at the deceased donors’ side, the American Society of Transplantation validated the expanded criteria for kidney donation to include “marginal factors” such as donation from hypertensive and aged deceased donors, those being historically declined by transplant </w:t>
      </w:r>
      <w:proofErr w:type="gramStart"/>
      <w:r>
        <w:rPr>
          <w:rFonts w:ascii="Book Antiqua" w:eastAsia="Book Antiqua" w:hAnsi="Book Antiqua" w:cs="Book Antiqua"/>
          <w:color w:val="000000"/>
        </w:rPr>
        <w:t>centers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Martínez-Vaquera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86E28">
        <w:rPr>
          <w:rFonts w:ascii="Book Antiqua" w:eastAsia="Book Antiqua" w:hAnsi="Book Antiqua" w:cs="Book Antiqua"/>
          <w:color w:val="000000"/>
          <w:szCs w:val="30"/>
          <w:vertAlign w:val="superscript"/>
        </w:rPr>
        <w:t>[</w:t>
      </w:r>
      <w:proofErr w:type="gramEnd"/>
      <w:r w:rsidR="00186E28">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noted no differences in delayed graft function or graft survival in marginal (aged and hypertensive) donors compared with standard criteria donors. On the other hand, when </w:t>
      </w:r>
      <w:proofErr w:type="spellStart"/>
      <w:r>
        <w:rPr>
          <w:rFonts w:ascii="Book Antiqua" w:eastAsia="Book Antiqua" w:hAnsi="Book Antiqua" w:cs="Book Antiqua"/>
          <w:color w:val="000000"/>
        </w:rPr>
        <w:t>Thukral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86E28">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examined the outcome of 69 marginal living kidney donors </w:t>
      </w:r>
      <w:r w:rsidR="00F04EE8">
        <w:rPr>
          <w:rFonts w:ascii="Book Antiqua" w:eastAsia="Book Antiqua" w:hAnsi="Book Antiqua" w:cs="Book Antiqua"/>
          <w:color w:val="000000"/>
        </w:rPr>
        <w:t xml:space="preserve">(LKD) </w:t>
      </w:r>
      <w:r>
        <w:rPr>
          <w:rFonts w:ascii="Book Antiqua" w:eastAsia="Book Antiqua" w:hAnsi="Book Antiqua" w:cs="Book Antiqua"/>
          <w:color w:val="000000"/>
        </w:rPr>
        <w:t>after donation, they found a statistically significant</w:t>
      </w:r>
      <w:r w:rsidR="00186E28">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 in blood pressure, mean </w:t>
      </w:r>
      <w:r w:rsidR="00186E28">
        <w:rPr>
          <w:rFonts w:ascii="Book Antiqua" w:eastAsia="Book Antiqua" w:hAnsi="Book Antiqua" w:cs="Book Antiqua"/>
          <w:color w:val="000000"/>
        </w:rPr>
        <w:t>body mass ind</w:t>
      </w:r>
      <w:r>
        <w:rPr>
          <w:rFonts w:ascii="Book Antiqua" w:eastAsia="Book Antiqua" w:hAnsi="Book Antiqua" w:cs="Book Antiqua"/>
          <w:color w:val="000000"/>
        </w:rPr>
        <w:t>ex (</w:t>
      </w:r>
      <w:r>
        <w:rPr>
          <w:rFonts w:ascii="Book Antiqua" w:eastAsia="Book Antiqua" w:hAnsi="Book Antiqua" w:cs="Book Antiqua"/>
          <w:color w:val="000000"/>
          <w:szCs w:val="22"/>
        </w:rPr>
        <w:t>BMI)</w:t>
      </w:r>
      <w:r>
        <w:rPr>
          <w:rFonts w:ascii="Book Antiqua" w:eastAsia="Book Antiqua" w:hAnsi="Book Antiqua" w:cs="Book Antiqua"/>
          <w:color w:val="000000"/>
        </w:rPr>
        <w:t xml:space="preserve"> and drop in mean estimated glomerular filtration rate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moreover, up to 22.3% developed diabetes mellitus during the follow-up period. While the risk of reduction in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may be lower in kidney donors than in those after nephrectomy after cancer, even careful donor selection cannot fully mitigate the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Therefore, the decision of accepting expanded-criteria donors is still highly individualized through non-specific local criteria and practice pattern, with many aspects of the medical, legal and ethical domains remaining </w:t>
      </w:r>
      <w:proofErr w:type="gramStart"/>
      <w:r>
        <w:rPr>
          <w:rFonts w:ascii="Book Antiqua" w:eastAsia="Book Antiqua" w:hAnsi="Book Antiqua" w:cs="Book Antiqua"/>
          <w:color w:val="000000"/>
        </w:rPr>
        <w:t>uncertain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There is even more uncertainty when it comes to living donors. The approval of “marginal” living donors, a group with relative contraindications, remains a grey zone in many transplant centers. Some of those relative contraindications include donors who are elderly, hypertensive, obese, with a history of malignancy, or potential transmissible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inevitable dilemma of harming donors on the one hand, but saving the lives of kidney failure subjects on the other is a difficult compromise to </w:t>
      </w:r>
      <w:proofErr w:type="gramStart"/>
      <w:r>
        <w:rPr>
          <w:rFonts w:ascii="Book Antiqua" w:eastAsia="Book Antiqua" w:hAnsi="Book Antiqua" w:cs="Book Antiqua"/>
          <w:color w:val="000000"/>
        </w:rPr>
        <w:t>make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Despite the seriousness of the issue, when foreseeing multiple combined relative </w:t>
      </w:r>
      <w:r>
        <w:rPr>
          <w:rFonts w:ascii="Book Antiqua" w:eastAsia="Book Antiqua" w:hAnsi="Book Antiqua" w:cs="Book Antiqua"/>
          <w:color w:val="000000"/>
        </w:rPr>
        <w:lastRenderedPageBreak/>
        <w:t xml:space="preserve">contraindications in living donors, the donor’s and recipient’s outcomes remain pressingly understudied. The aim of current review is to highlight the current state of understanding regarding the risk of ESKD in donors with obesity and </w:t>
      </w:r>
      <w:r w:rsidR="00186E28">
        <w:rPr>
          <w:rFonts w:ascii="Book Antiqua" w:eastAsia="Book Antiqua" w:hAnsi="Book Antiqua" w:cs="Book Antiqua"/>
          <w:color w:val="000000"/>
        </w:rPr>
        <w:t>hypertension (</w:t>
      </w:r>
      <w:r w:rsidR="00186E28">
        <w:rPr>
          <w:rFonts w:ascii="Book Antiqua" w:eastAsia="Book Antiqua" w:hAnsi="Book Antiqua" w:cs="Book Antiqua"/>
          <w:color w:val="000000"/>
          <w:szCs w:val="22"/>
        </w:rPr>
        <w:t>HTN)</w:t>
      </w:r>
      <w:r>
        <w:rPr>
          <w:rFonts w:ascii="Book Antiqua" w:eastAsia="Book Antiqua" w:hAnsi="Book Antiqua" w:cs="Book Antiqua"/>
          <w:color w:val="000000"/>
        </w:rPr>
        <w:t xml:space="preserve"> and need to develop a validated </w:t>
      </w:r>
      <w:r w:rsidR="00F04EE8">
        <w:rPr>
          <w:rFonts w:ascii="Book Antiqua" w:eastAsia="Book Antiqua" w:hAnsi="Book Antiqua" w:cs="Book Antiqua"/>
          <w:color w:val="000000"/>
        </w:rPr>
        <w:t>living kidney donor profile in</w:t>
      </w:r>
      <w:r>
        <w:rPr>
          <w:rFonts w:ascii="Book Antiqua" w:eastAsia="Book Antiqua" w:hAnsi="Book Antiqua" w:cs="Book Antiqua"/>
          <w:color w:val="000000"/>
        </w:rPr>
        <w:t>dex (LKDPI) to mitigate this risk.</w:t>
      </w:r>
    </w:p>
    <w:p w14:paraId="0926D00E" w14:textId="77777777" w:rsidR="00A77B3E" w:rsidRDefault="00A77B3E">
      <w:pPr>
        <w:spacing w:line="360" w:lineRule="auto"/>
        <w:jc w:val="both"/>
      </w:pPr>
    </w:p>
    <w:p w14:paraId="310859DE" w14:textId="77777777" w:rsidR="00A77B3E" w:rsidRDefault="00471120">
      <w:pPr>
        <w:spacing w:line="360" w:lineRule="auto"/>
        <w:jc w:val="both"/>
      </w:pPr>
      <w:r>
        <w:rPr>
          <w:rFonts w:ascii="Book Antiqua" w:eastAsia="Book Antiqua" w:hAnsi="Book Antiqua" w:cs="Book Antiqua"/>
          <w:b/>
          <w:bCs/>
          <w:caps/>
          <w:color w:val="000000"/>
          <w:u w:val="single"/>
        </w:rPr>
        <w:t>Obesity and Living Kidney Donation</w:t>
      </w:r>
    </w:p>
    <w:p w14:paraId="286C56A4" w14:textId="0A6248BF" w:rsidR="00A77B3E" w:rsidRDefault="00471120">
      <w:pPr>
        <w:spacing w:line="360" w:lineRule="auto"/>
        <w:jc w:val="both"/>
      </w:pPr>
      <w:r>
        <w:rPr>
          <w:rFonts w:ascii="Book Antiqua" w:eastAsia="Book Antiqua" w:hAnsi="Book Antiqua" w:cs="Book Antiqua"/>
          <w:color w:val="000000"/>
        </w:rPr>
        <w:t xml:space="preserve">Obesity is considered a worldwide pandemic and disease of the modern post-industrial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Flegal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estimated that between 2013 and 2014, the prevalence of obesity in the United States was 35% among men and 40.4% among women. Up till now, several studies have failed to find a significant difference between obese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non-obese kidney donors as regards health outcomes following donation (Table 1). Rea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found that despite the increase of arterial </w:t>
      </w:r>
      <w:proofErr w:type="spellStart"/>
      <w:r>
        <w:rPr>
          <w:rFonts w:ascii="Book Antiqua" w:eastAsia="Book Antiqua" w:hAnsi="Book Antiqua" w:cs="Book Antiqua"/>
          <w:color w:val="000000"/>
        </w:rPr>
        <w:t>hyalinosis</w:t>
      </w:r>
      <w:proofErr w:type="spellEnd"/>
      <w:r>
        <w:rPr>
          <w:rFonts w:ascii="Book Antiqua" w:eastAsia="Book Antiqua" w:hAnsi="Book Antiqua" w:cs="Book Antiqua"/>
          <w:color w:val="000000"/>
        </w:rPr>
        <w:t xml:space="preserve"> and marked tubular vacuolization noticed in the biopsies of the transplanted kidneys from 553 obese (BMI &gt;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living donors compared to those obtained from the matched non-obese donors, there was no significant difference in the </w:t>
      </w:r>
      <w:proofErr w:type="spellStart"/>
      <w:r>
        <w:rPr>
          <w:rFonts w:ascii="Book Antiqua" w:eastAsia="Book Antiqua" w:hAnsi="Book Antiqua" w:cs="Book Antiqua"/>
          <w:color w:val="000000"/>
        </w:rPr>
        <w:t>iothalamate</w:t>
      </w:r>
      <w:proofErr w:type="spellEnd"/>
      <w:r>
        <w:rPr>
          <w:rFonts w:ascii="Book Antiqua" w:eastAsia="Book Antiqua" w:hAnsi="Book Antiqua" w:cs="Book Antiqua"/>
          <w:color w:val="000000"/>
        </w:rPr>
        <w:t xml:space="preserve"> GFR or </w:t>
      </w:r>
      <w:proofErr w:type="spellStart"/>
      <w:r>
        <w:rPr>
          <w:rFonts w:ascii="Book Antiqua" w:eastAsia="Book Antiqua" w:hAnsi="Book Antiqua" w:cs="Book Antiqua"/>
          <w:color w:val="000000"/>
        </w:rPr>
        <w:t>microalbuminuria</w:t>
      </w:r>
      <w:proofErr w:type="spellEnd"/>
      <w:r>
        <w:rPr>
          <w:rFonts w:ascii="Book Antiqua" w:eastAsia="Book Antiqua" w:hAnsi="Book Antiqua" w:cs="Book Antiqua"/>
          <w:color w:val="000000"/>
        </w:rPr>
        <w:t xml:space="preserve"> between the two groups at the 12-mo</w:t>
      </w:r>
      <w:r w:rsidR="00F04EE8">
        <w:rPr>
          <w:rFonts w:ascii="Book Antiqua" w:eastAsia="Book Antiqua" w:hAnsi="Book Antiqua" w:cs="Book Antiqua"/>
          <w:color w:val="000000"/>
        </w:rPr>
        <w:t xml:space="preserve"> </w:t>
      </w:r>
      <w:r>
        <w:rPr>
          <w:rFonts w:ascii="Book Antiqua" w:eastAsia="Book Antiqua" w:hAnsi="Book Antiqua" w:cs="Book Antiqua"/>
          <w:color w:val="000000"/>
        </w:rPr>
        <w:t xml:space="preserve">mark following donation. Similar results were reported by </w:t>
      </w:r>
      <w:proofErr w:type="spellStart"/>
      <w:r>
        <w:rPr>
          <w:rFonts w:ascii="Book Antiqua" w:eastAsia="Book Antiqua" w:hAnsi="Book Antiqua" w:cs="Book Antiqua"/>
          <w:color w:val="000000"/>
        </w:rPr>
        <w:t>Tavakol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Thukral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Regarding the safety during operation and the incidence of post-operative complications, most of the literature does not show any significant difference between obese and non-obese kidney donors. </w:t>
      </w:r>
      <w:proofErr w:type="spellStart"/>
      <w:r>
        <w:rPr>
          <w:rFonts w:ascii="Book Antiqua" w:eastAsia="Book Antiqua" w:hAnsi="Book Antiqua" w:cs="Book Antiqua"/>
          <w:color w:val="000000"/>
        </w:rPr>
        <w:t>Kerkeni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studied the data of 189 LKD by dividing them according to their BMI into the following groups: overweight (33% with BMI 25-30), moderately obese (21% with BMI &gt;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30), and markedly obese (10.5% with BMI &gt;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No significant difference was found between their BMI and the incidence of perioperative complications. A more recent study conducted by Serrano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reported the outcome of 3752 donor nephrectomies; 17.5% of these were obese donors with BMI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They found that intra-operative time was longer for obese donors; however, there was no difference in intra-operative or postoperative complications. Finally, </w:t>
      </w:r>
      <w:proofErr w:type="spellStart"/>
      <w:r>
        <w:rPr>
          <w:rFonts w:ascii="Book Antiqua" w:eastAsia="Book Antiqua" w:hAnsi="Book Antiqua" w:cs="Book Antiqua"/>
          <w:color w:val="000000"/>
        </w:rPr>
        <w:t>Lafranca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conducted a meta-analysis that included 14 studies comparing the operative outcome and length of hospital stay in </w:t>
      </w:r>
      <w:r>
        <w:rPr>
          <w:rFonts w:ascii="Book Antiqua" w:eastAsia="Book Antiqua" w:hAnsi="Book Antiqua" w:cs="Book Antiqua"/>
          <w:color w:val="000000"/>
        </w:rPr>
        <w:lastRenderedPageBreak/>
        <w:t>about 6000 LKDs who underwent laparoscopic donor nephrectomy. They divided the patients according to their BMI into high and low BMI groups with the cutoff value at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Overall, the meta-analysis showed no significant difference between the two groups regarding the duration of the operation, the incidence of conversion to open surgery, warm ischemia duration, estimated blood loss, length of hospital stay after the procedure or the amount of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-operative complications, such as bleeding, wound complications, urinary tract infections, reoperation or readmission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It is to be noted, however, that all the aforementioned studies had a short follow-up period of up to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and none of them addressed the possible long-term complications for the obese donors after a single nephrectomy. In light of donor shortage, various centers have considered accepting candidates with BMI &gt; 30 kg/</w:t>
      </w:r>
      <w:proofErr w:type="gramStart"/>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5F44A5DF" w14:textId="2B534EB5" w:rsidR="00A77B3E" w:rsidRDefault="00471120" w:rsidP="00F04EE8">
      <w:pPr>
        <w:spacing w:line="360" w:lineRule="auto"/>
        <w:ind w:firstLineChars="100" w:firstLine="240"/>
        <w:jc w:val="both"/>
      </w:pPr>
      <w:r>
        <w:rPr>
          <w:rFonts w:ascii="Book Antiqua" w:eastAsia="Book Antiqua" w:hAnsi="Book Antiqua" w:cs="Book Antiqua"/>
          <w:color w:val="000000"/>
        </w:rPr>
        <w:t xml:space="preserve">From a different perspective, the association between obesity and the development and progression of chronic kidney disease has been demonstrated in numerous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xml:space="preserve">. Higher BMI was shown to be directly related to the presence and deterioration of proteinuria in individuals without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F04EE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It is also considered an independent risk factor for the development of </w:t>
      </w:r>
      <w:proofErr w:type="gramStart"/>
      <w:r>
        <w:rPr>
          <w:rFonts w:ascii="Book Antiqua" w:eastAsia="Book Antiqua" w:hAnsi="Book Antiqua" w:cs="Book Antiqua"/>
          <w:color w:val="000000"/>
        </w:rPr>
        <w:t>ESKD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Addressing the long-term outcome, </w:t>
      </w:r>
      <w:proofErr w:type="spellStart"/>
      <w:r>
        <w:rPr>
          <w:rFonts w:ascii="Book Antiqua" w:eastAsia="Book Antiqua" w:hAnsi="Book Antiqua" w:cs="Book Antiqua"/>
          <w:color w:val="000000"/>
        </w:rPr>
        <w:t>Praga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have studied the effects of unilateral nephrectomy after a mean of 13.6 </w:t>
      </w:r>
      <w:r w:rsidR="00F04EE8" w:rsidRPr="00F04EE8">
        <w:rPr>
          <w:rFonts w:ascii="Book Antiqua" w:eastAsia="Book Antiqua" w:hAnsi="Book Antiqua" w:cs="Book Antiqua"/>
          <w:color w:val="000000"/>
        </w:rPr>
        <w:t>±</w:t>
      </w:r>
      <w:r>
        <w:rPr>
          <w:rFonts w:ascii="Book Antiqua" w:eastAsia="Book Antiqua" w:hAnsi="Book Antiqua" w:cs="Book Antiqua"/>
          <w:color w:val="000000"/>
        </w:rPr>
        <w:t xml:space="preserve"> 8.6 years. Patient with higher BMI (31.6 ±</w:t>
      </w:r>
      <w:r w:rsidR="00F04EE8">
        <w:rPr>
          <w:rFonts w:ascii="Book Antiqua" w:eastAsia="Book Antiqua" w:hAnsi="Book Antiqua" w:cs="Book Antiqua"/>
          <w:color w:val="000000"/>
        </w:rPr>
        <w:t xml:space="preserve"> </w:t>
      </w:r>
      <w:r>
        <w:rPr>
          <w:rFonts w:ascii="Book Antiqua" w:eastAsia="Book Antiqua" w:hAnsi="Book Antiqua" w:cs="Book Antiqua"/>
          <w:color w:val="000000"/>
        </w:rPr>
        <w:t>5.6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had a greater risk for the development of proteinuria and kidney insufficiency, with proteinuria appearing after 10.1</w:t>
      </w:r>
      <w:r w:rsidR="00F04EE8">
        <w:rPr>
          <w:rFonts w:ascii="Book Antiqua" w:eastAsia="Book Antiqua" w:hAnsi="Book Antiqua" w:cs="Book Antiqua"/>
          <w:color w:val="000000"/>
        </w:rPr>
        <w:t xml:space="preserve"> </w:t>
      </w:r>
      <w:r w:rsidRPr="00F04EE8">
        <w:rPr>
          <w:rFonts w:ascii="Book Antiqua" w:eastAsia="Book Antiqua" w:hAnsi="Book Antiqua" w:cs="Book Antiqua"/>
          <w:color w:val="000000"/>
        </w:rPr>
        <w: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 xml:space="preserve">6.1 years of donation. The onset of kidney insufficiency was 4.1 </w:t>
      </w:r>
      <w:r w:rsidR="00F04EE8" w:rsidRPr="00F04EE8">
        <w:rPr>
          <w:rFonts w:ascii="Book Antiqua" w:eastAsia="Book Antiqua" w:hAnsi="Book Antiqua" w:cs="Book Antiqua"/>
          <w:color w:val="000000"/>
        </w:rPr>
        <w: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 xml:space="preserve">4.3 years after the appearance of </w:t>
      </w:r>
      <w:proofErr w:type="gramStart"/>
      <w:r>
        <w:rPr>
          <w:rFonts w:ascii="Book Antiqua" w:eastAsia="Book Antiqua" w:hAnsi="Book Antiqua" w:cs="Book Antiqua"/>
          <w:color w:val="000000"/>
        </w:rPr>
        <w:t>proteinuria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Mirroring these results, </w:t>
      </w:r>
      <w:proofErr w:type="spellStart"/>
      <w:r>
        <w:rPr>
          <w:rFonts w:ascii="Book Antiqua" w:eastAsia="Book Antiqua" w:hAnsi="Book Antiqua" w:cs="Book Antiqua"/>
          <w:color w:val="000000"/>
        </w:rPr>
        <w:t>Nogueira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found a significant relationship between increasing BMI and the rate of kidney insufficiency after kidney donation. African American kidney donors with BMI ≥</w:t>
      </w:r>
      <w:r w:rsidR="00F04EE8">
        <w:rPr>
          <w:rFonts w:ascii="Book Antiqua" w:eastAsia="Book Antiqua" w:hAnsi="Book Antiqua" w:cs="Book Antiqua"/>
          <w:color w:val="000000"/>
        </w:rPr>
        <w:t xml:space="preserve"> </w:t>
      </w:r>
      <w:r>
        <w:rPr>
          <w:rFonts w:ascii="Book Antiqua" w:eastAsia="Book Antiqua" w:hAnsi="Book Antiqua" w:cs="Book Antiqua"/>
          <w:color w:val="000000"/>
        </w:rPr>
        <w:t>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had the highest rate of losing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at a mean follow-up of 7.1 years. While the International Forum for the Care of the Live Kidney Donor advised that accepting obese candidates as potential kidney donors should be individualized according to acute and long-term risks, they still discourage donations from those with BMI &gt; 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recommend weight loss prior to </w:t>
      </w:r>
      <w:proofErr w:type="gramStart"/>
      <w:r>
        <w:rPr>
          <w:rFonts w:ascii="Book Antiqua" w:eastAsia="Book Antiqua" w:hAnsi="Book Antiqua" w:cs="Book Antiqua"/>
          <w:color w:val="000000"/>
        </w:rPr>
        <w:t>donation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This practice was also adopted by the KDIGO Clinical Practice Guideline on the Evaluation and Care of </w:t>
      </w:r>
      <w:proofErr w:type="gramStart"/>
      <w:r>
        <w:rPr>
          <w:rFonts w:ascii="Book Antiqua" w:eastAsia="Book Antiqua" w:hAnsi="Book Antiqua" w:cs="Book Antiqua"/>
          <w:color w:val="000000"/>
        </w:rPr>
        <w:t>LKD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Neither the </w:t>
      </w:r>
      <w:r>
        <w:rPr>
          <w:rFonts w:ascii="Book Antiqua" w:eastAsia="Book Antiqua" w:hAnsi="Book Antiqua" w:cs="Book Antiqua"/>
          <w:color w:val="000000"/>
        </w:rPr>
        <w:lastRenderedPageBreak/>
        <w:t xml:space="preserve">Canadian nor the European Association of Urology provides any recommendations for the acceptance of obese candidates as potential kidney </w:t>
      </w:r>
      <w:proofErr w:type="gramStart"/>
      <w:r>
        <w:rPr>
          <w:rFonts w:ascii="Book Antiqua" w:eastAsia="Book Antiqua" w:hAnsi="Book Antiqua" w:cs="Book Antiqua"/>
          <w:color w:val="000000"/>
        </w:rPr>
        <w:t>donors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679C431C" w14:textId="77777777" w:rsidR="00A77B3E" w:rsidRDefault="00A77B3E">
      <w:pPr>
        <w:spacing w:line="360" w:lineRule="auto"/>
        <w:jc w:val="both"/>
      </w:pPr>
    </w:p>
    <w:p w14:paraId="70C786F9" w14:textId="66D4B36E" w:rsidR="00A77B3E" w:rsidRDefault="00F04EE8">
      <w:pPr>
        <w:spacing w:line="360" w:lineRule="auto"/>
        <w:jc w:val="both"/>
      </w:pPr>
      <w:r w:rsidRPr="00F04EE8">
        <w:rPr>
          <w:rFonts w:ascii="Book Antiqua" w:eastAsia="Book Antiqua" w:hAnsi="Book Antiqua" w:cs="Book Antiqua"/>
          <w:b/>
          <w:bCs/>
          <w:caps/>
          <w:color w:val="000000"/>
          <w:u w:val="single"/>
        </w:rPr>
        <w:t>HTN</w:t>
      </w:r>
      <w:r w:rsidR="00471120">
        <w:rPr>
          <w:rFonts w:ascii="Book Antiqua" w:eastAsia="Book Antiqua" w:hAnsi="Book Antiqua" w:cs="Book Antiqua"/>
          <w:b/>
          <w:bCs/>
          <w:caps/>
          <w:color w:val="000000"/>
          <w:u w:val="single"/>
        </w:rPr>
        <w:t xml:space="preserve"> and Living Kidney Donation</w:t>
      </w:r>
    </w:p>
    <w:p w14:paraId="3191FDB0" w14:textId="307C64CB" w:rsidR="00A77B3E" w:rsidRDefault="00471120" w:rsidP="00F04EE8">
      <w:pPr>
        <w:spacing w:line="360" w:lineRule="auto"/>
        <w:jc w:val="both"/>
      </w:pPr>
      <w:r>
        <w:rPr>
          <w:rFonts w:ascii="Book Antiqua" w:eastAsia="Book Antiqua" w:hAnsi="Book Antiqua" w:cs="Book Antiqua"/>
          <w:color w:val="000000"/>
        </w:rPr>
        <w:t xml:space="preserve">Currently, </w:t>
      </w:r>
      <w:r>
        <w:rPr>
          <w:rFonts w:ascii="Book Antiqua" w:eastAsia="Book Antiqua" w:hAnsi="Book Antiqua" w:cs="Book Antiqua"/>
          <w:color w:val="000000"/>
          <w:szCs w:val="22"/>
        </w:rPr>
        <w:t xml:space="preserve">HTN </w:t>
      </w:r>
      <w:r>
        <w:rPr>
          <w:rFonts w:ascii="Book Antiqua" w:eastAsia="Book Antiqua" w:hAnsi="Book Antiqua" w:cs="Book Antiqua"/>
          <w:color w:val="000000"/>
        </w:rPr>
        <w:t xml:space="preserve">is not considered an absolute contraindication for kidney donation and related studies show no significant difference in outcome between </w:t>
      </w:r>
      <w:proofErr w:type="spellStart"/>
      <w:r>
        <w:rPr>
          <w:rFonts w:ascii="Book Antiqua" w:eastAsia="Book Antiqua" w:hAnsi="Book Antiqua" w:cs="Book Antiqua"/>
          <w:color w:val="000000"/>
        </w:rPr>
        <w:t>normo-tensive</w:t>
      </w:r>
      <w:proofErr w:type="spellEnd"/>
      <w:r>
        <w:rPr>
          <w:rFonts w:ascii="Book Antiqua" w:eastAsia="Book Antiqua" w:hAnsi="Book Antiqua" w:cs="Book Antiqua"/>
          <w:color w:val="000000"/>
        </w:rPr>
        <w:t xml:space="preserve"> donors and those with blood pressure levels of 140/90 mmHg and normal kidney function (Table 1)</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decision for donation should be made according to the manageability of HTN, the presence of other co-morbidities, and the overall health of the </w:t>
      </w:r>
      <w:proofErr w:type="gramStart"/>
      <w:r>
        <w:rPr>
          <w:rFonts w:ascii="Book Antiqua" w:eastAsia="Book Antiqua" w:hAnsi="Book Antiqua" w:cs="Book Antiqua"/>
          <w:color w:val="000000"/>
        </w:rPr>
        <w:t>LKD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most recent KDOQI US Commentary of the KDIGO Clinical Practice Guideline on the Evaluation and Care of LKD states that donors with HTN that can be controlled with one or two medications to &lt; 140/90 mmHg and without end-organ damage could be considered for </w:t>
      </w:r>
      <w:proofErr w:type="gramStart"/>
      <w:r>
        <w:rPr>
          <w:rFonts w:ascii="Book Antiqua" w:eastAsia="Book Antiqua" w:hAnsi="Book Antiqua" w:cs="Book Antiqua"/>
          <w:color w:val="000000"/>
        </w:rPr>
        <w:t>LKD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48BE0CE6" w14:textId="4F837ED6" w:rsidR="00A77B3E" w:rsidRDefault="00471120" w:rsidP="00F04EE8">
      <w:pPr>
        <w:spacing w:line="360" w:lineRule="auto"/>
        <w:ind w:firstLineChars="100" w:firstLine="240"/>
        <w:jc w:val="both"/>
      </w:pPr>
      <w:r>
        <w:rPr>
          <w:rFonts w:ascii="Book Antiqua" w:eastAsia="Book Antiqua" w:hAnsi="Book Antiqua" w:cs="Book Antiqua"/>
          <w:color w:val="000000"/>
        </w:rPr>
        <w:t xml:space="preserve">However, pre-donation </w:t>
      </w:r>
      <w:r>
        <w:rPr>
          <w:rFonts w:ascii="Book Antiqua" w:eastAsia="Book Antiqua" w:hAnsi="Book Antiqua" w:cs="Book Antiqua"/>
          <w:color w:val="000000"/>
          <w:szCs w:val="22"/>
        </w:rPr>
        <w:t>HTN</w:t>
      </w:r>
      <w:r>
        <w:rPr>
          <w:rFonts w:ascii="Book Antiqua" w:eastAsia="Book Antiqua" w:hAnsi="Book Antiqua" w:cs="Book Antiqua"/>
          <w:color w:val="000000"/>
        </w:rPr>
        <w:t xml:space="preserve"> still carries a significant risk for the LKD when considering long-term outcomes. A recent study drawing on data from the Medicare and Medicaid Services databases for the period </w:t>
      </w:r>
      <w:proofErr w:type="gramStart"/>
      <w:r>
        <w:rPr>
          <w:rFonts w:ascii="Book Antiqua" w:eastAsia="Book Antiqua" w:hAnsi="Book Antiqua" w:cs="Book Antiqua"/>
          <w:color w:val="000000"/>
        </w:rPr>
        <w:t>between 1999 to 2016</w:t>
      </w:r>
      <w:proofErr w:type="gramEnd"/>
      <w:r>
        <w:rPr>
          <w:rFonts w:ascii="Book Antiqua" w:eastAsia="Book Antiqua" w:hAnsi="Book Antiqua" w:cs="Book Antiqua"/>
          <w:color w:val="000000"/>
        </w:rPr>
        <w:t xml:space="preserve"> has analyzed 24533 donors, including 2265 with pre-donation HTN. The risk of ESKD was 6.21-fold higher for donors undergoing antihypertensive therapy even with controlled pre-donation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Also, in kidney transplant recipients, HTN has been shown to be a significant risk factor for the development of delayed graft function and even graft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Mustian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analyzed the odds for causes of non-approval in LKD candidates in a single-center database between 2012 and 2017 and found out that donor HTN was associated with four-fold increase in odds of non-approval, with every 10-mm Hg increase in systolic blood pressure resulting in 30% increase odds of non-approval. Theoretically, the combination of HTN and obesity in LKD candidates carries significant short- and long-term risks and potential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HTN and obesity embodies two of the four main components of metabolic syndrome and is most concerning when present in LKD donors with minimal kidney </w:t>
      </w:r>
      <w:proofErr w:type="gramStart"/>
      <w:r>
        <w:rPr>
          <w:rFonts w:ascii="Book Antiqua" w:eastAsia="Book Antiqua" w:hAnsi="Book Antiqua" w:cs="Book Antiqua"/>
          <w:color w:val="000000"/>
        </w:rPr>
        <w:t>reserve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Various transplant centers have a lower threshold to exclude obese, hypertensive </w:t>
      </w:r>
      <w:proofErr w:type="gramStart"/>
      <w:r>
        <w:rPr>
          <w:rFonts w:ascii="Book Antiqua" w:eastAsia="Book Antiqua" w:hAnsi="Book Antiqua" w:cs="Book Antiqua"/>
          <w:color w:val="000000"/>
        </w:rPr>
        <w:t>donors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British guidelines recommend that overweight or obese candidates should be otherwise healthy to be considered for kidney </w:t>
      </w:r>
      <w:proofErr w:type="gramStart"/>
      <w:r>
        <w:rPr>
          <w:rFonts w:ascii="Book Antiqua" w:eastAsia="Book Antiqua" w:hAnsi="Book Antiqua" w:cs="Book Antiqua"/>
          <w:color w:val="000000"/>
        </w:rPr>
        <w:t>donations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Also, the Kidney Health Australia</w:t>
      </w:r>
      <w:r w:rsidR="00F04EE8">
        <w:rPr>
          <w:rFonts w:ascii="Book Antiqua" w:eastAsia="Book Antiqua" w:hAnsi="Book Antiqua" w:cs="Book Antiqua"/>
          <w:color w:val="000000"/>
        </w:rPr>
        <w:t>-</w:t>
      </w:r>
      <w:r>
        <w:rPr>
          <w:rFonts w:ascii="Book Antiqua" w:eastAsia="Book Antiqua" w:hAnsi="Book Antiqua" w:cs="Book Antiqua"/>
          <w:color w:val="000000"/>
        </w:rPr>
        <w:t>Caring for Australasians with Renal Impairment (KHA-CARI)</w:t>
      </w:r>
      <w:r w:rsidR="00F04EE8">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adopt similar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Our own preliminary experience, presented in plenary session as oral presentation at the 2020 American Transplant Congress in Philadelphia, PA suggested the concurrent HTN and obesity have major and additive adverse impact on compensatory GFR rise in living donors over 5 years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At this time, there is no scoring system or criteria to evaluate the </w:t>
      </w:r>
      <w:r w:rsidR="00186E28">
        <w:rPr>
          <w:rFonts w:ascii="Book Antiqua" w:eastAsia="Book Antiqua" w:hAnsi="Book Antiqua" w:cs="Book Antiqua"/>
          <w:color w:val="000000"/>
        </w:rPr>
        <w:t xml:space="preserve">living </w:t>
      </w:r>
      <w:proofErr w:type="gramStart"/>
      <w:r w:rsidR="00186E28">
        <w:rPr>
          <w:rFonts w:ascii="Book Antiqua" w:eastAsia="Book Antiqua" w:hAnsi="Book Antiqua" w:cs="Book Antiqua"/>
          <w:color w:val="000000"/>
        </w:rPr>
        <w:t>donors</w:t>
      </w:r>
      <w:proofErr w:type="gramEnd"/>
      <w:r>
        <w:rPr>
          <w:rFonts w:ascii="Book Antiqua" w:eastAsia="Book Antiqua" w:hAnsi="Book Antiqua" w:cs="Book Antiqua"/>
          <w:color w:val="000000"/>
        </w:rPr>
        <w:t xml:space="preserve"> long-term outcome. Recently, </w:t>
      </w:r>
      <w:proofErr w:type="spellStart"/>
      <w:r>
        <w:rPr>
          <w:rFonts w:ascii="Book Antiqua" w:eastAsia="Book Antiqua" w:hAnsi="Book Antiqua" w:cs="Book Antiqua"/>
          <w:color w:val="000000"/>
        </w:rPr>
        <w:t>Shantier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demonstrated that LKDPI modestly predicts graft survival in 645 donors in Canadian cohort, but these results need external validation. Perhaps the time is ripe to formulate a risk profile index suited to assess medium and long-term outcomes in those potential LKD with less-than-ideal health status, to enable truly informed consent for the potential donors and their families. For now, nonetheless, the nagging question remains </w:t>
      </w:r>
      <w:r w:rsidR="00F04EE8" w:rsidRPr="00F04EE8">
        <w:rPr>
          <w:rFonts w:ascii="Book Antiqua" w:hAnsi="Book Antiqua" w:cs="Book Antiqua"/>
          <w:color w:val="000000"/>
          <w:lang w:eastAsia="zh-CN"/>
        </w:rPr>
        <w:t>—</w:t>
      </w:r>
      <w:r>
        <w:rPr>
          <w:rFonts w:ascii="Book Antiqua" w:eastAsia="Book Antiqua" w:hAnsi="Book Antiqua" w:cs="Book Antiqua"/>
          <w:color w:val="000000"/>
        </w:rPr>
        <w:t xml:space="preserve"> are we turning short-term saviors into long-term victims? Living donor safety is an ultimate goal in kidney transplantation. Some data indicate that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and liver surgeons decline potential living liver donors suffering of </w:t>
      </w:r>
      <w:proofErr w:type="spellStart"/>
      <w:proofErr w:type="gramStart"/>
      <w:r>
        <w:rPr>
          <w:rFonts w:ascii="Book Antiqua" w:eastAsia="Book Antiqua" w:hAnsi="Book Antiqua" w:cs="Book Antiqua"/>
          <w:color w:val="000000"/>
        </w:rPr>
        <w:t>steatohepatitis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Along those lines, </w:t>
      </w:r>
      <w:r w:rsidR="00F04EE8">
        <w:rPr>
          <w:rFonts w:ascii="Book Antiqua" w:eastAsia="Book Antiqua" w:hAnsi="Book Antiqua" w:cs="Book Antiqua"/>
          <w:color w:val="000000"/>
          <w:szCs w:val="22"/>
        </w:rPr>
        <w:t>HTN</w:t>
      </w:r>
      <w:r>
        <w:rPr>
          <w:rFonts w:ascii="Book Antiqua" w:eastAsia="Book Antiqua" w:hAnsi="Book Antiqua" w:cs="Book Antiqua"/>
          <w:color w:val="000000"/>
        </w:rPr>
        <w:t xml:space="preserve"> and obesity are risk factors for CKD progression and other comorbidities. Setting clear cut-off values for BMI and blood pressure limits, translated into guidelines, to turn down kidney donors is a serious issue that merits serious consideration.</w:t>
      </w:r>
    </w:p>
    <w:p w14:paraId="3E01A3BA" w14:textId="77777777" w:rsidR="00A77B3E" w:rsidRDefault="00A77B3E">
      <w:pPr>
        <w:spacing w:line="360" w:lineRule="auto"/>
        <w:jc w:val="both"/>
      </w:pPr>
    </w:p>
    <w:p w14:paraId="5FF2FE0B" w14:textId="77777777" w:rsidR="00A77B3E" w:rsidRDefault="00471120">
      <w:pPr>
        <w:spacing w:line="360" w:lineRule="auto"/>
        <w:jc w:val="both"/>
      </w:pPr>
      <w:r>
        <w:rPr>
          <w:rFonts w:ascii="Book Antiqua" w:eastAsia="Book Antiqua" w:hAnsi="Book Antiqua" w:cs="Book Antiqua"/>
          <w:b/>
          <w:caps/>
          <w:color w:val="000000"/>
          <w:u w:val="single"/>
        </w:rPr>
        <w:t>CONCLUSION</w:t>
      </w:r>
    </w:p>
    <w:p w14:paraId="0808E648" w14:textId="435F1B44" w:rsidR="00A77B3E" w:rsidRDefault="00471120">
      <w:pPr>
        <w:spacing w:line="360" w:lineRule="auto"/>
        <w:jc w:val="both"/>
      </w:pPr>
      <w:r>
        <w:rPr>
          <w:rFonts w:ascii="Book Antiqua" w:eastAsia="Book Antiqua" w:hAnsi="Book Antiqua" w:cs="Book Antiqua"/>
          <w:color w:val="000000"/>
        </w:rPr>
        <w:t xml:space="preserve">In summary, donor’s safety is an ultimate goal in living kidney transplantation. Some data indicate that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and liver surgeons decline potential living liver donors suffering from </w:t>
      </w:r>
      <w:proofErr w:type="spellStart"/>
      <w:proofErr w:type="gramStart"/>
      <w:r>
        <w:rPr>
          <w:rFonts w:ascii="Book Antiqua" w:eastAsia="Book Antiqua" w:hAnsi="Book Antiqua" w:cs="Book Antiqua"/>
          <w:color w:val="000000"/>
        </w:rPr>
        <w:t>steatohepatitis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Along those lines, </w:t>
      </w:r>
      <w:r w:rsidR="00F04EE8">
        <w:rPr>
          <w:rFonts w:ascii="Book Antiqua" w:eastAsia="Book Antiqua" w:hAnsi="Book Antiqua" w:cs="Book Antiqua"/>
          <w:color w:val="000000"/>
          <w:szCs w:val="22"/>
        </w:rPr>
        <w:t>HTN</w:t>
      </w:r>
      <w:r>
        <w:rPr>
          <w:rFonts w:ascii="Book Antiqua" w:eastAsia="Book Antiqua" w:hAnsi="Book Antiqua" w:cs="Book Antiqua"/>
          <w:color w:val="000000"/>
        </w:rPr>
        <w:t xml:space="preserve"> and obesity are risk factors for CKD progression and other comorbidities. The knowledge is still evolving about the long-term outcomes and complications of accepting kidney donors with pre-donation </w:t>
      </w:r>
      <w:r>
        <w:rPr>
          <w:rFonts w:ascii="Book Antiqua" w:eastAsia="Book Antiqua" w:hAnsi="Book Antiqua" w:cs="Book Antiqua"/>
          <w:color w:val="000000"/>
          <w:szCs w:val="22"/>
        </w:rPr>
        <w:t>HTN</w:t>
      </w:r>
      <w:r>
        <w:rPr>
          <w:rFonts w:ascii="Book Antiqua" w:eastAsia="Book Antiqua" w:hAnsi="Book Antiqua" w:cs="Book Antiqua"/>
          <w:color w:val="000000"/>
        </w:rPr>
        <w:t xml:space="preserve"> and high BMI, both with regard to the donors’ and recipients’ sides. The urge to minimize the gap between the number of donors and candidates on the kidney </w:t>
      </w:r>
      <w:r>
        <w:rPr>
          <w:rFonts w:ascii="Book Antiqua" w:eastAsia="Book Antiqua" w:hAnsi="Book Antiqua" w:cs="Book Antiqua"/>
          <w:color w:val="000000"/>
        </w:rPr>
        <w:lastRenderedPageBreak/>
        <w:t>transplant waitlist has led to a tendency to utilize more medically complex marginal living donors while we are lacking standardized assessment of the risks for these subjects. Setting clear cut-off values for BMI and blood pressure limits, translated into guidelines, to turn down kidney donors is a serious issue that merits serious consideration.</w:t>
      </w:r>
      <w:r>
        <w:rPr>
          <w:rFonts w:ascii="Book Antiqua" w:eastAsia="Book Antiqua" w:hAnsi="Book Antiqua" w:cs="Book Antiqua"/>
          <w:color w:val="000000"/>
          <w:szCs w:val="22"/>
          <w:shd w:val="clear" w:color="auto" w:fill="F9FAFB"/>
        </w:rPr>
        <w:t xml:space="preserve"> </w:t>
      </w:r>
      <w:r>
        <w:rPr>
          <w:rFonts w:ascii="Book Antiqua" w:eastAsia="Book Antiqua" w:hAnsi="Book Antiqua" w:cs="Book Antiqua"/>
          <w:color w:val="000000"/>
        </w:rPr>
        <w:t>Future research should be focused on the assessment of the only expandable pool of candidates, those with living donation.</w:t>
      </w:r>
    </w:p>
    <w:p w14:paraId="58771C6A" w14:textId="77777777" w:rsidR="00A77B3E" w:rsidRDefault="00A77B3E">
      <w:pPr>
        <w:spacing w:line="360" w:lineRule="auto"/>
        <w:jc w:val="both"/>
      </w:pPr>
    </w:p>
    <w:p w14:paraId="6C89FA8D" w14:textId="77777777" w:rsidR="00A77B3E" w:rsidRDefault="00471120">
      <w:pPr>
        <w:spacing w:line="360" w:lineRule="auto"/>
        <w:jc w:val="both"/>
      </w:pPr>
      <w:r>
        <w:rPr>
          <w:rFonts w:ascii="Book Antiqua" w:eastAsia="Book Antiqua" w:hAnsi="Book Antiqua" w:cs="Book Antiqua"/>
          <w:b/>
          <w:caps/>
          <w:color w:val="000000"/>
          <w:u w:val="single"/>
        </w:rPr>
        <w:t>ACKNOWLEDGEMENTS</w:t>
      </w:r>
    </w:p>
    <w:p w14:paraId="22E33343" w14:textId="23F1A2AC" w:rsidR="00A77B3E" w:rsidRDefault="00471120">
      <w:pPr>
        <w:spacing w:line="360" w:lineRule="auto"/>
        <w:jc w:val="both"/>
      </w:pPr>
      <w:r>
        <w:rPr>
          <w:rFonts w:ascii="Book Antiqua" w:eastAsia="Book Antiqua" w:hAnsi="Book Antiqua" w:cs="Book Antiqua"/>
          <w:color w:val="000000"/>
        </w:rPr>
        <w:t xml:space="preserve">We sincerely appreciated the assistance of Mr. </w:t>
      </w:r>
      <w:proofErr w:type="spellStart"/>
      <w:r>
        <w:rPr>
          <w:rFonts w:ascii="Book Antiqua" w:eastAsia="Book Antiqua" w:hAnsi="Book Antiqua" w:cs="Book Antiqua"/>
          <w:color w:val="000000"/>
        </w:rPr>
        <w:t>Lénárt-Muszka</w:t>
      </w:r>
      <w:proofErr w:type="spellEnd"/>
      <w:r>
        <w:rPr>
          <w:rFonts w:ascii="Book Antiqua" w:eastAsia="Book Antiqua" w:hAnsi="Book Antiqua" w:cs="Book Antiqua"/>
          <w:color w:val="000000"/>
        </w:rPr>
        <w:t xml:space="preserve"> </w:t>
      </w:r>
      <w:r w:rsidR="00F04EE8">
        <w:rPr>
          <w:rFonts w:ascii="Book Antiqua" w:eastAsia="Book Antiqua" w:hAnsi="Book Antiqua" w:cs="Book Antiqua"/>
          <w:color w:val="000000"/>
        </w:rPr>
        <w:t xml:space="preserve">A </w:t>
      </w:r>
      <w:r>
        <w:rPr>
          <w:rFonts w:ascii="Book Antiqua" w:eastAsia="Book Antiqua" w:hAnsi="Book Antiqua" w:cs="Book Antiqua"/>
          <w:color w:val="000000"/>
        </w:rPr>
        <w:t>during editing and grammar review.</w:t>
      </w:r>
    </w:p>
    <w:p w14:paraId="01324E7C" w14:textId="77777777" w:rsidR="00A77B3E" w:rsidRDefault="00A77B3E">
      <w:pPr>
        <w:spacing w:line="360" w:lineRule="auto"/>
        <w:jc w:val="both"/>
      </w:pPr>
    </w:p>
    <w:p w14:paraId="01F9A6EB" w14:textId="77777777" w:rsidR="00A77B3E" w:rsidRDefault="00471120">
      <w:pPr>
        <w:spacing w:line="360" w:lineRule="auto"/>
        <w:jc w:val="both"/>
      </w:pPr>
      <w:r>
        <w:rPr>
          <w:rFonts w:ascii="Book Antiqua" w:eastAsia="Book Antiqua" w:hAnsi="Book Antiqua" w:cs="Book Antiqua"/>
          <w:b/>
          <w:color w:val="000000"/>
        </w:rPr>
        <w:t>REFERENCES</w:t>
      </w:r>
    </w:p>
    <w:p w14:paraId="61853DDE" w14:textId="77777777" w:rsidR="00A77B3E" w:rsidRDefault="0047112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Saran R</w:t>
      </w:r>
      <w:r>
        <w:rPr>
          <w:rFonts w:ascii="Book Antiqua" w:eastAsia="Book Antiqua" w:hAnsi="Book Antiqua" w:cs="Book Antiqua"/>
          <w:color w:val="000000"/>
        </w:rPr>
        <w:t xml:space="preserve">, Robinson B, Abbott KC,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w:t>
      </w:r>
      <w:proofErr w:type="spellStart"/>
      <w:r>
        <w:rPr>
          <w:rFonts w:ascii="Book Antiqua" w:eastAsia="Book Antiqua" w:hAnsi="Book Antiqua" w:cs="Book Antiqua"/>
          <w:color w:val="000000"/>
        </w:rPr>
        <w:t>Albertus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Ayanian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Balkrishnan</w:t>
      </w:r>
      <w:proofErr w:type="spellEnd"/>
      <w:r>
        <w:rPr>
          <w:rFonts w:ascii="Book Antiqua" w:eastAsia="Book Antiqua" w:hAnsi="Book Antiqua" w:cs="Book Antiqua"/>
          <w:color w:val="000000"/>
        </w:rPr>
        <w:t xml:space="preserve"> R, Bragg-Gresham J, Cao J, Chen JL, Cope E, </w:t>
      </w:r>
      <w:proofErr w:type="spellStart"/>
      <w:r>
        <w:rPr>
          <w:rFonts w:ascii="Book Antiqua" w:eastAsia="Book Antiqua" w:hAnsi="Book Antiqua" w:cs="Book Antiqua"/>
          <w:color w:val="000000"/>
        </w:rPr>
        <w:t>Dharmarajan</w:t>
      </w:r>
      <w:proofErr w:type="spellEnd"/>
      <w:r>
        <w:rPr>
          <w:rFonts w:ascii="Book Antiqua" w:eastAsia="Book Antiqua" w:hAnsi="Book Antiqua" w:cs="Book Antiqua"/>
          <w:color w:val="000000"/>
        </w:rPr>
        <w:t xml:space="preserve"> S, Dietrich X, </w:t>
      </w:r>
      <w:proofErr w:type="spellStart"/>
      <w:r>
        <w:rPr>
          <w:rFonts w:ascii="Book Antiqua" w:eastAsia="Book Antiqua" w:hAnsi="Book Antiqua" w:cs="Book Antiqua"/>
          <w:color w:val="000000"/>
        </w:rPr>
        <w:t>Eckard</w:t>
      </w:r>
      <w:proofErr w:type="spellEnd"/>
      <w:r>
        <w:rPr>
          <w:rFonts w:ascii="Book Antiqua" w:eastAsia="Book Antiqua" w:hAnsi="Book Antiqua" w:cs="Book Antiqua"/>
          <w:color w:val="000000"/>
        </w:rPr>
        <w:t xml:space="preserve"> A, Eggers PW, </w:t>
      </w:r>
      <w:proofErr w:type="spellStart"/>
      <w:r>
        <w:rPr>
          <w:rFonts w:ascii="Book Antiqua" w:eastAsia="Book Antiqua" w:hAnsi="Book Antiqua" w:cs="Book Antiqua"/>
          <w:color w:val="000000"/>
        </w:rPr>
        <w:t>Gaber</w:t>
      </w:r>
      <w:proofErr w:type="spellEnd"/>
      <w:r>
        <w:rPr>
          <w:rFonts w:ascii="Book Antiqua" w:eastAsia="Book Antiqua" w:hAnsi="Book Antiqua" w:cs="Book Antiqua"/>
          <w:color w:val="000000"/>
        </w:rPr>
        <w:t xml:space="preserve"> C, Gillen D, Gipson D,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Hailpern</w:t>
      </w:r>
      <w:proofErr w:type="spellEnd"/>
      <w:r>
        <w:rPr>
          <w:rFonts w:ascii="Book Antiqua" w:eastAsia="Book Antiqua" w:hAnsi="Book Antiqua" w:cs="Book Antiqua"/>
          <w:color w:val="000000"/>
        </w:rPr>
        <w:t xml:space="preserve"> SM, Hall YN, Han Y, He K, Hebert H, </w:t>
      </w:r>
      <w:proofErr w:type="spellStart"/>
      <w:r>
        <w:rPr>
          <w:rFonts w:ascii="Book Antiqua" w:eastAsia="Book Antiqua" w:hAnsi="Book Antiqua" w:cs="Book Antiqua"/>
          <w:color w:val="000000"/>
        </w:rPr>
        <w:t>Helmuth</w:t>
      </w:r>
      <w:proofErr w:type="spellEnd"/>
      <w:r>
        <w:rPr>
          <w:rFonts w:ascii="Book Antiqua" w:eastAsia="Book Antiqua" w:hAnsi="Book Antiqua" w:cs="Book Antiqua"/>
          <w:color w:val="000000"/>
        </w:rPr>
        <w:t xml:space="preserve"> M, Herman W, Heung M, Hutton D, Jacobsen SJ,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N, Jin Y, </w:t>
      </w:r>
      <w:proofErr w:type="spellStart"/>
      <w:r>
        <w:rPr>
          <w:rFonts w:ascii="Book Antiqua" w:eastAsia="Book Antiqua" w:hAnsi="Book Antiqua" w:cs="Book Antiqua"/>
          <w:color w:val="000000"/>
        </w:rPr>
        <w:t>Kalantar-Zadeh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Kapke</w:t>
      </w:r>
      <w:proofErr w:type="spellEnd"/>
      <w:r>
        <w:rPr>
          <w:rFonts w:ascii="Book Antiqua" w:eastAsia="Book Antiqua" w:hAnsi="Book Antiqua" w:cs="Book Antiqua"/>
          <w:color w:val="000000"/>
        </w:rPr>
        <w:t xml:space="preserve"> A, Katz R, </w:t>
      </w:r>
      <w:proofErr w:type="spellStart"/>
      <w:r>
        <w:rPr>
          <w:rFonts w:ascii="Book Antiqua" w:eastAsia="Book Antiqua" w:hAnsi="Book Antiqua" w:cs="Book Antiqua"/>
          <w:color w:val="000000"/>
        </w:rPr>
        <w:t>Kovesdy</w:t>
      </w:r>
      <w:proofErr w:type="spellEnd"/>
      <w:r>
        <w:rPr>
          <w:rFonts w:ascii="Book Antiqua" w:eastAsia="Book Antiqua" w:hAnsi="Book Antiqua" w:cs="Book Antiqua"/>
          <w:color w:val="000000"/>
        </w:rPr>
        <w:t xml:space="preserve"> CP, Kurtz V, </w:t>
      </w:r>
      <w:proofErr w:type="spellStart"/>
      <w:r>
        <w:rPr>
          <w:rFonts w:ascii="Book Antiqua" w:eastAsia="Book Antiqua" w:hAnsi="Book Antiqua" w:cs="Book Antiqua"/>
          <w:color w:val="000000"/>
        </w:rPr>
        <w:t>Lavalee</w:t>
      </w:r>
      <w:proofErr w:type="spellEnd"/>
      <w:r>
        <w:rPr>
          <w:rFonts w:ascii="Book Antiqua" w:eastAsia="Book Antiqua" w:hAnsi="Book Antiqua" w:cs="Book Antiqua"/>
          <w:color w:val="000000"/>
        </w:rPr>
        <w:t xml:space="preserve"> D, Li Y, Lu Y, McCullough K, Molnar MZ, Montez-</w:t>
      </w:r>
      <w:proofErr w:type="spellStart"/>
      <w:r>
        <w:rPr>
          <w:rFonts w:ascii="Book Antiqua" w:eastAsia="Book Antiqua" w:hAnsi="Book Antiqua" w:cs="Book Antiqua"/>
          <w:color w:val="000000"/>
        </w:rPr>
        <w:t>Rath</w:t>
      </w:r>
      <w:proofErr w:type="spellEnd"/>
      <w:r>
        <w:rPr>
          <w:rFonts w:ascii="Book Antiqua" w:eastAsia="Book Antiqua" w:hAnsi="Book Antiqua" w:cs="Book Antiqua"/>
          <w:color w:val="000000"/>
        </w:rPr>
        <w:t xml:space="preserve"> M, Morgenstern H, Mu Q, </w:t>
      </w:r>
      <w:proofErr w:type="spellStart"/>
      <w:r>
        <w:rPr>
          <w:rFonts w:ascii="Book Antiqua" w:eastAsia="Book Antiqua" w:hAnsi="Book Antiqua" w:cs="Book Antiqua"/>
          <w:color w:val="000000"/>
        </w:rPr>
        <w:t>Mukhopadhyay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Nallamothu</w:t>
      </w:r>
      <w:proofErr w:type="spellEnd"/>
      <w:r>
        <w:rPr>
          <w:rFonts w:ascii="Book Antiqua" w:eastAsia="Book Antiqua" w:hAnsi="Book Antiqua" w:cs="Book Antiqua"/>
          <w:color w:val="000000"/>
        </w:rPr>
        <w:t xml:space="preserve"> B, Nguyen DV, Norris KC, O'Hare AM, Obi Y, Pearson J, </w:t>
      </w:r>
      <w:proofErr w:type="spellStart"/>
      <w:r>
        <w:rPr>
          <w:rFonts w:ascii="Book Antiqua" w:eastAsia="Book Antiqua" w:hAnsi="Book Antiqua" w:cs="Book Antiqua"/>
          <w:color w:val="000000"/>
        </w:rPr>
        <w:t>Pisoni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Plattner</w:t>
      </w:r>
      <w:proofErr w:type="spellEnd"/>
      <w:r>
        <w:rPr>
          <w:rFonts w:ascii="Book Antiqua" w:eastAsia="Book Antiqua" w:hAnsi="Book Antiqua" w:cs="Book Antiqua"/>
          <w:color w:val="000000"/>
        </w:rPr>
        <w:t xml:space="preserve"> B, Port FK, </w:t>
      </w:r>
      <w:proofErr w:type="spellStart"/>
      <w:r>
        <w:rPr>
          <w:rFonts w:ascii="Book Antiqua" w:eastAsia="Book Antiqua" w:hAnsi="Book Antiqua" w:cs="Book Antiqua"/>
          <w:color w:val="000000"/>
        </w:rPr>
        <w:t>Potukuchi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Ratkowiak</w:t>
      </w:r>
      <w:proofErr w:type="spellEnd"/>
      <w:r>
        <w:rPr>
          <w:rFonts w:ascii="Book Antiqua" w:eastAsia="Book Antiqua" w:hAnsi="Book Antiqua" w:cs="Book Antiqua"/>
          <w:color w:val="000000"/>
        </w:rPr>
        <w:t xml:space="preserve"> K, Ravel V, Ray D, Rhee CM, </w:t>
      </w:r>
      <w:proofErr w:type="spellStart"/>
      <w:r>
        <w:rPr>
          <w:rFonts w:ascii="Book Antiqua" w:eastAsia="Book Antiqua" w:hAnsi="Book Antiqua" w:cs="Book Antiqua"/>
          <w:color w:val="000000"/>
        </w:rPr>
        <w:t>Schaubel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Selewski</w:t>
      </w:r>
      <w:proofErr w:type="spellEnd"/>
      <w:r>
        <w:rPr>
          <w:rFonts w:ascii="Book Antiqua" w:eastAsia="Book Antiqua" w:hAnsi="Book Antiqua" w:cs="Book Antiqua"/>
          <w:color w:val="000000"/>
        </w:rPr>
        <w:t xml:space="preserve"> DT, Shaw S, Shi J, </w:t>
      </w:r>
      <w:proofErr w:type="spellStart"/>
      <w:r>
        <w:rPr>
          <w:rFonts w:ascii="Book Antiqua" w:eastAsia="Book Antiqua" w:hAnsi="Book Antiqua" w:cs="Book Antiqua"/>
          <w:color w:val="000000"/>
        </w:rPr>
        <w:t>Shieu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Sim</w:t>
      </w:r>
      <w:proofErr w:type="spellEnd"/>
      <w:r>
        <w:rPr>
          <w:rFonts w:ascii="Book Antiqua" w:eastAsia="Book Antiqua" w:hAnsi="Book Antiqua" w:cs="Book Antiqua"/>
          <w:color w:val="000000"/>
        </w:rPr>
        <w:t xml:space="preserve"> JJ, Song P, </w:t>
      </w:r>
      <w:proofErr w:type="spellStart"/>
      <w:r>
        <w:rPr>
          <w:rFonts w:ascii="Book Antiqua" w:eastAsia="Book Antiqua" w:hAnsi="Book Antiqua" w:cs="Book Antiqua"/>
          <w:color w:val="000000"/>
        </w:rPr>
        <w:t>Soohoo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Steffick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Streja</w:t>
      </w:r>
      <w:proofErr w:type="spellEnd"/>
      <w:r>
        <w:rPr>
          <w:rFonts w:ascii="Book Antiqua" w:eastAsia="Book Antiqua" w:hAnsi="Book Antiqua" w:cs="Book Antiqua"/>
          <w:color w:val="000000"/>
        </w:rPr>
        <w:t xml:space="preserve"> E, Tamura MK, </w:t>
      </w:r>
      <w:proofErr w:type="spellStart"/>
      <w:r>
        <w:rPr>
          <w:rFonts w:ascii="Book Antiqua" w:eastAsia="Book Antiqua" w:hAnsi="Book Antiqua" w:cs="Book Antiqua"/>
          <w:color w:val="000000"/>
        </w:rPr>
        <w:t>Tentori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Tilea</w:t>
      </w:r>
      <w:proofErr w:type="spellEnd"/>
      <w:r>
        <w:rPr>
          <w:rFonts w:ascii="Book Antiqua" w:eastAsia="Book Antiqua" w:hAnsi="Book Antiqua" w:cs="Book Antiqua"/>
          <w:color w:val="000000"/>
        </w:rPr>
        <w:t xml:space="preserve"> A, Tong L, Turf M, Wang D, Wang M, Woodside K, </w:t>
      </w:r>
      <w:proofErr w:type="spellStart"/>
      <w:r>
        <w:rPr>
          <w:rFonts w:ascii="Book Antiqua" w:eastAsia="Book Antiqua" w:hAnsi="Book Antiqua" w:cs="Book Antiqua"/>
          <w:color w:val="000000"/>
        </w:rPr>
        <w:t>Wyncott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Xin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Zang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Zepel</w:t>
      </w:r>
      <w:proofErr w:type="spellEnd"/>
      <w:r>
        <w:rPr>
          <w:rFonts w:ascii="Book Antiqua" w:eastAsia="Book Antiqua" w:hAnsi="Book Antiqua" w:cs="Book Antiqua"/>
          <w:color w:val="000000"/>
        </w:rPr>
        <w:t xml:space="preserve"> L, Zhang S, </w:t>
      </w:r>
      <w:proofErr w:type="spellStart"/>
      <w:r>
        <w:rPr>
          <w:rFonts w:ascii="Book Antiqua" w:eastAsia="Book Antiqua" w:hAnsi="Book Antiqua" w:cs="Book Antiqua"/>
          <w:color w:val="000000"/>
        </w:rPr>
        <w:t>Zho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Hirth</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Shahinian</w:t>
      </w:r>
      <w:proofErr w:type="spellEnd"/>
      <w:r>
        <w:rPr>
          <w:rFonts w:ascii="Book Antiqua" w:eastAsia="Book Antiqua" w:hAnsi="Book Antiqua" w:cs="Book Antiqua"/>
          <w:color w:val="000000"/>
        </w:rPr>
        <w:t xml:space="preserve"> V. US Renal Data System 2016 Annual Data Report: Epidemiology of Kidney Disease in the United States.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A7-A8 [PMID: 28236831 DOI: 10.1053/j.ajkd.2016.12.004]</w:t>
      </w:r>
    </w:p>
    <w:p w14:paraId="4FA35156" w14:textId="77777777" w:rsidR="00A77B3E" w:rsidRDefault="0047112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Wolfe RA</w:t>
      </w:r>
      <w:r>
        <w:rPr>
          <w:rFonts w:ascii="Book Antiqua" w:eastAsia="Book Antiqua" w:hAnsi="Book Antiqua" w:cs="Book Antiqua"/>
          <w:color w:val="000000"/>
        </w:rPr>
        <w:t xml:space="preserve">, Ashby VB, Milford EL, </w:t>
      </w:r>
      <w:proofErr w:type="spellStart"/>
      <w:r>
        <w:rPr>
          <w:rFonts w:ascii="Book Antiqua" w:eastAsia="Book Antiqua" w:hAnsi="Book Antiqua" w:cs="Book Antiqua"/>
          <w:color w:val="000000"/>
        </w:rPr>
        <w:t>Ojo</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Ettenger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Held PJ, Port FK. </w:t>
      </w:r>
      <w:proofErr w:type="gramStart"/>
      <w:r>
        <w:rPr>
          <w:rFonts w:ascii="Book Antiqua" w:eastAsia="Book Antiqua" w:hAnsi="Book Antiqua" w:cs="Book Antiqua"/>
          <w:color w:val="000000"/>
        </w:rPr>
        <w:t>Comparison of mortality in all patients on dialysis, patients on dialysis awaiting transplantation, and recipients of a first cadaveric transplant.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1725-1730 [PMID: 10580071 DOI: 10.1056/NEJM199912023412303]</w:t>
      </w:r>
    </w:p>
    <w:p w14:paraId="4774401C" w14:textId="77777777" w:rsidR="00A77B3E" w:rsidRDefault="00471120">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Port FK</w:t>
      </w:r>
      <w:r>
        <w:rPr>
          <w:rFonts w:ascii="Book Antiqua" w:eastAsia="Book Antiqua" w:hAnsi="Book Antiqua" w:cs="Book Antiqua"/>
          <w:color w:val="000000"/>
        </w:rPr>
        <w:t xml:space="preserve">, Bragg-Gresham JL, Metzger RA, Dykstra DM, Gillespie BW, Young EW, Delmonico FL, Wynn JJ, Merion RM, Wolfe RA, Held PJ. Donor characteristics associated with reduced graft survival: an approach to expanding the pool of kidney donors.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74</w:t>
      </w:r>
      <w:r>
        <w:rPr>
          <w:rFonts w:ascii="Book Antiqua" w:eastAsia="Book Antiqua" w:hAnsi="Book Antiqua" w:cs="Book Antiqua"/>
          <w:color w:val="000000"/>
        </w:rPr>
        <w:t>: 1281-1286 [PMID: 12451266 DOI: 10.1097/00007890-200211150-00014]</w:t>
      </w:r>
    </w:p>
    <w:p w14:paraId="51CC5347" w14:textId="77777777" w:rsidR="00A77B3E" w:rsidRDefault="0047112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Metzger RA</w:t>
      </w:r>
      <w:r>
        <w:rPr>
          <w:rFonts w:ascii="Book Antiqua" w:eastAsia="Book Antiqua" w:hAnsi="Book Antiqua" w:cs="Book Antiqua"/>
          <w:color w:val="000000"/>
        </w:rPr>
        <w:t xml:space="preserve">, Delmonico FL,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S, Port FK, Wynn JJ, Merion RM. Expanded criteria donors for kidney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2003; </w:t>
      </w:r>
      <w:r>
        <w:rPr>
          <w:rFonts w:ascii="Book Antiqua" w:eastAsia="Book Antiqua" w:hAnsi="Book Antiqua" w:cs="Book Antiqua"/>
          <w:b/>
          <w:bCs/>
          <w:color w:val="000000"/>
        </w:rPr>
        <w:t xml:space="preserve">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4</w:t>
      </w:r>
      <w:r>
        <w:rPr>
          <w:rFonts w:ascii="Book Antiqua" w:eastAsia="Book Antiqua" w:hAnsi="Book Antiqua" w:cs="Book Antiqua"/>
          <w:color w:val="000000"/>
        </w:rPr>
        <w:t>: 114-125 [PMID: 12694055 DOI: 10.1034/j.1600-6143.3.s4.11.x]</w:t>
      </w:r>
    </w:p>
    <w:p w14:paraId="26A3B438" w14:textId="77777777" w:rsidR="00A77B3E" w:rsidRDefault="0047112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Rosengard</w:t>
      </w:r>
      <w:proofErr w:type="spellEnd"/>
      <w:r>
        <w:rPr>
          <w:rFonts w:ascii="Book Antiqua" w:eastAsia="Book Antiqua" w:hAnsi="Book Antiqua" w:cs="Book Antiqua"/>
          <w:b/>
          <w:bCs/>
          <w:color w:val="000000"/>
        </w:rPr>
        <w:t xml:space="preserve">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Alfrey</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Zaroff</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Emond</w:t>
      </w:r>
      <w:proofErr w:type="spellEnd"/>
      <w:r>
        <w:rPr>
          <w:rFonts w:ascii="Book Antiqua" w:eastAsia="Book Antiqua" w:hAnsi="Book Antiqua" w:cs="Book Antiqua"/>
          <w:color w:val="000000"/>
        </w:rPr>
        <w:t xml:space="preserve"> JC, Henry ML, </w:t>
      </w:r>
      <w:proofErr w:type="spellStart"/>
      <w:r>
        <w:rPr>
          <w:rFonts w:ascii="Book Antiqua" w:eastAsia="Book Antiqua" w:hAnsi="Book Antiqua" w:cs="Book Antiqua"/>
          <w:color w:val="000000"/>
        </w:rPr>
        <w:t>Garrity</w:t>
      </w:r>
      <w:proofErr w:type="spellEnd"/>
      <w:r>
        <w:rPr>
          <w:rFonts w:ascii="Book Antiqua" w:eastAsia="Book Antiqua" w:hAnsi="Book Antiqua" w:cs="Book Antiqua"/>
          <w:color w:val="000000"/>
        </w:rPr>
        <w:t xml:space="preserve"> ER, Roberts JP, Wynn JJ, Metzger RA, Freeman RB, Port FK, Merion RM, Love RB, </w:t>
      </w:r>
      <w:proofErr w:type="spellStart"/>
      <w:r>
        <w:rPr>
          <w:rFonts w:ascii="Book Antiqua" w:eastAsia="Book Antiqua" w:hAnsi="Book Antiqua" w:cs="Book Antiqua"/>
          <w:color w:val="000000"/>
        </w:rPr>
        <w:t>Busuttil</w:t>
      </w:r>
      <w:proofErr w:type="spellEnd"/>
      <w:r>
        <w:rPr>
          <w:rFonts w:ascii="Book Antiqua" w:eastAsia="Book Antiqua" w:hAnsi="Book Antiqua" w:cs="Book Antiqua"/>
          <w:color w:val="000000"/>
        </w:rPr>
        <w:t xml:space="preserve"> RW, Delmonico FL. Report of the Crystal City meeting to maximize the use of organs recovered from the cadaver donor.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701-711 [PMID: 12243491 DOI: 10.1034/j.1600-6143.2002.20804.x]</w:t>
      </w:r>
    </w:p>
    <w:p w14:paraId="7145919F" w14:textId="77777777" w:rsidR="00A77B3E" w:rsidRDefault="0047112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Martínez-Vaquera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Navarro Cabello MD, </w:t>
      </w:r>
      <w:proofErr w:type="spellStart"/>
      <w:r>
        <w:rPr>
          <w:rFonts w:ascii="Book Antiqua" w:eastAsia="Book Antiqua" w:hAnsi="Book Antiqua" w:cs="Book Antiqua"/>
          <w:color w:val="000000"/>
        </w:rPr>
        <w:t>López-Andreu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Jurado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Haad</w:t>
      </w:r>
      <w:proofErr w:type="spellEnd"/>
      <w:r>
        <w:rPr>
          <w:rFonts w:ascii="Book Antiqua" w:eastAsia="Book Antiqua" w:hAnsi="Book Antiqua" w:cs="Book Antiqua"/>
          <w:color w:val="000000"/>
        </w:rPr>
        <w:t xml:space="preserve"> CR, Salas RO, </w:t>
      </w:r>
      <w:proofErr w:type="spellStart"/>
      <w:r>
        <w:rPr>
          <w:rFonts w:ascii="Book Antiqua" w:eastAsia="Book Antiqua" w:hAnsi="Book Antiqua" w:cs="Book Antiqua"/>
          <w:color w:val="000000"/>
        </w:rPr>
        <w:t>Benot</w:t>
      </w:r>
      <w:proofErr w:type="spellEnd"/>
      <w:r>
        <w:rPr>
          <w:rFonts w:ascii="Book Antiqua" w:eastAsia="Book Antiqua" w:hAnsi="Book Antiqua" w:cs="Book Antiqua"/>
          <w:color w:val="000000"/>
        </w:rPr>
        <w:t xml:space="preserve"> AR, Hernández JP, Arista JC, </w:t>
      </w:r>
      <w:proofErr w:type="spellStart"/>
      <w:r>
        <w:rPr>
          <w:rFonts w:ascii="Book Antiqua" w:eastAsia="Book Antiqua" w:hAnsi="Book Antiqua" w:cs="Book Antiqua"/>
          <w:color w:val="000000"/>
        </w:rPr>
        <w:t>Aljama</w:t>
      </w:r>
      <w:proofErr w:type="spellEnd"/>
      <w:r>
        <w:rPr>
          <w:rFonts w:ascii="Book Antiqua" w:eastAsia="Book Antiqua" w:hAnsi="Book Antiqua" w:cs="Book Antiqua"/>
          <w:color w:val="000000"/>
        </w:rPr>
        <w:t xml:space="preserve"> P. Outcomes in renal transplantation with expanded-criteria donors. </w:t>
      </w:r>
      <w:r>
        <w:rPr>
          <w:rFonts w:ascii="Book Antiqua" w:eastAsia="Book Antiqua" w:hAnsi="Book Antiqua" w:cs="Book Antiqua"/>
          <w:i/>
          <w:iCs/>
          <w:color w:val="000000"/>
        </w:rPr>
        <w:t xml:space="preserve">Transplant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3595-3598 [PMID: 24314969 DOI: 10.1016/j.transproceed.2013.11.003]</w:t>
      </w:r>
    </w:p>
    <w:p w14:paraId="14F07354" w14:textId="77777777" w:rsidR="00A77B3E" w:rsidRDefault="00471120">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Thukral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Mazumdar</w:t>
      </w:r>
      <w:proofErr w:type="spellEnd"/>
      <w:r>
        <w:rPr>
          <w:rFonts w:ascii="Book Antiqua" w:eastAsia="Book Antiqua" w:hAnsi="Book Antiqua" w:cs="Book Antiqua"/>
          <w:color w:val="000000"/>
        </w:rPr>
        <w:t xml:space="preserve"> A, Ray DS.</w:t>
      </w:r>
      <w:proofErr w:type="gramEnd"/>
      <w:r>
        <w:rPr>
          <w:rFonts w:ascii="Book Antiqua" w:eastAsia="Book Antiqua" w:hAnsi="Book Antiqua" w:cs="Book Antiqua"/>
          <w:color w:val="000000"/>
        </w:rPr>
        <w:t xml:space="preserve"> Long-Term Consequences of Complex Living Renal Donation: Is It Safe? </w:t>
      </w:r>
      <w:r>
        <w:rPr>
          <w:rFonts w:ascii="Book Antiqua" w:eastAsia="Book Antiqua" w:hAnsi="Book Antiqua" w:cs="Book Antiqua"/>
          <w:i/>
          <w:iCs/>
          <w:color w:val="000000"/>
        </w:rPr>
        <w:t xml:space="preserve">Transplant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3185-3191 [PMID: 30340774 DOI: 10.1016/j.transproceed.2018.06.007]</w:t>
      </w:r>
    </w:p>
    <w:p w14:paraId="67852D03" w14:textId="77777777" w:rsidR="00A77B3E" w:rsidRDefault="0047112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Gazel</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Biçer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Ölçücüoğlu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Yığman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Taştemur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Çamtosun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Ceylan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Ateş</w:t>
      </w:r>
      <w:proofErr w:type="spellEnd"/>
      <w:r>
        <w:rPr>
          <w:rFonts w:ascii="Book Antiqua" w:eastAsia="Book Antiqua" w:hAnsi="Book Antiqua" w:cs="Book Antiqua"/>
          <w:color w:val="000000"/>
        </w:rPr>
        <w:t xml:space="preserve"> C. Comparison of renal function after donor and radical nephrectomy. </w:t>
      </w:r>
      <w:proofErr w:type="spellStart"/>
      <w:r>
        <w:rPr>
          <w:rFonts w:ascii="Book Antiqua" w:eastAsia="Book Antiqua" w:hAnsi="Book Antiqua" w:cs="Book Antiqua"/>
          <w:i/>
          <w:iCs/>
          <w:color w:val="000000"/>
        </w:rPr>
        <w:t>Ren</w:t>
      </w:r>
      <w:proofErr w:type="spellEnd"/>
      <w:r>
        <w:rPr>
          <w:rFonts w:ascii="Book Antiqua" w:eastAsia="Book Antiqua" w:hAnsi="Book Antiqua" w:cs="Book Antiqua"/>
          <w:i/>
          <w:iCs/>
          <w:color w:val="000000"/>
        </w:rPr>
        <w:t xml:space="preserve"> Fail</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377-380 [PMID: 25598238 DOI: 10.3109/0886022X.2014.996086]</w:t>
      </w:r>
    </w:p>
    <w:p w14:paraId="7B1CC193" w14:textId="77777777" w:rsidR="00A77B3E" w:rsidRDefault="0047112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Kezić</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Kovačević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Marinković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Ristić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Radivojević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Blagojević-Lazić</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Djukanovic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Ležaić</w:t>
      </w:r>
      <w:proofErr w:type="spellEnd"/>
      <w:r>
        <w:rPr>
          <w:rFonts w:ascii="Book Antiqua" w:eastAsia="Book Antiqua" w:hAnsi="Book Antiqua" w:cs="Book Antiqua"/>
          <w:color w:val="000000"/>
        </w:rPr>
        <w:t xml:space="preserve"> VD. Comparison of accepted and unaccepted living kidney donors: one-center experience. </w:t>
      </w:r>
      <w:proofErr w:type="spellStart"/>
      <w:r>
        <w:rPr>
          <w:rFonts w:ascii="Book Antiqua" w:eastAsia="Book Antiqua" w:hAnsi="Book Antiqua" w:cs="Book Antiqua"/>
          <w:i/>
          <w:iCs/>
          <w:color w:val="000000"/>
        </w:rPr>
        <w:t>Ren</w:t>
      </w:r>
      <w:proofErr w:type="spellEnd"/>
      <w:r>
        <w:rPr>
          <w:rFonts w:ascii="Book Antiqua" w:eastAsia="Book Antiqua" w:hAnsi="Book Antiqua" w:cs="Book Antiqua"/>
          <w:i/>
          <w:iCs/>
          <w:color w:val="000000"/>
        </w:rPr>
        <w:t xml:space="preserve"> Fail</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152-159 [PMID: 29575953 DOI: 10.1080/0886022X.2018.1450758]</w:t>
      </w:r>
    </w:p>
    <w:p w14:paraId="193B1D6A" w14:textId="77777777" w:rsidR="00A77B3E" w:rsidRDefault="00471120">
      <w:pPr>
        <w:spacing w:line="360" w:lineRule="auto"/>
        <w:jc w:val="both"/>
      </w:pPr>
      <w:proofErr w:type="gramStart"/>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Gopalakrishnan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Gourabathini</w:t>
      </w:r>
      <w:proofErr w:type="spellEnd"/>
      <w:r>
        <w:rPr>
          <w:rFonts w:ascii="Book Antiqua" w:eastAsia="Book Antiqua" w:hAnsi="Book Antiqua" w:cs="Book Antiqua"/>
          <w:color w:val="000000"/>
        </w:rPr>
        <w:t xml:space="preserve"> SP. Marginal kidney donor.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23</w:t>
      </w:r>
      <w:r>
        <w:rPr>
          <w:rFonts w:ascii="Book Antiqua" w:eastAsia="Book Antiqua" w:hAnsi="Book Antiqua" w:cs="Book Antiqua"/>
          <w:color w:val="000000"/>
        </w:rPr>
        <w:t>: 286-293 [PMID: 19718332 DOI: 10.4103/0970-1591.33726]</w:t>
      </w:r>
    </w:p>
    <w:p w14:paraId="0BE42C79" w14:textId="77777777" w:rsidR="00A77B3E" w:rsidRDefault="00471120">
      <w:pPr>
        <w:spacing w:line="360" w:lineRule="auto"/>
        <w:jc w:val="both"/>
      </w:pPr>
      <w:proofErr w:type="gramStart"/>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Matas</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Transplantation using marginal living donors.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353-355 [PMID: 16431266 DOI: 10.1053/j.ajkd.2005.11.025]</w:t>
      </w:r>
    </w:p>
    <w:p w14:paraId="4B8AE3F1" w14:textId="77777777" w:rsidR="00A77B3E" w:rsidRDefault="00471120">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Kovesdy</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Furth S, </w:t>
      </w:r>
      <w:proofErr w:type="spellStart"/>
      <w:r>
        <w:rPr>
          <w:rFonts w:ascii="Book Antiqua" w:eastAsia="Book Antiqua" w:hAnsi="Book Antiqua" w:cs="Book Antiqua"/>
          <w:color w:val="000000"/>
        </w:rPr>
        <w:t>Zoccali</w:t>
      </w:r>
      <w:proofErr w:type="spellEnd"/>
      <w:r>
        <w:rPr>
          <w:rFonts w:ascii="Book Antiqua" w:eastAsia="Book Antiqua" w:hAnsi="Book Antiqua" w:cs="Book Antiqua"/>
          <w:color w:val="000000"/>
        </w:rPr>
        <w:t xml:space="preserve"> C; World Kidney Day Steering Committee.</w:t>
      </w:r>
      <w:proofErr w:type="gramEnd"/>
      <w:r>
        <w:rPr>
          <w:rFonts w:ascii="Book Antiqua" w:eastAsia="Book Antiqua" w:hAnsi="Book Antiqua" w:cs="Book Antiqua"/>
          <w:color w:val="000000"/>
        </w:rPr>
        <w:t xml:space="preserve"> Obesity and kidney disease: Hidden consequences of the epidemic.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85-92 [PMID: 28356657 DOI: 10.4103/ijn.IJN_61_17]</w:t>
      </w:r>
    </w:p>
    <w:p w14:paraId="2A57610E" w14:textId="77777777" w:rsidR="00A77B3E" w:rsidRDefault="0047112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Flegal</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Kruszon</w:t>
      </w:r>
      <w:proofErr w:type="spellEnd"/>
      <w:r>
        <w:rPr>
          <w:rFonts w:ascii="Book Antiqua" w:eastAsia="Book Antiqua" w:hAnsi="Book Antiqua" w:cs="Book Antiqua"/>
          <w:color w:val="000000"/>
        </w:rPr>
        <w:t xml:space="preserve">-Moran D, Carroll MD, </w:t>
      </w:r>
      <w:proofErr w:type="spellStart"/>
      <w:r>
        <w:rPr>
          <w:rFonts w:ascii="Book Antiqua" w:eastAsia="Book Antiqua" w:hAnsi="Book Antiqua" w:cs="Book Antiqua"/>
          <w:color w:val="000000"/>
        </w:rPr>
        <w:t>Fryar</w:t>
      </w:r>
      <w:proofErr w:type="spellEnd"/>
      <w:r>
        <w:rPr>
          <w:rFonts w:ascii="Book Antiqua" w:eastAsia="Book Antiqua" w:hAnsi="Book Antiqua" w:cs="Book Antiqua"/>
          <w:color w:val="000000"/>
        </w:rPr>
        <w:t xml:space="preserve"> CD, Ogden CL. Trends in Obesity Among Adults in the United States, 2005 to 2014.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2284-2291 [PMID: 27272580 DOI: 10.1001/jama.2016.6458]</w:t>
      </w:r>
    </w:p>
    <w:p w14:paraId="75331B04" w14:textId="77777777" w:rsidR="00A77B3E" w:rsidRDefault="004711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Rea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Grande JP, </w:t>
      </w:r>
      <w:proofErr w:type="spellStart"/>
      <w:r>
        <w:rPr>
          <w:rFonts w:ascii="Book Antiqua" w:eastAsia="Book Antiqua" w:hAnsi="Book Antiqua" w:cs="Book Antiqua"/>
          <w:color w:val="000000"/>
        </w:rPr>
        <w:t>Textor</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Taler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Prieto</w:t>
      </w:r>
      <w:proofErr w:type="spellEnd"/>
      <w:r>
        <w:rPr>
          <w:rFonts w:ascii="Book Antiqua" w:eastAsia="Book Antiqua" w:hAnsi="Book Antiqua" w:cs="Book Antiqua"/>
          <w:color w:val="000000"/>
        </w:rPr>
        <w:t xml:space="preserve"> M, Larson TS, </w:t>
      </w:r>
      <w:proofErr w:type="spellStart"/>
      <w:r>
        <w:rPr>
          <w:rFonts w:ascii="Book Antiqua" w:eastAsia="Book Antiqua" w:hAnsi="Book Antiqua" w:cs="Book Antiqua"/>
          <w:color w:val="000000"/>
        </w:rPr>
        <w:t>Cosio</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Stegall</w:t>
      </w:r>
      <w:proofErr w:type="spellEnd"/>
      <w:r>
        <w:rPr>
          <w:rFonts w:ascii="Book Antiqua" w:eastAsia="Book Antiqua" w:hAnsi="Book Antiqua" w:cs="Book Antiqua"/>
          <w:color w:val="000000"/>
        </w:rPr>
        <w:t xml:space="preserve"> MD. </w:t>
      </w:r>
      <w:proofErr w:type="gramStart"/>
      <w:r>
        <w:rPr>
          <w:rFonts w:ascii="Book Antiqua" w:eastAsia="Book Antiqua" w:hAnsi="Book Antiqua" w:cs="Book Antiqua"/>
          <w:color w:val="000000"/>
        </w:rPr>
        <w:t>Glomerular volume and renal histology in obese and non-obese living kidney donors.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70</w:t>
      </w:r>
      <w:r>
        <w:rPr>
          <w:rFonts w:ascii="Book Antiqua" w:eastAsia="Book Antiqua" w:hAnsi="Book Antiqua" w:cs="Book Antiqua"/>
          <w:color w:val="000000"/>
        </w:rPr>
        <w:t>: 1636-1641 [PMID: 16955108 DOI: 10.1038/sj.ki.5001799]</w:t>
      </w:r>
    </w:p>
    <w:p w14:paraId="44A06CDA" w14:textId="77777777" w:rsidR="00A77B3E" w:rsidRDefault="0047112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Tavakol</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Vincenti</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H, Frederick MJ, </w:t>
      </w:r>
      <w:proofErr w:type="spellStart"/>
      <w:r>
        <w:rPr>
          <w:rFonts w:ascii="Book Antiqua" w:eastAsia="Book Antiqua" w:hAnsi="Book Antiqua" w:cs="Book Antiqua"/>
          <w:color w:val="000000"/>
        </w:rPr>
        <w:t>Tomlanovich</w:t>
      </w:r>
      <w:proofErr w:type="spellEnd"/>
      <w:r>
        <w:rPr>
          <w:rFonts w:ascii="Book Antiqua" w:eastAsia="Book Antiqua" w:hAnsi="Book Antiqua" w:cs="Book Antiqua"/>
          <w:color w:val="000000"/>
        </w:rPr>
        <w:t xml:space="preserve"> SJ, Roberts JP, </w:t>
      </w:r>
      <w:proofErr w:type="spellStart"/>
      <w:r>
        <w:rPr>
          <w:rFonts w:ascii="Book Antiqua" w:eastAsia="Book Antiqua" w:hAnsi="Book Antiqua" w:cs="Book Antiqua"/>
          <w:color w:val="000000"/>
        </w:rPr>
        <w:t>Posselt</w:t>
      </w:r>
      <w:proofErr w:type="spellEnd"/>
      <w:r>
        <w:rPr>
          <w:rFonts w:ascii="Book Antiqua" w:eastAsia="Book Antiqua" w:hAnsi="Book Antiqua" w:cs="Book Antiqua"/>
          <w:color w:val="000000"/>
        </w:rPr>
        <w:t xml:space="preserve"> AM. Long-term renal function and cardiovascular disease risk in obese kidney donors.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1230-1238 [PMID: 19443625 DOI: 10.2215/CJN.01350209]</w:t>
      </w:r>
    </w:p>
    <w:p w14:paraId="597CBF89" w14:textId="77777777" w:rsidR="00A77B3E" w:rsidRDefault="0047112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Kerkeni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Rebai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Bouzouita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Chakroun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Slama</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Abdallah</w:t>
      </w:r>
      <w:proofErr w:type="spellEnd"/>
      <w:r>
        <w:rPr>
          <w:rFonts w:ascii="Book Antiqua" w:eastAsia="Book Antiqua" w:hAnsi="Book Antiqua" w:cs="Book Antiqua"/>
          <w:color w:val="000000"/>
        </w:rPr>
        <w:t xml:space="preserve"> TB, </w:t>
      </w:r>
      <w:proofErr w:type="spellStart"/>
      <w:r>
        <w:rPr>
          <w:rFonts w:ascii="Book Antiqua" w:eastAsia="Book Antiqua" w:hAnsi="Book Antiqua" w:cs="Book Antiqua"/>
          <w:color w:val="000000"/>
        </w:rPr>
        <w:t>Derouiche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Chebil</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The effect of body mass index at the time of donation on postoperative and remote consequences of nephrectomy in 189 Living-related kidney donors.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Arab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221-224 [PMID: 26413352 DOI: 10.1016/j.aju.2015.06.002]</w:t>
      </w:r>
    </w:p>
    <w:p w14:paraId="21CCCA88" w14:textId="77777777" w:rsidR="00A77B3E" w:rsidRDefault="0047112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Serrano OK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Bangdiwala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Vock</w:t>
      </w:r>
      <w:proofErr w:type="spellEnd"/>
      <w:r>
        <w:rPr>
          <w:rFonts w:ascii="Book Antiqua" w:eastAsia="Book Antiqua" w:hAnsi="Book Antiqua" w:cs="Book Antiqua"/>
          <w:color w:val="000000"/>
        </w:rPr>
        <w:t xml:space="preserve"> DM, Dunn TB, Finger EB, Pruett TL,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Kandaswamy</w:t>
      </w:r>
      <w:proofErr w:type="spellEnd"/>
      <w:r>
        <w:rPr>
          <w:rFonts w:ascii="Book Antiqua" w:eastAsia="Book Antiqua" w:hAnsi="Book Antiqua" w:cs="Book Antiqua"/>
          <w:color w:val="000000"/>
        </w:rPr>
        <w:t xml:space="preserve"> R. Implications of excess weight on kidney donation: Long-term consequences of donor nephrectomy in obese donors.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164</w:t>
      </w:r>
      <w:r>
        <w:rPr>
          <w:rFonts w:ascii="Book Antiqua" w:eastAsia="Book Antiqua" w:hAnsi="Book Antiqua" w:cs="Book Antiqua"/>
          <w:color w:val="000000"/>
        </w:rPr>
        <w:t>: 1071-1076 [PMID: 30149934 DOI: 10.1016/j.surg.2018.07.015]</w:t>
      </w:r>
    </w:p>
    <w:p w14:paraId="48827C20" w14:textId="77777777" w:rsidR="00A77B3E" w:rsidRDefault="00471120">
      <w:pPr>
        <w:spacing w:line="360" w:lineRule="auto"/>
        <w:jc w:val="both"/>
      </w:pPr>
      <w:proofErr w:type="gramStart"/>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Lafranca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Hagen SM, </w:t>
      </w:r>
      <w:proofErr w:type="spellStart"/>
      <w:r>
        <w:rPr>
          <w:rFonts w:ascii="Book Antiqua" w:eastAsia="Book Antiqua" w:hAnsi="Book Antiqua" w:cs="Book Antiqua"/>
          <w:color w:val="000000"/>
        </w:rPr>
        <w:t>Dols</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Arends</w:t>
      </w:r>
      <w:proofErr w:type="spellEnd"/>
      <w:r>
        <w:rPr>
          <w:rFonts w:ascii="Book Antiqua" w:eastAsia="Book Antiqua" w:hAnsi="Book Antiqua" w:cs="Book Antiqua"/>
          <w:color w:val="000000"/>
        </w:rPr>
        <w:t xml:space="preserve"> LR, Weimar W,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FJ.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Systematic review and meta-analysis of the relation between body mass index and short-term donor outcome of laparoscopic donor nephrectomy.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931-939 [PMID: 23344469 DOI: 10.1038/ki.2012.485]</w:t>
      </w:r>
    </w:p>
    <w:p w14:paraId="50E0C4B8" w14:textId="77777777" w:rsidR="00A77B3E" w:rsidRDefault="00471120">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Mandelbrot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Danovitch</w:t>
      </w:r>
      <w:proofErr w:type="spellEnd"/>
      <w:r>
        <w:rPr>
          <w:rFonts w:ascii="Book Antiqua" w:eastAsia="Book Antiqua" w:hAnsi="Book Antiqua" w:cs="Book Antiqua"/>
          <w:color w:val="000000"/>
        </w:rPr>
        <w:t xml:space="preserve"> GM, Johnson SR, Karp SJ, </w:t>
      </w:r>
      <w:proofErr w:type="spellStart"/>
      <w:r>
        <w:rPr>
          <w:rFonts w:ascii="Book Antiqua" w:eastAsia="Book Antiqua" w:hAnsi="Book Antiqua" w:cs="Book Antiqua"/>
          <w:color w:val="000000"/>
        </w:rPr>
        <w:t>Khwaja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Hanto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Rodrigue</w:t>
      </w:r>
      <w:proofErr w:type="spellEnd"/>
      <w:r>
        <w:rPr>
          <w:rFonts w:ascii="Book Antiqua" w:eastAsia="Book Antiqua" w:hAnsi="Book Antiqua" w:cs="Book Antiqua"/>
          <w:color w:val="000000"/>
        </w:rPr>
        <w:t xml:space="preserve"> JR. The medical evaluation of living kidney donors: a survey of US transplant centers.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2333-2343 [PMID: 17845567 DOI: 10.1111/j.1600-6143.2007.01932.x]</w:t>
      </w:r>
    </w:p>
    <w:p w14:paraId="59E7B2AA" w14:textId="77777777" w:rsidR="00A77B3E" w:rsidRDefault="0047112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Pinto-</w:t>
      </w:r>
      <w:proofErr w:type="spellStart"/>
      <w:r>
        <w:rPr>
          <w:rFonts w:ascii="Book Antiqua" w:eastAsia="Book Antiqua" w:hAnsi="Book Antiqua" w:cs="Book Antiqua"/>
          <w:b/>
          <w:bCs/>
          <w:color w:val="000000"/>
        </w:rPr>
        <w:t>Sietsma</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Navis</w:t>
      </w:r>
      <w:proofErr w:type="spellEnd"/>
      <w:r>
        <w:rPr>
          <w:rFonts w:ascii="Book Antiqua" w:eastAsia="Book Antiqua" w:hAnsi="Book Antiqua" w:cs="Book Antiqua"/>
          <w:color w:val="000000"/>
        </w:rPr>
        <w:t xml:space="preserve"> G, Janssen WM,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RO, de Jong PE; PREVEND Study Group. A central body fat distribution is related to renal function impairment, even in lean subjects.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733-741 [PMID: 12666059 DOI: 10.1016/s0272-6386(03)00020-9]</w:t>
      </w:r>
    </w:p>
    <w:p w14:paraId="28BE0C36" w14:textId="77777777" w:rsidR="00A77B3E" w:rsidRDefault="004711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Foster MC</w:t>
      </w:r>
      <w:r>
        <w:rPr>
          <w:rFonts w:ascii="Book Antiqua" w:eastAsia="Book Antiqua" w:hAnsi="Book Antiqua" w:cs="Book Antiqua"/>
          <w:color w:val="000000"/>
        </w:rPr>
        <w:t xml:space="preserve">, Hwang SJ, Larson MG, </w:t>
      </w:r>
      <w:proofErr w:type="spellStart"/>
      <w:r>
        <w:rPr>
          <w:rFonts w:ascii="Book Antiqua" w:eastAsia="Book Antiqua" w:hAnsi="Book Antiqua" w:cs="Book Antiqua"/>
          <w:color w:val="000000"/>
        </w:rPr>
        <w:t>Lichtman</w:t>
      </w:r>
      <w:proofErr w:type="spellEnd"/>
      <w:r>
        <w:rPr>
          <w:rFonts w:ascii="Book Antiqua" w:eastAsia="Book Antiqua" w:hAnsi="Book Antiqua" w:cs="Book Antiqua"/>
          <w:color w:val="000000"/>
        </w:rPr>
        <w:t xml:space="preserve"> JH, Parikh NI,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RS, Levy D, Fox CS. Overweight, obesity, and the development of stage 3 CKD: the Framingham Heart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39-48 [PMID: 18440684 DOI: 10.1053/j.ajkd.2008.03.003]</w:t>
      </w:r>
    </w:p>
    <w:p w14:paraId="1DE72F0A" w14:textId="77777777" w:rsidR="00A77B3E" w:rsidRDefault="0047112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Kramer H</w:t>
      </w:r>
      <w:r>
        <w:rPr>
          <w:rFonts w:ascii="Book Antiqua" w:eastAsia="Book Antiqua" w:hAnsi="Book Antiqua" w:cs="Book Antiqua"/>
          <w:color w:val="000000"/>
        </w:rPr>
        <w:t xml:space="preserve">, Luke A, </w:t>
      </w:r>
      <w:proofErr w:type="spellStart"/>
      <w:r>
        <w:rPr>
          <w:rFonts w:ascii="Book Antiqua" w:eastAsia="Book Antiqua" w:hAnsi="Book Antiqua" w:cs="Book Antiqua"/>
          <w:color w:val="000000"/>
        </w:rPr>
        <w:t>Bidani</w:t>
      </w:r>
      <w:proofErr w:type="spellEnd"/>
      <w:r>
        <w:rPr>
          <w:rFonts w:ascii="Book Antiqua" w:eastAsia="Book Antiqua" w:hAnsi="Book Antiqua" w:cs="Book Antiqua"/>
          <w:color w:val="000000"/>
        </w:rPr>
        <w:t xml:space="preserve"> A, Cao G, Cooper R, McGee D. Obesity and prevalent and incident CKD: the Hypertension Detection and Follow-Up Program.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587-594 [PMID: 16183412 DOI: 10.1053/j.ajkd.2005.06.007]</w:t>
      </w:r>
    </w:p>
    <w:p w14:paraId="490447AF" w14:textId="77777777" w:rsidR="00A77B3E" w:rsidRDefault="0047112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Gelber</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Kausz</w:t>
      </w:r>
      <w:proofErr w:type="spellEnd"/>
      <w:r>
        <w:rPr>
          <w:rFonts w:ascii="Book Antiqua" w:eastAsia="Book Antiqua" w:hAnsi="Book Antiqua" w:cs="Book Antiqua"/>
          <w:color w:val="000000"/>
        </w:rPr>
        <w:t xml:space="preserve"> AT, Manson JE,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Levey</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Association between body mass index and CKD in apparently healthy men.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871-880 [PMID: 16253727 DOI: 10.1053/j.ajkd.2005.08.015]</w:t>
      </w:r>
    </w:p>
    <w:p w14:paraId="443ECF21" w14:textId="77777777" w:rsidR="00A77B3E" w:rsidRDefault="004711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Iseki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Ikemiya</w:t>
      </w:r>
      <w:proofErr w:type="spellEnd"/>
      <w:r>
        <w:rPr>
          <w:rFonts w:ascii="Book Antiqua" w:eastAsia="Book Antiqua" w:hAnsi="Book Antiqua" w:cs="Book Antiqua"/>
          <w:color w:val="000000"/>
        </w:rPr>
        <w:t xml:space="preserve"> Y, Kinjo K, Inoue T, Iseki C, </w:t>
      </w:r>
      <w:proofErr w:type="spellStart"/>
      <w:r>
        <w:rPr>
          <w:rFonts w:ascii="Book Antiqua" w:eastAsia="Book Antiqua" w:hAnsi="Book Antiqua" w:cs="Book Antiqua"/>
          <w:color w:val="000000"/>
        </w:rPr>
        <w:t>Takishita</w:t>
      </w:r>
      <w:proofErr w:type="spellEnd"/>
      <w:r>
        <w:rPr>
          <w:rFonts w:ascii="Book Antiqua" w:eastAsia="Book Antiqua" w:hAnsi="Book Antiqua" w:cs="Book Antiqua"/>
          <w:color w:val="000000"/>
        </w:rPr>
        <w:t xml:space="preserve"> S. Body mass index and the risk of development of end-stage renal disease in a screened cohort.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65</w:t>
      </w:r>
      <w:r>
        <w:rPr>
          <w:rFonts w:ascii="Book Antiqua" w:eastAsia="Book Antiqua" w:hAnsi="Book Antiqua" w:cs="Book Antiqua"/>
          <w:color w:val="000000"/>
        </w:rPr>
        <w:t>: 1870-1876 [PMID: 15086929 DOI: 10.1111/j.1523-1755.2004.00582.x]</w:t>
      </w:r>
    </w:p>
    <w:p w14:paraId="389CF490" w14:textId="77777777" w:rsidR="00A77B3E" w:rsidRDefault="0047112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Vivante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Golan E,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Tirosh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Calderon-</w:t>
      </w:r>
      <w:proofErr w:type="spellStart"/>
      <w:r>
        <w:rPr>
          <w:rFonts w:ascii="Book Antiqua" w:eastAsia="Book Antiqua" w:hAnsi="Book Antiqua" w:cs="Book Antiqua"/>
          <w:color w:val="000000"/>
        </w:rPr>
        <w:t>Margalit</w:t>
      </w:r>
      <w:proofErr w:type="spellEnd"/>
      <w:r>
        <w:rPr>
          <w:rFonts w:ascii="Book Antiqua" w:eastAsia="Book Antiqua" w:hAnsi="Book Antiqua" w:cs="Book Antiqua"/>
          <w:color w:val="000000"/>
        </w:rPr>
        <w:t xml:space="preserve"> R. Body mass index in 1.2 million adolescents and risk for end-stage renal disease.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172</w:t>
      </w:r>
      <w:r>
        <w:rPr>
          <w:rFonts w:ascii="Book Antiqua" w:eastAsia="Book Antiqua" w:hAnsi="Book Antiqua" w:cs="Book Antiqua"/>
          <w:color w:val="000000"/>
        </w:rPr>
        <w:t>: 1644-1650 [PMID: 23108588 DOI: 10.1001/2013.jamainternmed.85]</w:t>
      </w:r>
    </w:p>
    <w:p w14:paraId="785F0E67" w14:textId="77777777" w:rsidR="00A77B3E" w:rsidRDefault="0047112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Hsu CY</w:t>
      </w:r>
      <w:r>
        <w:rPr>
          <w:rFonts w:ascii="Book Antiqua" w:eastAsia="Book Antiqua" w:hAnsi="Book Antiqua" w:cs="Book Antiqua"/>
          <w:color w:val="000000"/>
        </w:rPr>
        <w:t xml:space="preserve">, McCulloch CE, </w:t>
      </w:r>
      <w:proofErr w:type="spellStart"/>
      <w:r>
        <w:rPr>
          <w:rFonts w:ascii="Book Antiqua" w:eastAsia="Book Antiqua" w:hAnsi="Book Antiqua" w:cs="Book Antiqua"/>
          <w:color w:val="000000"/>
        </w:rPr>
        <w:t>Iribarren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Darbinian</w:t>
      </w:r>
      <w:proofErr w:type="spellEnd"/>
      <w:r>
        <w:rPr>
          <w:rFonts w:ascii="Book Antiqua" w:eastAsia="Book Antiqua" w:hAnsi="Book Antiqua" w:cs="Book Antiqua"/>
          <w:color w:val="000000"/>
        </w:rPr>
        <w:t xml:space="preserve"> J, Go AS. Body mass index and risk for end-stage renal disease.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144</w:t>
      </w:r>
      <w:r>
        <w:rPr>
          <w:rFonts w:ascii="Book Antiqua" w:eastAsia="Book Antiqua" w:hAnsi="Book Antiqua" w:cs="Book Antiqua"/>
          <w:color w:val="000000"/>
        </w:rPr>
        <w:t>: 21-28 [PMID: 16389251 DOI: 10.7326/0003-4819-144-1-200601030-00006]</w:t>
      </w:r>
    </w:p>
    <w:p w14:paraId="71B87A4E" w14:textId="77777777" w:rsidR="00A77B3E" w:rsidRDefault="0047112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Praga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Hernández E, </w:t>
      </w:r>
      <w:proofErr w:type="spellStart"/>
      <w:r>
        <w:rPr>
          <w:rFonts w:ascii="Book Antiqua" w:eastAsia="Book Antiqua" w:hAnsi="Book Antiqua" w:cs="Book Antiqua"/>
          <w:color w:val="000000"/>
        </w:rPr>
        <w:t>Herrero</w:t>
      </w:r>
      <w:proofErr w:type="spellEnd"/>
      <w:r>
        <w:rPr>
          <w:rFonts w:ascii="Book Antiqua" w:eastAsia="Book Antiqua" w:hAnsi="Book Antiqua" w:cs="Book Antiqua"/>
          <w:color w:val="000000"/>
        </w:rPr>
        <w:t xml:space="preserve"> JC, Morales E, Revilla Y, </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-González R, </w:t>
      </w:r>
      <w:proofErr w:type="spellStart"/>
      <w:r>
        <w:rPr>
          <w:rFonts w:ascii="Book Antiqua" w:eastAsia="Book Antiqua" w:hAnsi="Book Antiqua" w:cs="Book Antiqua"/>
          <w:color w:val="000000"/>
        </w:rPr>
        <w:t>Rodicio</w:t>
      </w:r>
      <w:proofErr w:type="spellEnd"/>
      <w:r>
        <w:rPr>
          <w:rFonts w:ascii="Book Antiqua" w:eastAsia="Book Antiqua" w:hAnsi="Book Antiqua" w:cs="Book Antiqua"/>
          <w:color w:val="000000"/>
        </w:rPr>
        <w:t xml:space="preserve"> JL. Influence of obesity on the appearance of proteinuria and renal insufficiency after </w:t>
      </w:r>
      <w:r>
        <w:rPr>
          <w:rFonts w:ascii="Book Antiqua" w:eastAsia="Book Antiqua" w:hAnsi="Book Antiqua" w:cs="Book Antiqua"/>
          <w:color w:val="000000"/>
        </w:rPr>
        <w:lastRenderedPageBreak/>
        <w:t xml:space="preserve">unilateral nephrectomy.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58</w:t>
      </w:r>
      <w:r>
        <w:rPr>
          <w:rFonts w:ascii="Book Antiqua" w:eastAsia="Book Antiqua" w:hAnsi="Book Antiqua" w:cs="Book Antiqua"/>
          <w:color w:val="000000"/>
        </w:rPr>
        <w:t>: 2111-2118 [PMID: 11044232 DOI: 10.1111/j.1523-1755.2000.00384.x]</w:t>
      </w:r>
    </w:p>
    <w:p w14:paraId="4D38E9F6" w14:textId="77777777" w:rsidR="00A77B3E" w:rsidRDefault="0047112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Nogueira</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Weir MR, Jacobs S, </w:t>
      </w:r>
      <w:proofErr w:type="spellStart"/>
      <w:r>
        <w:rPr>
          <w:rFonts w:ascii="Book Antiqua" w:eastAsia="Book Antiqua" w:hAnsi="Book Antiqua" w:cs="Book Antiqua"/>
          <w:color w:val="000000"/>
        </w:rPr>
        <w:t>Haririan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Breault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Klassen</w:t>
      </w:r>
      <w:proofErr w:type="spellEnd"/>
      <w:r>
        <w:rPr>
          <w:rFonts w:ascii="Book Antiqua" w:eastAsia="Book Antiqua" w:hAnsi="Book Antiqua" w:cs="Book Antiqua"/>
          <w:color w:val="000000"/>
        </w:rPr>
        <w:t xml:space="preserve"> D, Evans D, Bartlett ST, Cooper M. </w:t>
      </w:r>
      <w:proofErr w:type="gramStart"/>
      <w:r>
        <w:rPr>
          <w:rFonts w:ascii="Book Antiqua" w:eastAsia="Book Antiqua" w:hAnsi="Book Antiqua" w:cs="Book Antiqua"/>
          <w:color w:val="000000"/>
        </w:rPr>
        <w:t>A study of renal outcomes in African American living kidney donors.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1371-1376 [PMID: 20029333 DOI: 10.1097/TP.0b013e3181c1e156]</w:t>
      </w:r>
    </w:p>
    <w:p w14:paraId="1B74644D" w14:textId="77777777" w:rsidR="00A77B3E" w:rsidRDefault="0047112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Abramowicz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Cochat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Claas</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Heemann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Pascual</w:t>
      </w:r>
      <w:proofErr w:type="spellEnd"/>
      <w:r>
        <w:rPr>
          <w:rFonts w:ascii="Book Antiqua" w:eastAsia="Book Antiqua" w:hAnsi="Book Antiqua" w:cs="Book Antiqua"/>
          <w:color w:val="000000"/>
        </w:rPr>
        <w:t xml:space="preserve"> J, Dudley C, Harden P, </w:t>
      </w:r>
      <w:proofErr w:type="spellStart"/>
      <w:r>
        <w:rPr>
          <w:rFonts w:ascii="Book Antiqua" w:eastAsia="Book Antiqua" w:hAnsi="Book Antiqua" w:cs="Book Antiqua"/>
          <w:color w:val="000000"/>
        </w:rPr>
        <w:t>Hourmant</w:t>
      </w:r>
      <w:proofErr w:type="spellEnd"/>
      <w:r>
        <w:rPr>
          <w:rFonts w:ascii="Book Antiqua" w:eastAsia="Book Antiqua" w:hAnsi="Book Antiqua" w:cs="Book Antiqua"/>
          <w:color w:val="000000"/>
        </w:rPr>
        <w:t xml:space="preserve"> M, Maggiore U, </w:t>
      </w:r>
      <w:proofErr w:type="spellStart"/>
      <w:r>
        <w:rPr>
          <w:rFonts w:ascii="Book Antiqua" w:eastAsia="Book Antiqua" w:hAnsi="Book Antiqua" w:cs="Book Antiqua"/>
          <w:color w:val="000000"/>
        </w:rPr>
        <w:t>Salvadori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Spasovski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Squifflet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J, Torres A, </w:t>
      </w:r>
      <w:proofErr w:type="spellStart"/>
      <w:r>
        <w:rPr>
          <w:rFonts w:ascii="Book Antiqua" w:eastAsia="Book Antiqua" w:hAnsi="Book Antiqua" w:cs="Book Antiqua"/>
          <w:color w:val="000000"/>
        </w:rPr>
        <w:t>Viklicky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Zeier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Vanholder</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Biesen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Nagler</w:t>
      </w:r>
      <w:proofErr w:type="spellEnd"/>
      <w:r>
        <w:rPr>
          <w:rFonts w:ascii="Book Antiqua" w:eastAsia="Book Antiqua" w:hAnsi="Book Antiqua" w:cs="Book Antiqua"/>
          <w:color w:val="000000"/>
        </w:rPr>
        <w:t xml:space="preserve"> E. European Renal Best Practice Guideline on kidney donor and recipient evaluation and perioperative care.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Dial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1790-1797 [PMID: 25007790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/gfu216]</w:t>
      </w:r>
    </w:p>
    <w:p w14:paraId="5B38A0F5" w14:textId="77777777" w:rsidR="00A77B3E" w:rsidRDefault="004711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Andrews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Burnapp</w:t>
      </w:r>
      <w:proofErr w:type="spellEnd"/>
      <w:r>
        <w:rPr>
          <w:rFonts w:ascii="Book Antiqua" w:eastAsia="Book Antiqua" w:hAnsi="Book Antiqua" w:cs="Book Antiqua"/>
          <w:color w:val="000000"/>
        </w:rPr>
        <w:t xml:space="preserve"> L. British Transplantation Society / Renal Association UK Guidelines for Living Donor Kidney Transplantation 2018: Summary of Updated Guidance.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e307 [PMID: 29688993 DOI: 10.1097/TP.0000000000002253]</w:t>
      </w:r>
    </w:p>
    <w:p w14:paraId="2683BFAE" w14:textId="21CD4030" w:rsidR="00A77B3E" w:rsidRDefault="00471120">
      <w:pPr>
        <w:spacing w:line="360" w:lineRule="auto"/>
        <w:jc w:val="both"/>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Delmonico F</w:t>
      </w:r>
      <w:r>
        <w:rPr>
          <w:rFonts w:ascii="Book Antiqua" w:eastAsia="Book Antiqua" w:hAnsi="Book Antiqua" w:cs="Book Antiqua"/>
          <w:color w:val="000000"/>
        </w:rPr>
        <w:t>; Council of the Transplantation Society.</w:t>
      </w:r>
      <w:proofErr w:type="gramEnd"/>
      <w:r>
        <w:rPr>
          <w:rFonts w:ascii="Book Antiqua" w:eastAsia="Book Antiqua" w:hAnsi="Book Antiqua" w:cs="Book Antiqua"/>
          <w:color w:val="000000"/>
        </w:rPr>
        <w:t xml:space="preserve"> A Report of the Amsterdam Forum </w:t>
      </w:r>
      <w:proofErr w:type="gramStart"/>
      <w:r>
        <w:rPr>
          <w:rFonts w:ascii="Book Antiqua" w:eastAsia="Book Antiqua" w:hAnsi="Book Antiqua" w:cs="Book Antiqua"/>
          <w:color w:val="000000"/>
        </w:rPr>
        <w:t>On</w:t>
      </w:r>
      <w:proofErr w:type="gramEnd"/>
      <w:r>
        <w:rPr>
          <w:rFonts w:ascii="Book Antiqua" w:eastAsia="Book Antiqua" w:hAnsi="Book Antiqua" w:cs="Book Antiqua"/>
          <w:color w:val="000000"/>
        </w:rPr>
        <w:t xml:space="preserve"> the Care of the Live Kidney Donor: Data and Medical Guidelines.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S53-S66 [PMID: 15785361</w:t>
      </w:r>
      <w:r w:rsidR="00384994" w:rsidRPr="00384994">
        <w:rPr>
          <w:rFonts w:ascii="Book Antiqua" w:eastAsia="Book Antiqua" w:hAnsi="Book Antiqua" w:cs="Book Antiqua"/>
          <w:color w:val="000000"/>
        </w:rPr>
        <w:t xml:space="preserve"> DOI: 10.1097/01.TP.0000157343.27949.9F</w:t>
      </w:r>
      <w:r>
        <w:rPr>
          <w:rFonts w:ascii="Book Antiqua" w:eastAsia="Book Antiqua" w:hAnsi="Book Antiqua" w:cs="Book Antiqua"/>
          <w:color w:val="000000"/>
        </w:rPr>
        <w:t>]</w:t>
      </w:r>
    </w:p>
    <w:p w14:paraId="275D4689" w14:textId="77777777" w:rsidR="00A77B3E" w:rsidRDefault="0047112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Mandelbrot DA</w:t>
      </w:r>
      <w:r>
        <w:rPr>
          <w:rFonts w:ascii="Book Antiqua" w:eastAsia="Book Antiqua" w:hAnsi="Book Antiqua" w:cs="Book Antiqua"/>
          <w:color w:val="000000"/>
        </w:rPr>
        <w:t xml:space="preserve">, Reese PP,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N, Thomas CP, </w:t>
      </w:r>
      <w:proofErr w:type="spellStart"/>
      <w:r>
        <w:rPr>
          <w:rFonts w:ascii="Book Antiqua" w:eastAsia="Book Antiqua" w:hAnsi="Book Antiqua" w:cs="Book Antiqua"/>
          <w:color w:val="000000"/>
        </w:rPr>
        <w:t>Rodrigue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Schinstock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Doshi</w:t>
      </w:r>
      <w:proofErr w:type="spellEnd"/>
      <w:r>
        <w:rPr>
          <w:rFonts w:ascii="Book Antiqua" w:eastAsia="Book Antiqua" w:hAnsi="Book Antiqua" w:cs="Book Antiqua"/>
          <w:color w:val="000000"/>
        </w:rPr>
        <w:t xml:space="preserve"> M, Cooper M, </w:t>
      </w:r>
      <w:proofErr w:type="spellStart"/>
      <w:r>
        <w:rPr>
          <w:rFonts w:ascii="Book Antiqua" w:eastAsia="Book Antiqua" w:hAnsi="Book Antiqua" w:cs="Book Antiqua"/>
          <w:color w:val="000000"/>
        </w:rPr>
        <w:t>Friedewald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Naik</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Ison</w:t>
      </w:r>
      <w:proofErr w:type="spellEnd"/>
      <w:r>
        <w:rPr>
          <w:rFonts w:ascii="Book Antiqua" w:eastAsia="Book Antiqua" w:hAnsi="Book Antiqua" w:cs="Book Antiqua"/>
          <w:color w:val="000000"/>
        </w:rPr>
        <w:t xml:space="preserve"> MG, Rocco MV, </w:t>
      </w:r>
      <w:proofErr w:type="spellStart"/>
      <w:r>
        <w:rPr>
          <w:rFonts w:ascii="Book Antiqua" w:eastAsia="Book Antiqua" w:hAnsi="Book Antiqua" w:cs="Book Antiqua"/>
          <w:color w:val="000000"/>
        </w:rPr>
        <w:t>Verbesey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MA, Ibrahim HN,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ED. KDOQI US Commentary on the 2017 KDIGO Clinical Practice Guideline on the Evaluation and Care of Living Kidney Donors.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299-316 [PMID: 32007233 DOI: 10.1053/j.ajkd.2019.10.005]</w:t>
      </w:r>
    </w:p>
    <w:p w14:paraId="4067C4D2" w14:textId="77777777" w:rsidR="00A77B3E" w:rsidRDefault="004711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Knoll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Cockfield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Blydt</w:t>
      </w:r>
      <w:proofErr w:type="spellEnd"/>
      <w:r>
        <w:rPr>
          <w:rFonts w:ascii="Book Antiqua" w:eastAsia="Book Antiqua" w:hAnsi="Book Antiqua" w:cs="Book Antiqua"/>
          <w:color w:val="000000"/>
        </w:rPr>
        <w:t xml:space="preserve">-Hansen T, </w:t>
      </w:r>
      <w:proofErr w:type="spellStart"/>
      <w:r>
        <w:rPr>
          <w:rFonts w:ascii="Book Antiqua" w:eastAsia="Book Antiqua" w:hAnsi="Book Antiqua" w:cs="Book Antiqua"/>
          <w:color w:val="000000"/>
        </w:rPr>
        <w:t>Baran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Kiberd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Landsberg</w:t>
      </w:r>
      <w:proofErr w:type="spellEnd"/>
      <w:r>
        <w:rPr>
          <w:rFonts w:ascii="Book Antiqua" w:eastAsia="Book Antiqua" w:hAnsi="Book Antiqua" w:cs="Book Antiqua"/>
          <w:color w:val="000000"/>
        </w:rPr>
        <w:t xml:space="preserve"> D, Rush D, Cole E; Kidney Transplant Working Group of the Canadian Society of Transplantation. Canadian Society of Transplantation: consensus guidelines on eligibility for kidney transplantation.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2005; </w:t>
      </w:r>
      <w:r>
        <w:rPr>
          <w:rFonts w:ascii="Book Antiqua" w:eastAsia="Book Antiqua" w:hAnsi="Book Antiqua" w:cs="Book Antiqua"/>
          <w:b/>
          <w:bCs/>
          <w:color w:val="000000"/>
        </w:rPr>
        <w:t>173</w:t>
      </w:r>
      <w:r>
        <w:rPr>
          <w:rFonts w:ascii="Book Antiqua" w:eastAsia="Book Antiqua" w:hAnsi="Book Antiqua" w:cs="Book Antiqua"/>
          <w:color w:val="000000"/>
        </w:rPr>
        <w:t>: S1-25 [PMID: 16275956 DOI: 10.1503/cmaj.1041588]</w:t>
      </w:r>
    </w:p>
    <w:p w14:paraId="67F677F7" w14:textId="77777777" w:rsidR="00A77B3E" w:rsidRDefault="00471120">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Kälble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Lucan M, </w:t>
      </w:r>
      <w:proofErr w:type="spellStart"/>
      <w:r>
        <w:rPr>
          <w:rFonts w:ascii="Book Antiqua" w:eastAsia="Book Antiqua" w:hAnsi="Book Antiqua" w:cs="Book Antiqua"/>
          <w:color w:val="000000"/>
        </w:rPr>
        <w:t>Nicita</w:t>
      </w:r>
      <w:proofErr w:type="spellEnd"/>
      <w:r>
        <w:rPr>
          <w:rFonts w:ascii="Book Antiqua" w:eastAsia="Book Antiqua" w:hAnsi="Book Antiqua" w:cs="Book Antiqua"/>
          <w:color w:val="000000"/>
        </w:rPr>
        <w:t xml:space="preserve"> G, Sells R, Burgos Revilla FJ, Wiesel M; European Association of Urology. </w:t>
      </w:r>
      <w:proofErr w:type="gramStart"/>
      <w:r>
        <w:rPr>
          <w:rFonts w:ascii="Book Antiqua" w:eastAsia="Book Antiqua" w:hAnsi="Book Antiqua" w:cs="Book Antiqua"/>
          <w:color w:val="000000"/>
        </w:rPr>
        <w:t>EAU guidelines on renal transplantation.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47</w:t>
      </w:r>
      <w:r>
        <w:rPr>
          <w:rFonts w:ascii="Book Antiqua" w:eastAsia="Book Antiqua" w:hAnsi="Book Antiqua" w:cs="Book Antiqua"/>
          <w:color w:val="000000"/>
        </w:rPr>
        <w:t>: 156-166 [PMID: 15661409 DOI: 10.1016/j.eururo.2004.02.009]</w:t>
      </w:r>
    </w:p>
    <w:p w14:paraId="75652A1A" w14:textId="340EA05B" w:rsidR="00A77B3E" w:rsidRDefault="00471120">
      <w:pPr>
        <w:spacing w:line="360" w:lineRule="auto"/>
        <w:jc w:val="both"/>
      </w:pPr>
      <w:proofErr w:type="gramStart"/>
      <w:r>
        <w:rPr>
          <w:rFonts w:ascii="Book Antiqua" w:eastAsia="Book Antiqua" w:hAnsi="Book Antiqua" w:cs="Book Antiqua"/>
          <w:color w:val="000000"/>
        </w:rPr>
        <w:t xml:space="preserve">35 </w:t>
      </w:r>
      <w:r>
        <w:rPr>
          <w:rFonts w:ascii="Book Antiqua" w:eastAsia="Book Antiqua" w:hAnsi="Book Antiqua" w:cs="Book Antiqua"/>
          <w:b/>
          <w:bCs/>
          <w:color w:val="000000"/>
        </w:rPr>
        <w:t>Ethics Committee of the Transplantation Society</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consensus statement of the Amsterdam Forum on the Care of the Live Kidney Donor.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78</w:t>
      </w:r>
      <w:r>
        <w:rPr>
          <w:rFonts w:ascii="Book Antiqua" w:eastAsia="Book Antiqua" w:hAnsi="Book Antiqua" w:cs="Book Antiqua"/>
          <w:color w:val="000000"/>
        </w:rPr>
        <w:t>: 491-492 [PMID: 15446304 DOI: 10.1097/01.tp.0000136654.85459.1e]</w:t>
      </w:r>
    </w:p>
    <w:p w14:paraId="450D0C73" w14:textId="77777777" w:rsidR="00A77B3E" w:rsidRDefault="0047112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Ammary</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Muzaale</w:t>
      </w:r>
      <w:proofErr w:type="spellEnd"/>
      <w:r>
        <w:rPr>
          <w:rFonts w:ascii="Book Antiqua" w:eastAsia="Book Antiqua" w:hAnsi="Book Antiqua" w:cs="Book Antiqua"/>
          <w:color w:val="000000"/>
        </w:rPr>
        <w:t xml:space="preserve"> AD, Massie AB, Crews DC, </w:t>
      </w:r>
      <w:proofErr w:type="spellStart"/>
      <w:r>
        <w:rPr>
          <w:rFonts w:ascii="Book Antiqua" w:eastAsia="Book Antiqua" w:hAnsi="Book Antiqua" w:cs="Book Antiqua"/>
          <w:color w:val="000000"/>
        </w:rPr>
        <w:t>Waldram</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Qadi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Garonzik</w:t>
      </w:r>
      <w:proofErr w:type="spellEnd"/>
      <w:r>
        <w:rPr>
          <w:rFonts w:ascii="Book Antiqua" w:eastAsia="Book Antiqua" w:hAnsi="Book Antiqua" w:cs="Book Antiqua"/>
          <w:color w:val="000000"/>
        </w:rPr>
        <w:t xml:space="preserve">-Wang J, Henderson ML, Brennan DC, Wiseman AC, </w:t>
      </w:r>
      <w:proofErr w:type="spellStart"/>
      <w:r>
        <w:rPr>
          <w:rFonts w:ascii="Book Antiqua" w:eastAsia="Book Antiqua" w:hAnsi="Book Antiqua" w:cs="Book Antiqua"/>
          <w:color w:val="000000"/>
        </w:rPr>
        <w:t>Lindrooth</w:t>
      </w:r>
      <w:proofErr w:type="spellEnd"/>
      <w:r>
        <w:rPr>
          <w:rFonts w:ascii="Book Antiqua" w:eastAsia="Book Antiqua" w:hAnsi="Book Antiqua" w:cs="Book Antiqua"/>
          <w:color w:val="000000"/>
        </w:rPr>
        <w:t xml:space="preserve"> RC, Snyder JJ, </w:t>
      </w:r>
      <w:proofErr w:type="spellStart"/>
      <w:r>
        <w:rPr>
          <w:rFonts w:ascii="Book Antiqua" w:eastAsia="Book Antiqua" w:hAnsi="Book Antiqua" w:cs="Book Antiqua"/>
          <w:color w:val="000000"/>
        </w:rPr>
        <w:t>Coresh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w:t>
      </w:r>
      <w:proofErr w:type="gramStart"/>
      <w:r>
        <w:rPr>
          <w:rFonts w:ascii="Book Antiqua" w:eastAsia="Book Antiqua" w:hAnsi="Book Antiqua" w:cs="Book Antiqua"/>
          <w:color w:val="000000"/>
        </w:rPr>
        <w:t>Risk of ESKD in Older Live Kidney Donors with Hypertension.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1048-1055 [PMID: 31239252 DOI: 10.2215/CJN.14031118]</w:t>
      </w:r>
    </w:p>
    <w:p w14:paraId="20A36BED" w14:textId="77777777" w:rsidR="00A77B3E" w:rsidRDefault="0047112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Ozdemir</w:t>
      </w:r>
      <w:proofErr w:type="spellEnd"/>
      <w:r>
        <w:rPr>
          <w:rFonts w:ascii="Book Antiqua" w:eastAsia="Book Antiqua" w:hAnsi="Book Antiqua" w:cs="Book Antiqua"/>
          <w:b/>
          <w:bCs/>
          <w:color w:val="000000"/>
        </w:rPr>
        <w:t xml:space="preserve"> 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Akgul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Haberal</w:t>
      </w:r>
      <w:proofErr w:type="spellEnd"/>
      <w:r>
        <w:rPr>
          <w:rFonts w:ascii="Book Antiqua" w:eastAsia="Book Antiqua" w:hAnsi="Book Antiqua" w:cs="Book Antiqua"/>
          <w:color w:val="000000"/>
        </w:rPr>
        <w:t xml:space="preserve"> M. Metabolic syndrome is related to long-term graft function in renal transplant recipients. </w:t>
      </w:r>
      <w:r>
        <w:rPr>
          <w:rFonts w:ascii="Book Antiqua" w:eastAsia="Book Antiqua" w:hAnsi="Book Antiqua" w:cs="Book Antiqua"/>
          <w:i/>
          <w:iCs/>
          <w:color w:val="000000"/>
        </w:rPr>
        <w:t xml:space="preserve">Transplant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2808-2810 [PMID: 19765441 DOI: 10.1016/j.transproceed.2009.07.058]</w:t>
      </w:r>
    </w:p>
    <w:p w14:paraId="387015E6" w14:textId="77777777" w:rsidR="00A77B3E" w:rsidRDefault="0047112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Mustian</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Kumar V, </w:t>
      </w:r>
      <w:proofErr w:type="spellStart"/>
      <w:r>
        <w:rPr>
          <w:rFonts w:ascii="Book Antiqua" w:eastAsia="Book Antiqua" w:hAnsi="Book Antiqua" w:cs="Book Antiqua"/>
          <w:color w:val="000000"/>
        </w:rPr>
        <w:t>Hanaway</w:t>
      </w:r>
      <w:proofErr w:type="spellEnd"/>
      <w:r>
        <w:rPr>
          <w:rFonts w:ascii="Book Antiqua" w:eastAsia="Book Antiqua" w:hAnsi="Book Antiqua" w:cs="Book Antiqua"/>
          <w:color w:val="000000"/>
        </w:rPr>
        <w:t xml:space="preserve"> M, MacLennan PA, Shelton BA, Reed RD, </w:t>
      </w:r>
      <w:proofErr w:type="spellStart"/>
      <w:r>
        <w:rPr>
          <w:rFonts w:ascii="Book Antiqua" w:eastAsia="Book Antiqua" w:hAnsi="Book Antiqua" w:cs="Book Antiqua"/>
          <w:color w:val="000000"/>
        </w:rPr>
        <w:t>Correya</w:t>
      </w:r>
      <w:proofErr w:type="spellEnd"/>
      <w:r>
        <w:rPr>
          <w:rFonts w:ascii="Book Antiqua" w:eastAsia="Book Antiqua" w:hAnsi="Book Antiqua" w:cs="Book Antiqua"/>
          <w:color w:val="000000"/>
        </w:rPr>
        <w:t xml:space="preserve"> T, Grant R, Carter A, Baker G, Patterson J, Peoples M, Holden S, </w:t>
      </w:r>
      <w:proofErr w:type="spellStart"/>
      <w:r>
        <w:rPr>
          <w:rFonts w:ascii="Book Antiqua" w:eastAsia="Book Antiqua" w:hAnsi="Book Antiqua" w:cs="Book Antiqua"/>
          <w:color w:val="000000"/>
        </w:rPr>
        <w:t>Orandi</w:t>
      </w:r>
      <w:proofErr w:type="spellEnd"/>
      <w:r>
        <w:rPr>
          <w:rFonts w:ascii="Book Antiqua" w:eastAsia="Book Antiqua" w:hAnsi="Book Antiqua" w:cs="Book Antiqua"/>
          <w:color w:val="000000"/>
        </w:rPr>
        <w:t xml:space="preserve"> BJ, Locke JE. Donation approval among obese living kidney donor candidates: The impact of metabolic syndrome.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940-946 [PMID: 31444005 DOI: 10.1016/j.surg.2019.07.008]</w:t>
      </w:r>
    </w:p>
    <w:p w14:paraId="3F04F83D" w14:textId="77777777" w:rsidR="00A77B3E" w:rsidRDefault="0047112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Locke JE</w:t>
      </w:r>
      <w:r>
        <w:rPr>
          <w:rFonts w:ascii="Book Antiqua" w:eastAsia="Book Antiqua" w:hAnsi="Book Antiqua" w:cs="Book Antiqua"/>
          <w:color w:val="000000"/>
        </w:rPr>
        <w:t xml:space="preserve">, Reed RD, Massie AB, MacLennan PA, </w:t>
      </w:r>
      <w:proofErr w:type="spellStart"/>
      <w:r>
        <w:rPr>
          <w:rFonts w:ascii="Book Antiqua" w:eastAsia="Book Antiqua" w:hAnsi="Book Antiqua" w:cs="Book Antiqua"/>
          <w:color w:val="000000"/>
        </w:rPr>
        <w:t>Sawinski</w:t>
      </w:r>
      <w:proofErr w:type="spellEnd"/>
      <w:r>
        <w:rPr>
          <w:rFonts w:ascii="Book Antiqua" w:eastAsia="Book Antiqua" w:hAnsi="Book Antiqua" w:cs="Book Antiqua"/>
          <w:color w:val="000000"/>
        </w:rPr>
        <w:t xml:space="preserve"> D, Kumar V, Snyder JJ, Carter AJ, Shelton BA, </w:t>
      </w:r>
      <w:proofErr w:type="spellStart"/>
      <w:r>
        <w:rPr>
          <w:rFonts w:ascii="Book Antiqua" w:eastAsia="Book Antiqua" w:hAnsi="Book Antiqua" w:cs="Book Antiqua"/>
          <w:color w:val="000000"/>
        </w:rPr>
        <w:t>Mustian</w:t>
      </w:r>
      <w:proofErr w:type="spellEnd"/>
      <w:r>
        <w:rPr>
          <w:rFonts w:ascii="Book Antiqua" w:eastAsia="Book Antiqua" w:hAnsi="Book Antiqua" w:cs="Book Antiqua"/>
          <w:color w:val="000000"/>
        </w:rPr>
        <w:t xml:space="preserve"> MN, Lewis CE,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Obesity and long-term mortality risk among living kidney donors.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205-208 [PMID: 31072668 DOI: 10.1016/j.surg.2019.03.016]</w:t>
      </w:r>
    </w:p>
    <w:p w14:paraId="3CB41447" w14:textId="77777777" w:rsidR="00A77B3E" w:rsidRDefault="0047112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Yoon YE</w:t>
      </w:r>
      <w:r>
        <w:rPr>
          <w:rFonts w:ascii="Book Antiqua" w:eastAsia="Book Antiqua" w:hAnsi="Book Antiqua" w:cs="Book Antiqua"/>
          <w:color w:val="000000"/>
        </w:rPr>
        <w:t xml:space="preserve">, Choi KH, Lee KS, Kim KH, Yang SC, Han WK. Impact of metabolic syndrome on </w:t>
      </w:r>
      <w:proofErr w:type="spellStart"/>
      <w:r>
        <w:rPr>
          <w:rFonts w:ascii="Book Antiqua" w:eastAsia="Book Antiqua" w:hAnsi="Book Antiqua" w:cs="Book Antiqua"/>
          <w:color w:val="000000"/>
        </w:rPr>
        <w:t>postdonation</w:t>
      </w:r>
      <w:proofErr w:type="spellEnd"/>
      <w:r>
        <w:rPr>
          <w:rFonts w:ascii="Book Antiqua" w:eastAsia="Book Antiqua" w:hAnsi="Book Antiqua" w:cs="Book Antiqua"/>
          <w:color w:val="000000"/>
        </w:rPr>
        <w:t xml:space="preserve"> renal function in living kidney donors. </w:t>
      </w:r>
      <w:r>
        <w:rPr>
          <w:rFonts w:ascii="Book Antiqua" w:eastAsia="Book Antiqua" w:hAnsi="Book Antiqua" w:cs="Book Antiqua"/>
          <w:i/>
          <w:iCs/>
          <w:color w:val="000000"/>
        </w:rPr>
        <w:t xml:space="preserve">Transplant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290-294 [PMID: 25769562 DOI: 10.1016/j.transproceed.2014.10.051]</w:t>
      </w:r>
    </w:p>
    <w:p w14:paraId="637AB2A5" w14:textId="77777777" w:rsidR="00A77B3E" w:rsidRDefault="0047112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Mağden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Ucar</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Velioğlu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Arıkan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Yeğen</w:t>
      </w:r>
      <w:proofErr w:type="spellEnd"/>
      <w:r>
        <w:rPr>
          <w:rFonts w:ascii="Book Antiqua" w:eastAsia="Book Antiqua" w:hAnsi="Book Antiqua" w:cs="Book Antiqua"/>
          <w:color w:val="000000"/>
        </w:rPr>
        <w:t xml:space="preserve"> ŞC, </w:t>
      </w:r>
      <w:proofErr w:type="spellStart"/>
      <w:r>
        <w:rPr>
          <w:rFonts w:ascii="Book Antiqua" w:eastAsia="Book Antiqua" w:hAnsi="Book Antiqua" w:cs="Book Antiqua"/>
          <w:color w:val="000000"/>
        </w:rPr>
        <w:t>Tuğlular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Özener</w:t>
      </w:r>
      <w:proofErr w:type="spellEnd"/>
      <w:r>
        <w:rPr>
          <w:rFonts w:ascii="Book Antiqua" w:eastAsia="Book Antiqua" w:hAnsi="Book Antiqua" w:cs="Book Antiqua"/>
          <w:color w:val="000000"/>
        </w:rPr>
        <w:t xml:space="preserve"> IÇ. Donor Contraindications to Living Kidney Donation: A Single-Center Experience. </w:t>
      </w:r>
      <w:r>
        <w:rPr>
          <w:rFonts w:ascii="Book Antiqua" w:eastAsia="Book Antiqua" w:hAnsi="Book Antiqua" w:cs="Book Antiqua"/>
          <w:i/>
          <w:iCs/>
          <w:color w:val="000000"/>
        </w:rPr>
        <w:t xml:space="preserve">Transplant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1299-1301 [PMID: 26093703 DOI: 10.1016/j.transproceed.2015.04.050]</w:t>
      </w:r>
    </w:p>
    <w:p w14:paraId="75244F63" w14:textId="77777777" w:rsidR="00A77B3E" w:rsidRDefault="00471120">
      <w:pPr>
        <w:spacing w:line="360" w:lineRule="auto"/>
        <w:jc w:val="both"/>
      </w:pPr>
      <w:proofErr w:type="gramStart"/>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Andrews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Burnapp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Manas</w:t>
      </w:r>
      <w:proofErr w:type="spellEnd"/>
      <w:r>
        <w:rPr>
          <w:rFonts w:ascii="Book Antiqua" w:eastAsia="Book Antiqua" w:hAnsi="Book Antiqua" w:cs="Book Antiqua"/>
          <w:color w:val="000000"/>
        </w:rPr>
        <w:t xml:space="preserve"> D; British Transplantation Society.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Summary of the British Transplantation Society guidelines for transplantation from donors after deceased circulatory death.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97</w:t>
      </w:r>
      <w:r>
        <w:rPr>
          <w:rFonts w:ascii="Book Antiqua" w:eastAsia="Book Antiqua" w:hAnsi="Book Antiqua" w:cs="Book Antiqua"/>
          <w:color w:val="000000"/>
        </w:rPr>
        <w:t>: 265-270 [PMID: 24448588 DOI: 10.1097/01.TP.0000438630.13967.c0]</w:t>
      </w:r>
    </w:p>
    <w:p w14:paraId="0D0674F1" w14:textId="77777777" w:rsidR="00A77B3E" w:rsidRDefault="00471120">
      <w:pPr>
        <w:spacing w:line="360" w:lineRule="auto"/>
        <w:jc w:val="both"/>
      </w:pPr>
      <w:proofErr w:type="gramStart"/>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Isbel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CARI guidelines.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CARI guidelines.</w:t>
      </w:r>
      <w:proofErr w:type="gramEnd"/>
      <w:r>
        <w:rPr>
          <w:rFonts w:ascii="Book Antiqua" w:eastAsia="Book Antiqua" w:hAnsi="Book Antiqua" w:cs="Book Antiqua"/>
          <w:color w:val="000000"/>
        </w:rPr>
        <w:t xml:space="preserve"> Donors at risk: obesity.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2010; </w:t>
      </w:r>
      <w:r>
        <w:rPr>
          <w:rFonts w:ascii="Book Antiqua" w:eastAsia="Book Antiqua" w:hAnsi="Book Antiqua" w:cs="Book Antiqua"/>
          <w:b/>
          <w:bCs/>
          <w:color w:val="000000"/>
        </w:rPr>
        <w:t xml:space="preserve">15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S121-S132 [PMID: 20591024 DOI: 10.1111/j.1440-1797.2009.01221.x]</w:t>
      </w:r>
    </w:p>
    <w:p w14:paraId="4BC0EB49" w14:textId="15C6668D" w:rsidR="00A77B3E" w:rsidRDefault="0047112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Quadri</w:t>
      </w:r>
      <w:proofErr w:type="spellEnd"/>
      <w:r>
        <w:rPr>
          <w:rFonts w:ascii="Book Antiqua" w:eastAsia="Book Antiqua" w:hAnsi="Book Antiqua" w:cs="Book Antiqua"/>
          <w:b/>
          <w:bCs/>
          <w:color w:val="000000"/>
        </w:rPr>
        <w:t xml:space="preserve"> S AH</w:t>
      </w:r>
      <w:r w:rsidRPr="00476FB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Fulop</w:t>
      </w:r>
      <w:proofErr w:type="spellEnd"/>
      <w:r>
        <w:rPr>
          <w:rFonts w:ascii="Book Antiqua" w:eastAsia="Book Antiqua" w:hAnsi="Book Antiqua" w:cs="Book Antiqua"/>
          <w:color w:val="000000"/>
        </w:rPr>
        <w:t xml:space="preserve"> T, Osman A, </w:t>
      </w:r>
      <w:proofErr w:type="spellStart"/>
      <w:r>
        <w:rPr>
          <w:rFonts w:ascii="Book Antiqua" w:eastAsia="Book Antiqua" w:hAnsi="Book Antiqua" w:cs="Book Antiqua"/>
          <w:color w:val="000000"/>
        </w:rPr>
        <w:t>Soliman</w:t>
      </w:r>
      <w:proofErr w:type="spellEnd"/>
      <w:r>
        <w:rPr>
          <w:rFonts w:ascii="Book Antiqua" w:eastAsia="Book Antiqua" w:hAnsi="Book Antiqua" w:cs="Book Antiqua"/>
          <w:color w:val="000000"/>
        </w:rPr>
        <w:t xml:space="preserve"> K. Additive Effect of Obesity to Hypertension in Living Donors and Their Impact on Glomerular Filtration Rate Compensation with 5 Year Follow-Up</w:t>
      </w:r>
      <w:r w:rsidR="00476FBB" w:rsidRPr="00476FBB">
        <w:t xml:space="preserve"> </w:t>
      </w:r>
      <w:r w:rsidR="00476FBB" w:rsidRPr="00476FBB">
        <w:rPr>
          <w:rFonts w:ascii="Book Antiqua" w:eastAsia="Book Antiqua" w:hAnsi="Book Antiqua" w:cs="Book Antiqua"/>
          <w:color w:val="000000"/>
        </w:rPr>
        <w:t>[abstract]</w:t>
      </w:r>
      <w:r>
        <w:rPr>
          <w:rFonts w:ascii="Book Antiqua" w:eastAsia="Book Antiqua" w:hAnsi="Book Antiqua" w:cs="Book Antiqua"/>
          <w:color w:val="000000"/>
        </w:rPr>
        <w:t xml:space="preserve">. </w:t>
      </w:r>
      <w:r w:rsidRPr="00476FBB">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w:t>
      </w:r>
      <w:r w:rsidR="00476FBB">
        <w:rPr>
          <w:rFonts w:ascii="Book Antiqua" w:eastAsia="Book Antiqua" w:hAnsi="Book Antiqua" w:cs="Book Antiqua"/>
          <w:color w:val="000000"/>
        </w:rPr>
        <w:t xml:space="preserve">; </w:t>
      </w:r>
      <w:r w:rsidR="00476FBB" w:rsidRPr="00476FBB">
        <w:rPr>
          <w:rFonts w:ascii="Book Antiqua" w:eastAsia="Book Antiqua" w:hAnsi="Book Antiqua" w:cs="Book Antiqua"/>
          <w:b/>
          <w:bCs/>
          <w:color w:val="000000"/>
        </w:rPr>
        <w:t>20</w:t>
      </w:r>
    </w:p>
    <w:p w14:paraId="430F3007" w14:textId="77777777" w:rsidR="00A77B3E" w:rsidRDefault="0047112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Shantier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 Y, </w:t>
      </w:r>
      <w:proofErr w:type="spellStart"/>
      <w:r>
        <w:rPr>
          <w:rFonts w:ascii="Book Antiqua" w:eastAsia="Book Antiqua" w:hAnsi="Book Antiqua" w:cs="Book Antiqua"/>
          <w:color w:val="000000"/>
        </w:rPr>
        <w:t>Ashwin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Famure</w:t>
      </w:r>
      <w:proofErr w:type="spellEnd"/>
      <w:r>
        <w:rPr>
          <w:rFonts w:ascii="Book Antiqua" w:eastAsia="Book Antiqua" w:hAnsi="Book Antiqua" w:cs="Book Antiqua"/>
          <w:color w:val="000000"/>
        </w:rPr>
        <w:t xml:space="preserve"> O, Singh SK. Use of the Living Kidney Donor Profile Index in the Canadian Kidney Transplant Recipient Population: A Validation Study. </w:t>
      </w:r>
      <w:r>
        <w:rPr>
          <w:rFonts w:ascii="Book Antiqua" w:eastAsia="Book Antiqua" w:hAnsi="Book Antiqua" w:cs="Book Antiqua"/>
          <w:i/>
          <w:iCs/>
          <w:color w:val="000000"/>
        </w:rPr>
        <w:t>Can J Kidney Health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2054358120906976 [PMID: 32128225 DOI: 10.1177/2054358120906976]</w:t>
      </w:r>
    </w:p>
    <w:p w14:paraId="38B25496" w14:textId="77777777" w:rsidR="00A77B3E" w:rsidRDefault="004711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Yamamoto K</w:t>
      </w:r>
      <w:r>
        <w:rPr>
          <w:rFonts w:ascii="Book Antiqua" w:eastAsia="Book Antiqua" w:hAnsi="Book Antiqua" w:cs="Book Antiqua"/>
          <w:color w:val="000000"/>
        </w:rPr>
        <w:t xml:space="preserve">, Takada Y, Fujimoto Y,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Oike</w:t>
      </w:r>
      <w:proofErr w:type="spellEnd"/>
      <w:r>
        <w:rPr>
          <w:rFonts w:ascii="Book Antiqua" w:eastAsia="Book Antiqua" w:hAnsi="Book Antiqua" w:cs="Book Antiqua"/>
          <w:color w:val="000000"/>
        </w:rPr>
        <w:t xml:space="preserve"> F, Kobayashi N, Tanaka K.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in donors for living donor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83</w:t>
      </w:r>
      <w:r>
        <w:rPr>
          <w:rFonts w:ascii="Book Antiqua" w:eastAsia="Book Antiqua" w:hAnsi="Book Antiqua" w:cs="Book Antiqua"/>
          <w:color w:val="000000"/>
        </w:rPr>
        <w:t>: 257-262 [PMID: 17297396 DOI: 10.1097/01.tp.0000250671.06456.3f]</w:t>
      </w:r>
    </w:p>
    <w:p w14:paraId="2C63C2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24CC72" w14:textId="77777777" w:rsidR="00A77B3E" w:rsidRDefault="00471120">
      <w:pPr>
        <w:spacing w:line="360" w:lineRule="auto"/>
        <w:jc w:val="both"/>
      </w:pPr>
      <w:r>
        <w:rPr>
          <w:rFonts w:ascii="Book Antiqua" w:eastAsia="Book Antiqua" w:hAnsi="Book Antiqua" w:cs="Book Antiqua"/>
          <w:b/>
          <w:color w:val="000000"/>
        </w:rPr>
        <w:lastRenderedPageBreak/>
        <w:t>Footnotes</w:t>
      </w:r>
    </w:p>
    <w:p w14:paraId="40C3F6A6" w14:textId="03BFF9A9" w:rsidR="00A77B3E" w:rsidRDefault="0047112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w:t>
      </w:r>
      <w:r w:rsidR="00F04EE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authors</w:t>
      </w:r>
      <w:r w:rsidR="00F04EE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declare no</w:t>
      </w:r>
      <w:r w:rsidR="00F04EE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conflicts</w:t>
      </w:r>
      <w:r w:rsidR="00F04EE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 interest.</w:t>
      </w:r>
    </w:p>
    <w:p w14:paraId="38DA11DA" w14:textId="77777777" w:rsidR="00A77B3E" w:rsidRDefault="00A77B3E">
      <w:pPr>
        <w:spacing w:line="360" w:lineRule="auto"/>
        <w:jc w:val="both"/>
      </w:pPr>
    </w:p>
    <w:p w14:paraId="20EB9FFB" w14:textId="77777777" w:rsidR="00A77B3E" w:rsidRDefault="004711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65141D" w14:textId="77777777" w:rsidR="00A77B3E" w:rsidRDefault="00A77B3E">
      <w:pPr>
        <w:spacing w:line="360" w:lineRule="auto"/>
        <w:jc w:val="both"/>
      </w:pPr>
    </w:p>
    <w:p w14:paraId="62C14B4A" w14:textId="4299FBAA" w:rsidR="00A77B3E" w:rsidRDefault="004711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476FB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C723CE9" w14:textId="77777777" w:rsidR="00A77B3E" w:rsidRDefault="00A77B3E">
      <w:pPr>
        <w:spacing w:line="360" w:lineRule="auto"/>
        <w:jc w:val="both"/>
      </w:pPr>
    </w:p>
    <w:p w14:paraId="3597871E" w14:textId="77777777" w:rsidR="00A77B3E" w:rsidRDefault="004711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25, 2021</w:t>
      </w:r>
    </w:p>
    <w:p w14:paraId="112766E3" w14:textId="77777777" w:rsidR="00A77B3E" w:rsidRDefault="004711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2FA2D5E7" w14:textId="783E7835" w:rsidR="00A77B3E" w:rsidRDefault="00471120">
      <w:pPr>
        <w:spacing w:line="360" w:lineRule="auto"/>
        <w:jc w:val="both"/>
      </w:pPr>
      <w:r>
        <w:rPr>
          <w:rFonts w:ascii="Book Antiqua" w:eastAsia="Book Antiqua" w:hAnsi="Book Antiqua" w:cs="Book Antiqua"/>
          <w:b/>
          <w:color w:val="000000"/>
        </w:rPr>
        <w:t xml:space="preserve">Article in press: </w:t>
      </w:r>
      <w:r w:rsidR="00364EB2" w:rsidRPr="00364EB2">
        <w:rPr>
          <w:rFonts w:ascii="Book Antiqua" w:eastAsia="Book Antiqua" w:hAnsi="Book Antiqua" w:cs="Book Antiqua"/>
          <w:color w:val="000000"/>
        </w:rPr>
        <w:t>May 22, 2021</w:t>
      </w:r>
    </w:p>
    <w:p w14:paraId="14F4C4AE" w14:textId="77777777" w:rsidR="00A77B3E" w:rsidRDefault="00A77B3E">
      <w:pPr>
        <w:spacing w:line="360" w:lineRule="auto"/>
        <w:jc w:val="both"/>
      </w:pPr>
    </w:p>
    <w:p w14:paraId="0D29FED0" w14:textId="21C7C578" w:rsidR="00A77B3E" w:rsidRDefault="00471120">
      <w:pPr>
        <w:spacing w:line="360" w:lineRule="auto"/>
        <w:jc w:val="both"/>
      </w:pPr>
      <w:r>
        <w:rPr>
          <w:rFonts w:ascii="Book Antiqua" w:eastAsia="Book Antiqua" w:hAnsi="Book Antiqua" w:cs="Book Antiqua"/>
          <w:b/>
          <w:color w:val="000000"/>
        </w:rPr>
        <w:t xml:space="preserve">Specialty type: </w:t>
      </w:r>
      <w:r w:rsidR="00476FBB" w:rsidRPr="00E700C2">
        <w:rPr>
          <w:rFonts w:ascii="Book Antiqua" w:eastAsia="微软雅黑" w:hAnsi="Book Antiqua" w:cs="宋体"/>
        </w:rPr>
        <w:t>Transplantation</w:t>
      </w:r>
    </w:p>
    <w:p w14:paraId="1F211C80" w14:textId="77777777" w:rsidR="00A77B3E" w:rsidRDefault="004711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44F110C" w14:textId="77777777" w:rsidR="00A77B3E" w:rsidRDefault="00471120">
      <w:pPr>
        <w:spacing w:line="360" w:lineRule="auto"/>
        <w:jc w:val="both"/>
      </w:pPr>
      <w:r>
        <w:rPr>
          <w:rFonts w:ascii="Book Antiqua" w:eastAsia="Book Antiqua" w:hAnsi="Book Antiqua" w:cs="Book Antiqua"/>
          <w:b/>
          <w:color w:val="000000"/>
        </w:rPr>
        <w:t>Peer-review report’s scientific quality classification</w:t>
      </w:r>
    </w:p>
    <w:p w14:paraId="784DDC30" w14:textId="77777777" w:rsidR="00A77B3E" w:rsidRDefault="0047112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E050DAE" w14:textId="77777777" w:rsidR="00A77B3E" w:rsidRDefault="00471120">
      <w:pPr>
        <w:spacing w:line="360" w:lineRule="auto"/>
        <w:jc w:val="both"/>
      </w:pPr>
      <w:r>
        <w:rPr>
          <w:rFonts w:ascii="Book Antiqua" w:eastAsia="Book Antiqua" w:hAnsi="Book Antiqua" w:cs="Book Antiqua"/>
          <w:color w:val="000000"/>
        </w:rPr>
        <w:t>Grade B (Very good): B, B</w:t>
      </w:r>
    </w:p>
    <w:p w14:paraId="02EAA9F3" w14:textId="77777777" w:rsidR="00A77B3E" w:rsidRDefault="00471120">
      <w:pPr>
        <w:spacing w:line="360" w:lineRule="auto"/>
        <w:jc w:val="both"/>
      </w:pPr>
      <w:r>
        <w:rPr>
          <w:rFonts w:ascii="Book Antiqua" w:eastAsia="Book Antiqua" w:hAnsi="Book Antiqua" w:cs="Book Antiqua"/>
          <w:color w:val="000000"/>
        </w:rPr>
        <w:t>Grade C (Good): C</w:t>
      </w:r>
    </w:p>
    <w:p w14:paraId="7F868BAA" w14:textId="77777777" w:rsidR="00A77B3E" w:rsidRDefault="00471120">
      <w:pPr>
        <w:spacing w:line="360" w:lineRule="auto"/>
        <w:jc w:val="both"/>
      </w:pPr>
      <w:r>
        <w:rPr>
          <w:rFonts w:ascii="Book Antiqua" w:eastAsia="Book Antiqua" w:hAnsi="Book Antiqua" w:cs="Book Antiqua"/>
          <w:color w:val="000000"/>
        </w:rPr>
        <w:t>Grade D (Fair): 0</w:t>
      </w:r>
    </w:p>
    <w:p w14:paraId="67A90865" w14:textId="77777777" w:rsidR="00A77B3E" w:rsidRDefault="00471120">
      <w:pPr>
        <w:spacing w:line="360" w:lineRule="auto"/>
        <w:jc w:val="both"/>
      </w:pPr>
      <w:r>
        <w:rPr>
          <w:rFonts w:ascii="Book Antiqua" w:eastAsia="Book Antiqua" w:hAnsi="Book Antiqua" w:cs="Book Antiqua"/>
          <w:color w:val="000000"/>
        </w:rPr>
        <w:t>Grade E (Poor): 0</w:t>
      </w:r>
    </w:p>
    <w:p w14:paraId="5AB40366" w14:textId="77777777" w:rsidR="00A77B3E" w:rsidRDefault="00A77B3E">
      <w:pPr>
        <w:spacing w:line="360" w:lineRule="auto"/>
        <w:jc w:val="both"/>
      </w:pPr>
    </w:p>
    <w:p w14:paraId="46F351CC" w14:textId="74C450B7" w:rsidR="00A77B3E" w:rsidRPr="00364EB2" w:rsidRDefault="00471120">
      <w:pPr>
        <w:spacing w:line="360" w:lineRule="auto"/>
        <w:jc w:val="both"/>
        <w:rPr>
          <w:lang w:eastAsia="zh-CN"/>
        </w:rPr>
        <w:sectPr w:rsidR="00A77B3E" w:rsidRPr="00364EB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Darius T, Gonzalez FM</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364EB2" w:rsidRPr="00364EB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364EB2" w:rsidRPr="00364EB2">
        <w:rPr>
          <w:rFonts w:ascii="Book Antiqua" w:hAnsi="Book Antiqua" w:cs="Book Antiqua" w:hint="eastAsia"/>
          <w:color w:val="000000"/>
          <w:lang w:eastAsia="zh-CN"/>
        </w:rPr>
        <w:t>Yuan YY</w:t>
      </w:r>
    </w:p>
    <w:p w14:paraId="312405CC" w14:textId="42AFDCC6" w:rsidR="00A77B3E" w:rsidRDefault="0047112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1</w:t>
      </w:r>
      <w:r w:rsidR="00F04EE8" w:rsidRPr="00F04EE8">
        <w:rPr>
          <w:rFonts w:ascii="Book Antiqua" w:eastAsia="Book Antiqua" w:hAnsi="Book Antiqua" w:cs="Book Antiqua"/>
          <w:b/>
          <w:bCs/>
          <w:color w:val="000000"/>
        </w:rPr>
        <w:t xml:space="preserve"> </w:t>
      </w:r>
      <w:r w:rsidRPr="00F04EE8">
        <w:rPr>
          <w:rFonts w:ascii="Book Antiqua" w:eastAsia="Book Antiqua" w:hAnsi="Book Antiqua" w:cs="Book Antiqua"/>
          <w:b/>
          <w:bCs/>
          <w:color w:val="000000"/>
        </w:rPr>
        <w:t xml:space="preserve">Summary of studies addressing outcome of hypertensive and obese living kidney </w:t>
      </w:r>
      <w:proofErr w:type="gramStart"/>
      <w:r w:rsidRPr="00F04EE8">
        <w:rPr>
          <w:rFonts w:ascii="Book Antiqua" w:eastAsia="Book Antiqua" w:hAnsi="Book Antiqua" w:cs="Book Antiqua"/>
          <w:b/>
          <w:bCs/>
          <w:color w:val="000000"/>
        </w:rPr>
        <w:t>donors</w:t>
      </w:r>
      <w:proofErr w:type="gramEnd"/>
      <w:r w:rsidRPr="00F04EE8">
        <w:rPr>
          <w:rFonts w:ascii="Book Antiqua" w:eastAsia="Book Antiqua" w:hAnsi="Book Antiqua" w:cs="Book Antiqua"/>
          <w:b/>
          <w:bCs/>
          <w:color w:val="000000"/>
        </w:rPr>
        <w:t xml:space="preserve"> post-donation</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1117"/>
        <w:gridCol w:w="1543"/>
        <w:gridCol w:w="2949"/>
        <w:gridCol w:w="2791"/>
      </w:tblGrid>
      <w:tr w:rsidR="00F04EE8" w:rsidRPr="00F04EE8" w14:paraId="0CEE7214" w14:textId="77777777" w:rsidTr="007D277E">
        <w:trPr>
          <w:trHeight w:val="542"/>
        </w:trPr>
        <w:tc>
          <w:tcPr>
            <w:tcW w:w="1238" w:type="dxa"/>
            <w:tcBorders>
              <w:top w:val="single" w:sz="4" w:space="0" w:color="auto"/>
              <w:bottom w:val="single" w:sz="4" w:space="0" w:color="auto"/>
            </w:tcBorders>
          </w:tcPr>
          <w:p w14:paraId="12A8659B" w14:textId="2E7A1BFA" w:rsidR="00F04EE8" w:rsidRPr="00F04EE8" w:rsidRDefault="00A83426" w:rsidP="00F04EE8">
            <w:pPr>
              <w:spacing w:line="360" w:lineRule="auto"/>
              <w:jc w:val="both"/>
              <w:rPr>
                <w:rFonts w:ascii="Book Antiqua" w:hAnsi="Book Antiqua"/>
                <w:b/>
                <w:bCs/>
              </w:rPr>
            </w:pPr>
            <w:r>
              <w:rPr>
                <w:rFonts w:ascii="Book Antiqua" w:hAnsi="Book Antiqua"/>
                <w:b/>
                <w:bCs/>
              </w:rPr>
              <w:t>Ref.</w:t>
            </w:r>
          </w:p>
        </w:tc>
        <w:tc>
          <w:tcPr>
            <w:tcW w:w="1174" w:type="dxa"/>
            <w:tcBorders>
              <w:top w:val="single" w:sz="4" w:space="0" w:color="auto"/>
              <w:bottom w:val="single" w:sz="4" w:space="0" w:color="auto"/>
            </w:tcBorders>
          </w:tcPr>
          <w:p w14:paraId="614E99C3" w14:textId="77777777" w:rsidR="00F04EE8" w:rsidRPr="00F04EE8" w:rsidRDefault="00F04EE8" w:rsidP="00F04EE8">
            <w:pPr>
              <w:spacing w:line="360" w:lineRule="auto"/>
              <w:jc w:val="both"/>
              <w:rPr>
                <w:rFonts w:ascii="Book Antiqua" w:hAnsi="Book Antiqua"/>
                <w:b/>
                <w:bCs/>
              </w:rPr>
            </w:pPr>
            <w:r w:rsidRPr="00F04EE8">
              <w:rPr>
                <w:rFonts w:ascii="Book Antiqua" w:hAnsi="Book Antiqua"/>
                <w:b/>
                <w:bCs/>
              </w:rPr>
              <w:t>Donors (</w:t>
            </w:r>
            <w:r w:rsidRPr="00F04EE8">
              <w:rPr>
                <w:rFonts w:ascii="Book Antiqua" w:hAnsi="Book Antiqua"/>
                <w:b/>
                <w:bCs/>
                <w:i/>
                <w:iCs/>
              </w:rPr>
              <w:t>n</w:t>
            </w:r>
            <w:r w:rsidRPr="00F04EE8">
              <w:rPr>
                <w:rFonts w:ascii="Book Antiqua" w:hAnsi="Book Antiqua"/>
                <w:b/>
                <w:bCs/>
              </w:rPr>
              <w:t>)</w:t>
            </w:r>
          </w:p>
        </w:tc>
        <w:tc>
          <w:tcPr>
            <w:tcW w:w="1628" w:type="dxa"/>
            <w:tcBorders>
              <w:top w:val="single" w:sz="4" w:space="0" w:color="auto"/>
              <w:bottom w:val="single" w:sz="4" w:space="0" w:color="auto"/>
            </w:tcBorders>
          </w:tcPr>
          <w:p w14:paraId="1F6DBF5C" w14:textId="2283C557" w:rsidR="00F04EE8" w:rsidRPr="00F04EE8" w:rsidRDefault="00F04EE8" w:rsidP="00F04EE8">
            <w:pPr>
              <w:spacing w:line="360" w:lineRule="auto"/>
              <w:jc w:val="both"/>
              <w:rPr>
                <w:rFonts w:ascii="Book Antiqua" w:hAnsi="Book Antiqua"/>
                <w:b/>
                <w:bCs/>
              </w:rPr>
            </w:pPr>
            <w:r w:rsidRPr="00F04EE8">
              <w:rPr>
                <w:rFonts w:ascii="Book Antiqua" w:hAnsi="Book Antiqua"/>
                <w:b/>
                <w:bCs/>
              </w:rPr>
              <w:t xml:space="preserve">Follow up </w:t>
            </w:r>
            <w:r w:rsidR="00A83426">
              <w:rPr>
                <w:rFonts w:ascii="Book Antiqua" w:hAnsi="Book Antiqua"/>
                <w:b/>
                <w:bCs/>
              </w:rPr>
              <w:t>p</w:t>
            </w:r>
            <w:r w:rsidRPr="00F04EE8">
              <w:rPr>
                <w:rFonts w:ascii="Book Antiqua" w:hAnsi="Book Antiqua"/>
                <w:b/>
                <w:bCs/>
              </w:rPr>
              <w:t>eriod</w:t>
            </w:r>
          </w:p>
        </w:tc>
        <w:tc>
          <w:tcPr>
            <w:tcW w:w="3126" w:type="dxa"/>
            <w:tcBorders>
              <w:top w:val="single" w:sz="4" w:space="0" w:color="auto"/>
              <w:bottom w:val="single" w:sz="4" w:space="0" w:color="auto"/>
            </w:tcBorders>
          </w:tcPr>
          <w:p w14:paraId="5052E704" w14:textId="77777777" w:rsidR="00F04EE8" w:rsidRPr="00F04EE8" w:rsidRDefault="00F04EE8" w:rsidP="00F04EE8">
            <w:pPr>
              <w:spacing w:line="360" w:lineRule="auto"/>
              <w:jc w:val="both"/>
              <w:rPr>
                <w:rFonts w:ascii="Book Antiqua" w:hAnsi="Book Antiqua"/>
                <w:b/>
                <w:bCs/>
              </w:rPr>
            </w:pPr>
            <w:r w:rsidRPr="00F04EE8">
              <w:rPr>
                <w:rFonts w:ascii="Book Antiqua" w:hAnsi="Book Antiqua"/>
                <w:b/>
                <w:bCs/>
              </w:rPr>
              <w:t>Obesity pre-donation</w:t>
            </w:r>
          </w:p>
        </w:tc>
        <w:tc>
          <w:tcPr>
            <w:tcW w:w="2932" w:type="dxa"/>
            <w:tcBorders>
              <w:top w:val="single" w:sz="4" w:space="0" w:color="auto"/>
              <w:bottom w:val="single" w:sz="4" w:space="0" w:color="auto"/>
            </w:tcBorders>
          </w:tcPr>
          <w:p w14:paraId="17755FF2" w14:textId="77777777" w:rsidR="00F04EE8" w:rsidRPr="00F04EE8" w:rsidRDefault="00F04EE8" w:rsidP="00F04EE8">
            <w:pPr>
              <w:spacing w:line="360" w:lineRule="auto"/>
              <w:jc w:val="both"/>
              <w:rPr>
                <w:rFonts w:ascii="Book Antiqua" w:hAnsi="Book Antiqua"/>
                <w:b/>
                <w:bCs/>
              </w:rPr>
            </w:pPr>
            <w:r w:rsidRPr="00F04EE8">
              <w:rPr>
                <w:rFonts w:ascii="Book Antiqua" w:hAnsi="Book Antiqua"/>
                <w:b/>
                <w:bCs/>
              </w:rPr>
              <w:t>Hypertension pre-donation</w:t>
            </w:r>
          </w:p>
        </w:tc>
      </w:tr>
      <w:tr w:rsidR="00F04EE8" w:rsidRPr="00F04EE8" w14:paraId="1C3C2704" w14:textId="77777777" w:rsidTr="007D277E">
        <w:trPr>
          <w:trHeight w:val="1280"/>
        </w:trPr>
        <w:tc>
          <w:tcPr>
            <w:tcW w:w="1238" w:type="dxa"/>
            <w:tcBorders>
              <w:top w:val="single" w:sz="4" w:space="0" w:color="auto"/>
            </w:tcBorders>
          </w:tcPr>
          <w:p w14:paraId="329B0E5B" w14:textId="2A91F2F5" w:rsidR="00F04EE8" w:rsidRPr="00F04EE8" w:rsidRDefault="00F04EE8" w:rsidP="00A83426">
            <w:pPr>
              <w:spacing w:line="360" w:lineRule="auto"/>
              <w:jc w:val="both"/>
              <w:rPr>
                <w:rFonts w:ascii="Book Antiqua" w:hAnsi="Book Antiqua"/>
              </w:rPr>
            </w:pPr>
            <w:proofErr w:type="spellStart"/>
            <w:r w:rsidRPr="00F04EE8">
              <w:rPr>
                <w:rFonts w:ascii="Book Antiqua" w:hAnsi="Book Antiqua"/>
              </w:rPr>
              <w:t>Thukral</w:t>
            </w:r>
            <w:proofErr w:type="spellEnd"/>
            <w:r w:rsidR="00A83426">
              <w:rPr>
                <w:rFonts w:ascii="Book Antiqua" w:hAnsi="Book Antiqua"/>
              </w:rPr>
              <w:t xml:space="preserve"> </w:t>
            </w:r>
            <w:r w:rsidRPr="00A83426">
              <w:rPr>
                <w:rFonts w:ascii="Book Antiqua" w:hAnsi="Book Antiqua"/>
                <w:i/>
                <w:iCs/>
              </w:rPr>
              <w:t>et al</w:t>
            </w:r>
            <w:r w:rsidR="00A83426" w:rsidRPr="00A83426">
              <w:rPr>
                <w:rFonts w:ascii="Book Antiqua" w:hAnsi="Book Antiqua"/>
                <w:vertAlign w:val="superscript"/>
              </w:rPr>
              <w:t>[7]</w:t>
            </w:r>
          </w:p>
        </w:tc>
        <w:tc>
          <w:tcPr>
            <w:tcW w:w="1174" w:type="dxa"/>
            <w:tcBorders>
              <w:top w:val="single" w:sz="4" w:space="0" w:color="auto"/>
            </w:tcBorders>
          </w:tcPr>
          <w:p w14:paraId="01828F88" w14:textId="77777777" w:rsidR="00F04EE8" w:rsidRPr="00F04EE8" w:rsidRDefault="00F04EE8" w:rsidP="00F04EE8">
            <w:pPr>
              <w:spacing w:line="360" w:lineRule="auto"/>
              <w:jc w:val="both"/>
              <w:rPr>
                <w:rFonts w:ascii="Book Antiqua" w:hAnsi="Book Antiqua"/>
              </w:rPr>
            </w:pPr>
            <w:r w:rsidRPr="00F04EE8">
              <w:rPr>
                <w:rFonts w:ascii="Book Antiqua" w:hAnsi="Book Antiqua"/>
              </w:rPr>
              <w:t>65</w:t>
            </w:r>
          </w:p>
        </w:tc>
        <w:tc>
          <w:tcPr>
            <w:tcW w:w="1628" w:type="dxa"/>
            <w:tcBorders>
              <w:top w:val="single" w:sz="4" w:space="0" w:color="auto"/>
            </w:tcBorders>
          </w:tcPr>
          <w:p w14:paraId="08C8F90D" w14:textId="12061FB0" w:rsidR="00F04EE8" w:rsidRPr="00F04EE8" w:rsidRDefault="00F04EE8" w:rsidP="00F04EE8">
            <w:pPr>
              <w:spacing w:line="360" w:lineRule="auto"/>
              <w:jc w:val="both"/>
              <w:rPr>
                <w:rFonts w:ascii="Book Antiqua" w:hAnsi="Book Antiqua"/>
              </w:rPr>
            </w:pPr>
            <w:r w:rsidRPr="00F04EE8">
              <w:rPr>
                <w:rFonts w:ascii="Book Antiqua" w:hAnsi="Book Antiqua"/>
              </w:rPr>
              <w:t xml:space="preserve">5 </w:t>
            </w:r>
            <w:proofErr w:type="spellStart"/>
            <w:r w:rsidRPr="00F04EE8">
              <w:rPr>
                <w:rFonts w:ascii="Book Antiqua" w:hAnsi="Book Antiqua"/>
              </w:rPr>
              <w:t>y</w:t>
            </w:r>
            <w:r w:rsidR="00A83426">
              <w:rPr>
                <w:rFonts w:ascii="Book Antiqua" w:hAnsi="Book Antiqua"/>
              </w:rPr>
              <w:t>r</w:t>
            </w:r>
            <w:proofErr w:type="spellEnd"/>
          </w:p>
        </w:tc>
        <w:tc>
          <w:tcPr>
            <w:tcW w:w="3126" w:type="dxa"/>
            <w:tcBorders>
              <w:top w:val="single" w:sz="4" w:space="0" w:color="auto"/>
            </w:tcBorders>
          </w:tcPr>
          <w:p w14:paraId="21071462" w14:textId="118455AD" w:rsidR="00F04EE8" w:rsidRPr="00F04EE8" w:rsidRDefault="00F04EE8" w:rsidP="00F04EE8">
            <w:pPr>
              <w:spacing w:line="360" w:lineRule="auto"/>
              <w:jc w:val="both"/>
              <w:rPr>
                <w:rFonts w:ascii="Book Antiqua" w:hAnsi="Book Antiqua"/>
              </w:rPr>
            </w:pPr>
            <w:r w:rsidRPr="00F04EE8">
              <w:rPr>
                <w:rFonts w:ascii="Book Antiqua" w:hAnsi="Book Antiqua"/>
              </w:rPr>
              <w:t xml:space="preserve">26% had BMI &gt; 25 at the time of donation. Significant increase in BMI and drop in </w:t>
            </w:r>
            <w:proofErr w:type="spellStart"/>
            <w:r w:rsidRPr="00F04EE8">
              <w:rPr>
                <w:rFonts w:ascii="Book Antiqua" w:hAnsi="Book Antiqua"/>
              </w:rPr>
              <w:t>eGFR</w:t>
            </w:r>
            <w:proofErr w:type="spellEnd"/>
            <w:r w:rsidRPr="00F04EE8">
              <w:rPr>
                <w:rFonts w:ascii="Book Antiqua" w:hAnsi="Book Antiqua"/>
              </w:rPr>
              <w:t xml:space="preserve"> at 5-year follow up. 22.3% later developed DM as well</w:t>
            </w:r>
          </w:p>
        </w:tc>
        <w:tc>
          <w:tcPr>
            <w:tcW w:w="2932" w:type="dxa"/>
            <w:tcBorders>
              <w:top w:val="single" w:sz="4" w:space="0" w:color="auto"/>
            </w:tcBorders>
          </w:tcPr>
          <w:p w14:paraId="27A5BC79" w14:textId="02D6BEAB" w:rsidR="00F04EE8" w:rsidRPr="00F04EE8" w:rsidRDefault="00F04EE8" w:rsidP="00F04EE8">
            <w:pPr>
              <w:spacing w:line="360" w:lineRule="auto"/>
              <w:jc w:val="both"/>
              <w:rPr>
                <w:rFonts w:ascii="Book Antiqua" w:hAnsi="Book Antiqua"/>
              </w:rPr>
            </w:pPr>
            <w:r w:rsidRPr="00F04EE8">
              <w:rPr>
                <w:rFonts w:ascii="Book Antiqua" w:hAnsi="Book Antiqua"/>
              </w:rPr>
              <w:t>49.3% with no h/o prior HTN.</w:t>
            </w:r>
            <w:r w:rsidR="00A83426">
              <w:rPr>
                <w:rFonts w:ascii="Book Antiqua" w:hAnsi="Book Antiqua"/>
              </w:rPr>
              <w:t xml:space="preserve"> </w:t>
            </w:r>
            <w:r w:rsidRPr="00F04EE8">
              <w:rPr>
                <w:rFonts w:ascii="Book Antiqua" w:hAnsi="Book Antiqua"/>
              </w:rPr>
              <w:t>Significant increase in mean SBP, DBP and number of HTN medications in patients with prior HTN at 5-yr follow-up</w:t>
            </w:r>
          </w:p>
        </w:tc>
      </w:tr>
      <w:tr w:rsidR="00F04EE8" w:rsidRPr="00F04EE8" w14:paraId="4C6F93AC" w14:textId="77777777" w:rsidTr="007D277E">
        <w:trPr>
          <w:trHeight w:val="1355"/>
        </w:trPr>
        <w:tc>
          <w:tcPr>
            <w:tcW w:w="1238" w:type="dxa"/>
          </w:tcPr>
          <w:p w14:paraId="4AB1975C" w14:textId="0A90CB06"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Tavakol</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15</w:t>
            </w:r>
            <w:r w:rsidR="00A83426" w:rsidRPr="00A83426">
              <w:rPr>
                <w:rFonts w:ascii="Book Antiqua" w:hAnsi="Book Antiqua"/>
                <w:vertAlign w:val="superscript"/>
              </w:rPr>
              <w:t>]</w:t>
            </w:r>
          </w:p>
        </w:tc>
        <w:tc>
          <w:tcPr>
            <w:tcW w:w="1174" w:type="dxa"/>
          </w:tcPr>
          <w:p w14:paraId="1A0890E2" w14:textId="77777777" w:rsidR="00F04EE8" w:rsidRPr="00F04EE8" w:rsidRDefault="00F04EE8" w:rsidP="00F04EE8">
            <w:pPr>
              <w:spacing w:line="360" w:lineRule="auto"/>
              <w:jc w:val="both"/>
              <w:rPr>
                <w:rFonts w:ascii="Book Antiqua" w:hAnsi="Book Antiqua"/>
              </w:rPr>
            </w:pPr>
            <w:r w:rsidRPr="00F04EE8">
              <w:rPr>
                <w:rFonts w:ascii="Book Antiqua" w:hAnsi="Book Antiqua"/>
              </w:rPr>
              <w:t>98</w:t>
            </w:r>
          </w:p>
        </w:tc>
        <w:tc>
          <w:tcPr>
            <w:tcW w:w="1628" w:type="dxa"/>
          </w:tcPr>
          <w:p w14:paraId="55AAF1D6" w14:textId="77777777" w:rsidR="00F04EE8" w:rsidRPr="00F04EE8" w:rsidRDefault="00F04EE8" w:rsidP="00F04EE8">
            <w:pPr>
              <w:spacing w:line="360" w:lineRule="auto"/>
              <w:jc w:val="both"/>
              <w:rPr>
                <w:rFonts w:ascii="Book Antiqua" w:hAnsi="Book Antiqua"/>
              </w:rPr>
            </w:pPr>
            <w:r w:rsidRPr="00F04EE8">
              <w:rPr>
                <w:rFonts w:ascii="Book Antiqua" w:hAnsi="Book Antiqua"/>
              </w:rPr>
              <w:t>Donors from 1967-2003 compared to two-kidney controls 2005-2006</w:t>
            </w:r>
          </w:p>
        </w:tc>
        <w:tc>
          <w:tcPr>
            <w:tcW w:w="3126" w:type="dxa"/>
          </w:tcPr>
          <w:p w14:paraId="6CA5B059" w14:textId="27F9955F" w:rsidR="00F04EE8" w:rsidRPr="00F04EE8" w:rsidRDefault="00F04EE8" w:rsidP="00A83426">
            <w:pPr>
              <w:spacing w:line="360" w:lineRule="auto"/>
              <w:jc w:val="both"/>
              <w:rPr>
                <w:rFonts w:ascii="Book Antiqua" w:hAnsi="Book Antiqua"/>
              </w:rPr>
            </w:pPr>
            <w:r w:rsidRPr="00F04EE8">
              <w:rPr>
                <w:rFonts w:ascii="Book Antiqua" w:hAnsi="Book Antiqua"/>
              </w:rPr>
              <w:t xml:space="preserve">16 obese donors (BMI &gt; 30) with none having DM at the time of donation. No significant difference in decrease in GFR in obese </w:t>
            </w:r>
            <w:proofErr w:type="spellStart"/>
            <w:r w:rsidR="00A83426" w:rsidRPr="00A83426">
              <w:rPr>
                <w:rFonts w:ascii="Book Antiqua" w:hAnsi="Book Antiqua"/>
                <w:i/>
                <w:iCs/>
              </w:rPr>
              <w:t>v</w:t>
            </w:r>
            <w:r w:rsidRPr="00A83426">
              <w:rPr>
                <w:rFonts w:ascii="Book Antiqua" w:hAnsi="Book Antiqua"/>
                <w:i/>
                <w:iCs/>
              </w:rPr>
              <w:t>s</w:t>
            </w:r>
            <w:proofErr w:type="spellEnd"/>
            <w:r w:rsidRPr="00F04EE8">
              <w:rPr>
                <w:rFonts w:ascii="Book Antiqua" w:hAnsi="Book Antiqua"/>
              </w:rPr>
              <w:t xml:space="preserve"> non-obese groups. Obese patients had more proteinuria and albuminuria on multivariate analysis</w:t>
            </w:r>
          </w:p>
        </w:tc>
        <w:tc>
          <w:tcPr>
            <w:tcW w:w="2932" w:type="dxa"/>
          </w:tcPr>
          <w:p w14:paraId="2B6B3F7E" w14:textId="2CE4231F" w:rsidR="00F04EE8" w:rsidRPr="00F04EE8" w:rsidRDefault="00F04EE8" w:rsidP="00F04EE8">
            <w:pPr>
              <w:spacing w:line="360" w:lineRule="auto"/>
              <w:jc w:val="both"/>
              <w:rPr>
                <w:rFonts w:ascii="Book Antiqua" w:hAnsi="Book Antiqua"/>
              </w:rPr>
            </w:pPr>
            <w:r w:rsidRPr="00F04EE8">
              <w:rPr>
                <w:rFonts w:ascii="Book Antiqua" w:hAnsi="Book Antiqua"/>
              </w:rPr>
              <w:t>No patient had HTN at donation. Significantly, more obese patients developed HTN</w:t>
            </w:r>
          </w:p>
        </w:tc>
      </w:tr>
      <w:tr w:rsidR="00F04EE8" w:rsidRPr="00F04EE8" w14:paraId="28A0CF3C" w14:textId="77777777" w:rsidTr="007D277E">
        <w:trPr>
          <w:trHeight w:val="1280"/>
        </w:trPr>
        <w:tc>
          <w:tcPr>
            <w:tcW w:w="1238" w:type="dxa"/>
          </w:tcPr>
          <w:p w14:paraId="6F811196" w14:textId="23878F8C" w:rsidR="00F04EE8" w:rsidRPr="00F04EE8" w:rsidRDefault="00F04EE8" w:rsidP="00F04EE8">
            <w:pPr>
              <w:spacing w:line="360" w:lineRule="auto"/>
              <w:jc w:val="both"/>
              <w:rPr>
                <w:rFonts w:ascii="Book Antiqua" w:hAnsi="Book Antiqua"/>
              </w:rPr>
            </w:pPr>
            <w:r w:rsidRPr="00F04EE8">
              <w:rPr>
                <w:rFonts w:ascii="Book Antiqua" w:hAnsi="Book Antiqua"/>
              </w:rPr>
              <w:t>Serrano</w:t>
            </w:r>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w:t>
            </w:r>
            <w:r w:rsidR="00A83426" w:rsidRPr="00A83426">
              <w:rPr>
                <w:rFonts w:ascii="Book Antiqua" w:hAnsi="Book Antiqua"/>
                <w:vertAlign w:val="superscript"/>
              </w:rPr>
              <w:t>7]</w:t>
            </w:r>
          </w:p>
        </w:tc>
        <w:tc>
          <w:tcPr>
            <w:tcW w:w="1174" w:type="dxa"/>
          </w:tcPr>
          <w:p w14:paraId="458C9B1B" w14:textId="77777777" w:rsidR="00F04EE8" w:rsidRPr="00F04EE8" w:rsidRDefault="00F04EE8" w:rsidP="00F04EE8">
            <w:pPr>
              <w:spacing w:line="360" w:lineRule="auto"/>
              <w:jc w:val="both"/>
              <w:rPr>
                <w:rFonts w:ascii="Book Antiqua" w:hAnsi="Book Antiqua"/>
              </w:rPr>
            </w:pPr>
            <w:r w:rsidRPr="00F04EE8">
              <w:rPr>
                <w:rFonts w:ascii="Book Antiqua" w:hAnsi="Book Antiqua"/>
              </w:rPr>
              <w:t>3752</w:t>
            </w:r>
          </w:p>
        </w:tc>
        <w:tc>
          <w:tcPr>
            <w:tcW w:w="1628" w:type="dxa"/>
          </w:tcPr>
          <w:p w14:paraId="3E273F23" w14:textId="24F4E655" w:rsidR="00F04EE8" w:rsidRPr="00F04EE8" w:rsidRDefault="00F04EE8" w:rsidP="00F04EE8">
            <w:pPr>
              <w:spacing w:line="360" w:lineRule="auto"/>
              <w:jc w:val="both"/>
              <w:rPr>
                <w:rFonts w:ascii="Book Antiqua" w:hAnsi="Book Antiqua"/>
              </w:rPr>
            </w:pPr>
            <w:r w:rsidRPr="00F04EE8">
              <w:rPr>
                <w:rFonts w:ascii="Book Antiqua" w:hAnsi="Book Antiqua"/>
              </w:rPr>
              <w:t xml:space="preserve">10-40 </w:t>
            </w:r>
            <w:proofErr w:type="spellStart"/>
            <w:r w:rsidRPr="00F04EE8">
              <w:rPr>
                <w:rFonts w:ascii="Book Antiqua" w:hAnsi="Book Antiqua"/>
              </w:rPr>
              <w:t>yr</w:t>
            </w:r>
            <w:proofErr w:type="spellEnd"/>
          </w:p>
        </w:tc>
        <w:tc>
          <w:tcPr>
            <w:tcW w:w="3126" w:type="dxa"/>
          </w:tcPr>
          <w:p w14:paraId="02AE03E0" w14:textId="013072B4" w:rsidR="00F04EE8" w:rsidRPr="00F04EE8" w:rsidRDefault="00F04EE8" w:rsidP="00F04EE8">
            <w:pPr>
              <w:spacing w:line="360" w:lineRule="auto"/>
              <w:jc w:val="both"/>
              <w:rPr>
                <w:rFonts w:ascii="Book Antiqua" w:hAnsi="Book Antiqua"/>
              </w:rPr>
            </w:pPr>
            <w:r w:rsidRPr="00F04EE8">
              <w:rPr>
                <w:rFonts w:ascii="Book Antiqua" w:hAnsi="Book Antiqua"/>
              </w:rPr>
              <w:t>652 obese donors (17%, BMI &gt; 30). Intra operative time longer in obese. No significant difference in short-</w:t>
            </w:r>
            <w:r w:rsidR="00A83426">
              <w:rPr>
                <w:rFonts w:ascii="Book Antiqua" w:hAnsi="Book Antiqua"/>
              </w:rPr>
              <w:t xml:space="preserve"> </w:t>
            </w:r>
            <w:r w:rsidRPr="00F04EE8">
              <w:rPr>
                <w:rFonts w:ascii="Book Antiqua" w:hAnsi="Book Antiqua"/>
              </w:rPr>
              <w:t>(&lt;</w:t>
            </w:r>
            <w:r w:rsidR="00A83426">
              <w:rPr>
                <w:rFonts w:ascii="Book Antiqua" w:hAnsi="Book Antiqua"/>
              </w:rPr>
              <w:t xml:space="preserve"> </w:t>
            </w:r>
            <w:r w:rsidRPr="00F04EE8">
              <w:rPr>
                <w:rFonts w:ascii="Book Antiqua" w:hAnsi="Book Antiqua"/>
              </w:rPr>
              <w:t xml:space="preserve">30 d) and </w:t>
            </w:r>
            <w:r w:rsidR="00A83426">
              <w:rPr>
                <w:rFonts w:ascii="Book Antiqua" w:hAnsi="Book Antiqua"/>
              </w:rPr>
              <w:t>l</w:t>
            </w:r>
            <w:r w:rsidRPr="00F04EE8">
              <w:rPr>
                <w:rFonts w:ascii="Book Antiqua" w:hAnsi="Book Antiqua"/>
              </w:rPr>
              <w:t>ong-</w:t>
            </w:r>
            <w:r w:rsidR="00A83426">
              <w:rPr>
                <w:rFonts w:ascii="Book Antiqua" w:hAnsi="Book Antiqua"/>
              </w:rPr>
              <w:t xml:space="preserve"> </w:t>
            </w:r>
            <w:r w:rsidRPr="00F04EE8">
              <w:rPr>
                <w:rFonts w:ascii="Book Antiqua" w:hAnsi="Book Antiqua"/>
              </w:rPr>
              <w:t xml:space="preserve">(&gt; 30 d) term readmission. No difference in GFR and </w:t>
            </w:r>
            <w:r w:rsidRPr="00F04EE8">
              <w:rPr>
                <w:rFonts w:ascii="Book Antiqua" w:hAnsi="Book Antiqua"/>
              </w:rPr>
              <w:lastRenderedPageBreak/>
              <w:t>ESRD development in obese patients</w:t>
            </w:r>
          </w:p>
        </w:tc>
        <w:tc>
          <w:tcPr>
            <w:tcW w:w="2932" w:type="dxa"/>
          </w:tcPr>
          <w:p w14:paraId="68D759E7" w14:textId="3AAD1CA3" w:rsidR="00F04EE8" w:rsidRPr="00F04EE8" w:rsidRDefault="00F04EE8" w:rsidP="00F04EE8">
            <w:pPr>
              <w:spacing w:line="360" w:lineRule="auto"/>
              <w:jc w:val="both"/>
              <w:rPr>
                <w:rFonts w:ascii="Book Antiqua" w:hAnsi="Book Antiqua"/>
              </w:rPr>
            </w:pPr>
            <w:r w:rsidRPr="00F04EE8">
              <w:rPr>
                <w:rFonts w:ascii="Book Antiqua" w:hAnsi="Book Antiqua"/>
              </w:rPr>
              <w:lastRenderedPageBreak/>
              <w:t>Significant difference in long term development of DM and HTN in obese patients</w:t>
            </w:r>
          </w:p>
        </w:tc>
      </w:tr>
      <w:tr w:rsidR="00F04EE8" w:rsidRPr="00F04EE8" w14:paraId="72FDA8B6" w14:textId="77777777" w:rsidTr="007D277E">
        <w:trPr>
          <w:trHeight w:val="1355"/>
        </w:trPr>
        <w:tc>
          <w:tcPr>
            <w:tcW w:w="1238" w:type="dxa"/>
          </w:tcPr>
          <w:p w14:paraId="3C3AF2E2" w14:textId="4E060725" w:rsidR="00F04EE8" w:rsidRPr="00F04EE8" w:rsidRDefault="00F04EE8" w:rsidP="00F04EE8">
            <w:pPr>
              <w:spacing w:line="360" w:lineRule="auto"/>
              <w:jc w:val="both"/>
              <w:rPr>
                <w:rFonts w:ascii="Book Antiqua" w:hAnsi="Book Antiqua"/>
              </w:rPr>
            </w:pPr>
            <w:r w:rsidRPr="00F04EE8">
              <w:rPr>
                <w:rFonts w:ascii="Book Antiqua" w:hAnsi="Book Antiqua"/>
              </w:rPr>
              <w:lastRenderedPageBreak/>
              <w:t>Rea</w:t>
            </w:r>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14</w:t>
            </w:r>
            <w:r w:rsidR="00A83426" w:rsidRPr="00A83426">
              <w:rPr>
                <w:rFonts w:ascii="Book Antiqua" w:hAnsi="Book Antiqua"/>
                <w:vertAlign w:val="superscript"/>
              </w:rPr>
              <w:t>]</w:t>
            </w:r>
          </w:p>
        </w:tc>
        <w:tc>
          <w:tcPr>
            <w:tcW w:w="1174" w:type="dxa"/>
          </w:tcPr>
          <w:p w14:paraId="3C84A9E2" w14:textId="77777777" w:rsidR="00F04EE8" w:rsidRPr="00F04EE8" w:rsidRDefault="00F04EE8" w:rsidP="00F04EE8">
            <w:pPr>
              <w:spacing w:line="360" w:lineRule="auto"/>
              <w:jc w:val="both"/>
              <w:rPr>
                <w:rFonts w:ascii="Book Antiqua" w:hAnsi="Book Antiqua"/>
              </w:rPr>
            </w:pPr>
            <w:r w:rsidRPr="00F04EE8">
              <w:rPr>
                <w:rFonts w:ascii="Book Antiqua" w:hAnsi="Book Antiqua"/>
              </w:rPr>
              <w:t>49</w:t>
            </w:r>
          </w:p>
        </w:tc>
        <w:tc>
          <w:tcPr>
            <w:tcW w:w="1628" w:type="dxa"/>
          </w:tcPr>
          <w:p w14:paraId="48761E84" w14:textId="584CF945" w:rsidR="00F04EE8" w:rsidRPr="00F04EE8" w:rsidRDefault="00F04EE8" w:rsidP="00F04EE8">
            <w:pPr>
              <w:spacing w:line="360" w:lineRule="auto"/>
              <w:jc w:val="both"/>
              <w:rPr>
                <w:rFonts w:ascii="Book Antiqua" w:hAnsi="Book Antiqua"/>
              </w:rPr>
            </w:pPr>
            <w:r w:rsidRPr="00F04EE8">
              <w:rPr>
                <w:rFonts w:ascii="Book Antiqua" w:hAnsi="Book Antiqua"/>
              </w:rPr>
              <w:t>340 d</w:t>
            </w:r>
          </w:p>
        </w:tc>
        <w:tc>
          <w:tcPr>
            <w:tcW w:w="3126" w:type="dxa"/>
          </w:tcPr>
          <w:p w14:paraId="767D7881" w14:textId="45F6533C" w:rsidR="00F04EE8" w:rsidRPr="00F04EE8" w:rsidRDefault="00F04EE8" w:rsidP="00F04EE8">
            <w:pPr>
              <w:spacing w:line="360" w:lineRule="auto"/>
              <w:jc w:val="both"/>
              <w:rPr>
                <w:rFonts w:ascii="Book Antiqua" w:hAnsi="Book Antiqua"/>
              </w:rPr>
            </w:pPr>
            <w:r w:rsidRPr="00F04EE8">
              <w:rPr>
                <w:rFonts w:ascii="Book Antiqua" w:hAnsi="Book Antiqua"/>
              </w:rPr>
              <w:t xml:space="preserve">49 obese donors (mean BMI 37.6 </w:t>
            </w:r>
            <w:r w:rsidR="00A83426" w:rsidRPr="00A83426">
              <w:rPr>
                <w:rFonts w:ascii="Book Antiqua" w:hAnsi="Book Antiqua"/>
                <w:lang w:eastAsia="zh-CN"/>
              </w:rPr>
              <w:t>±</w:t>
            </w:r>
            <w:r w:rsidRPr="00F04EE8">
              <w:rPr>
                <w:rFonts w:ascii="Book Antiqua" w:hAnsi="Book Antiqua"/>
              </w:rPr>
              <w:t xml:space="preserve"> 5.0) </w:t>
            </w:r>
            <w:proofErr w:type="spellStart"/>
            <w:r w:rsidRPr="00A83426">
              <w:rPr>
                <w:rFonts w:ascii="Book Antiqua" w:hAnsi="Book Antiqua"/>
                <w:i/>
                <w:iCs/>
              </w:rPr>
              <w:t>vs</w:t>
            </w:r>
            <w:proofErr w:type="spellEnd"/>
            <w:r w:rsidRPr="00F04EE8">
              <w:rPr>
                <w:rFonts w:ascii="Book Antiqua" w:hAnsi="Book Antiqua"/>
              </w:rPr>
              <w:t xml:space="preserve"> 41 non-obese donors (mean BMI 24.8 </w:t>
            </w:r>
            <w:r w:rsidR="00A83426" w:rsidRPr="00A83426">
              <w:rPr>
                <w:rFonts w:ascii="Book Antiqua" w:hAnsi="Book Antiqua"/>
                <w:lang w:eastAsia="zh-CN"/>
              </w:rPr>
              <w:t>±</w:t>
            </w:r>
            <w:r w:rsidRPr="00F04EE8">
              <w:rPr>
                <w:rFonts w:ascii="Book Antiqua" w:hAnsi="Book Antiqua"/>
              </w:rPr>
              <w:t xml:space="preserve"> 2.2). No significant difference in pre-and post-donation serum </w:t>
            </w:r>
            <w:proofErr w:type="spellStart"/>
            <w:r w:rsidRPr="00F04EE8">
              <w:rPr>
                <w:rFonts w:ascii="Book Antiqua" w:hAnsi="Book Antiqua"/>
              </w:rPr>
              <w:t>creatinine</w:t>
            </w:r>
            <w:proofErr w:type="spellEnd"/>
            <w:r w:rsidRPr="00F04EE8">
              <w:rPr>
                <w:rFonts w:ascii="Book Antiqua" w:hAnsi="Book Antiqua"/>
              </w:rPr>
              <w:t xml:space="preserve"> and micro-albuminuria</w:t>
            </w:r>
          </w:p>
        </w:tc>
        <w:tc>
          <w:tcPr>
            <w:tcW w:w="2932" w:type="dxa"/>
          </w:tcPr>
          <w:p w14:paraId="4684E2CD" w14:textId="77777777" w:rsidR="00F04EE8" w:rsidRPr="00F04EE8" w:rsidRDefault="00F04EE8" w:rsidP="00F04EE8">
            <w:pPr>
              <w:spacing w:line="360" w:lineRule="auto"/>
              <w:jc w:val="both"/>
              <w:rPr>
                <w:rFonts w:ascii="Book Antiqua" w:hAnsi="Book Antiqua"/>
              </w:rPr>
            </w:pPr>
          </w:p>
        </w:tc>
      </w:tr>
      <w:tr w:rsidR="00F04EE8" w:rsidRPr="00F04EE8" w14:paraId="418A6341" w14:textId="77777777" w:rsidTr="007D277E">
        <w:trPr>
          <w:trHeight w:val="1280"/>
        </w:trPr>
        <w:tc>
          <w:tcPr>
            <w:tcW w:w="1238" w:type="dxa"/>
          </w:tcPr>
          <w:p w14:paraId="083E50F2" w14:textId="55429564"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Kerkeni</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16</w:t>
            </w:r>
            <w:r w:rsidR="00A83426" w:rsidRPr="00A83426">
              <w:rPr>
                <w:rFonts w:ascii="Book Antiqua" w:hAnsi="Book Antiqua"/>
                <w:vertAlign w:val="superscript"/>
              </w:rPr>
              <w:t>]</w:t>
            </w:r>
          </w:p>
        </w:tc>
        <w:tc>
          <w:tcPr>
            <w:tcW w:w="1174" w:type="dxa"/>
          </w:tcPr>
          <w:p w14:paraId="59B40D15" w14:textId="77777777" w:rsidR="00F04EE8" w:rsidRPr="00F04EE8" w:rsidRDefault="00F04EE8" w:rsidP="00F04EE8">
            <w:pPr>
              <w:spacing w:line="360" w:lineRule="auto"/>
              <w:jc w:val="both"/>
              <w:rPr>
                <w:rFonts w:ascii="Book Antiqua" w:hAnsi="Book Antiqua"/>
              </w:rPr>
            </w:pPr>
            <w:r w:rsidRPr="00F04EE8">
              <w:rPr>
                <w:rFonts w:ascii="Book Antiqua" w:hAnsi="Book Antiqua"/>
              </w:rPr>
              <w:t>189</w:t>
            </w:r>
          </w:p>
        </w:tc>
        <w:tc>
          <w:tcPr>
            <w:tcW w:w="1628" w:type="dxa"/>
          </w:tcPr>
          <w:p w14:paraId="6B66CF2B" w14:textId="5B21F3F2" w:rsidR="00F04EE8" w:rsidRPr="00F04EE8" w:rsidRDefault="00F04EE8" w:rsidP="00F04EE8">
            <w:pPr>
              <w:spacing w:line="360" w:lineRule="auto"/>
              <w:jc w:val="both"/>
              <w:rPr>
                <w:rFonts w:ascii="Book Antiqua" w:hAnsi="Book Antiqua"/>
              </w:rPr>
            </w:pPr>
            <w:r w:rsidRPr="00F04EE8">
              <w:rPr>
                <w:rFonts w:ascii="Book Antiqua" w:hAnsi="Book Antiqua"/>
              </w:rPr>
              <w:t xml:space="preserve">9.28 </w:t>
            </w:r>
            <w:proofErr w:type="spellStart"/>
            <w:r w:rsidRPr="00F04EE8">
              <w:rPr>
                <w:rFonts w:ascii="Book Antiqua" w:hAnsi="Book Antiqua"/>
              </w:rPr>
              <w:t>y</w:t>
            </w:r>
            <w:r w:rsidR="00A83426">
              <w:rPr>
                <w:rFonts w:ascii="Book Antiqua" w:hAnsi="Book Antiqua"/>
              </w:rPr>
              <w:t>r</w:t>
            </w:r>
            <w:proofErr w:type="spellEnd"/>
          </w:p>
        </w:tc>
        <w:tc>
          <w:tcPr>
            <w:tcW w:w="3126" w:type="dxa"/>
          </w:tcPr>
          <w:p w14:paraId="62269E14" w14:textId="4098740A" w:rsidR="00F04EE8" w:rsidRPr="00F04EE8" w:rsidRDefault="00F04EE8" w:rsidP="00F04EE8">
            <w:pPr>
              <w:spacing w:line="360" w:lineRule="auto"/>
              <w:jc w:val="both"/>
              <w:rPr>
                <w:rFonts w:ascii="Book Antiqua" w:hAnsi="Book Antiqua"/>
              </w:rPr>
            </w:pPr>
            <w:r w:rsidRPr="00F04EE8">
              <w:rPr>
                <w:rFonts w:ascii="Book Antiqua" w:hAnsi="Book Antiqua"/>
              </w:rPr>
              <w:t>No significant increase in post-operative complications. High BMI patients (mean BMI 26.8) maintained normal renal functions and didn’t developed proteinuria as compared to lower BMI patient (mean BMI 25.2 kg/m</w:t>
            </w:r>
            <w:r w:rsidRPr="00F04EE8">
              <w:rPr>
                <w:rFonts w:ascii="Book Antiqua" w:hAnsi="Book Antiqua"/>
                <w:vertAlign w:val="superscript"/>
              </w:rPr>
              <w:t>2</w:t>
            </w:r>
            <w:r w:rsidRPr="00F04EE8">
              <w:rPr>
                <w:rFonts w:ascii="Book Antiqua" w:hAnsi="Book Antiqua"/>
              </w:rPr>
              <w:t>) and this difference was not significant</w:t>
            </w:r>
          </w:p>
        </w:tc>
        <w:tc>
          <w:tcPr>
            <w:tcW w:w="2932" w:type="dxa"/>
          </w:tcPr>
          <w:p w14:paraId="7E8B5009" w14:textId="77777777" w:rsidR="00F04EE8" w:rsidRPr="00F04EE8" w:rsidRDefault="00F04EE8" w:rsidP="00F04EE8">
            <w:pPr>
              <w:spacing w:line="360" w:lineRule="auto"/>
              <w:jc w:val="both"/>
              <w:rPr>
                <w:rFonts w:ascii="Book Antiqua" w:hAnsi="Book Antiqua"/>
              </w:rPr>
            </w:pPr>
          </w:p>
        </w:tc>
      </w:tr>
      <w:tr w:rsidR="00F04EE8" w:rsidRPr="00F04EE8" w14:paraId="5EC4F8B9" w14:textId="77777777" w:rsidTr="007D277E">
        <w:trPr>
          <w:trHeight w:val="1355"/>
        </w:trPr>
        <w:tc>
          <w:tcPr>
            <w:tcW w:w="1238" w:type="dxa"/>
          </w:tcPr>
          <w:p w14:paraId="750E835C" w14:textId="421A4898"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Lafranca</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18</w:t>
            </w:r>
            <w:r w:rsidR="00A83426" w:rsidRPr="00A83426">
              <w:rPr>
                <w:rFonts w:ascii="Book Antiqua" w:hAnsi="Book Antiqua"/>
                <w:vertAlign w:val="superscript"/>
              </w:rPr>
              <w:t>]</w:t>
            </w:r>
          </w:p>
        </w:tc>
        <w:tc>
          <w:tcPr>
            <w:tcW w:w="1174" w:type="dxa"/>
          </w:tcPr>
          <w:p w14:paraId="48D25CF4" w14:textId="77777777" w:rsidR="00F04EE8" w:rsidRPr="00F04EE8" w:rsidRDefault="00F04EE8" w:rsidP="00F04EE8">
            <w:pPr>
              <w:spacing w:line="360" w:lineRule="auto"/>
              <w:jc w:val="both"/>
              <w:rPr>
                <w:rFonts w:ascii="Book Antiqua" w:hAnsi="Book Antiqua"/>
              </w:rPr>
            </w:pPr>
            <w:r w:rsidRPr="00F04EE8">
              <w:rPr>
                <w:rFonts w:ascii="Book Antiqua" w:hAnsi="Book Antiqua"/>
              </w:rPr>
              <w:t>14 studies, 1192 donors</w:t>
            </w:r>
          </w:p>
        </w:tc>
        <w:tc>
          <w:tcPr>
            <w:tcW w:w="1628" w:type="dxa"/>
          </w:tcPr>
          <w:p w14:paraId="4944D249" w14:textId="77777777" w:rsidR="00F04EE8" w:rsidRPr="00F04EE8" w:rsidRDefault="00F04EE8" w:rsidP="00F04EE8">
            <w:pPr>
              <w:spacing w:line="360" w:lineRule="auto"/>
              <w:jc w:val="both"/>
              <w:rPr>
                <w:rFonts w:ascii="Book Antiqua" w:hAnsi="Book Antiqua"/>
              </w:rPr>
            </w:pPr>
            <w:r w:rsidRPr="00F04EE8">
              <w:rPr>
                <w:rFonts w:ascii="Book Antiqua" w:hAnsi="Book Antiqua"/>
              </w:rPr>
              <w:t>Systematic review</w:t>
            </w:r>
          </w:p>
        </w:tc>
        <w:tc>
          <w:tcPr>
            <w:tcW w:w="3126" w:type="dxa"/>
          </w:tcPr>
          <w:p w14:paraId="70440598" w14:textId="4114833E" w:rsidR="00F04EE8" w:rsidRPr="00F04EE8" w:rsidRDefault="00F04EE8" w:rsidP="00067F67">
            <w:pPr>
              <w:spacing w:line="360" w:lineRule="auto"/>
              <w:jc w:val="both"/>
              <w:rPr>
                <w:rFonts w:ascii="Book Antiqua" w:hAnsi="Book Antiqua"/>
              </w:rPr>
            </w:pPr>
            <w:r w:rsidRPr="00F04EE8">
              <w:rPr>
                <w:rFonts w:ascii="Book Antiqua" w:hAnsi="Book Antiqua"/>
              </w:rPr>
              <w:t xml:space="preserve">Operation duration and conversion rate from </w:t>
            </w:r>
            <w:proofErr w:type="spellStart"/>
            <w:r w:rsidRPr="00F04EE8">
              <w:rPr>
                <w:rFonts w:ascii="Book Antiqua" w:hAnsi="Book Antiqua"/>
              </w:rPr>
              <w:t>Laproscopic</w:t>
            </w:r>
            <w:proofErr w:type="spellEnd"/>
            <w:r w:rsidRPr="00F04EE8">
              <w:rPr>
                <w:rFonts w:ascii="Book Antiqua" w:hAnsi="Book Antiqua"/>
              </w:rPr>
              <w:t xml:space="preserve"> to open procedure was significantly higher in high BMI group (BMI &gt; </w:t>
            </w:r>
            <w:r w:rsidRPr="00F04EE8">
              <w:rPr>
                <w:rFonts w:ascii="Book Antiqua" w:hAnsi="Book Antiqua"/>
              </w:rPr>
              <w:lastRenderedPageBreak/>
              <w:t>30)</w:t>
            </w:r>
            <w:r w:rsidR="00067F67">
              <w:rPr>
                <w:rFonts w:ascii="Book Antiqua" w:hAnsi="Book Antiqua" w:hint="eastAsia"/>
                <w:lang w:eastAsia="zh-CN"/>
              </w:rPr>
              <w:t xml:space="preserve">. </w:t>
            </w:r>
            <w:r w:rsidRPr="00F04EE8">
              <w:rPr>
                <w:rFonts w:ascii="Book Antiqua" w:hAnsi="Book Antiqua"/>
              </w:rPr>
              <w:t xml:space="preserve">No significant difference in decrease in </w:t>
            </w:r>
            <w:proofErr w:type="spellStart"/>
            <w:r w:rsidRPr="00F04EE8">
              <w:rPr>
                <w:rFonts w:ascii="Book Antiqua" w:hAnsi="Book Antiqua"/>
              </w:rPr>
              <w:t>eGFR</w:t>
            </w:r>
            <w:proofErr w:type="spellEnd"/>
            <w:r w:rsidRPr="00F04EE8">
              <w:rPr>
                <w:rFonts w:ascii="Book Antiqua" w:hAnsi="Book Antiqua"/>
              </w:rPr>
              <w:t xml:space="preserve">, </w:t>
            </w:r>
            <w:proofErr w:type="spellStart"/>
            <w:r w:rsidRPr="00F04EE8">
              <w:rPr>
                <w:rFonts w:ascii="Book Antiqua" w:hAnsi="Book Antiqua"/>
              </w:rPr>
              <w:t>peri</w:t>
            </w:r>
            <w:proofErr w:type="spellEnd"/>
            <w:r w:rsidRPr="00F04EE8">
              <w:rPr>
                <w:rFonts w:ascii="Book Antiqua" w:hAnsi="Book Antiqua"/>
              </w:rPr>
              <w:t>-operative complication rates</w:t>
            </w:r>
          </w:p>
        </w:tc>
        <w:tc>
          <w:tcPr>
            <w:tcW w:w="2932" w:type="dxa"/>
          </w:tcPr>
          <w:p w14:paraId="7C979891" w14:textId="77777777" w:rsidR="00F04EE8" w:rsidRPr="00F04EE8" w:rsidRDefault="00F04EE8" w:rsidP="00F04EE8">
            <w:pPr>
              <w:spacing w:line="360" w:lineRule="auto"/>
              <w:jc w:val="both"/>
              <w:rPr>
                <w:rFonts w:ascii="Book Antiqua" w:hAnsi="Book Antiqua"/>
              </w:rPr>
            </w:pPr>
          </w:p>
        </w:tc>
      </w:tr>
      <w:tr w:rsidR="00F04EE8" w:rsidRPr="00F04EE8" w14:paraId="36035F2C" w14:textId="77777777" w:rsidTr="007D277E">
        <w:trPr>
          <w:trHeight w:val="1280"/>
        </w:trPr>
        <w:tc>
          <w:tcPr>
            <w:tcW w:w="1238" w:type="dxa"/>
          </w:tcPr>
          <w:p w14:paraId="4586A966" w14:textId="5EE139EC"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lastRenderedPageBreak/>
              <w:t>Praga</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27</w:t>
            </w:r>
            <w:r w:rsidR="00A83426" w:rsidRPr="00A83426">
              <w:rPr>
                <w:rFonts w:ascii="Book Antiqua" w:hAnsi="Book Antiqua"/>
                <w:vertAlign w:val="superscript"/>
              </w:rPr>
              <w:t>]</w:t>
            </w:r>
          </w:p>
        </w:tc>
        <w:tc>
          <w:tcPr>
            <w:tcW w:w="1174" w:type="dxa"/>
          </w:tcPr>
          <w:p w14:paraId="5A1D7FE0" w14:textId="77777777" w:rsidR="00F04EE8" w:rsidRPr="00F04EE8" w:rsidRDefault="00F04EE8" w:rsidP="00F04EE8">
            <w:pPr>
              <w:spacing w:line="360" w:lineRule="auto"/>
              <w:jc w:val="both"/>
              <w:rPr>
                <w:rFonts w:ascii="Book Antiqua" w:hAnsi="Book Antiqua"/>
              </w:rPr>
            </w:pPr>
            <w:r w:rsidRPr="00F04EE8">
              <w:rPr>
                <w:rFonts w:ascii="Book Antiqua" w:hAnsi="Book Antiqua"/>
              </w:rPr>
              <w:t>73</w:t>
            </w:r>
          </w:p>
        </w:tc>
        <w:tc>
          <w:tcPr>
            <w:tcW w:w="1628" w:type="dxa"/>
          </w:tcPr>
          <w:p w14:paraId="38BF9BB4" w14:textId="30677599" w:rsidR="00F04EE8" w:rsidRPr="00F04EE8" w:rsidRDefault="00F04EE8" w:rsidP="00F04EE8">
            <w:pPr>
              <w:spacing w:line="360" w:lineRule="auto"/>
              <w:jc w:val="both"/>
              <w:rPr>
                <w:rFonts w:ascii="Book Antiqua" w:hAnsi="Book Antiqua"/>
              </w:rPr>
            </w:pPr>
            <w:r w:rsidRPr="00F04EE8">
              <w:rPr>
                <w:rFonts w:ascii="Book Antiqua" w:hAnsi="Book Antiqua"/>
              </w:rPr>
              <w:t>&gt;</w:t>
            </w:r>
            <w:r w:rsidR="00A83426">
              <w:rPr>
                <w:rFonts w:ascii="Book Antiqua" w:hAnsi="Book Antiqua"/>
              </w:rPr>
              <w:t xml:space="preserve"> </w:t>
            </w:r>
            <w:r w:rsidRPr="00F04EE8">
              <w:rPr>
                <w:rFonts w:ascii="Book Antiqua" w:hAnsi="Book Antiqua"/>
              </w:rPr>
              <w:t xml:space="preserve">12 </w:t>
            </w:r>
            <w:proofErr w:type="spellStart"/>
            <w:r w:rsidRPr="00F04EE8">
              <w:rPr>
                <w:rFonts w:ascii="Book Antiqua" w:hAnsi="Book Antiqua"/>
              </w:rPr>
              <w:t>mo</w:t>
            </w:r>
            <w:proofErr w:type="spellEnd"/>
            <w:r w:rsidRPr="00F04EE8">
              <w:rPr>
                <w:rFonts w:ascii="Book Antiqua" w:hAnsi="Book Antiqua"/>
              </w:rPr>
              <w:t xml:space="preserve"> (13.6 </w:t>
            </w:r>
            <w:r w:rsidR="00A83426" w:rsidRPr="00A83426">
              <w:rPr>
                <w:rFonts w:ascii="Book Antiqua" w:hAnsi="Book Antiqua"/>
                <w:lang w:eastAsia="zh-CN"/>
              </w:rPr>
              <w:t>±</w:t>
            </w:r>
            <w:r w:rsidRPr="00F04EE8">
              <w:rPr>
                <w:rFonts w:ascii="Book Antiqua" w:hAnsi="Book Antiqua"/>
              </w:rPr>
              <w:t xml:space="preserve"> 8.6 </w:t>
            </w:r>
            <w:proofErr w:type="spellStart"/>
            <w:r w:rsidRPr="00F04EE8">
              <w:rPr>
                <w:rFonts w:ascii="Book Antiqua" w:hAnsi="Book Antiqua"/>
              </w:rPr>
              <w:t>y</w:t>
            </w:r>
            <w:r w:rsidR="00A83426">
              <w:rPr>
                <w:rFonts w:ascii="Book Antiqua" w:hAnsi="Book Antiqua"/>
              </w:rPr>
              <w:t>r</w:t>
            </w:r>
            <w:proofErr w:type="spellEnd"/>
            <w:r w:rsidRPr="00F04EE8">
              <w:rPr>
                <w:rFonts w:ascii="Book Antiqua" w:hAnsi="Book Antiqua"/>
              </w:rPr>
              <w:t>)</w:t>
            </w:r>
          </w:p>
        </w:tc>
        <w:tc>
          <w:tcPr>
            <w:tcW w:w="3126" w:type="dxa"/>
          </w:tcPr>
          <w:p w14:paraId="29C50E60" w14:textId="72455FCB" w:rsidR="00F04EE8" w:rsidRPr="00F04EE8" w:rsidRDefault="00F04EE8" w:rsidP="00F04EE8">
            <w:pPr>
              <w:spacing w:line="360" w:lineRule="auto"/>
              <w:jc w:val="both"/>
              <w:rPr>
                <w:rFonts w:ascii="Book Antiqua" w:hAnsi="Book Antiqua"/>
                <w:color w:val="000000" w:themeColor="text1"/>
              </w:rPr>
            </w:pPr>
            <w:r w:rsidRPr="00F04EE8">
              <w:rPr>
                <w:rFonts w:ascii="Book Antiqua" w:eastAsia="Segoe UI" w:hAnsi="Book Antiqua"/>
                <w:color w:val="000000" w:themeColor="text1"/>
                <w:shd w:val="clear" w:color="auto" w:fill="FFFFFF"/>
              </w:rPr>
              <w:t>Significant difference in development of renal insufficiency and proteinuria in obese patients (BMI &gt; 30) as compared to non-obese patient even after multiple regression analysis</w:t>
            </w:r>
          </w:p>
        </w:tc>
        <w:tc>
          <w:tcPr>
            <w:tcW w:w="2932" w:type="dxa"/>
          </w:tcPr>
          <w:p w14:paraId="07C54561" w14:textId="77777777" w:rsidR="00F04EE8" w:rsidRPr="00F04EE8" w:rsidRDefault="00F04EE8" w:rsidP="00F04EE8">
            <w:pPr>
              <w:spacing w:line="360" w:lineRule="auto"/>
              <w:jc w:val="both"/>
              <w:rPr>
                <w:rFonts w:ascii="Book Antiqua" w:hAnsi="Book Antiqua"/>
              </w:rPr>
            </w:pPr>
          </w:p>
        </w:tc>
      </w:tr>
      <w:tr w:rsidR="00F04EE8" w:rsidRPr="00F04EE8" w14:paraId="5B40331B" w14:textId="77777777" w:rsidTr="007D277E">
        <w:trPr>
          <w:trHeight w:val="1280"/>
        </w:trPr>
        <w:tc>
          <w:tcPr>
            <w:tcW w:w="1238" w:type="dxa"/>
          </w:tcPr>
          <w:p w14:paraId="3A66F905" w14:textId="0F894E84"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Nogueira</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28</w:t>
            </w:r>
            <w:r w:rsidR="00A83426" w:rsidRPr="00A83426">
              <w:rPr>
                <w:rFonts w:ascii="Book Antiqua" w:hAnsi="Book Antiqua"/>
                <w:vertAlign w:val="superscript"/>
              </w:rPr>
              <w:t>]</w:t>
            </w:r>
          </w:p>
        </w:tc>
        <w:tc>
          <w:tcPr>
            <w:tcW w:w="1174" w:type="dxa"/>
          </w:tcPr>
          <w:p w14:paraId="1B6C0D16" w14:textId="77777777" w:rsidR="00F04EE8" w:rsidRPr="00F04EE8" w:rsidRDefault="00F04EE8" w:rsidP="00F04EE8">
            <w:pPr>
              <w:spacing w:line="360" w:lineRule="auto"/>
              <w:jc w:val="both"/>
              <w:rPr>
                <w:rFonts w:ascii="Book Antiqua" w:hAnsi="Book Antiqua"/>
              </w:rPr>
            </w:pPr>
            <w:r w:rsidRPr="00F04EE8">
              <w:rPr>
                <w:rFonts w:ascii="Book Antiqua" w:hAnsi="Book Antiqua"/>
              </w:rPr>
              <w:t>39</w:t>
            </w:r>
          </w:p>
        </w:tc>
        <w:tc>
          <w:tcPr>
            <w:tcW w:w="1628" w:type="dxa"/>
          </w:tcPr>
          <w:p w14:paraId="1B3EB76C" w14:textId="3ECD0E8D" w:rsidR="00F04EE8" w:rsidRPr="00F04EE8" w:rsidRDefault="00F04EE8" w:rsidP="00F04EE8">
            <w:pPr>
              <w:spacing w:line="360" w:lineRule="auto"/>
              <w:jc w:val="both"/>
              <w:rPr>
                <w:rFonts w:ascii="Book Antiqua" w:hAnsi="Book Antiqua"/>
              </w:rPr>
            </w:pPr>
            <w:r w:rsidRPr="00F04EE8">
              <w:rPr>
                <w:rFonts w:ascii="Book Antiqua" w:hAnsi="Book Antiqua"/>
              </w:rPr>
              <w:t xml:space="preserve">7.1 </w:t>
            </w:r>
            <w:r w:rsidR="00A83426" w:rsidRPr="00A83426">
              <w:rPr>
                <w:rFonts w:ascii="Book Antiqua" w:hAnsi="Book Antiqua"/>
                <w:lang w:eastAsia="zh-CN"/>
              </w:rPr>
              <w:t>±</w:t>
            </w:r>
            <w:r w:rsidRPr="00F04EE8">
              <w:rPr>
                <w:rFonts w:ascii="Book Antiqua" w:hAnsi="Book Antiqua"/>
              </w:rPr>
              <w:t xml:space="preserve"> 1.6 </w:t>
            </w:r>
            <w:proofErr w:type="spellStart"/>
            <w:r w:rsidRPr="00F04EE8">
              <w:rPr>
                <w:rFonts w:ascii="Book Antiqua" w:hAnsi="Book Antiqua"/>
              </w:rPr>
              <w:t>y</w:t>
            </w:r>
            <w:r w:rsidR="00A83426">
              <w:rPr>
                <w:rFonts w:ascii="Book Antiqua" w:hAnsi="Book Antiqua"/>
              </w:rPr>
              <w:t>r</w:t>
            </w:r>
            <w:proofErr w:type="spellEnd"/>
          </w:p>
        </w:tc>
        <w:tc>
          <w:tcPr>
            <w:tcW w:w="3126" w:type="dxa"/>
          </w:tcPr>
          <w:p w14:paraId="500F6713" w14:textId="2195C6CB" w:rsidR="00F04EE8" w:rsidRPr="00F04EE8" w:rsidRDefault="00F04EE8" w:rsidP="00F04EE8">
            <w:pPr>
              <w:spacing w:line="360" w:lineRule="auto"/>
              <w:jc w:val="both"/>
              <w:rPr>
                <w:rFonts w:ascii="Book Antiqua" w:hAnsi="Book Antiqua"/>
                <w:color w:val="000000" w:themeColor="text1"/>
              </w:rPr>
            </w:pPr>
            <w:r w:rsidRPr="00F04EE8">
              <w:rPr>
                <w:rFonts w:ascii="Book Antiqua" w:eastAsia="Segoe UI" w:hAnsi="Book Antiqua"/>
                <w:color w:val="000000" w:themeColor="text1"/>
                <w:shd w:val="clear" w:color="auto" w:fill="FFFFFF"/>
              </w:rPr>
              <w:t xml:space="preserve">Significant difference in decrease in </w:t>
            </w:r>
            <w:proofErr w:type="spellStart"/>
            <w:r w:rsidRPr="00F04EE8">
              <w:rPr>
                <w:rFonts w:ascii="Book Antiqua" w:eastAsia="Segoe UI" w:hAnsi="Book Antiqua"/>
                <w:color w:val="000000" w:themeColor="text1"/>
                <w:shd w:val="clear" w:color="auto" w:fill="FFFFFF"/>
              </w:rPr>
              <w:t>eGFR</w:t>
            </w:r>
            <w:proofErr w:type="spellEnd"/>
            <w:r w:rsidRPr="00F04EE8">
              <w:rPr>
                <w:rFonts w:ascii="Book Antiqua" w:eastAsia="Segoe UI" w:hAnsi="Book Antiqua"/>
                <w:color w:val="000000" w:themeColor="text1"/>
                <w:shd w:val="clear" w:color="auto" w:fill="FFFFFF"/>
              </w:rPr>
              <w:t xml:space="preserve"> from baseline in obese patients (BMI &gt; 35 kg/m</w:t>
            </w:r>
            <w:r w:rsidRPr="00F04EE8">
              <w:rPr>
                <w:rFonts w:ascii="Book Antiqua" w:eastAsia="Segoe UI" w:hAnsi="Book Antiqua"/>
                <w:color w:val="000000" w:themeColor="text1"/>
                <w:shd w:val="clear" w:color="auto" w:fill="FFFFFF"/>
                <w:vertAlign w:val="superscript"/>
              </w:rPr>
              <w:t>2</w:t>
            </w:r>
            <w:r w:rsidRPr="00F04EE8">
              <w:rPr>
                <w:rFonts w:ascii="Book Antiqua" w:eastAsia="Segoe UI" w:hAnsi="Book Antiqua"/>
                <w:color w:val="000000" w:themeColor="text1"/>
                <w:shd w:val="clear" w:color="auto" w:fill="FFFFFF"/>
              </w:rPr>
              <w:t>)</w:t>
            </w:r>
          </w:p>
        </w:tc>
        <w:tc>
          <w:tcPr>
            <w:tcW w:w="2932" w:type="dxa"/>
          </w:tcPr>
          <w:p w14:paraId="79F2309F" w14:textId="77777777" w:rsidR="00F04EE8" w:rsidRPr="00F04EE8" w:rsidRDefault="00F04EE8" w:rsidP="00F04EE8">
            <w:pPr>
              <w:spacing w:line="360" w:lineRule="auto"/>
              <w:jc w:val="both"/>
              <w:rPr>
                <w:rFonts w:ascii="Book Antiqua" w:hAnsi="Book Antiqua"/>
              </w:rPr>
            </w:pPr>
          </w:p>
        </w:tc>
      </w:tr>
      <w:tr w:rsidR="00F04EE8" w:rsidRPr="00F04EE8" w14:paraId="5334FE6D" w14:textId="77777777" w:rsidTr="007D277E">
        <w:trPr>
          <w:trHeight w:val="1280"/>
        </w:trPr>
        <w:tc>
          <w:tcPr>
            <w:tcW w:w="1238" w:type="dxa"/>
          </w:tcPr>
          <w:p w14:paraId="48F569A6" w14:textId="18E68334"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Ozdemir</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37</w:t>
            </w:r>
            <w:r w:rsidR="00A83426" w:rsidRPr="00A83426">
              <w:rPr>
                <w:rFonts w:ascii="Book Antiqua" w:hAnsi="Book Antiqua"/>
                <w:vertAlign w:val="superscript"/>
              </w:rPr>
              <w:t>]</w:t>
            </w:r>
          </w:p>
        </w:tc>
        <w:tc>
          <w:tcPr>
            <w:tcW w:w="1174" w:type="dxa"/>
          </w:tcPr>
          <w:p w14:paraId="09E2F327" w14:textId="77777777" w:rsidR="00F04EE8" w:rsidRPr="00F04EE8" w:rsidRDefault="00F04EE8" w:rsidP="00F04EE8">
            <w:pPr>
              <w:spacing w:line="360" w:lineRule="auto"/>
              <w:jc w:val="both"/>
              <w:rPr>
                <w:rFonts w:ascii="Book Antiqua" w:hAnsi="Book Antiqua"/>
              </w:rPr>
            </w:pPr>
            <w:r w:rsidRPr="00F04EE8">
              <w:rPr>
                <w:rFonts w:ascii="Book Antiqua" w:hAnsi="Book Antiqua"/>
              </w:rPr>
              <w:t>2265</w:t>
            </w:r>
          </w:p>
        </w:tc>
        <w:tc>
          <w:tcPr>
            <w:tcW w:w="1628" w:type="dxa"/>
          </w:tcPr>
          <w:p w14:paraId="6296DD95" w14:textId="776FCC3C" w:rsidR="00F04EE8" w:rsidRPr="00F04EE8" w:rsidRDefault="00F04EE8" w:rsidP="00F04EE8">
            <w:pPr>
              <w:spacing w:line="360" w:lineRule="auto"/>
              <w:jc w:val="both"/>
              <w:rPr>
                <w:rFonts w:ascii="Book Antiqua" w:hAnsi="Book Antiqua"/>
              </w:rPr>
            </w:pPr>
            <w:r w:rsidRPr="00F04EE8">
              <w:rPr>
                <w:rFonts w:ascii="Book Antiqua" w:hAnsi="Book Antiqua"/>
              </w:rPr>
              <w:t xml:space="preserve">15 </w:t>
            </w:r>
            <w:proofErr w:type="spellStart"/>
            <w:r w:rsidRPr="00F04EE8">
              <w:rPr>
                <w:rFonts w:ascii="Book Antiqua" w:hAnsi="Book Antiqua"/>
              </w:rPr>
              <w:t>y</w:t>
            </w:r>
            <w:r w:rsidR="00A83426">
              <w:rPr>
                <w:rFonts w:ascii="Book Antiqua" w:hAnsi="Book Antiqua"/>
              </w:rPr>
              <w:t>r</w:t>
            </w:r>
            <w:proofErr w:type="spellEnd"/>
          </w:p>
        </w:tc>
        <w:tc>
          <w:tcPr>
            <w:tcW w:w="3126" w:type="dxa"/>
          </w:tcPr>
          <w:p w14:paraId="50BF82BB" w14:textId="77777777" w:rsidR="00F04EE8" w:rsidRPr="00F04EE8" w:rsidRDefault="00F04EE8" w:rsidP="00F04EE8">
            <w:pPr>
              <w:spacing w:line="360" w:lineRule="auto"/>
              <w:jc w:val="both"/>
              <w:rPr>
                <w:rFonts w:ascii="Book Antiqua" w:eastAsia="Segoe UI" w:hAnsi="Book Antiqua"/>
                <w:color w:val="212121"/>
                <w:shd w:val="clear" w:color="auto" w:fill="FFFFFF"/>
              </w:rPr>
            </w:pPr>
          </w:p>
        </w:tc>
        <w:tc>
          <w:tcPr>
            <w:tcW w:w="2932" w:type="dxa"/>
          </w:tcPr>
          <w:p w14:paraId="5E072576" w14:textId="62CD5B22" w:rsidR="00F04EE8" w:rsidRPr="00F04EE8" w:rsidRDefault="00F04EE8" w:rsidP="00F04EE8">
            <w:pPr>
              <w:spacing w:line="360" w:lineRule="auto"/>
              <w:jc w:val="both"/>
              <w:rPr>
                <w:rFonts w:ascii="Book Antiqua" w:hAnsi="Book Antiqua"/>
              </w:rPr>
            </w:pPr>
            <w:r w:rsidRPr="00F04EE8">
              <w:rPr>
                <w:rFonts w:ascii="Book Antiqua" w:hAnsi="Book Antiqua"/>
              </w:rPr>
              <w:t>6.21</w:t>
            </w:r>
            <w:r w:rsidR="00A83426">
              <w:rPr>
                <w:rFonts w:ascii="Book Antiqua" w:hAnsi="Book Antiqua"/>
              </w:rPr>
              <w:t>-</w:t>
            </w:r>
            <w:r w:rsidRPr="00F04EE8">
              <w:rPr>
                <w:rFonts w:ascii="Book Antiqua" w:hAnsi="Book Antiqua"/>
              </w:rPr>
              <w:t xml:space="preserve">fold high risk of ESRD in 15 </w:t>
            </w:r>
            <w:proofErr w:type="spellStart"/>
            <w:r w:rsidRPr="00F04EE8">
              <w:rPr>
                <w:rFonts w:ascii="Book Antiqua" w:hAnsi="Book Antiqua"/>
              </w:rPr>
              <w:t>y</w:t>
            </w:r>
            <w:r w:rsidR="00A83426">
              <w:rPr>
                <w:rFonts w:ascii="Book Antiqua" w:hAnsi="Book Antiqua"/>
              </w:rPr>
              <w:t>r</w:t>
            </w:r>
            <w:proofErr w:type="spellEnd"/>
            <w:r w:rsidRPr="00F04EE8">
              <w:rPr>
                <w:rFonts w:ascii="Book Antiqua" w:hAnsi="Book Antiqua"/>
              </w:rPr>
              <w:t xml:space="preserve"> in patients with pre-donation HTN controlled on medications</w:t>
            </w:r>
          </w:p>
        </w:tc>
      </w:tr>
      <w:tr w:rsidR="00F04EE8" w:rsidRPr="00F04EE8" w14:paraId="4BF884D4" w14:textId="77777777" w:rsidTr="007D277E">
        <w:trPr>
          <w:trHeight w:val="1280"/>
        </w:trPr>
        <w:tc>
          <w:tcPr>
            <w:tcW w:w="1238" w:type="dxa"/>
            <w:tcBorders>
              <w:bottom w:val="single" w:sz="4" w:space="0" w:color="auto"/>
            </w:tcBorders>
          </w:tcPr>
          <w:p w14:paraId="33117E48" w14:textId="54236CCE"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Quadri</w:t>
            </w:r>
            <w:proofErr w:type="spellEnd"/>
            <w:r w:rsidRPr="00F04EE8">
              <w:rPr>
                <w:rFonts w:ascii="Book Antiqua" w:hAnsi="Book Antiqua"/>
              </w:rPr>
              <w:t xml:space="preserve"> </w:t>
            </w:r>
            <w:r w:rsidR="00A83426" w:rsidRPr="00A83426">
              <w:rPr>
                <w:rFonts w:ascii="Book Antiqua" w:hAnsi="Book Antiqua"/>
                <w:i/>
                <w:iCs/>
              </w:rPr>
              <w:t>et al</w:t>
            </w:r>
            <w:r w:rsidR="00A83426" w:rsidRPr="00A83426">
              <w:rPr>
                <w:rFonts w:ascii="Book Antiqua" w:hAnsi="Book Antiqua"/>
                <w:vertAlign w:val="superscript"/>
              </w:rPr>
              <w:t>[</w:t>
            </w:r>
            <w:r w:rsidR="00A83426">
              <w:rPr>
                <w:rFonts w:ascii="Book Antiqua" w:hAnsi="Book Antiqua"/>
                <w:vertAlign w:val="superscript"/>
              </w:rPr>
              <w:t>44</w:t>
            </w:r>
            <w:r w:rsidR="00A83426" w:rsidRPr="00A83426">
              <w:rPr>
                <w:rFonts w:ascii="Book Antiqua" w:hAnsi="Book Antiqua"/>
                <w:vertAlign w:val="superscript"/>
              </w:rPr>
              <w:t>]</w:t>
            </w:r>
          </w:p>
        </w:tc>
        <w:tc>
          <w:tcPr>
            <w:tcW w:w="1174" w:type="dxa"/>
            <w:tcBorders>
              <w:bottom w:val="single" w:sz="4" w:space="0" w:color="auto"/>
            </w:tcBorders>
          </w:tcPr>
          <w:p w14:paraId="41264C19" w14:textId="6E120B73" w:rsidR="00F04EE8" w:rsidRPr="00F04EE8" w:rsidRDefault="00F04EE8" w:rsidP="00F04EE8">
            <w:pPr>
              <w:spacing w:line="360" w:lineRule="auto"/>
              <w:jc w:val="both"/>
              <w:rPr>
                <w:rFonts w:ascii="Book Antiqua" w:hAnsi="Book Antiqua"/>
              </w:rPr>
            </w:pPr>
            <w:r w:rsidRPr="00F04EE8">
              <w:rPr>
                <w:rFonts w:ascii="Book Antiqua" w:hAnsi="Book Antiqua" w:cs="Arial"/>
                <w:color w:val="000000"/>
                <w:shd w:val="clear" w:color="auto" w:fill="FFFFFF"/>
              </w:rPr>
              <w:t>129689</w:t>
            </w:r>
          </w:p>
        </w:tc>
        <w:tc>
          <w:tcPr>
            <w:tcW w:w="1628" w:type="dxa"/>
            <w:tcBorders>
              <w:bottom w:val="single" w:sz="4" w:space="0" w:color="auto"/>
            </w:tcBorders>
          </w:tcPr>
          <w:p w14:paraId="754240E8" w14:textId="6542209E" w:rsidR="00F04EE8" w:rsidRPr="00F04EE8" w:rsidRDefault="00F04EE8" w:rsidP="00F04EE8">
            <w:pPr>
              <w:spacing w:line="360" w:lineRule="auto"/>
              <w:jc w:val="both"/>
              <w:rPr>
                <w:rFonts w:ascii="Book Antiqua" w:hAnsi="Book Antiqua"/>
              </w:rPr>
            </w:pPr>
            <w:r w:rsidRPr="00F04EE8">
              <w:rPr>
                <w:rFonts w:ascii="Book Antiqua" w:hAnsi="Book Antiqua"/>
              </w:rPr>
              <w:t xml:space="preserve">5 </w:t>
            </w:r>
            <w:proofErr w:type="spellStart"/>
            <w:r w:rsidRPr="00F04EE8">
              <w:rPr>
                <w:rFonts w:ascii="Book Antiqua" w:hAnsi="Book Antiqua"/>
              </w:rPr>
              <w:t>y</w:t>
            </w:r>
            <w:r w:rsidR="00A83426">
              <w:rPr>
                <w:rFonts w:ascii="Book Antiqua" w:hAnsi="Book Antiqua"/>
              </w:rPr>
              <w:t>r</w:t>
            </w:r>
            <w:proofErr w:type="spellEnd"/>
          </w:p>
        </w:tc>
        <w:tc>
          <w:tcPr>
            <w:tcW w:w="6084" w:type="dxa"/>
            <w:gridSpan w:val="2"/>
            <w:tcBorders>
              <w:bottom w:val="single" w:sz="4" w:space="0" w:color="auto"/>
            </w:tcBorders>
          </w:tcPr>
          <w:p w14:paraId="09C0FEB8" w14:textId="4B7AAF85" w:rsidR="00F04EE8" w:rsidRPr="00F04EE8" w:rsidRDefault="00F04EE8" w:rsidP="00F04EE8">
            <w:pPr>
              <w:spacing w:line="360" w:lineRule="auto"/>
              <w:jc w:val="both"/>
              <w:rPr>
                <w:rFonts w:ascii="Book Antiqua" w:hAnsi="Book Antiqua"/>
              </w:rPr>
            </w:pPr>
            <w:r w:rsidRPr="00F04EE8">
              <w:rPr>
                <w:rFonts w:ascii="Book Antiqua" w:hAnsi="Book Antiqua" w:cs="Arial"/>
                <w:color w:val="000000"/>
                <w:shd w:val="clear" w:color="auto" w:fill="FFFFFF"/>
              </w:rPr>
              <w:t>Among those with age &lt;</w:t>
            </w:r>
            <w:r w:rsidR="00A83426">
              <w:rPr>
                <w:rFonts w:ascii="Book Antiqua" w:hAnsi="Book Antiqua" w:cs="Arial"/>
                <w:color w:val="000000"/>
                <w:shd w:val="clear" w:color="auto" w:fill="FFFFFF"/>
              </w:rPr>
              <w:t xml:space="preserve"> </w:t>
            </w:r>
            <w:r w:rsidRPr="00F04EE8">
              <w:rPr>
                <w:rFonts w:ascii="Book Antiqua" w:hAnsi="Book Antiqua" w:cs="Arial"/>
                <w:color w:val="000000"/>
                <w:shd w:val="clear" w:color="auto" w:fill="FFFFFF"/>
              </w:rPr>
              <w:t xml:space="preserve">50 </w:t>
            </w:r>
            <w:proofErr w:type="spellStart"/>
            <w:r w:rsidRPr="00F04EE8">
              <w:rPr>
                <w:rFonts w:ascii="Book Antiqua" w:hAnsi="Book Antiqua" w:cs="Arial"/>
                <w:color w:val="000000"/>
                <w:shd w:val="clear" w:color="auto" w:fill="FFFFFF"/>
              </w:rPr>
              <w:t>y</w:t>
            </w:r>
            <w:r w:rsidR="00A83426">
              <w:rPr>
                <w:rFonts w:ascii="Book Antiqua" w:hAnsi="Book Antiqua" w:cs="Arial"/>
                <w:color w:val="000000"/>
                <w:shd w:val="clear" w:color="auto" w:fill="FFFFFF"/>
              </w:rPr>
              <w:t>r</w:t>
            </w:r>
            <w:proofErr w:type="spellEnd"/>
            <w:r w:rsidRPr="00F04EE8">
              <w:rPr>
                <w:rFonts w:ascii="Book Antiqua" w:hAnsi="Book Antiqua" w:cs="Arial"/>
                <w:color w:val="000000"/>
                <w:shd w:val="clear" w:color="auto" w:fill="FFFFFF"/>
              </w:rPr>
              <w:t>, pre-existing HTN + obesity (BMI &gt;</w:t>
            </w:r>
            <w:r w:rsidR="00A83426">
              <w:rPr>
                <w:rFonts w:ascii="Book Antiqua" w:hAnsi="Book Antiqua" w:cs="Arial"/>
                <w:color w:val="000000"/>
                <w:shd w:val="clear" w:color="auto" w:fill="FFFFFF"/>
              </w:rPr>
              <w:t xml:space="preserve"> </w:t>
            </w:r>
            <w:r w:rsidRPr="00F04EE8">
              <w:rPr>
                <w:rFonts w:ascii="Book Antiqua" w:hAnsi="Book Antiqua" w:cs="Arial"/>
                <w:color w:val="000000"/>
                <w:shd w:val="clear" w:color="auto" w:fill="FFFFFF"/>
              </w:rPr>
              <w:t>30 kg/m</w:t>
            </w:r>
            <w:r w:rsidRPr="00F04EE8">
              <w:rPr>
                <w:rFonts w:ascii="Book Antiqua" w:hAnsi="Book Antiqua" w:cs="Arial"/>
                <w:color w:val="000000"/>
                <w:shd w:val="clear" w:color="auto" w:fill="FFFFFF"/>
                <w:vertAlign w:val="superscript"/>
              </w:rPr>
              <w:t>2</w:t>
            </w:r>
            <w:r w:rsidRPr="00F04EE8">
              <w:rPr>
                <w:rFonts w:ascii="Book Antiqua" w:hAnsi="Book Antiqua" w:cs="Arial"/>
                <w:color w:val="000000"/>
                <w:shd w:val="clear" w:color="auto" w:fill="FFFFFF"/>
              </w:rPr>
              <w:t xml:space="preserve">) were associated with a 24-fold increased risk of no </w:t>
            </w:r>
            <w:proofErr w:type="spellStart"/>
            <w:r w:rsidRPr="00F04EE8">
              <w:rPr>
                <w:rFonts w:ascii="Book Antiqua" w:hAnsi="Book Antiqua" w:cs="Arial"/>
                <w:color w:val="000000"/>
                <w:shd w:val="clear" w:color="auto" w:fill="FFFFFF"/>
              </w:rPr>
              <w:t>eGFR</w:t>
            </w:r>
            <w:proofErr w:type="spellEnd"/>
            <w:r w:rsidRPr="00F04EE8">
              <w:rPr>
                <w:rFonts w:ascii="Book Antiqua" w:hAnsi="Book Antiqua" w:cs="Arial"/>
                <w:color w:val="000000"/>
                <w:shd w:val="clear" w:color="auto" w:fill="FFFFFF"/>
              </w:rPr>
              <w:t xml:space="preserve"> compensation of the remaining kidney over 5 </w:t>
            </w:r>
            <w:proofErr w:type="spellStart"/>
            <w:r w:rsidRPr="00F04EE8">
              <w:rPr>
                <w:rFonts w:ascii="Book Antiqua" w:hAnsi="Book Antiqua" w:cs="Arial"/>
                <w:color w:val="000000"/>
                <w:shd w:val="clear" w:color="auto" w:fill="FFFFFF"/>
              </w:rPr>
              <w:t>y</w:t>
            </w:r>
            <w:r w:rsidR="00A83426">
              <w:rPr>
                <w:rFonts w:ascii="Book Antiqua" w:hAnsi="Book Antiqua" w:cs="Arial"/>
                <w:color w:val="000000"/>
                <w:shd w:val="clear" w:color="auto" w:fill="FFFFFF"/>
              </w:rPr>
              <w:t>r</w:t>
            </w:r>
            <w:proofErr w:type="spellEnd"/>
            <w:r w:rsidRPr="00F04EE8">
              <w:rPr>
                <w:rFonts w:ascii="Book Antiqua" w:hAnsi="Book Antiqua" w:cs="Arial"/>
                <w:color w:val="000000"/>
                <w:shd w:val="clear" w:color="auto" w:fill="FFFFFF"/>
              </w:rPr>
              <w:t xml:space="preserve"> post-donation</w:t>
            </w:r>
          </w:p>
        </w:tc>
      </w:tr>
    </w:tbl>
    <w:p w14:paraId="6FB5748A" w14:textId="64F338CA" w:rsidR="00B05B90" w:rsidRDefault="00A83426">
      <w:pPr>
        <w:spacing w:line="360" w:lineRule="auto"/>
        <w:jc w:val="both"/>
        <w:rPr>
          <w:rFonts w:ascii="Book Antiqua" w:eastAsia="Book Antiqua" w:hAnsi="Book Antiqua" w:cs="Book Antiqua"/>
          <w:color w:val="000000"/>
        </w:rPr>
      </w:pPr>
      <w:r w:rsidRPr="00A83426">
        <w:rPr>
          <w:rFonts w:ascii="Book Antiqua" w:hAnsi="Book Antiqua"/>
          <w:lang w:eastAsia="zh-CN"/>
        </w:rPr>
        <w:lastRenderedPageBreak/>
        <w:t>BMI:</w:t>
      </w:r>
      <w:r>
        <w:rPr>
          <w:rFonts w:ascii="Book Antiqua" w:hAnsi="Book Antiqua"/>
          <w:lang w:eastAsia="zh-CN"/>
        </w:rPr>
        <w:t xml:space="preserve"> </w:t>
      </w:r>
      <w:r>
        <w:rPr>
          <w:rFonts w:ascii="Book Antiqua" w:eastAsia="Book Antiqua" w:hAnsi="Book Antiqua" w:cs="Book Antiqua"/>
          <w:color w:val="000000"/>
        </w:rPr>
        <w:t xml:space="preserve">Body mass index; </w:t>
      </w:r>
      <w:proofErr w:type="spellStart"/>
      <w:r w:rsidRPr="00A83426">
        <w:rPr>
          <w:rFonts w:ascii="Book Antiqua" w:eastAsia="Book Antiqua" w:hAnsi="Book Antiqua" w:cs="Book Antiqua"/>
          <w:color w:val="000000"/>
        </w:rPr>
        <w:t>eGFR</w:t>
      </w:r>
      <w:proofErr w:type="spellEnd"/>
      <w:r>
        <w:rPr>
          <w:rFonts w:ascii="Book Antiqua" w:eastAsia="Book Antiqua" w:hAnsi="Book Antiqua" w:cs="Book Antiqua"/>
          <w:color w:val="000000"/>
        </w:rPr>
        <w:t>: Estimated glomerular filtration rate; HTN: Hypertension; SBP: S</w:t>
      </w:r>
      <w:r w:rsidRPr="00A83426">
        <w:rPr>
          <w:rFonts w:ascii="Book Antiqua" w:eastAsia="Book Antiqua" w:hAnsi="Book Antiqua" w:cs="Book Antiqua"/>
          <w:color w:val="000000"/>
        </w:rPr>
        <w:t>ystolic blood pressure</w:t>
      </w:r>
      <w:r>
        <w:rPr>
          <w:rFonts w:ascii="Book Antiqua" w:eastAsia="Book Antiqua" w:hAnsi="Book Antiqua" w:cs="Book Antiqua"/>
          <w:color w:val="000000"/>
        </w:rPr>
        <w:t>; DBP:</w:t>
      </w:r>
      <w:r w:rsidRPr="00A83426">
        <w:t xml:space="preserve"> </w:t>
      </w:r>
      <w:r>
        <w:rPr>
          <w:rFonts w:ascii="Book Antiqua" w:eastAsia="Book Antiqua" w:hAnsi="Book Antiqua" w:cs="Book Antiqua"/>
          <w:color w:val="000000"/>
        </w:rPr>
        <w:t>D</w:t>
      </w:r>
      <w:r w:rsidRPr="00A83426">
        <w:rPr>
          <w:rFonts w:ascii="Book Antiqua" w:eastAsia="Book Antiqua" w:hAnsi="Book Antiqua" w:cs="Book Antiqua"/>
          <w:color w:val="000000"/>
        </w:rPr>
        <w:t>iastolic blood pressure</w:t>
      </w:r>
      <w:r>
        <w:rPr>
          <w:rFonts w:ascii="Book Antiqua" w:eastAsia="Book Antiqua" w:hAnsi="Book Antiqua" w:cs="Book Antiqua"/>
          <w:color w:val="000000"/>
        </w:rPr>
        <w:t>; DM:</w:t>
      </w:r>
      <w:r w:rsidRPr="00A83426">
        <w:t xml:space="preserve"> </w:t>
      </w:r>
      <w:r>
        <w:rPr>
          <w:rFonts w:ascii="Book Antiqua" w:eastAsia="Book Antiqua" w:hAnsi="Book Antiqua" w:cs="Book Antiqua"/>
          <w:color w:val="000000"/>
        </w:rPr>
        <w:t>D</w:t>
      </w:r>
      <w:r w:rsidRPr="00A83426">
        <w:rPr>
          <w:rFonts w:ascii="Book Antiqua" w:eastAsia="Book Antiqua" w:hAnsi="Book Antiqua" w:cs="Book Antiqua"/>
          <w:color w:val="000000"/>
        </w:rPr>
        <w:t>iabetes mellitus</w:t>
      </w:r>
      <w:r>
        <w:rPr>
          <w:rFonts w:ascii="Book Antiqua" w:eastAsia="Book Antiqua" w:hAnsi="Book Antiqua" w:cs="Book Antiqua"/>
          <w:color w:val="000000"/>
        </w:rPr>
        <w:t xml:space="preserve">; </w:t>
      </w:r>
      <w:r w:rsidRPr="00A83426">
        <w:rPr>
          <w:rFonts w:ascii="Book Antiqua" w:eastAsia="Book Antiqua" w:hAnsi="Book Antiqua" w:cs="Book Antiqua"/>
          <w:color w:val="000000"/>
        </w:rPr>
        <w:t>ESRD</w:t>
      </w:r>
      <w:r>
        <w:rPr>
          <w:rFonts w:ascii="Book Antiqua" w:eastAsia="Book Antiqua" w:hAnsi="Book Antiqua" w:cs="Book Antiqua"/>
          <w:color w:val="000000"/>
        </w:rPr>
        <w:t>: E</w:t>
      </w:r>
      <w:r w:rsidRPr="00A83426">
        <w:rPr>
          <w:rFonts w:ascii="Book Antiqua" w:eastAsia="Book Antiqua" w:hAnsi="Book Antiqua" w:cs="Book Antiqua"/>
          <w:color w:val="000000"/>
        </w:rPr>
        <w:t>nd-stage renal disease</w:t>
      </w:r>
      <w:r>
        <w:rPr>
          <w:rFonts w:ascii="Book Antiqua" w:eastAsia="Book Antiqua" w:hAnsi="Book Antiqua" w:cs="Book Antiqua"/>
          <w:color w:val="000000"/>
        </w:rPr>
        <w:t>.</w:t>
      </w:r>
    </w:p>
    <w:p w14:paraId="23DB580B" w14:textId="77777777" w:rsidR="00B05B90" w:rsidRDefault="00B05B90" w:rsidP="00B05B90">
      <w:pPr>
        <w:jc w:val="center"/>
        <w:rPr>
          <w:rFonts w:ascii="Book Antiqua" w:hAnsi="Book Antiqua"/>
        </w:rPr>
      </w:pPr>
      <w:r>
        <w:rPr>
          <w:rFonts w:ascii="Book Antiqua" w:eastAsia="Book Antiqua" w:hAnsi="Book Antiqua" w:cs="Book Antiqua"/>
          <w:color w:val="000000"/>
        </w:rPr>
        <w:br w:type="page"/>
      </w:r>
    </w:p>
    <w:p w14:paraId="30CD59CA" w14:textId="77777777" w:rsidR="00B05B90" w:rsidRDefault="00B05B90" w:rsidP="00B05B90">
      <w:pPr>
        <w:jc w:val="center"/>
        <w:rPr>
          <w:rFonts w:ascii="Book Antiqua" w:hAnsi="Book Antiqua"/>
        </w:rPr>
      </w:pPr>
    </w:p>
    <w:p w14:paraId="50FA7246" w14:textId="77777777" w:rsidR="00B05B90" w:rsidRDefault="00B05B90" w:rsidP="00B05B90">
      <w:pPr>
        <w:jc w:val="center"/>
        <w:rPr>
          <w:rFonts w:ascii="Book Antiqua" w:hAnsi="Book Antiqua"/>
        </w:rPr>
      </w:pPr>
    </w:p>
    <w:p w14:paraId="32FEC3BE" w14:textId="77777777" w:rsidR="00B05B90" w:rsidRDefault="00B05B90" w:rsidP="00B05B90">
      <w:pPr>
        <w:jc w:val="center"/>
        <w:rPr>
          <w:rFonts w:ascii="Book Antiqua" w:hAnsi="Book Antiqua"/>
        </w:rPr>
      </w:pPr>
    </w:p>
    <w:p w14:paraId="72A82178" w14:textId="77777777" w:rsidR="00B05B90" w:rsidRDefault="00B05B90" w:rsidP="00B05B90">
      <w:pPr>
        <w:jc w:val="center"/>
        <w:rPr>
          <w:rFonts w:ascii="Book Antiqua" w:hAnsi="Book Antiqua"/>
        </w:rPr>
      </w:pPr>
    </w:p>
    <w:p w14:paraId="3718E371" w14:textId="60074C36" w:rsidR="00B05B90" w:rsidRDefault="00B05B90" w:rsidP="00B05B90">
      <w:pPr>
        <w:jc w:val="center"/>
        <w:rPr>
          <w:rFonts w:ascii="Book Antiqua" w:hAnsi="Book Antiqua"/>
        </w:rPr>
      </w:pPr>
      <w:r>
        <w:rPr>
          <w:rFonts w:ascii="Book Antiqua" w:hAnsi="Book Antiqua"/>
          <w:noProof/>
          <w:lang w:eastAsia="zh-CN"/>
        </w:rPr>
        <w:drawing>
          <wp:inline distT="0" distB="0" distL="0" distR="0" wp14:anchorId="4435BBB5" wp14:editId="677A75D5">
            <wp:extent cx="2497455" cy="1437005"/>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50DA40A3" w14:textId="77777777" w:rsidR="00B05B90" w:rsidRDefault="00B05B90" w:rsidP="00B05B90">
      <w:pPr>
        <w:jc w:val="center"/>
        <w:rPr>
          <w:rFonts w:ascii="Book Antiqua" w:hAnsi="Book Antiqua"/>
        </w:rPr>
      </w:pPr>
    </w:p>
    <w:p w14:paraId="5FEE9E35" w14:textId="77777777" w:rsidR="00B05B90" w:rsidRDefault="00B05B90" w:rsidP="00B05B9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0382DCB" w14:textId="77777777" w:rsidR="00B05B90" w:rsidRDefault="00B05B90" w:rsidP="00B05B9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41BD14" w14:textId="77777777" w:rsidR="00B05B90" w:rsidRDefault="00B05B90" w:rsidP="00B05B9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FF9D88" w14:textId="77777777" w:rsidR="00B05B90" w:rsidRDefault="00B05B90" w:rsidP="00B05B9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4B2826" w14:textId="77777777" w:rsidR="00B05B90" w:rsidRDefault="00B05B90" w:rsidP="00B05B9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500710" w14:textId="77777777" w:rsidR="00B05B90" w:rsidRDefault="00B05B90" w:rsidP="00B05B9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A2B9F58" w14:textId="77777777" w:rsidR="00B05B90" w:rsidRDefault="00B05B90" w:rsidP="00B05B90">
      <w:pPr>
        <w:jc w:val="center"/>
        <w:rPr>
          <w:rFonts w:ascii="Book Antiqua" w:hAnsi="Book Antiqua"/>
        </w:rPr>
      </w:pPr>
    </w:p>
    <w:p w14:paraId="368CC517" w14:textId="77777777" w:rsidR="00B05B90" w:rsidRDefault="00B05B90" w:rsidP="00B05B90">
      <w:pPr>
        <w:jc w:val="center"/>
        <w:rPr>
          <w:rFonts w:ascii="Book Antiqua" w:hAnsi="Book Antiqua"/>
        </w:rPr>
      </w:pPr>
    </w:p>
    <w:p w14:paraId="5171E031" w14:textId="77777777" w:rsidR="00B05B90" w:rsidRDefault="00B05B90" w:rsidP="00B05B90">
      <w:pPr>
        <w:jc w:val="center"/>
        <w:rPr>
          <w:rFonts w:ascii="Book Antiqua" w:hAnsi="Book Antiqua"/>
        </w:rPr>
      </w:pPr>
    </w:p>
    <w:p w14:paraId="18B293AA" w14:textId="191B7708" w:rsidR="00B05B90" w:rsidRDefault="00B05B90" w:rsidP="00B05B90">
      <w:pPr>
        <w:jc w:val="center"/>
        <w:rPr>
          <w:rFonts w:ascii="Book Antiqua" w:hAnsi="Book Antiqua"/>
        </w:rPr>
      </w:pPr>
      <w:r>
        <w:rPr>
          <w:rFonts w:ascii="Book Antiqua" w:hAnsi="Book Antiqua"/>
          <w:noProof/>
          <w:lang w:eastAsia="zh-CN"/>
        </w:rPr>
        <w:drawing>
          <wp:inline distT="0" distB="0" distL="0" distR="0" wp14:anchorId="5C6EDB2E" wp14:editId="0C1EEA9E">
            <wp:extent cx="1444625" cy="1437005"/>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15D7AEC3" w14:textId="77777777" w:rsidR="00B05B90" w:rsidRDefault="00B05B90" w:rsidP="00B05B90">
      <w:pPr>
        <w:jc w:val="center"/>
        <w:rPr>
          <w:rFonts w:ascii="Book Antiqua" w:hAnsi="Book Antiqua"/>
        </w:rPr>
      </w:pPr>
    </w:p>
    <w:p w14:paraId="0E5825B1" w14:textId="77777777" w:rsidR="00B05B90" w:rsidRDefault="00B05B90" w:rsidP="00B05B90">
      <w:pPr>
        <w:jc w:val="center"/>
        <w:rPr>
          <w:rFonts w:ascii="Book Antiqua" w:hAnsi="Book Antiqua"/>
        </w:rPr>
      </w:pPr>
    </w:p>
    <w:p w14:paraId="66AAA947" w14:textId="77777777" w:rsidR="00B05B90" w:rsidRDefault="00B05B90" w:rsidP="00B05B90">
      <w:pPr>
        <w:jc w:val="center"/>
        <w:rPr>
          <w:rFonts w:ascii="Book Antiqua" w:hAnsi="Book Antiqua"/>
        </w:rPr>
      </w:pPr>
    </w:p>
    <w:p w14:paraId="3C2CE88D" w14:textId="77777777" w:rsidR="00B05B90" w:rsidRDefault="00B05B90" w:rsidP="00B05B90">
      <w:pPr>
        <w:jc w:val="center"/>
        <w:rPr>
          <w:rFonts w:ascii="Book Antiqua" w:hAnsi="Book Antiqua"/>
        </w:rPr>
      </w:pPr>
    </w:p>
    <w:p w14:paraId="21E2484F" w14:textId="77777777" w:rsidR="00B05B90" w:rsidRDefault="00B05B90" w:rsidP="00B05B90">
      <w:pPr>
        <w:jc w:val="center"/>
        <w:rPr>
          <w:rFonts w:ascii="Book Antiqua" w:hAnsi="Book Antiqua"/>
        </w:rPr>
      </w:pPr>
    </w:p>
    <w:p w14:paraId="00FCC570" w14:textId="77777777" w:rsidR="00B05B90" w:rsidRDefault="00B05B90" w:rsidP="00B05B90">
      <w:pPr>
        <w:jc w:val="center"/>
        <w:rPr>
          <w:rFonts w:ascii="Book Antiqua" w:hAnsi="Book Antiqua"/>
        </w:rPr>
      </w:pPr>
    </w:p>
    <w:p w14:paraId="7C2EF8C8" w14:textId="77777777" w:rsidR="00B05B90" w:rsidRDefault="00B05B90" w:rsidP="00B05B90">
      <w:pPr>
        <w:jc w:val="center"/>
        <w:rPr>
          <w:rFonts w:ascii="Book Antiqua" w:hAnsi="Book Antiqua"/>
        </w:rPr>
      </w:pPr>
    </w:p>
    <w:p w14:paraId="310AF91C" w14:textId="77777777" w:rsidR="00B05B90" w:rsidRDefault="00B05B90" w:rsidP="00B05B90">
      <w:pPr>
        <w:jc w:val="center"/>
        <w:rPr>
          <w:rFonts w:ascii="Book Antiqua" w:hAnsi="Book Antiqua"/>
        </w:rPr>
      </w:pPr>
    </w:p>
    <w:p w14:paraId="0D036E22" w14:textId="77777777" w:rsidR="00B05B90" w:rsidRDefault="00B05B90" w:rsidP="00B05B90">
      <w:pPr>
        <w:jc w:val="center"/>
        <w:rPr>
          <w:rFonts w:ascii="Book Antiqua" w:hAnsi="Book Antiqua"/>
        </w:rPr>
      </w:pPr>
    </w:p>
    <w:p w14:paraId="57A4C25A" w14:textId="77777777" w:rsidR="00B05B90" w:rsidRDefault="00B05B90" w:rsidP="00B05B90">
      <w:pPr>
        <w:jc w:val="right"/>
        <w:rPr>
          <w:rFonts w:ascii="Book Antiqua" w:hAnsi="Book Antiqua"/>
          <w:color w:val="000000" w:themeColor="text1"/>
        </w:rPr>
      </w:pPr>
    </w:p>
    <w:p w14:paraId="66C0D2C8" w14:textId="77777777" w:rsidR="00B05B90" w:rsidRDefault="00B05B90" w:rsidP="00B05B9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07F7688" w14:textId="77777777" w:rsidR="00F04EE8" w:rsidRPr="00B05B90" w:rsidRDefault="00F04EE8">
      <w:pPr>
        <w:spacing w:line="360" w:lineRule="auto"/>
        <w:jc w:val="both"/>
        <w:rPr>
          <w:rFonts w:ascii="Book Antiqua" w:hAnsi="Book Antiqua"/>
          <w:lang w:eastAsia="zh-CN"/>
        </w:rPr>
      </w:pPr>
    </w:p>
    <w:sectPr w:rsidR="00F04EE8" w:rsidRPr="00B05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145D6" w14:textId="77777777" w:rsidR="00212A7F" w:rsidRDefault="00212A7F" w:rsidP="006F1589">
      <w:r>
        <w:separator/>
      </w:r>
    </w:p>
  </w:endnote>
  <w:endnote w:type="continuationSeparator" w:id="0">
    <w:p w14:paraId="65D91FB1" w14:textId="77777777" w:rsidR="00212A7F" w:rsidRDefault="00212A7F" w:rsidP="006F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4782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623569B" w14:textId="055A25A7" w:rsidR="006F1589" w:rsidRPr="006F1589" w:rsidRDefault="006F1589" w:rsidP="006F1589">
            <w:pPr>
              <w:pStyle w:val="a8"/>
              <w:jc w:val="right"/>
              <w:rPr>
                <w:rFonts w:ascii="Book Antiqua" w:hAnsi="Book Antiqua"/>
                <w:sz w:val="24"/>
                <w:szCs w:val="24"/>
              </w:rPr>
            </w:pPr>
            <w:r w:rsidRPr="006F1589">
              <w:rPr>
                <w:rFonts w:ascii="Book Antiqua" w:hAnsi="Book Antiqua"/>
                <w:sz w:val="24"/>
                <w:szCs w:val="24"/>
                <w:lang w:val="zh-CN" w:eastAsia="zh-CN"/>
              </w:rPr>
              <w:t xml:space="preserve"> </w:t>
            </w:r>
            <w:r w:rsidRPr="006F1589">
              <w:rPr>
                <w:rFonts w:ascii="Book Antiqua" w:hAnsi="Book Antiqua"/>
                <w:sz w:val="24"/>
                <w:szCs w:val="24"/>
              </w:rPr>
              <w:fldChar w:fldCharType="begin"/>
            </w:r>
            <w:r w:rsidRPr="006F1589">
              <w:rPr>
                <w:rFonts w:ascii="Book Antiqua" w:hAnsi="Book Antiqua"/>
                <w:sz w:val="24"/>
                <w:szCs w:val="24"/>
              </w:rPr>
              <w:instrText>PAGE</w:instrText>
            </w:r>
            <w:r w:rsidRPr="006F1589">
              <w:rPr>
                <w:rFonts w:ascii="Book Antiqua" w:hAnsi="Book Antiqua"/>
                <w:sz w:val="24"/>
                <w:szCs w:val="24"/>
              </w:rPr>
              <w:fldChar w:fldCharType="separate"/>
            </w:r>
            <w:r w:rsidR="00B05B90">
              <w:rPr>
                <w:rFonts w:ascii="Book Antiqua" w:hAnsi="Book Antiqua"/>
                <w:noProof/>
                <w:sz w:val="24"/>
                <w:szCs w:val="24"/>
              </w:rPr>
              <w:t>22</w:t>
            </w:r>
            <w:r w:rsidRPr="006F1589">
              <w:rPr>
                <w:rFonts w:ascii="Book Antiqua" w:hAnsi="Book Antiqua"/>
                <w:sz w:val="24"/>
                <w:szCs w:val="24"/>
              </w:rPr>
              <w:fldChar w:fldCharType="end"/>
            </w:r>
            <w:r w:rsidRPr="006F1589">
              <w:rPr>
                <w:rFonts w:ascii="Book Antiqua" w:hAnsi="Book Antiqua"/>
                <w:sz w:val="24"/>
                <w:szCs w:val="24"/>
                <w:lang w:val="zh-CN" w:eastAsia="zh-CN"/>
              </w:rPr>
              <w:t xml:space="preserve"> / </w:t>
            </w:r>
            <w:r w:rsidRPr="006F1589">
              <w:rPr>
                <w:rFonts w:ascii="Book Antiqua" w:hAnsi="Book Antiqua"/>
                <w:sz w:val="24"/>
                <w:szCs w:val="24"/>
              </w:rPr>
              <w:fldChar w:fldCharType="begin"/>
            </w:r>
            <w:r w:rsidRPr="006F1589">
              <w:rPr>
                <w:rFonts w:ascii="Book Antiqua" w:hAnsi="Book Antiqua"/>
                <w:sz w:val="24"/>
                <w:szCs w:val="24"/>
              </w:rPr>
              <w:instrText>NUMPAGES</w:instrText>
            </w:r>
            <w:r w:rsidRPr="006F1589">
              <w:rPr>
                <w:rFonts w:ascii="Book Antiqua" w:hAnsi="Book Antiqua"/>
                <w:sz w:val="24"/>
                <w:szCs w:val="24"/>
              </w:rPr>
              <w:fldChar w:fldCharType="separate"/>
            </w:r>
            <w:r w:rsidR="00B05B90">
              <w:rPr>
                <w:rFonts w:ascii="Book Antiqua" w:hAnsi="Book Antiqua"/>
                <w:noProof/>
                <w:sz w:val="24"/>
                <w:szCs w:val="24"/>
              </w:rPr>
              <w:t>22</w:t>
            </w:r>
            <w:r w:rsidRPr="006F1589">
              <w:rPr>
                <w:rFonts w:ascii="Book Antiqua" w:hAnsi="Book Antiqua"/>
                <w:sz w:val="24"/>
                <w:szCs w:val="24"/>
              </w:rPr>
              <w:fldChar w:fldCharType="end"/>
            </w:r>
          </w:p>
        </w:sdtContent>
      </w:sdt>
    </w:sdtContent>
  </w:sdt>
  <w:p w14:paraId="7169A5BA" w14:textId="77777777" w:rsidR="006F1589" w:rsidRPr="006F1589" w:rsidRDefault="006F1589" w:rsidP="006F1589">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76E47" w14:textId="77777777" w:rsidR="00212A7F" w:rsidRDefault="00212A7F" w:rsidP="006F1589">
      <w:r>
        <w:separator/>
      </w:r>
    </w:p>
  </w:footnote>
  <w:footnote w:type="continuationSeparator" w:id="0">
    <w:p w14:paraId="2A5A3786" w14:textId="77777777" w:rsidR="00212A7F" w:rsidRDefault="00212A7F" w:rsidP="006F1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7F67"/>
    <w:rsid w:val="000764CE"/>
    <w:rsid w:val="000D0020"/>
    <w:rsid w:val="00116CF3"/>
    <w:rsid w:val="00133C83"/>
    <w:rsid w:val="00186E28"/>
    <w:rsid w:val="00212A7F"/>
    <w:rsid w:val="002A2F96"/>
    <w:rsid w:val="002B7D3B"/>
    <w:rsid w:val="002C49CB"/>
    <w:rsid w:val="002D7CD3"/>
    <w:rsid w:val="003450B6"/>
    <w:rsid w:val="00345D5A"/>
    <w:rsid w:val="00364EB2"/>
    <w:rsid w:val="0037003A"/>
    <w:rsid w:val="00384994"/>
    <w:rsid w:val="00444420"/>
    <w:rsid w:val="00471120"/>
    <w:rsid w:val="00476FBB"/>
    <w:rsid w:val="004A7648"/>
    <w:rsid w:val="005B148B"/>
    <w:rsid w:val="005B3231"/>
    <w:rsid w:val="00643C48"/>
    <w:rsid w:val="00646D36"/>
    <w:rsid w:val="00675090"/>
    <w:rsid w:val="006F1589"/>
    <w:rsid w:val="006F2B0E"/>
    <w:rsid w:val="0072792E"/>
    <w:rsid w:val="007D277E"/>
    <w:rsid w:val="008061C9"/>
    <w:rsid w:val="008C737E"/>
    <w:rsid w:val="00987A0A"/>
    <w:rsid w:val="00A77B3E"/>
    <w:rsid w:val="00A83426"/>
    <w:rsid w:val="00B05B90"/>
    <w:rsid w:val="00B83B31"/>
    <w:rsid w:val="00B957A9"/>
    <w:rsid w:val="00C524F9"/>
    <w:rsid w:val="00C9224B"/>
    <w:rsid w:val="00CA2A55"/>
    <w:rsid w:val="00D06786"/>
    <w:rsid w:val="00D31D66"/>
    <w:rsid w:val="00D978BC"/>
    <w:rsid w:val="00DF753C"/>
    <w:rsid w:val="00ED264D"/>
    <w:rsid w:val="00F04EE8"/>
    <w:rsid w:val="00FD553E"/>
    <w:rsid w:val="00FF33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E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1C9"/>
    <w:rPr>
      <w:sz w:val="21"/>
      <w:szCs w:val="21"/>
    </w:rPr>
  </w:style>
  <w:style w:type="paragraph" w:styleId="a4">
    <w:name w:val="annotation text"/>
    <w:basedOn w:val="a"/>
    <w:link w:val="Char"/>
    <w:semiHidden/>
    <w:unhideWhenUsed/>
    <w:rsid w:val="008061C9"/>
  </w:style>
  <w:style w:type="character" w:customStyle="1" w:styleId="Char">
    <w:name w:val="批注文字 Char"/>
    <w:basedOn w:val="a0"/>
    <w:link w:val="a4"/>
    <w:semiHidden/>
    <w:rsid w:val="008061C9"/>
    <w:rPr>
      <w:sz w:val="24"/>
      <w:szCs w:val="24"/>
    </w:rPr>
  </w:style>
  <w:style w:type="paragraph" w:styleId="a5">
    <w:name w:val="annotation subject"/>
    <w:basedOn w:val="a4"/>
    <w:next w:val="a4"/>
    <w:link w:val="Char0"/>
    <w:semiHidden/>
    <w:unhideWhenUsed/>
    <w:rsid w:val="008061C9"/>
    <w:rPr>
      <w:b/>
      <w:bCs/>
    </w:rPr>
  </w:style>
  <w:style w:type="character" w:customStyle="1" w:styleId="Char0">
    <w:name w:val="批注主题 Char"/>
    <w:basedOn w:val="Char"/>
    <w:link w:val="a5"/>
    <w:semiHidden/>
    <w:rsid w:val="008061C9"/>
    <w:rPr>
      <w:b/>
      <w:bCs/>
      <w:sz w:val="24"/>
      <w:szCs w:val="24"/>
    </w:rPr>
  </w:style>
  <w:style w:type="table" w:styleId="a6">
    <w:name w:val="Table Grid"/>
    <w:basedOn w:val="a1"/>
    <w:uiPriority w:val="39"/>
    <w:rsid w:val="00F04EE8"/>
    <w:rPr>
      <w:rFonts w:asciiTheme="minorHAnsi" w:eastAsia="宋体"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6F158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6F1589"/>
    <w:rPr>
      <w:sz w:val="18"/>
      <w:szCs w:val="18"/>
    </w:rPr>
  </w:style>
  <w:style w:type="paragraph" w:styleId="a8">
    <w:name w:val="footer"/>
    <w:basedOn w:val="a"/>
    <w:link w:val="Char2"/>
    <w:uiPriority w:val="99"/>
    <w:unhideWhenUsed/>
    <w:rsid w:val="006F1589"/>
    <w:pPr>
      <w:tabs>
        <w:tab w:val="center" w:pos="4153"/>
        <w:tab w:val="right" w:pos="8306"/>
      </w:tabs>
      <w:snapToGrid w:val="0"/>
    </w:pPr>
    <w:rPr>
      <w:sz w:val="18"/>
      <w:szCs w:val="18"/>
    </w:rPr>
  </w:style>
  <w:style w:type="character" w:customStyle="1" w:styleId="Char2">
    <w:name w:val="页脚 Char"/>
    <w:basedOn w:val="a0"/>
    <w:link w:val="a8"/>
    <w:uiPriority w:val="99"/>
    <w:rsid w:val="006F1589"/>
    <w:rPr>
      <w:sz w:val="18"/>
      <w:szCs w:val="18"/>
    </w:rPr>
  </w:style>
  <w:style w:type="paragraph" w:styleId="a9">
    <w:name w:val="Balloon Text"/>
    <w:basedOn w:val="a"/>
    <w:link w:val="Char3"/>
    <w:rsid w:val="00987A0A"/>
    <w:rPr>
      <w:rFonts w:ascii="Segoe UI" w:hAnsi="Segoe UI" w:cs="Segoe UI"/>
      <w:sz w:val="18"/>
      <w:szCs w:val="18"/>
    </w:rPr>
  </w:style>
  <w:style w:type="character" w:customStyle="1" w:styleId="Char3">
    <w:name w:val="批注框文本 Char"/>
    <w:basedOn w:val="a0"/>
    <w:link w:val="a9"/>
    <w:rsid w:val="00987A0A"/>
    <w:rPr>
      <w:rFonts w:ascii="Segoe UI" w:hAnsi="Segoe UI" w:cs="Segoe UI"/>
      <w:sz w:val="18"/>
      <w:szCs w:val="18"/>
    </w:rPr>
  </w:style>
  <w:style w:type="character" w:customStyle="1" w:styleId="gmaildefault">
    <w:name w:val="gmail_default"/>
    <w:basedOn w:val="a0"/>
    <w:rsid w:val="00116CF3"/>
  </w:style>
  <w:style w:type="character" w:styleId="aa">
    <w:name w:val="Hyperlink"/>
    <w:basedOn w:val="a0"/>
    <w:unhideWhenUsed/>
    <w:rsid w:val="00B05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2252">
      <w:bodyDiv w:val="1"/>
      <w:marLeft w:val="0"/>
      <w:marRight w:val="0"/>
      <w:marTop w:val="0"/>
      <w:marBottom w:val="0"/>
      <w:divBdr>
        <w:top w:val="none" w:sz="0" w:space="0" w:color="auto"/>
        <w:left w:val="none" w:sz="0" w:space="0" w:color="auto"/>
        <w:bottom w:val="none" w:sz="0" w:space="0" w:color="auto"/>
        <w:right w:val="none" w:sz="0" w:space="0" w:color="auto"/>
      </w:divBdr>
    </w:div>
    <w:div w:id="102532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31</cp:revision>
  <dcterms:created xsi:type="dcterms:W3CDTF">2021-05-19T06:14:00Z</dcterms:created>
  <dcterms:modified xsi:type="dcterms:W3CDTF">2021-06-11T07:05:00Z</dcterms:modified>
</cp:coreProperties>
</file>