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68CB3B" w14:textId="77777777" w:rsidR="00A77B3E" w:rsidRDefault="00266AB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20495CB8" w14:textId="77777777" w:rsidR="00A77B3E" w:rsidRDefault="00266AB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63416</w:t>
      </w:r>
    </w:p>
    <w:p w14:paraId="3976C0DB" w14:textId="77777777" w:rsidR="00A77B3E" w:rsidRDefault="00266AB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1BD16C60" w14:textId="77777777" w:rsidR="00A77B3E" w:rsidRDefault="00A77B3E">
      <w:pPr>
        <w:spacing w:line="360" w:lineRule="auto"/>
        <w:jc w:val="both"/>
      </w:pPr>
    </w:p>
    <w:p w14:paraId="4C37580B" w14:textId="0D1629E5" w:rsidR="00A77B3E" w:rsidRDefault="00266ABC">
      <w:pPr>
        <w:spacing w:line="360" w:lineRule="auto"/>
        <w:jc w:val="both"/>
      </w:pPr>
      <w:r>
        <w:rPr>
          <w:rFonts w:ascii="Book Antiqua" w:eastAsia="Book Antiqua" w:hAnsi="Book Antiqua" w:cs="Book Antiqua"/>
          <w:b/>
          <w:bCs/>
          <w:color w:val="000000"/>
        </w:rPr>
        <w:t xml:space="preserve">Interplay between </w:t>
      </w:r>
      <w:r w:rsidR="005A061E" w:rsidRPr="005A061E">
        <w:rPr>
          <w:rFonts w:ascii="Book Antiqua" w:eastAsia="Book Antiqua" w:hAnsi="Book Antiqua" w:cs="Book Antiqua"/>
          <w:b/>
          <w:bCs/>
          <w:color w:val="000000"/>
        </w:rPr>
        <w:t>nuclear factor erythroid 2-related factor 2</w:t>
      </w:r>
      <w:r>
        <w:rPr>
          <w:rFonts w:ascii="Book Antiqua" w:eastAsia="Book Antiqua" w:hAnsi="Book Antiqua" w:cs="Book Antiqua"/>
          <w:b/>
          <w:bCs/>
          <w:color w:val="000000"/>
        </w:rPr>
        <w:t xml:space="preserve"> and inflammatory mediators in COVID-19-related liver injury</w:t>
      </w:r>
    </w:p>
    <w:p w14:paraId="02398E8B" w14:textId="77777777" w:rsidR="00A77B3E" w:rsidRDefault="00A77B3E">
      <w:pPr>
        <w:spacing w:line="360" w:lineRule="auto"/>
        <w:jc w:val="both"/>
      </w:pPr>
    </w:p>
    <w:p w14:paraId="751E173A" w14:textId="31AC5D53" w:rsidR="00A77B3E" w:rsidRDefault="00BC682F">
      <w:pPr>
        <w:spacing w:line="360" w:lineRule="auto"/>
        <w:jc w:val="both"/>
      </w:pPr>
      <w:r>
        <w:rPr>
          <w:rFonts w:ascii="Book Antiqua" w:eastAsia="Book Antiqua" w:hAnsi="Book Antiqua" w:cs="Book Antiqua"/>
          <w:color w:val="000000"/>
        </w:rPr>
        <w:t xml:space="preserve">Zhu DD </w:t>
      </w:r>
      <w:r w:rsidRPr="00BC682F">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266ABC">
        <w:rPr>
          <w:rFonts w:ascii="Book Antiqua" w:eastAsia="Book Antiqua" w:hAnsi="Book Antiqua" w:cs="Book Antiqua"/>
          <w:color w:val="000000"/>
        </w:rPr>
        <w:t>NRF2 in COVID-19-</w:t>
      </w:r>
      <w:r>
        <w:rPr>
          <w:rFonts w:ascii="Book Antiqua" w:eastAsia="Book Antiqua" w:hAnsi="Book Antiqua" w:cs="Book Antiqua"/>
          <w:color w:val="000000"/>
        </w:rPr>
        <w:t>related liver in</w:t>
      </w:r>
      <w:r w:rsidR="00266ABC">
        <w:rPr>
          <w:rFonts w:ascii="Book Antiqua" w:eastAsia="Book Antiqua" w:hAnsi="Book Antiqua" w:cs="Book Antiqua"/>
          <w:color w:val="000000"/>
        </w:rPr>
        <w:t>jury</w:t>
      </w:r>
    </w:p>
    <w:p w14:paraId="1E6DF6C6" w14:textId="77777777" w:rsidR="00A77B3E" w:rsidRDefault="00A77B3E">
      <w:pPr>
        <w:spacing w:line="360" w:lineRule="auto"/>
        <w:jc w:val="both"/>
      </w:pPr>
    </w:p>
    <w:p w14:paraId="7BA0C74B" w14:textId="03282B9C" w:rsidR="00A77B3E" w:rsidRDefault="00266ABC">
      <w:pPr>
        <w:spacing w:line="360" w:lineRule="auto"/>
        <w:jc w:val="both"/>
      </w:pPr>
      <w:r>
        <w:rPr>
          <w:rFonts w:ascii="Book Antiqua" w:eastAsia="Book Antiqua" w:hAnsi="Book Antiqua" w:cs="Book Antiqua"/>
          <w:color w:val="000000"/>
        </w:rPr>
        <w:t xml:space="preserve">Dan-Dan Zhu, Xue-Mei Tan, Li-Qing Lu, Si-Jia Yu, Ru-Li Jian, Xin-Fang Liang, Yi-Xuan Liao, Wei Fan, </w:t>
      </w:r>
      <w:r w:rsidR="00990905" w:rsidRPr="00990905">
        <w:rPr>
          <w:rFonts w:ascii="Book Antiqua" w:eastAsia="Book Antiqua" w:hAnsi="Book Antiqua" w:cs="Book Antiqua"/>
          <w:color w:val="000000"/>
        </w:rPr>
        <w:t>Lucíia Barbier-Torres</w:t>
      </w:r>
      <w:r>
        <w:rPr>
          <w:rFonts w:ascii="Book Antiqua" w:eastAsia="Book Antiqua" w:hAnsi="Book Antiqua" w:cs="Book Antiqua"/>
          <w:color w:val="000000"/>
        </w:rPr>
        <w:t>, Austin Yang, He-</w:t>
      </w:r>
      <w:r w:rsidR="00BC682F">
        <w:rPr>
          <w:rFonts w:ascii="Book Antiqua" w:eastAsia="Book Antiqua" w:hAnsi="Book Antiqua" w:cs="Book Antiqua"/>
          <w:color w:val="000000"/>
        </w:rPr>
        <w:t>P</w:t>
      </w:r>
      <w:r>
        <w:rPr>
          <w:rFonts w:ascii="Book Antiqua" w:eastAsia="Book Antiqua" w:hAnsi="Book Antiqua" w:cs="Book Antiqua"/>
          <w:color w:val="000000"/>
        </w:rPr>
        <w:t>ing Yang, Ting Liu</w:t>
      </w:r>
    </w:p>
    <w:p w14:paraId="620A7F61" w14:textId="77777777" w:rsidR="00A77B3E" w:rsidRDefault="00A77B3E">
      <w:pPr>
        <w:spacing w:line="360" w:lineRule="auto"/>
        <w:jc w:val="both"/>
      </w:pPr>
    </w:p>
    <w:p w14:paraId="47C5A53F" w14:textId="77777777" w:rsidR="00A77B3E" w:rsidRDefault="00266ABC">
      <w:pPr>
        <w:spacing w:line="360" w:lineRule="auto"/>
        <w:jc w:val="both"/>
      </w:pPr>
      <w:r>
        <w:rPr>
          <w:rFonts w:ascii="Book Antiqua" w:eastAsia="Book Antiqua" w:hAnsi="Book Antiqua" w:cs="Book Antiqua"/>
          <w:b/>
          <w:bCs/>
          <w:color w:val="000000"/>
        </w:rPr>
        <w:t xml:space="preserve">Dan-Dan Zhu, Xue-Mei Tan, Si-Jia Yu, Ru-Li Jian, Xin-Fang Liang, Yi-Xuan Liao, Ting Liu, </w:t>
      </w:r>
      <w:r>
        <w:rPr>
          <w:rFonts w:ascii="Book Antiqua" w:eastAsia="Book Antiqua" w:hAnsi="Book Antiqua" w:cs="Book Antiqua"/>
          <w:color w:val="000000"/>
        </w:rPr>
        <w:t>Department of Gastroenterology, Xiangya Hospital, Central South University, Changsha 410008, Hunan Province, China</w:t>
      </w:r>
    </w:p>
    <w:p w14:paraId="04614924" w14:textId="77777777" w:rsidR="00A77B3E" w:rsidRDefault="00A77B3E">
      <w:pPr>
        <w:spacing w:line="360" w:lineRule="auto"/>
        <w:jc w:val="both"/>
      </w:pPr>
    </w:p>
    <w:p w14:paraId="233FA918" w14:textId="77777777" w:rsidR="00A77B3E" w:rsidRDefault="00266ABC">
      <w:pPr>
        <w:spacing w:line="360" w:lineRule="auto"/>
        <w:jc w:val="both"/>
      </w:pPr>
      <w:r>
        <w:rPr>
          <w:rFonts w:ascii="Book Antiqua" w:eastAsia="Book Antiqua" w:hAnsi="Book Antiqua" w:cs="Book Antiqua"/>
          <w:b/>
          <w:bCs/>
          <w:color w:val="000000"/>
        </w:rPr>
        <w:t xml:space="preserve">Li-Qing Lu, </w:t>
      </w:r>
      <w:r>
        <w:rPr>
          <w:rFonts w:ascii="Book Antiqua" w:eastAsia="Book Antiqua" w:hAnsi="Book Antiqua" w:cs="Book Antiqua"/>
          <w:color w:val="000000"/>
        </w:rPr>
        <w:t>Key Laboratory of Cancer proteomics of Chinese Ministry of Health, Xiangya Hospital, Central South University, Changsha 410008, Hunan Province, China</w:t>
      </w:r>
    </w:p>
    <w:p w14:paraId="5C46CE57" w14:textId="77777777" w:rsidR="00A77B3E" w:rsidRDefault="00A77B3E">
      <w:pPr>
        <w:spacing w:line="360" w:lineRule="auto"/>
        <w:jc w:val="both"/>
      </w:pPr>
    </w:p>
    <w:p w14:paraId="2366CA88" w14:textId="371D9EC5" w:rsidR="00A77B3E" w:rsidRDefault="00266ABC">
      <w:pPr>
        <w:spacing w:line="360" w:lineRule="auto"/>
        <w:jc w:val="both"/>
      </w:pPr>
      <w:r>
        <w:rPr>
          <w:rFonts w:ascii="Book Antiqua" w:eastAsia="Book Antiqua" w:hAnsi="Book Antiqua" w:cs="Book Antiqua"/>
          <w:b/>
          <w:bCs/>
          <w:color w:val="000000"/>
        </w:rPr>
        <w:t xml:space="preserve">Wei Fan, </w:t>
      </w:r>
      <w:r w:rsidR="00990905" w:rsidRPr="00990905">
        <w:rPr>
          <w:rFonts w:ascii="Book Antiqua" w:eastAsia="Book Antiqua" w:hAnsi="Book Antiqua" w:cs="Book Antiqua"/>
          <w:b/>
          <w:bCs/>
          <w:color w:val="000000"/>
        </w:rPr>
        <w:t>Lucíia Barbier-Torres</w:t>
      </w:r>
      <w:r>
        <w:rPr>
          <w:rFonts w:ascii="Book Antiqua" w:eastAsia="Book Antiqua" w:hAnsi="Book Antiqua" w:cs="Book Antiqua"/>
          <w:b/>
          <w:bCs/>
          <w:color w:val="000000"/>
        </w:rPr>
        <w:t>, He-</w:t>
      </w:r>
      <w:r w:rsidR="00BC682F">
        <w:rPr>
          <w:rFonts w:ascii="Book Antiqua" w:eastAsia="Book Antiqua" w:hAnsi="Book Antiqua" w:cs="Book Antiqua"/>
          <w:b/>
          <w:bCs/>
          <w:color w:val="000000"/>
        </w:rPr>
        <w:t>P</w:t>
      </w:r>
      <w:r>
        <w:rPr>
          <w:rFonts w:ascii="Book Antiqua" w:eastAsia="Book Antiqua" w:hAnsi="Book Antiqua" w:cs="Book Antiqua"/>
          <w:b/>
          <w:bCs/>
          <w:color w:val="000000"/>
        </w:rPr>
        <w:t xml:space="preserve">ing Yang, </w:t>
      </w:r>
      <w:r>
        <w:rPr>
          <w:rFonts w:ascii="Book Antiqua" w:eastAsia="Book Antiqua" w:hAnsi="Book Antiqua" w:cs="Book Antiqua"/>
          <w:color w:val="000000"/>
        </w:rPr>
        <w:t>Department of Medicine, Division of Digestive and Liver Diseases, Cedars-Sinai Medical Center, Los Angeles, CA 90048, United States</w:t>
      </w:r>
    </w:p>
    <w:p w14:paraId="39747E9A" w14:textId="77777777" w:rsidR="00A77B3E" w:rsidRDefault="00A77B3E">
      <w:pPr>
        <w:spacing w:line="360" w:lineRule="auto"/>
        <w:jc w:val="both"/>
      </w:pPr>
    </w:p>
    <w:p w14:paraId="4529A074" w14:textId="1066AC7D" w:rsidR="00A77B3E" w:rsidRDefault="00266ABC">
      <w:pPr>
        <w:spacing w:line="360" w:lineRule="auto"/>
        <w:jc w:val="both"/>
      </w:pPr>
      <w:r>
        <w:rPr>
          <w:rFonts w:ascii="Book Antiqua" w:eastAsia="Book Antiqua" w:hAnsi="Book Antiqua" w:cs="Book Antiqua"/>
          <w:b/>
          <w:bCs/>
          <w:color w:val="000000"/>
        </w:rPr>
        <w:t xml:space="preserve">Austin Yang, </w:t>
      </w:r>
      <w:r>
        <w:rPr>
          <w:rFonts w:ascii="Book Antiqua" w:eastAsia="Book Antiqua" w:hAnsi="Book Antiqua" w:cs="Book Antiqua"/>
          <w:color w:val="000000"/>
        </w:rPr>
        <w:t xml:space="preserve">Department of Biology, East Los Angeles College, </w:t>
      </w:r>
      <w:r w:rsidR="00542917" w:rsidRPr="00456DD9">
        <w:rPr>
          <w:rFonts w:ascii="Book Antiqua" w:eastAsia="Book Antiqua" w:hAnsi="Book Antiqua" w:cs="Book Antiqua"/>
        </w:rPr>
        <w:t>Los Angeles</w:t>
      </w:r>
      <w:r>
        <w:rPr>
          <w:rFonts w:ascii="Book Antiqua" w:eastAsia="Book Antiqua" w:hAnsi="Book Antiqua" w:cs="Book Antiqua"/>
          <w:color w:val="000000"/>
        </w:rPr>
        <w:t>, CA 91008, United States</w:t>
      </w:r>
    </w:p>
    <w:p w14:paraId="68FD590E" w14:textId="77777777" w:rsidR="00A77B3E" w:rsidRDefault="00A77B3E">
      <w:pPr>
        <w:spacing w:line="360" w:lineRule="auto"/>
        <w:jc w:val="both"/>
      </w:pPr>
    </w:p>
    <w:p w14:paraId="5A4E62E6" w14:textId="32F64CCD" w:rsidR="00A77B3E" w:rsidRDefault="00266ABC">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Zhu</w:t>
      </w:r>
      <w:r w:rsidR="00BC682F">
        <w:rPr>
          <w:rFonts w:ascii="Book Antiqua" w:eastAsia="Book Antiqua" w:hAnsi="Book Antiqua" w:cs="Book Antiqua"/>
          <w:color w:val="000000"/>
        </w:rPr>
        <w:t xml:space="preserve"> DD</w:t>
      </w:r>
      <w:r>
        <w:rPr>
          <w:rFonts w:ascii="Book Antiqua" w:eastAsia="Book Antiqua" w:hAnsi="Book Antiqua" w:cs="Book Antiqua"/>
          <w:color w:val="000000"/>
        </w:rPr>
        <w:t xml:space="preserve">, Tan </w:t>
      </w:r>
      <w:r w:rsidR="00BC682F">
        <w:rPr>
          <w:rFonts w:ascii="Book Antiqua" w:eastAsia="Book Antiqua" w:hAnsi="Book Antiqua" w:cs="Book Antiqua"/>
          <w:color w:val="000000"/>
        </w:rPr>
        <w:t>XM</w:t>
      </w:r>
      <w:r w:rsidR="004C77F4">
        <w:rPr>
          <w:rFonts w:ascii="Book Antiqua" w:eastAsia="Book Antiqua" w:hAnsi="Book Antiqua" w:cs="Book Antiqua"/>
          <w:color w:val="000000"/>
        </w:rPr>
        <w:t>,</w:t>
      </w:r>
      <w:r w:rsidR="00BC682F">
        <w:rPr>
          <w:rFonts w:ascii="Book Antiqua" w:eastAsia="Book Antiqua" w:hAnsi="Book Antiqua" w:cs="Book Antiqua"/>
          <w:color w:val="000000"/>
        </w:rPr>
        <w:t xml:space="preserve"> </w:t>
      </w:r>
      <w:r>
        <w:rPr>
          <w:rFonts w:ascii="Book Antiqua" w:eastAsia="Book Antiqua" w:hAnsi="Book Antiqua" w:cs="Book Antiqua"/>
          <w:color w:val="000000"/>
        </w:rPr>
        <w:t xml:space="preserve">and Lu </w:t>
      </w:r>
      <w:r w:rsidR="00BC682F">
        <w:rPr>
          <w:rFonts w:ascii="Book Antiqua" w:eastAsia="Book Antiqua" w:hAnsi="Book Antiqua" w:cs="Book Antiqua"/>
          <w:color w:val="000000"/>
        </w:rPr>
        <w:t xml:space="preserve">LQ </w:t>
      </w:r>
      <w:r>
        <w:rPr>
          <w:rFonts w:ascii="Book Antiqua" w:eastAsia="Book Antiqua" w:hAnsi="Book Antiqua" w:cs="Book Antiqua"/>
          <w:color w:val="000000"/>
        </w:rPr>
        <w:t>contributed equally in reviewing the literature and drafting the manuscript</w:t>
      </w:r>
      <w:r w:rsidR="00BC682F">
        <w:rPr>
          <w:rFonts w:ascii="Book Antiqua" w:eastAsia="Book Antiqua" w:hAnsi="Book Antiqua" w:cs="Book Antiqua"/>
          <w:color w:val="000000"/>
        </w:rPr>
        <w:t>;</w:t>
      </w:r>
      <w:r>
        <w:rPr>
          <w:rFonts w:ascii="Book Antiqua" w:eastAsia="Book Antiqua" w:hAnsi="Book Antiqua" w:cs="Book Antiqua"/>
          <w:color w:val="000000"/>
        </w:rPr>
        <w:t xml:space="preserve"> Yu</w:t>
      </w:r>
      <w:r w:rsidR="00BC682F">
        <w:rPr>
          <w:rFonts w:ascii="Book Antiqua" w:eastAsia="Book Antiqua" w:hAnsi="Book Antiqua" w:cs="Book Antiqua"/>
          <w:color w:val="000000"/>
        </w:rPr>
        <w:t xml:space="preserve"> SJ</w:t>
      </w:r>
      <w:r>
        <w:rPr>
          <w:rFonts w:ascii="Book Antiqua" w:eastAsia="Book Antiqua" w:hAnsi="Book Antiqua" w:cs="Book Antiqua"/>
          <w:color w:val="000000"/>
        </w:rPr>
        <w:t>, Jian</w:t>
      </w:r>
      <w:r w:rsidR="00BC682F">
        <w:rPr>
          <w:rFonts w:ascii="Book Antiqua" w:eastAsia="Book Antiqua" w:hAnsi="Book Antiqua" w:cs="Book Antiqua"/>
          <w:color w:val="000000"/>
        </w:rPr>
        <w:t xml:space="preserve"> RL</w:t>
      </w:r>
      <w:r>
        <w:rPr>
          <w:rFonts w:ascii="Book Antiqua" w:eastAsia="Book Antiqua" w:hAnsi="Book Antiqua" w:cs="Book Antiqua"/>
          <w:color w:val="000000"/>
        </w:rPr>
        <w:t>, Liang</w:t>
      </w:r>
      <w:r w:rsidR="00BC682F">
        <w:rPr>
          <w:rFonts w:ascii="Book Antiqua" w:eastAsia="Book Antiqua" w:hAnsi="Book Antiqua" w:cs="Book Antiqua"/>
          <w:color w:val="000000"/>
        </w:rPr>
        <w:t xml:space="preserve"> XF</w:t>
      </w:r>
      <w:r>
        <w:rPr>
          <w:rFonts w:ascii="Book Antiqua" w:eastAsia="Book Antiqua" w:hAnsi="Book Antiqua" w:cs="Book Antiqua"/>
          <w:color w:val="000000"/>
        </w:rPr>
        <w:t xml:space="preserve">, Liao </w:t>
      </w:r>
      <w:r w:rsidR="00BC682F">
        <w:rPr>
          <w:rFonts w:ascii="Book Antiqua" w:eastAsia="Book Antiqua" w:hAnsi="Book Antiqua" w:cs="Book Antiqua"/>
          <w:color w:val="000000"/>
        </w:rPr>
        <w:t>YX</w:t>
      </w:r>
      <w:r w:rsidR="004C77F4">
        <w:rPr>
          <w:rFonts w:ascii="Book Antiqua" w:eastAsia="Book Antiqua" w:hAnsi="Book Antiqua" w:cs="Book Antiqua"/>
          <w:color w:val="000000"/>
        </w:rPr>
        <w:t>,</w:t>
      </w:r>
      <w:r w:rsidR="00BC682F">
        <w:rPr>
          <w:rFonts w:ascii="Book Antiqua" w:eastAsia="Book Antiqua" w:hAnsi="Book Antiqua" w:cs="Book Antiqua"/>
          <w:color w:val="000000"/>
        </w:rPr>
        <w:t xml:space="preserve"> </w:t>
      </w:r>
      <w:r>
        <w:rPr>
          <w:rFonts w:ascii="Book Antiqua" w:eastAsia="Book Antiqua" w:hAnsi="Book Antiqua" w:cs="Book Antiqua"/>
          <w:color w:val="000000"/>
        </w:rPr>
        <w:t xml:space="preserve">and Fan </w:t>
      </w:r>
      <w:r w:rsidR="00BC682F">
        <w:rPr>
          <w:rFonts w:ascii="Book Antiqua" w:eastAsia="Book Antiqua" w:hAnsi="Book Antiqua" w:cs="Book Antiqua"/>
          <w:color w:val="000000"/>
        </w:rPr>
        <w:t xml:space="preserve">W </w:t>
      </w:r>
      <w:r>
        <w:rPr>
          <w:rFonts w:ascii="Book Antiqua" w:eastAsia="Book Antiqua" w:hAnsi="Book Antiqua" w:cs="Book Antiqua"/>
          <w:color w:val="000000"/>
        </w:rPr>
        <w:t xml:space="preserve">assisted in </w:t>
      </w:r>
      <w:r w:rsidR="004C77F4">
        <w:rPr>
          <w:rFonts w:ascii="Book Antiqua" w:eastAsia="Book Antiqua" w:hAnsi="Book Antiqua" w:cs="Book Antiqua"/>
          <w:color w:val="000000"/>
        </w:rPr>
        <w:t xml:space="preserve">the </w:t>
      </w:r>
      <w:r>
        <w:rPr>
          <w:rFonts w:ascii="Book Antiqua" w:eastAsia="Book Antiqua" w:hAnsi="Book Antiqua" w:cs="Book Antiqua"/>
          <w:color w:val="000000"/>
        </w:rPr>
        <w:t>literature review and drafting the manuscript</w:t>
      </w:r>
      <w:r w:rsidR="00BC682F">
        <w:rPr>
          <w:rFonts w:ascii="Book Antiqua" w:eastAsia="Book Antiqua" w:hAnsi="Book Antiqua" w:cs="Book Antiqua"/>
          <w:color w:val="000000"/>
        </w:rPr>
        <w:t>;</w:t>
      </w:r>
      <w:r>
        <w:rPr>
          <w:rFonts w:ascii="Book Antiqua" w:eastAsia="Book Antiqua" w:hAnsi="Book Antiqua" w:cs="Book Antiqua"/>
          <w:color w:val="000000"/>
        </w:rPr>
        <w:t xml:space="preserve"> Barbier-Torres </w:t>
      </w:r>
      <w:r w:rsidR="00BC682F">
        <w:rPr>
          <w:rFonts w:ascii="Book Antiqua" w:eastAsia="Book Antiqua" w:hAnsi="Book Antiqua" w:cs="Book Antiqua"/>
          <w:color w:val="000000"/>
        </w:rPr>
        <w:t xml:space="preserve">L </w:t>
      </w:r>
      <w:r>
        <w:rPr>
          <w:rFonts w:ascii="Book Antiqua" w:eastAsia="Book Antiqua" w:hAnsi="Book Antiqua" w:cs="Book Antiqua"/>
          <w:color w:val="000000"/>
        </w:rPr>
        <w:t>provided critical reading of the manuscript</w:t>
      </w:r>
      <w:r w:rsidR="00BC682F">
        <w:rPr>
          <w:rFonts w:ascii="Book Antiqua" w:eastAsia="Book Antiqua" w:hAnsi="Book Antiqua" w:cs="Book Antiqua"/>
          <w:color w:val="000000"/>
        </w:rPr>
        <w:t>;</w:t>
      </w:r>
      <w:r>
        <w:rPr>
          <w:rFonts w:ascii="Book Antiqua" w:eastAsia="Book Antiqua" w:hAnsi="Book Antiqua" w:cs="Book Antiqua"/>
          <w:color w:val="000000"/>
        </w:rPr>
        <w:t xml:space="preserve"> Yang </w:t>
      </w:r>
      <w:r w:rsidR="00BC682F">
        <w:rPr>
          <w:rFonts w:ascii="Book Antiqua" w:eastAsia="Book Antiqua" w:hAnsi="Book Antiqua" w:cs="Book Antiqua"/>
          <w:color w:val="000000"/>
        </w:rPr>
        <w:t xml:space="preserve">A </w:t>
      </w:r>
      <w:r>
        <w:rPr>
          <w:rFonts w:ascii="Book Antiqua" w:eastAsia="Book Antiqua" w:hAnsi="Book Antiqua" w:cs="Book Antiqua"/>
          <w:color w:val="000000"/>
        </w:rPr>
        <w:t xml:space="preserve">provided English </w:t>
      </w:r>
      <w:r w:rsidR="00BC682F">
        <w:rPr>
          <w:rFonts w:ascii="Book Antiqua" w:eastAsia="Book Antiqua" w:hAnsi="Book Antiqua" w:cs="Book Antiqua"/>
          <w:color w:val="000000"/>
        </w:rPr>
        <w:t>e</w:t>
      </w:r>
      <w:r>
        <w:rPr>
          <w:rFonts w:ascii="Book Antiqua" w:eastAsia="Book Antiqua" w:hAnsi="Book Antiqua" w:cs="Book Antiqua"/>
          <w:color w:val="000000"/>
        </w:rPr>
        <w:t>diting and revision</w:t>
      </w:r>
      <w:r w:rsidR="004C77F4">
        <w:rPr>
          <w:rFonts w:ascii="Book Antiqua" w:eastAsia="Book Antiqua" w:hAnsi="Book Antiqua" w:cs="Book Antiqua"/>
          <w:color w:val="000000"/>
        </w:rPr>
        <w:t>s</w:t>
      </w:r>
      <w:r w:rsidR="00BC682F">
        <w:rPr>
          <w:rFonts w:ascii="Book Antiqua" w:eastAsia="Book Antiqua" w:hAnsi="Book Antiqua" w:cs="Book Antiqua"/>
          <w:color w:val="000000"/>
        </w:rPr>
        <w:t>;</w:t>
      </w:r>
      <w:r>
        <w:rPr>
          <w:rFonts w:ascii="Book Antiqua" w:eastAsia="Book Antiqua" w:hAnsi="Book Antiqua" w:cs="Book Antiqua"/>
          <w:color w:val="000000"/>
        </w:rPr>
        <w:t xml:space="preserve"> Liu </w:t>
      </w:r>
      <w:r w:rsidR="00BC682F">
        <w:rPr>
          <w:rFonts w:ascii="Book Antiqua" w:eastAsia="Book Antiqua" w:hAnsi="Book Antiqua" w:cs="Book Antiqua"/>
          <w:color w:val="000000"/>
        </w:rPr>
        <w:t xml:space="preserve">T </w:t>
      </w:r>
      <w:r>
        <w:rPr>
          <w:rFonts w:ascii="Book Antiqua" w:eastAsia="Book Antiqua" w:hAnsi="Book Antiqua" w:cs="Book Antiqua"/>
          <w:color w:val="000000"/>
        </w:rPr>
        <w:lastRenderedPageBreak/>
        <w:t xml:space="preserve">and Yang </w:t>
      </w:r>
      <w:r w:rsidR="00BC682F">
        <w:rPr>
          <w:rFonts w:ascii="Book Antiqua" w:eastAsia="Book Antiqua" w:hAnsi="Book Antiqua" w:cs="Book Antiqua"/>
          <w:color w:val="000000"/>
        </w:rPr>
        <w:t xml:space="preserve">HP </w:t>
      </w:r>
      <w:r>
        <w:rPr>
          <w:rFonts w:ascii="Book Antiqua" w:eastAsia="Book Antiqua" w:hAnsi="Book Antiqua" w:cs="Book Antiqua"/>
          <w:color w:val="000000"/>
        </w:rPr>
        <w:t>provided critical editing and revision</w:t>
      </w:r>
      <w:r w:rsidR="004C77F4">
        <w:rPr>
          <w:rFonts w:ascii="Book Antiqua" w:eastAsia="Book Antiqua" w:hAnsi="Book Antiqua" w:cs="Book Antiqua"/>
          <w:color w:val="000000"/>
        </w:rPr>
        <w:t>s</w:t>
      </w:r>
      <w:r>
        <w:rPr>
          <w:rFonts w:ascii="Book Antiqua" w:eastAsia="Book Antiqua" w:hAnsi="Book Antiqua" w:cs="Book Antiqua"/>
          <w:color w:val="000000"/>
        </w:rPr>
        <w:t xml:space="preserve"> of the manuscript</w:t>
      </w:r>
      <w:r w:rsidR="00952296">
        <w:rPr>
          <w:rFonts w:ascii="Book Antiqua" w:eastAsia="Book Antiqua" w:hAnsi="Book Antiqua" w:cs="Book Antiqua"/>
          <w:color w:val="000000"/>
        </w:rPr>
        <w:t xml:space="preserve">; </w:t>
      </w:r>
      <w:r w:rsidR="004C77F4">
        <w:rPr>
          <w:rFonts w:ascii="Book Antiqua" w:eastAsia="Book Antiqua" w:hAnsi="Book Antiqua" w:cs="Book Antiqua"/>
          <w:color w:val="000000"/>
        </w:rPr>
        <w:t>A</w:t>
      </w:r>
      <w:r>
        <w:rPr>
          <w:rFonts w:ascii="Book Antiqua" w:eastAsia="Book Antiqua" w:hAnsi="Book Antiqua" w:cs="Book Antiqua"/>
          <w:color w:val="000000"/>
        </w:rPr>
        <w:t>ll authors have read and approve</w:t>
      </w:r>
      <w:r w:rsidR="007E1BB4">
        <w:rPr>
          <w:rFonts w:ascii="Book Antiqua" w:eastAsia="Book Antiqua" w:hAnsi="Book Antiqua" w:cs="Book Antiqua"/>
          <w:color w:val="000000"/>
        </w:rPr>
        <w:t>d</w:t>
      </w:r>
      <w:r>
        <w:rPr>
          <w:rFonts w:ascii="Book Antiqua" w:eastAsia="Book Antiqua" w:hAnsi="Book Antiqua" w:cs="Book Antiqua"/>
          <w:color w:val="000000"/>
        </w:rPr>
        <w:t xml:space="preserve"> the final manuscript.</w:t>
      </w:r>
    </w:p>
    <w:p w14:paraId="0C34F237" w14:textId="77777777" w:rsidR="00A77B3E" w:rsidRDefault="00A77B3E">
      <w:pPr>
        <w:spacing w:line="360" w:lineRule="auto"/>
        <w:jc w:val="both"/>
      </w:pPr>
    </w:p>
    <w:p w14:paraId="663CE798" w14:textId="77777777" w:rsidR="00A77B3E" w:rsidRDefault="00266ABC">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National Natural Science Foundation of China, No. 82070632.</w:t>
      </w:r>
    </w:p>
    <w:p w14:paraId="498D943A" w14:textId="77777777" w:rsidR="00A77B3E" w:rsidRDefault="00A77B3E">
      <w:pPr>
        <w:spacing w:line="360" w:lineRule="auto"/>
        <w:jc w:val="both"/>
      </w:pPr>
    </w:p>
    <w:p w14:paraId="577C3F06" w14:textId="77777777" w:rsidR="00A77B3E" w:rsidRDefault="00266ABC">
      <w:pPr>
        <w:spacing w:line="360" w:lineRule="auto"/>
        <w:jc w:val="both"/>
      </w:pPr>
      <w:r>
        <w:rPr>
          <w:rFonts w:ascii="Book Antiqua" w:eastAsia="Book Antiqua" w:hAnsi="Book Antiqua" w:cs="Book Antiqua"/>
          <w:b/>
          <w:bCs/>
          <w:color w:val="000000"/>
        </w:rPr>
        <w:t xml:space="preserve">Corresponding author: Ting Liu, MD, PhD, Doctor, </w:t>
      </w:r>
      <w:r>
        <w:rPr>
          <w:rFonts w:ascii="Book Antiqua" w:eastAsia="Book Antiqua" w:hAnsi="Book Antiqua" w:cs="Book Antiqua"/>
          <w:color w:val="000000"/>
        </w:rPr>
        <w:t>Department of Gastroenterology, Xiangya Hospital, Central South University, No. 87 Xiangya Road, Changsha 410008, Hunan Province, China. liuting818@126.com</w:t>
      </w:r>
    </w:p>
    <w:p w14:paraId="548AADBC" w14:textId="77777777" w:rsidR="00A77B3E" w:rsidRDefault="00A77B3E">
      <w:pPr>
        <w:spacing w:line="360" w:lineRule="auto"/>
        <w:jc w:val="both"/>
      </w:pPr>
    </w:p>
    <w:p w14:paraId="6737D5FE" w14:textId="77777777" w:rsidR="00A77B3E" w:rsidRDefault="00266AB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28, 2021</w:t>
      </w:r>
    </w:p>
    <w:p w14:paraId="6419632A" w14:textId="77777777" w:rsidR="00A77B3E" w:rsidRDefault="00266AB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6, 2021</w:t>
      </w:r>
    </w:p>
    <w:p w14:paraId="3CFE1FB2" w14:textId="5C426C3F" w:rsidR="00A77B3E" w:rsidRDefault="00266ABC">
      <w:pPr>
        <w:spacing w:line="360" w:lineRule="auto"/>
        <w:jc w:val="both"/>
      </w:pPr>
      <w:r>
        <w:rPr>
          <w:rFonts w:ascii="Book Antiqua" w:eastAsia="Book Antiqua" w:hAnsi="Book Antiqua" w:cs="Book Antiqua"/>
          <w:b/>
          <w:bCs/>
          <w:color w:val="000000"/>
        </w:rPr>
        <w:t xml:space="preserve">Accepted: </w:t>
      </w:r>
      <w:r w:rsidR="000571AA" w:rsidRPr="000571AA">
        <w:rPr>
          <w:rFonts w:ascii="Book Antiqua" w:eastAsia="Book Antiqua" w:hAnsi="Book Antiqua" w:cs="Book Antiqua"/>
          <w:bCs/>
          <w:color w:val="000000"/>
        </w:rPr>
        <w:t>April 25, 2021</w:t>
      </w:r>
    </w:p>
    <w:p w14:paraId="7C12B68B" w14:textId="76A716FE" w:rsidR="00A77B3E" w:rsidRPr="00F80974" w:rsidRDefault="00266ABC">
      <w:pPr>
        <w:spacing w:line="360" w:lineRule="auto"/>
        <w:jc w:val="both"/>
        <w:rPr>
          <w:lang w:eastAsia="zh-CN"/>
        </w:rPr>
      </w:pPr>
      <w:r>
        <w:rPr>
          <w:rFonts w:ascii="Book Antiqua" w:eastAsia="Book Antiqua" w:hAnsi="Book Antiqua" w:cs="Book Antiqua"/>
          <w:b/>
          <w:bCs/>
          <w:color w:val="000000"/>
        </w:rPr>
        <w:t xml:space="preserve">Published online: </w:t>
      </w:r>
      <w:r w:rsidR="00F80974" w:rsidRPr="00F80974">
        <w:rPr>
          <w:rFonts w:ascii="Book Antiqua" w:hAnsi="Book Antiqua" w:cs="Book Antiqua" w:hint="eastAsia"/>
          <w:bCs/>
          <w:color w:val="000000"/>
          <w:lang w:eastAsia="zh-CN"/>
        </w:rPr>
        <w:t>June 14, 2021</w:t>
      </w:r>
    </w:p>
    <w:p w14:paraId="74F1EC40"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000159E6" w14:textId="77777777" w:rsidR="00A77B3E" w:rsidRDefault="00266ABC">
      <w:pPr>
        <w:spacing w:line="360" w:lineRule="auto"/>
        <w:jc w:val="both"/>
      </w:pPr>
      <w:r>
        <w:rPr>
          <w:rFonts w:ascii="Book Antiqua" w:eastAsia="Book Antiqua" w:hAnsi="Book Antiqua" w:cs="Book Antiqua"/>
          <w:b/>
          <w:color w:val="000000"/>
        </w:rPr>
        <w:t>Abstract</w:t>
      </w:r>
    </w:p>
    <w:p w14:paraId="4EE28FC4" w14:textId="438A48EA" w:rsidR="00A77B3E" w:rsidRDefault="00BC682F">
      <w:pPr>
        <w:spacing w:line="360" w:lineRule="auto"/>
        <w:jc w:val="both"/>
      </w:pPr>
      <w:r w:rsidRPr="00BC682F">
        <w:rPr>
          <w:rFonts w:ascii="Book Antiqua" w:eastAsia="Book Antiqua" w:hAnsi="Book Antiqua" w:cs="Book Antiqua"/>
          <w:color w:val="000000"/>
        </w:rPr>
        <w:t>Coronavirus disease 2019 (COVID-19)</w:t>
      </w:r>
      <w:r w:rsidR="00266ABC">
        <w:rPr>
          <w:rFonts w:ascii="Book Antiqua" w:eastAsia="Book Antiqua" w:hAnsi="Book Antiqua" w:cs="Book Antiqua"/>
          <w:color w:val="000000"/>
        </w:rPr>
        <w:t xml:space="preserve"> caused by severe acute respiratory syndrome coronavirus 2 is a global pandemic and poses a major threat to human health worldwide. In addition to respiratory symptoms, COVID-19 is usually accompanied by systemic inflammation and liver damage in moderate and severe cases. </w:t>
      </w:r>
      <w:r w:rsidR="0022754A" w:rsidRPr="0022754A">
        <w:rPr>
          <w:rFonts w:ascii="Book Antiqua" w:eastAsia="Book Antiqua" w:hAnsi="Book Antiqua" w:cs="Book Antiqua"/>
          <w:caps/>
          <w:color w:val="000000"/>
        </w:rPr>
        <w:t>n</w:t>
      </w:r>
      <w:r w:rsidR="0022754A">
        <w:rPr>
          <w:rFonts w:ascii="Book Antiqua" w:eastAsia="Book Antiqua" w:hAnsi="Book Antiqua" w:cs="Book Antiqua"/>
          <w:color w:val="000000"/>
        </w:rPr>
        <w:t>uclear factor erythroid 2-related factor 2</w:t>
      </w:r>
      <w:r w:rsidR="00266ABC">
        <w:rPr>
          <w:rFonts w:ascii="Book Antiqua" w:eastAsia="Book Antiqua" w:hAnsi="Book Antiqua" w:cs="Book Antiqua"/>
          <w:color w:val="000000"/>
        </w:rPr>
        <w:t xml:space="preserve"> (</w:t>
      </w:r>
      <w:r w:rsidR="0022754A">
        <w:rPr>
          <w:rFonts w:ascii="Book Antiqua" w:eastAsia="Book Antiqua" w:hAnsi="Book Antiqua" w:cs="Book Antiqua"/>
          <w:color w:val="000000"/>
        </w:rPr>
        <w:t>NRF2</w:t>
      </w:r>
      <w:r w:rsidR="00266ABC">
        <w:rPr>
          <w:rFonts w:ascii="Book Antiqua" w:eastAsia="Book Antiqua" w:hAnsi="Book Antiqua" w:cs="Book Antiqua"/>
          <w:color w:val="000000"/>
        </w:rPr>
        <w:t>) is a transcription factor that regulates the expression of antioxidant proteins, participating in COVID-19-mediated inflammation and liver injury. Here, we show the novel reciprocal regulation between NRF2 and inflammatory mediators associated with COVID-19-related liver injury. Additionally, we describe some mechanisms and treatment strategies.</w:t>
      </w:r>
    </w:p>
    <w:p w14:paraId="64B2296B" w14:textId="77777777" w:rsidR="00A77B3E" w:rsidRDefault="00A77B3E">
      <w:pPr>
        <w:spacing w:line="360" w:lineRule="auto"/>
        <w:jc w:val="both"/>
      </w:pPr>
    </w:p>
    <w:p w14:paraId="21EBE60F" w14:textId="7DC913BC" w:rsidR="00A77B3E" w:rsidRDefault="00266ABC">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COVID-19</w:t>
      </w:r>
      <w:r w:rsidR="004C77F4">
        <w:rPr>
          <w:rFonts w:ascii="Book Antiqua" w:eastAsia="Book Antiqua" w:hAnsi="Book Antiqua" w:cs="Book Antiqua"/>
          <w:color w:val="000000"/>
        </w:rPr>
        <w:t>-</w:t>
      </w:r>
      <w:r>
        <w:rPr>
          <w:rFonts w:ascii="Book Antiqua" w:eastAsia="Book Antiqua" w:hAnsi="Book Antiqua" w:cs="Book Antiqua"/>
          <w:color w:val="000000"/>
        </w:rPr>
        <w:t xml:space="preserve">related liver injury; </w:t>
      </w:r>
      <w:r w:rsidR="00804404" w:rsidRPr="0022754A">
        <w:rPr>
          <w:rFonts w:ascii="Book Antiqua" w:eastAsia="Book Antiqua" w:hAnsi="Book Antiqua" w:cs="Book Antiqua"/>
          <w:caps/>
          <w:color w:val="000000"/>
        </w:rPr>
        <w:t>n</w:t>
      </w:r>
      <w:r w:rsidR="00804404">
        <w:rPr>
          <w:rFonts w:ascii="Book Antiqua" w:eastAsia="Book Antiqua" w:hAnsi="Book Antiqua" w:cs="Book Antiqua"/>
          <w:color w:val="000000"/>
        </w:rPr>
        <w:t>uclear factor erythroid 2-related factor 2</w:t>
      </w:r>
      <w:r>
        <w:rPr>
          <w:rFonts w:ascii="Book Antiqua" w:eastAsia="Book Antiqua" w:hAnsi="Book Antiqua" w:cs="Book Antiqua"/>
          <w:color w:val="000000"/>
        </w:rPr>
        <w:t>; Inflammatory mediator; Oxidative stress; Therapeutic targets</w:t>
      </w:r>
    </w:p>
    <w:p w14:paraId="0B9AD401" w14:textId="77777777" w:rsidR="00BC7F2A" w:rsidRDefault="00BC7F2A" w:rsidP="00BC7F2A">
      <w:pPr>
        <w:spacing w:line="360" w:lineRule="auto"/>
        <w:jc w:val="both"/>
        <w:rPr>
          <w:lang w:eastAsia="zh-CN"/>
        </w:rPr>
      </w:pPr>
    </w:p>
    <w:p w14:paraId="4DC3E482" w14:textId="77777777" w:rsidR="00BC7F2A" w:rsidRPr="00026CB8" w:rsidRDefault="00BC7F2A" w:rsidP="00BC7F2A">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71E58E69" w14:textId="77777777" w:rsidR="00A77B3E" w:rsidRDefault="00A77B3E">
      <w:pPr>
        <w:spacing w:line="360" w:lineRule="auto"/>
        <w:jc w:val="both"/>
      </w:pPr>
    </w:p>
    <w:p w14:paraId="2E32DEE5" w14:textId="7156D082" w:rsidR="00A46A2E" w:rsidRDefault="00A46A2E">
      <w:pPr>
        <w:spacing w:line="360" w:lineRule="auto"/>
        <w:jc w:val="both"/>
        <w:rPr>
          <w:rFonts w:ascii="Book Antiqua" w:hAnsi="Book Antiqua" w:cs="Book Antiqua"/>
          <w:color w:val="000000"/>
          <w:lang w:eastAsia="zh-CN"/>
        </w:rPr>
      </w:pPr>
      <w:r w:rsidRPr="00A46A2E">
        <w:rPr>
          <w:rFonts w:ascii="Book Antiqua" w:hAnsi="Book Antiqua" w:cs="Book Antiqua" w:hint="eastAsia"/>
          <w:b/>
          <w:color w:val="000000"/>
          <w:lang w:eastAsia="zh-CN"/>
        </w:rPr>
        <w:t xml:space="preserve">Citation: </w:t>
      </w:r>
      <w:r w:rsidR="00266ABC">
        <w:rPr>
          <w:rFonts w:ascii="Book Antiqua" w:eastAsia="Book Antiqua" w:hAnsi="Book Antiqua" w:cs="Book Antiqua"/>
          <w:color w:val="000000"/>
        </w:rPr>
        <w:t xml:space="preserve">Zhu DD, Tan XM, Lu LQ, Yu SJ, Jian RL, Liang XF, Liao YX, Fan W, Barbier-Torres L, Yang A, Yang HP, Liu T. Interplay between </w:t>
      </w:r>
      <w:r w:rsidR="00BE2A2A" w:rsidRPr="0022754A">
        <w:rPr>
          <w:rFonts w:ascii="Book Antiqua" w:eastAsia="Book Antiqua" w:hAnsi="Book Antiqua" w:cs="Book Antiqua"/>
          <w:color w:val="000000"/>
        </w:rPr>
        <w:t>n</w:t>
      </w:r>
      <w:r w:rsidR="00BE2A2A">
        <w:rPr>
          <w:rFonts w:ascii="Book Antiqua" w:eastAsia="Book Antiqua" w:hAnsi="Book Antiqua" w:cs="Book Antiqua"/>
          <w:color w:val="000000"/>
        </w:rPr>
        <w:t>uclear factor erythroid 2-related factor 2</w:t>
      </w:r>
      <w:r w:rsidR="00266ABC">
        <w:rPr>
          <w:rFonts w:ascii="Book Antiqua" w:eastAsia="Book Antiqua" w:hAnsi="Book Antiqua" w:cs="Book Antiqua"/>
          <w:color w:val="000000"/>
        </w:rPr>
        <w:t xml:space="preserve"> and inflammatory mediators in COVID-19-related liver injury. </w:t>
      </w:r>
      <w:r w:rsidR="00266ABC">
        <w:rPr>
          <w:rFonts w:ascii="Book Antiqua" w:eastAsia="Book Antiqua" w:hAnsi="Book Antiqua" w:cs="Book Antiqua"/>
          <w:i/>
          <w:iCs/>
          <w:color w:val="000000"/>
        </w:rPr>
        <w:t>World J Gastroenterol</w:t>
      </w:r>
      <w:r w:rsidR="00266ABC">
        <w:rPr>
          <w:rFonts w:ascii="Book Antiqua" w:eastAsia="Book Antiqua" w:hAnsi="Book Antiqua" w:cs="Book Antiqua"/>
          <w:color w:val="000000"/>
        </w:rPr>
        <w:t xml:space="preserve"> 2021; </w:t>
      </w:r>
      <w:r w:rsidR="00A57C7B" w:rsidRPr="00A57C7B">
        <w:rPr>
          <w:rFonts w:ascii="Book Antiqua" w:eastAsia="Book Antiqua" w:hAnsi="Book Antiqua" w:cs="Book Antiqua"/>
          <w:color w:val="000000"/>
        </w:rPr>
        <w:t xml:space="preserve">27(22): </w:t>
      </w:r>
      <w:r w:rsidR="002918D3" w:rsidRPr="002918D3">
        <w:rPr>
          <w:rFonts w:ascii="Book Antiqua" w:eastAsia="Book Antiqua" w:hAnsi="Book Antiqua" w:cs="Book Antiqua"/>
          <w:color w:val="000000"/>
        </w:rPr>
        <w:t>2944-2962</w:t>
      </w:r>
      <w:r w:rsidR="00A57C7B" w:rsidRPr="00A57C7B">
        <w:rPr>
          <w:rFonts w:ascii="Book Antiqua" w:eastAsia="Book Antiqua" w:hAnsi="Book Antiqua" w:cs="Book Antiqua"/>
          <w:color w:val="000000"/>
        </w:rPr>
        <w:t xml:space="preserve">  </w:t>
      </w:r>
    </w:p>
    <w:p w14:paraId="7054FDFE" w14:textId="77777777" w:rsidR="00A46A2E" w:rsidRDefault="00A57C7B">
      <w:pPr>
        <w:spacing w:line="360" w:lineRule="auto"/>
        <w:jc w:val="both"/>
        <w:rPr>
          <w:rFonts w:ascii="Book Antiqua" w:hAnsi="Book Antiqua" w:cs="Book Antiqua"/>
          <w:color w:val="000000"/>
          <w:lang w:eastAsia="zh-CN"/>
        </w:rPr>
      </w:pPr>
      <w:r w:rsidRPr="00A46A2E">
        <w:rPr>
          <w:rFonts w:ascii="Book Antiqua" w:eastAsia="Book Antiqua" w:hAnsi="Book Antiqua" w:cs="Book Antiqua"/>
          <w:b/>
          <w:color w:val="000000"/>
        </w:rPr>
        <w:t xml:space="preserve">URL: </w:t>
      </w:r>
      <w:r w:rsidRPr="00A57C7B">
        <w:rPr>
          <w:rFonts w:ascii="Book Antiqua" w:eastAsia="Book Antiqua" w:hAnsi="Book Antiqua" w:cs="Book Antiqua"/>
          <w:color w:val="000000"/>
        </w:rPr>
        <w:t>https://www.wjgnet.com/1007-9327/full/v27/i22/</w:t>
      </w:r>
      <w:r w:rsidR="002918D3" w:rsidRPr="002918D3">
        <w:rPr>
          <w:rFonts w:ascii="Book Antiqua" w:eastAsia="Book Antiqua" w:hAnsi="Book Antiqua" w:cs="Book Antiqua"/>
          <w:color w:val="000000"/>
        </w:rPr>
        <w:t>2944</w:t>
      </w:r>
      <w:r w:rsidRPr="00A57C7B">
        <w:rPr>
          <w:rFonts w:ascii="Book Antiqua" w:eastAsia="Book Antiqua" w:hAnsi="Book Antiqua" w:cs="Book Antiqua"/>
          <w:color w:val="000000"/>
        </w:rPr>
        <w:t xml:space="preserve">.htm  </w:t>
      </w:r>
    </w:p>
    <w:p w14:paraId="0E953E7F" w14:textId="07A0DEA8" w:rsidR="00A77B3E" w:rsidRDefault="00A57C7B">
      <w:pPr>
        <w:spacing w:line="360" w:lineRule="auto"/>
        <w:jc w:val="both"/>
      </w:pPr>
      <w:r w:rsidRPr="00A46A2E">
        <w:rPr>
          <w:rFonts w:ascii="Book Antiqua" w:eastAsia="Book Antiqua" w:hAnsi="Book Antiqua" w:cs="Book Antiqua"/>
          <w:b/>
          <w:color w:val="000000"/>
        </w:rPr>
        <w:t xml:space="preserve">DOI: </w:t>
      </w:r>
      <w:r w:rsidRPr="00A57C7B">
        <w:rPr>
          <w:rFonts w:ascii="Book Antiqua" w:eastAsia="Book Antiqua" w:hAnsi="Book Antiqua" w:cs="Book Antiqua"/>
          <w:color w:val="000000"/>
        </w:rPr>
        <w:t>https://dx.doi.org/10.3748/wjg.v27.i22.</w:t>
      </w:r>
      <w:r w:rsidR="002918D3" w:rsidRPr="002918D3">
        <w:rPr>
          <w:rFonts w:ascii="Book Antiqua" w:eastAsia="Book Antiqua" w:hAnsi="Book Antiqua" w:cs="Book Antiqua"/>
          <w:color w:val="000000"/>
        </w:rPr>
        <w:t>2944</w:t>
      </w:r>
    </w:p>
    <w:p w14:paraId="0E8B346E" w14:textId="77777777" w:rsidR="00A77B3E" w:rsidRDefault="00A77B3E">
      <w:pPr>
        <w:spacing w:line="360" w:lineRule="auto"/>
        <w:jc w:val="both"/>
      </w:pPr>
    </w:p>
    <w:p w14:paraId="0D670C79" w14:textId="7BBF8D6F" w:rsidR="00A77B3E" w:rsidRDefault="00266ABC">
      <w:pPr>
        <w:spacing w:line="360" w:lineRule="auto"/>
        <w:jc w:val="both"/>
      </w:pPr>
      <w:r>
        <w:rPr>
          <w:rFonts w:ascii="Book Antiqua" w:eastAsia="Book Antiqua" w:hAnsi="Book Antiqua" w:cs="Book Antiqua"/>
          <w:b/>
          <w:bCs/>
          <w:color w:val="000000"/>
        </w:rPr>
        <w:t>Core Tip:</w:t>
      </w:r>
      <w:r w:rsidRPr="00BC682F">
        <w:rPr>
          <w:rFonts w:ascii="Book Antiqua" w:eastAsia="Book Antiqua" w:hAnsi="Book Antiqua" w:cs="Book Antiqua"/>
          <w:color w:val="000000"/>
        </w:rPr>
        <w:t xml:space="preserve"> </w:t>
      </w:r>
      <w:r w:rsidR="00BC682F" w:rsidRPr="00BC682F">
        <w:rPr>
          <w:rFonts w:ascii="Book Antiqua" w:eastAsia="Book Antiqua" w:hAnsi="Book Antiqua" w:cs="Book Antiqua"/>
          <w:color w:val="000000"/>
        </w:rPr>
        <w:t xml:space="preserve">Coronavirus disease 2019 (COVID-19) caused by severe acute respiratory syndrome coronavirus 2 is a global pandemic and poses a major threat to human health worldwide. </w:t>
      </w:r>
      <w:r>
        <w:rPr>
          <w:rFonts w:ascii="Book Antiqua" w:eastAsia="Book Antiqua" w:hAnsi="Book Antiqua" w:cs="Book Antiqua"/>
          <w:color w:val="000000"/>
        </w:rPr>
        <w:t>In this review</w:t>
      </w:r>
      <w:r w:rsidR="004C77F4">
        <w:rPr>
          <w:rFonts w:ascii="Book Antiqua" w:eastAsia="Book Antiqua" w:hAnsi="Book Antiqua" w:cs="Book Antiqua"/>
          <w:color w:val="000000"/>
        </w:rPr>
        <w:t>,</w:t>
      </w:r>
      <w:r>
        <w:rPr>
          <w:rFonts w:ascii="Book Antiqua" w:eastAsia="Book Antiqua" w:hAnsi="Book Antiqua" w:cs="Book Antiqua"/>
          <w:color w:val="000000"/>
        </w:rPr>
        <w:t xml:space="preserve"> we provide the most comprehensive guide to</w:t>
      </w:r>
      <w:r w:rsidR="00C17CA0">
        <w:rPr>
          <w:rFonts w:ascii="Book Antiqua" w:eastAsia="Book Antiqua" w:hAnsi="Book Antiqua" w:cs="Book Antiqua"/>
          <w:color w:val="000000"/>
        </w:rPr>
        <w:t xml:space="preserve"> </w:t>
      </w:r>
      <w:r>
        <w:rPr>
          <w:rFonts w:ascii="Book Antiqua" w:eastAsia="Book Antiqua" w:hAnsi="Book Antiqua" w:cs="Book Antiqua"/>
          <w:color w:val="000000"/>
        </w:rPr>
        <w:t>n</w:t>
      </w:r>
      <w:r w:rsidR="00BC682F">
        <w:rPr>
          <w:rFonts w:ascii="Book Antiqua" w:eastAsia="Book Antiqua" w:hAnsi="Book Antiqua" w:cs="Book Antiqua"/>
          <w:color w:val="000000"/>
        </w:rPr>
        <w:t>uclear factor erythroid 2-related factor 2</w:t>
      </w:r>
      <w:r w:rsidR="00C17CA0">
        <w:rPr>
          <w:rFonts w:ascii="Book Antiqua" w:eastAsia="Book Antiqua" w:hAnsi="Book Antiqua" w:cs="Book Antiqua"/>
          <w:color w:val="000000"/>
        </w:rPr>
        <w:t xml:space="preserve"> </w:t>
      </w:r>
      <w:r>
        <w:rPr>
          <w:rFonts w:ascii="Book Antiqua" w:eastAsia="Book Antiqua" w:hAnsi="Book Antiqua" w:cs="Book Antiqua"/>
          <w:color w:val="000000"/>
        </w:rPr>
        <w:t>and inflammatory mediators in COVID-19-related liver injury</w:t>
      </w:r>
      <w:r w:rsidR="004C77F4">
        <w:rPr>
          <w:rFonts w:ascii="Book Antiqua" w:eastAsia="Book Antiqua" w:hAnsi="Book Antiqua" w:cs="Book Antiqua"/>
          <w:color w:val="000000"/>
        </w:rPr>
        <w:t>,</w:t>
      </w:r>
      <w:r>
        <w:rPr>
          <w:rFonts w:ascii="Book Antiqua" w:eastAsia="Book Antiqua" w:hAnsi="Book Antiqua" w:cs="Book Antiqua"/>
          <w:color w:val="000000"/>
        </w:rPr>
        <w:t xml:space="preserve"> emphasizing their potential as targets for COVID-19 therapy.</w:t>
      </w:r>
    </w:p>
    <w:p w14:paraId="161807FC" w14:textId="57FB0AF1" w:rsidR="00A77B3E" w:rsidRDefault="00BC682F">
      <w:pPr>
        <w:spacing w:line="360" w:lineRule="auto"/>
        <w:jc w:val="both"/>
      </w:pPr>
      <w:r>
        <w:br w:type="page"/>
      </w:r>
      <w:r w:rsidR="00266ABC">
        <w:rPr>
          <w:rFonts w:ascii="Book Antiqua" w:eastAsia="Book Antiqua" w:hAnsi="Book Antiqua" w:cs="Book Antiqua"/>
          <w:b/>
          <w:caps/>
          <w:color w:val="000000"/>
          <w:u w:val="single"/>
        </w:rPr>
        <w:t>INTRODUCTION</w:t>
      </w:r>
    </w:p>
    <w:p w14:paraId="32F6F9EE" w14:textId="2606FE5F" w:rsidR="00A77B3E" w:rsidRDefault="00BC682F" w:rsidP="00BC682F">
      <w:pPr>
        <w:spacing w:line="360" w:lineRule="auto"/>
        <w:jc w:val="both"/>
      </w:pPr>
      <w:r w:rsidRPr="00BC682F">
        <w:rPr>
          <w:rFonts w:ascii="Book Antiqua" w:eastAsia="Book Antiqua" w:hAnsi="Book Antiqua" w:cs="Book Antiqua"/>
          <w:color w:val="000000"/>
        </w:rPr>
        <w:t>Coronavirus disease 2019 (COVID-19)</w:t>
      </w:r>
      <w:r w:rsidR="00266ABC">
        <w:rPr>
          <w:rFonts w:ascii="Book Antiqua" w:eastAsia="Book Antiqua" w:hAnsi="Book Antiqua" w:cs="Book Antiqua"/>
          <w:color w:val="000000"/>
        </w:rPr>
        <w:t>, a disease caused by severe acute respiratory syndrome coronavirus 2 (SARS-CoV-2), was declared to be a global pandemic by the World Health Organization in 2020. COVID-19 is caused by infection with SARS-CoV-2, which has a single</w:t>
      </w:r>
      <w:r w:rsidR="004C77F4">
        <w:rPr>
          <w:rFonts w:ascii="Book Antiqua" w:eastAsia="Book Antiqua" w:hAnsi="Book Antiqua" w:cs="Book Antiqua"/>
          <w:color w:val="000000"/>
        </w:rPr>
        <w:t>-</w:t>
      </w:r>
      <w:r w:rsidR="00266ABC">
        <w:rPr>
          <w:rFonts w:ascii="Book Antiqua" w:eastAsia="Book Antiqua" w:hAnsi="Book Antiqua" w:cs="Book Antiqua"/>
          <w:color w:val="000000"/>
        </w:rPr>
        <w:t>stranded RNA approximately 26-32 kb in length and belongs to the same coronavirus family as Middle East respiratory syndrome coronavirus and SARS-CoV-1</w:t>
      </w:r>
      <w:r w:rsidR="00266ABC">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1,2</w:t>
      </w:r>
      <w:r w:rsidR="00266ABC">
        <w:rPr>
          <w:rFonts w:ascii="Book Antiqua" w:eastAsia="Book Antiqua" w:hAnsi="Book Antiqua" w:cs="Book Antiqua"/>
          <w:color w:val="000000"/>
          <w:vertAlign w:val="superscript"/>
        </w:rPr>
        <w:t>]</w:t>
      </w:r>
      <w:r w:rsidR="00266ABC">
        <w:rPr>
          <w:rFonts w:ascii="Book Antiqua" w:eastAsia="Book Antiqua" w:hAnsi="Book Antiqua" w:cs="Book Antiqua"/>
          <w:color w:val="000000"/>
        </w:rPr>
        <w:t>.</w:t>
      </w:r>
    </w:p>
    <w:p w14:paraId="47DEFFD2" w14:textId="6B12CC6B" w:rsidR="00A77B3E" w:rsidRDefault="00266ABC" w:rsidP="00BC682F">
      <w:pPr>
        <w:spacing w:line="360" w:lineRule="auto"/>
        <w:ind w:firstLineChars="100" w:firstLine="240"/>
        <w:jc w:val="both"/>
      </w:pPr>
      <w:r>
        <w:rPr>
          <w:rFonts w:ascii="Book Antiqua" w:eastAsia="Book Antiqua" w:hAnsi="Book Antiqua" w:cs="Book Antiqua"/>
          <w:color w:val="000000"/>
        </w:rPr>
        <w:t>Viral toxicity, body immunity, and the induced inflammatory response all affect the occurrence and progression of COVID-19</w:t>
      </w:r>
      <w:r>
        <w:rPr>
          <w:rFonts w:ascii="Book Antiqua" w:eastAsia="Book Antiqua" w:hAnsi="Book Antiqua" w:cs="Book Antiqua"/>
          <w:color w:val="000000"/>
          <w:szCs w:val="30"/>
          <w:vertAlign w:val="superscript"/>
        </w:rPr>
        <w:t>[</w:t>
      </w:r>
      <w:r w:rsidR="00BC682F">
        <w:rPr>
          <w:rFonts w:ascii="Book Antiqua" w:eastAsia="Book Antiqua" w:hAnsi="Book Antiqua" w:cs="Book Antiqua"/>
          <w:color w:val="000000"/>
          <w:szCs w:val="30"/>
          <w:vertAlign w:val="superscript"/>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The commonly accepted method of transmission</w:t>
      </w:r>
      <w:r w:rsidR="00BC682F">
        <w:rPr>
          <w:rFonts w:ascii="Book Antiqua" w:eastAsia="Book Antiqua" w:hAnsi="Book Antiqua" w:cs="Book Antiqua"/>
          <w:color w:val="000000"/>
        </w:rPr>
        <w:t xml:space="preserve"> </w:t>
      </w:r>
      <w:r>
        <w:rPr>
          <w:rFonts w:ascii="Book Antiqua" w:eastAsia="Book Antiqua" w:hAnsi="Book Antiqua" w:cs="Book Antiqua"/>
          <w:color w:val="000000"/>
        </w:rPr>
        <w:t>is that SARS-CoV-2 binds to the receptor angiotensin-converting enzyme 2 (ACE2) on cells through its spike (S) glycoprotein protein, which has two domains, S1 and S2, with the former binding the peptidase domain of ACE2, called the receptor-binding domain, and the latter catalyzing membrane fusion to release genetic material into the cell</w:t>
      </w:r>
      <w:r>
        <w:rPr>
          <w:rFonts w:ascii="Book Antiqua" w:eastAsia="Book Antiqua" w:hAnsi="Book Antiqua" w:cs="Book Antiqua"/>
          <w:color w:val="000000"/>
          <w:szCs w:val="30"/>
          <w:vertAlign w:val="superscript"/>
        </w:rPr>
        <w:t>[</w:t>
      </w:r>
      <w:r w:rsidR="00BC682F">
        <w:rPr>
          <w:rFonts w:ascii="Book Antiqua" w:eastAsia="Book Antiqua" w:hAnsi="Book Antiqua" w:cs="Book Antiqua"/>
          <w:color w:val="000000"/>
          <w:szCs w:val="30"/>
          <w:vertAlign w:val="superscript"/>
        </w:rPr>
        <w:t>4,5</w:t>
      </w:r>
      <w:r>
        <w:rPr>
          <w:rFonts w:ascii="Book Antiqua" w:eastAsia="Book Antiqua" w:hAnsi="Book Antiqua" w:cs="Book Antiqua"/>
          <w:color w:val="000000"/>
          <w:vertAlign w:val="superscript"/>
        </w:rPr>
        <w:t>]</w:t>
      </w:r>
      <w:r>
        <w:rPr>
          <w:rFonts w:ascii="Book Antiqua" w:eastAsia="Book Antiqua" w:hAnsi="Book Antiqua" w:cs="Book Antiqua"/>
          <w:color w:val="000000"/>
        </w:rPr>
        <w:t>. After entry, SARS-CoV-2 interferes with the host</w:t>
      </w:r>
      <w:r w:rsidR="001539C5">
        <w:rPr>
          <w:rFonts w:ascii="Book Antiqua" w:eastAsia="Book Antiqua" w:hAnsi="Book Antiqua" w:cs="Book Antiqua"/>
          <w:color w:val="000000"/>
        </w:rPr>
        <w:t>’</w:t>
      </w:r>
      <w:r>
        <w:rPr>
          <w:rFonts w:ascii="Book Antiqua" w:eastAsia="Book Antiqua" w:hAnsi="Book Antiqua" w:cs="Book Antiqua"/>
          <w:color w:val="000000"/>
        </w:rPr>
        <w:t xml:space="preserve">s immune defenses, evades host immune surveillance, and </w:t>
      </w:r>
      <w:r w:rsidR="001539C5">
        <w:rPr>
          <w:rFonts w:ascii="Book Antiqua" w:eastAsia="Book Antiqua" w:hAnsi="Book Antiqua" w:cs="Book Antiqua"/>
          <w:color w:val="000000"/>
        </w:rPr>
        <w:t xml:space="preserve">rapidly </w:t>
      </w:r>
      <w:r>
        <w:rPr>
          <w:rFonts w:ascii="Book Antiqua" w:eastAsia="Book Antiqua" w:hAnsi="Book Antiqua" w:cs="Book Antiqua"/>
          <w:color w:val="000000"/>
        </w:rPr>
        <w:t xml:space="preserve">replicates. The replication of the virus activates monocytes, macrophages and granulocytes, accompanied by the release of many reactive </w:t>
      </w:r>
      <w:r w:rsidR="001539C5">
        <w:rPr>
          <w:rFonts w:ascii="Book Antiqua" w:eastAsia="Book Antiqua" w:hAnsi="Book Antiqua" w:cs="Book Antiqua"/>
          <w:color w:val="000000"/>
        </w:rPr>
        <w:t xml:space="preserve">oxygen </w:t>
      </w:r>
      <w:r>
        <w:rPr>
          <w:rFonts w:ascii="Book Antiqua" w:eastAsia="Book Antiqua" w:hAnsi="Book Antiqua" w:cs="Book Antiqua"/>
          <w:color w:val="000000"/>
        </w:rPr>
        <w:t>species (ROS) and inflammatory cytokine storms, which eventually lead to tissue inflammatory cell infiltration, necrosis, and fibrosis</w:t>
      </w:r>
      <w:r>
        <w:rPr>
          <w:rFonts w:ascii="Book Antiqua" w:eastAsia="Book Antiqua" w:hAnsi="Book Antiqua" w:cs="Book Antiqua"/>
          <w:color w:val="000000"/>
          <w:szCs w:val="30"/>
          <w:vertAlign w:val="superscript"/>
        </w:rPr>
        <w:t>[</w:t>
      </w:r>
      <w:r w:rsidR="00BC682F">
        <w:rPr>
          <w:rFonts w:ascii="Book Antiqua" w:eastAsia="Book Antiqua" w:hAnsi="Book Antiqua" w:cs="Book Antiqua"/>
          <w:color w:val="000000"/>
          <w:szCs w:val="30"/>
          <w:vertAlign w:val="superscript"/>
        </w:rPr>
        <w:t>3,6</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5108E564" w14:textId="05602353" w:rsidR="00A77B3E" w:rsidRDefault="00266ABC" w:rsidP="00BC682F">
      <w:pPr>
        <w:spacing w:line="360" w:lineRule="auto"/>
        <w:ind w:firstLineChars="100" w:firstLine="240"/>
        <w:jc w:val="both"/>
      </w:pPr>
      <w:r>
        <w:rPr>
          <w:rFonts w:ascii="Book Antiqua" w:eastAsia="Book Antiqua" w:hAnsi="Book Antiqua" w:cs="Book Antiqua"/>
          <w:color w:val="000000"/>
        </w:rPr>
        <w:t>The pathological mechanism of SARS-CoV-2 infection is very complex and unclear. It is now widely believed to be associated with the host</w:t>
      </w:r>
      <w:r w:rsidR="001539C5">
        <w:rPr>
          <w:rFonts w:ascii="Book Antiqua" w:eastAsia="Book Antiqua" w:hAnsi="Book Antiqua" w:cs="Book Antiqua"/>
          <w:color w:val="000000"/>
        </w:rPr>
        <w:t>’s</w:t>
      </w:r>
      <w:r>
        <w:rPr>
          <w:rFonts w:ascii="Book Antiqua" w:eastAsia="Book Antiqua" w:hAnsi="Book Antiqua" w:cs="Book Antiqua"/>
          <w:color w:val="000000"/>
        </w:rPr>
        <w:t xml:space="preserve"> immune response, the inflammatory response</w:t>
      </w:r>
      <w:r w:rsidR="001539C5">
        <w:rPr>
          <w:rFonts w:ascii="Book Antiqua" w:eastAsia="Book Antiqua" w:hAnsi="Book Antiqua" w:cs="Book Antiqua"/>
          <w:color w:val="000000"/>
        </w:rPr>
        <w:t>,</w:t>
      </w:r>
      <w:r>
        <w:rPr>
          <w:rFonts w:ascii="Book Antiqua" w:eastAsia="Book Antiqua" w:hAnsi="Book Antiqua" w:cs="Book Antiqua"/>
          <w:color w:val="000000"/>
        </w:rPr>
        <w:t xml:space="preserve"> and oxidative stress</w:t>
      </w:r>
      <w:r>
        <w:rPr>
          <w:rFonts w:ascii="Book Antiqua" w:eastAsia="Book Antiqua" w:hAnsi="Book Antiqua" w:cs="Book Antiqua"/>
          <w:color w:val="000000"/>
          <w:szCs w:val="30"/>
          <w:vertAlign w:val="superscript"/>
        </w:rPr>
        <w:t>[</w:t>
      </w:r>
      <w:r w:rsidR="00BC682F">
        <w:rPr>
          <w:rFonts w:ascii="Book Antiqua" w:eastAsia="Book Antiqua" w:hAnsi="Book Antiqua" w:cs="Book Antiqua"/>
          <w:color w:val="000000"/>
          <w:szCs w:val="30"/>
          <w:vertAlign w:val="superscript"/>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It manifests with moderate to severe respiratory symptoms and is usually accompanied by multiple organ dysfunction syndrome (MODS)</w:t>
      </w:r>
      <w:r>
        <w:rPr>
          <w:rFonts w:ascii="Book Antiqua" w:eastAsia="Book Antiqua" w:hAnsi="Book Antiqua" w:cs="Book Antiqua"/>
          <w:color w:val="000000"/>
          <w:szCs w:val="30"/>
          <w:vertAlign w:val="superscript"/>
        </w:rPr>
        <w:t>[</w:t>
      </w:r>
      <w:r w:rsidR="00BC682F">
        <w:rPr>
          <w:rFonts w:ascii="Book Antiqua" w:eastAsia="Book Antiqua" w:hAnsi="Book Antiqua" w:cs="Book Antiqua"/>
          <w:color w:val="000000"/>
          <w:szCs w:val="30"/>
          <w:vertAlign w:val="superscript"/>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Based on the pathogenesis of COVID-19, it has been hypothesized that SARS-CoV-2 might directly bind to the receptor ACE2, which is widely distributed among body tissues, such as liver tissue, and is considered a target for SARS-CoV-2 entry, which causes inflammation, oxidative stress, and proapoptotic reactions, ultimately leading to liver injury</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SARS-CoV-2 can directly cause bile duct epithelial cell dysfunction and affect hepatocyte regeneration and the immune response</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Liver dysfunction is a common complication and mainly manifests </w:t>
      </w:r>
      <w:r w:rsidR="00E9367E">
        <w:rPr>
          <w:rFonts w:ascii="Book Antiqua" w:eastAsia="Book Antiqua" w:hAnsi="Book Antiqua" w:cs="Book Antiqua"/>
          <w:color w:val="000000"/>
        </w:rPr>
        <w:t xml:space="preserve">as </w:t>
      </w:r>
      <w:r>
        <w:rPr>
          <w:rFonts w:ascii="Book Antiqua" w:eastAsia="Book Antiqua" w:hAnsi="Book Antiqua" w:cs="Book Antiqua"/>
          <w:color w:val="000000"/>
        </w:rPr>
        <w:t>elevated transaminase and bilirubin levels</w:t>
      </w:r>
      <w:r>
        <w:rPr>
          <w:rFonts w:ascii="Book Antiqua" w:eastAsia="Book Antiqua" w:hAnsi="Book Antiqua" w:cs="Book Antiqua"/>
          <w:color w:val="000000"/>
          <w:szCs w:val="30"/>
          <w:vertAlign w:val="superscript"/>
        </w:rPr>
        <w:t>[9-12</w:t>
      </w:r>
      <w:r>
        <w:rPr>
          <w:rFonts w:ascii="Book Antiqua" w:eastAsia="Book Antiqua" w:hAnsi="Book Antiqua" w:cs="Book Antiqua"/>
          <w:color w:val="000000"/>
          <w:vertAlign w:val="superscript"/>
        </w:rPr>
        <w:t>]</w:t>
      </w:r>
      <w:r>
        <w:rPr>
          <w:rFonts w:ascii="Book Antiqua" w:eastAsia="Book Antiqua" w:hAnsi="Book Antiqua" w:cs="Book Antiqua"/>
          <w:color w:val="000000"/>
        </w:rPr>
        <w:t>. According to statistics, 5.1%-69.8% of patients with COVID-19 suffer from liver dysfunction, occurring more commonly in patients with other severe symptoms</w:t>
      </w:r>
      <w:r>
        <w:rPr>
          <w:rFonts w:ascii="Book Antiqua" w:eastAsia="Book Antiqua" w:hAnsi="Book Antiqua" w:cs="Book Antiqua"/>
          <w:color w:val="000000"/>
          <w:szCs w:val="30"/>
          <w:vertAlign w:val="superscript"/>
        </w:rPr>
        <w:t>[13,14</w:t>
      </w:r>
      <w:r>
        <w:rPr>
          <w:rFonts w:ascii="Book Antiqua" w:eastAsia="Book Antiqua" w:hAnsi="Book Antiqua" w:cs="Book Antiqua"/>
          <w:color w:val="000000"/>
          <w:vertAlign w:val="superscript"/>
        </w:rPr>
        <w:t>]</w:t>
      </w:r>
      <w:r>
        <w:rPr>
          <w:rFonts w:ascii="Book Antiqua" w:eastAsia="Book Antiqua" w:hAnsi="Book Antiqua" w:cs="Book Antiqua"/>
          <w:color w:val="000000"/>
        </w:rPr>
        <w:t>, and 2.1%-4.1% of patients with COVID-19 undergo pre-existing liver disease</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vertAlign w:val="superscript"/>
        </w:rPr>
        <w:t>]</w:t>
      </w:r>
      <w:r>
        <w:rPr>
          <w:rFonts w:ascii="Book Antiqua" w:eastAsia="Book Antiqua" w:hAnsi="Book Antiqua" w:cs="Book Antiqua"/>
          <w:color w:val="000000"/>
        </w:rPr>
        <w:t>. Interestingly, liver dysfunction appears earlier in COVID-19-related MODS, most likely because of the number of Kupffer cells, natural killer (NK) cells and NK T cells. The expression of endothelial adhesion molecules is higher in the liver than in other organs</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vertAlign w:val="superscript"/>
        </w:rPr>
        <w:t>]</w:t>
      </w:r>
      <w:r>
        <w:rPr>
          <w:rFonts w:ascii="Book Antiqua" w:eastAsia="Book Antiqua" w:hAnsi="Book Antiqua" w:cs="Book Antiqua"/>
          <w:color w:val="000000"/>
        </w:rPr>
        <w:t>, which demonstrates that the inflammatory response, oxidative stress, and immune response may play important roles in COVID-19-related liver injury. Moreover, SARS-CoV-2-induced cytotoxicity, ischemia, drug toxicity</w:t>
      </w:r>
      <w:r w:rsidR="00E9367E">
        <w:rPr>
          <w:rFonts w:ascii="Book Antiqua" w:eastAsia="Book Antiqua" w:hAnsi="Book Antiqua" w:cs="Book Antiqua"/>
          <w:color w:val="000000"/>
        </w:rPr>
        <w:t>,</w:t>
      </w:r>
      <w:r>
        <w:rPr>
          <w:rFonts w:ascii="Book Antiqua" w:eastAsia="Book Antiqua" w:hAnsi="Book Antiqua" w:cs="Book Antiqua"/>
          <w:color w:val="000000"/>
        </w:rPr>
        <w:t xml:space="preserve"> and triggering of pre-existing liver diseases are also possible contributors to the pathogenesis of COVID-19-related liver injury</w:t>
      </w:r>
      <w:r>
        <w:rPr>
          <w:rFonts w:ascii="Book Antiqua" w:eastAsia="Book Antiqua" w:hAnsi="Book Antiqua" w:cs="Book Antiqua"/>
          <w:color w:val="000000"/>
          <w:szCs w:val="30"/>
          <w:vertAlign w:val="superscript"/>
        </w:rPr>
        <w:t>[16,17</w:t>
      </w:r>
      <w:r>
        <w:rPr>
          <w:rFonts w:ascii="Book Antiqua" w:eastAsia="Book Antiqua" w:hAnsi="Book Antiqua" w:cs="Book Antiqua"/>
          <w:color w:val="000000"/>
          <w:vertAlign w:val="superscript"/>
        </w:rPr>
        <w:t>]</w:t>
      </w:r>
      <w:r>
        <w:rPr>
          <w:rFonts w:ascii="Book Antiqua" w:eastAsia="Book Antiqua" w:hAnsi="Book Antiqua" w:cs="Book Antiqua"/>
          <w:color w:val="000000"/>
        </w:rPr>
        <w:t>. However, the exact mechanism of COVID-19-related liver injury remains unclear.</w:t>
      </w:r>
    </w:p>
    <w:p w14:paraId="5D551FD1" w14:textId="6A6B88CD" w:rsidR="00A77B3E" w:rsidRDefault="0005557D" w:rsidP="00266ABC">
      <w:pPr>
        <w:spacing w:line="360" w:lineRule="auto"/>
        <w:ind w:firstLineChars="100" w:firstLine="240"/>
        <w:jc w:val="both"/>
      </w:pPr>
      <w:r w:rsidRPr="0005557D">
        <w:rPr>
          <w:rFonts w:ascii="Book Antiqua" w:eastAsia="Book Antiqua" w:hAnsi="Book Antiqua" w:cs="Book Antiqua"/>
          <w:caps/>
          <w:color w:val="000000"/>
        </w:rPr>
        <w:t>n</w:t>
      </w:r>
      <w:r>
        <w:rPr>
          <w:rFonts w:ascii="Book Antiqua" w:eastAsia="Book Antiqua" w:hAnsi="Book Antiqua" w:cs="Book Antiqua"/>
          <w:color w:val="000000"/>
        </w:rPr>
        <w:t xml:space="preserve">uclear factor erythroid 2-related factor 2 </w:t>
      </w:r>
      <w:r w:rsidR="00266ABC">
        <w:rPr>
          <w:rFonts w:ascii="Book Antiqua" w:eastAsia="Book Antiqua" w:hAnsi="Book Antiqua" w:cs="Book Antiqua"/>
          <w:color w:val="000000"/>
        </w:rPr>
        <w:t>(</w:t>
      </w:r>
      <w:r>
        <w:rPr>
          <w:rFonts w:ascii="Book Antiqua" w:eastAsia="Book Antiqua" w:hAnsi="Book Antiqua" w:cs="Book Antiqua"/>
          <w:color w:val="000000"/>
        </w:rPr>
        <w:t>NRF2</w:t>
      </w:r>
      <w:r w:rsidR="00266ABC">
        <w:rPr>
          <w:rFonts w:ascii="Book Antiqua" w:eastAsia="Book Antiqua" w:hAnsi="Book Antiqua" w:cs="Book Antiqua"/>
          <w:color w:val="000000"/>
        </w:rPr>
        <w:t>) is a nuclear transcription factor that is activated by oxidative stress and belongs to the family of Cap'n'Collar family of basic leucine zippers</w:t>
      </w:r>
      <w:r w:rsidR="00266ABC">
        <w:rPr>
          <w:rFonts w:ascii="Book Antiqua" w:eastAsia="Book Antiqua" w:hAnsi="Book Antiqua" w:cs="Book Antiqua"/>
          <w:color w:val="000000"/>
          <w:szCs w:val="30"/>
          <w:vertAlign w:val="superscript"/>
        </w:rPr>
        <w:t>[18,19</w:t>
      </w:r>
      <w:r w:rsidR="00266ABC">
        <w:rPr>
          <w:rFonts w:ascii="Book Antiqua" w:eastAsia="Book Antiqua" w:hAnsi="Book Antiqua" w:cs="Book Antiqua"/>
          <w:color w:val="000000"/>
          <w:vertAlign w:val="superscript"/>
        </w:rPr>
        <w:t>]</w:t>
      </w:r>
      <w:r w:rsidR="00266ABC">
        <w:rPr>
          <w:rFonts w:ascii="Book Antiqua" w:eastAsia="Book Antiqua" w:hAnsi="Book Antiqua" w:cs="Book Antiqua"/>
          <w:color w:val="000000"/>
        </w:rPr>
        <w:t xml:space="preserve">. Kelch-like ECH-associated protein-1 (KEAP1), a redox-regulated substrate adaptor protein, </w:t>
      </w:r>
      <w:r w:rsidR="00E9367E">
        <w:rPr>
          <w:rFonts w:ascii="Book Antiqua" w:eastAsia="Book Antiqua" w:hAnsi="Book Antiqua" w:cs="Book Antiqua"/>
          <w:color w:val="000000"/>
        </w:rPr>
        <w:t xml:space="preserve">which </w:t>
      </w:r>
      <w:r w:rsidR="00266ABC">
        <w:rPr>
          <w:rFonts w:ascii="Book Antiqua" w:eastAsia="Book Antiqua" w:hAnsi="Book Antiqua" w:cs="Book Antiqua"/>
          <w:color w:val="000000"/>
        </w:rPr>
        <w:t>interacts with the Cul3-dependent ubiquitin ligase complex</w:t>
      </w:r>
      <w:r w:rsidR="00266ABC">
        <w:rPr>
          <w:rFonts w:ascii="Book Antiqua" w:eastAsia="Book Antiqua" w:hAnsi="Book Antiqua" w:cs="Book Antiqua"/>
          <w:color w:val="000000"/>
          <w:szCs w:val="30"/>
          <w:vertAlign w:val="superscript"/>
        </w:rPr>
        <w:t>[20</w:t>
      </w:r>
      <w:r w:rsidR="00266ABC">
        <w:rPr>
          <w:rFonts w:ascii="Book Antiqua" w:eastAsia="Book Antiqua" w:hAnsi="Book Antiqua" w:cs="Book Antiqua"/>
          <w:color w:val="000000"/>
          <w:vertAlign w:val="superscript"/>
        </w:rPr>
        <w:t>]</w:t>
      </w:r>
      <w:r w:rsidR="00266ABC">
        <w:rPr>
          <w:rFonts w:ascii="Book Antiqua" w:eastAsia="Book Antiqua" w:hAnsi="Book Antiqua" w:cs="Book Antiqua"/>
          <w:color w:val="000000"/>
        </w:rPr>
        <w:t>. The antioxidant response element (ARE), an electrophilic response element, is a cis-regulatory element</w:t>
      </w:r>
      <w:r w:rsidR="00266ABC">
        <w:rPr>
          <w:rFonts w:ascii="Book Antiqua" w:eastAsia="Book Antiqua" w:hAnsi="Book Antiqua" w:cs="Book Antiqua"/>
          <w:color w:val="000000"/>
          <w:szCs w:val="30"/>
          <w:vertAlign w:val="superscript"/>
        </w:rPr>
        <w:t>[21</w:t>
      </w:r>
      <w:r w:rsidR="00266ABC">
        <w:rPr>
          <w:rFonts w:ascii="Book Antiqua" w:eastAsia="Book Antiqua" w:hAnsi="Book Antiqua" w:cs="Book Antiqua"/>
          <w:color w:val="000000"/>
          <w:vertAlign w:val="superscript"/>
        </w:rPr>
        <w:t>]</w:t>
      </w:r>
      <w:r w:rsidR="00266ABC">
        <w:rPr>
          <w:rFonts w:ascii="Book Antiqua" w:eastAsia="Book Antiqua" w:hAnsi="Book Antiqua" w:cs="Book Antiqua"/>
          <w:color w:val="000000"/>
        </w:rPr>
        <w:t>. NRF2 is recognized as a regulator of oxidative stress, and KEAP1-NRF2-ARE is one of the most important pathways of antioxidant and anti-inflammatory element signaling</w:t>
      </w:r>
      <w:r w:rsidR="00266ABC">
        <w:rPr>
          <w:rFonts w:ascii="Book Antiqua" w:eastAsia="Book Antiqua" w:hAnsi="Book Antiqua" w:cs="Book Antiqua"/>
          <w:color w:val="000000"/>
          <w:szCs w:val="30"/>
          <w:vertAlign w:val="superscript"/>
        </w:rPr>
        <w:t>[22</w:t>
      </w:r>
      <w:r w:rsidR="00266ABC">
        <w:rPr>
          <w:rFonts w:ascii="Book Antiqua" w:eastAsia="Book Antiqua" w:hAnsi="Book Antiqua" w:cs="Book Antiqua"/>
          <w:color w:val="000000"/>
          <w:vertAlign w:val="superscript"/>
        </w:rPr>
        <w:t>]</w:t>
      </w:r>
      <w:r w:rsidR="00266ABC">
        <w:rPr>
          <w:rFonts w:ascii="Book Antiqua" w:eastAsia="Book Antiqua" w:hAnsi="Book Antiqua" w:cs="Book Antiqua"/>
          <w:color w:val="000000"/>
        </w:rPr>
        <w:t>. Under homeostasis, NRF2 binds to KEAP1 and is anchored to the cytoplasm</w:t>
      </w:r>
      <w:r w:rsidR="00266ABC">
        <w:rPr>
          <w:rFonts w:ascii="Book Antiqua" w:eastAsia="Book Antiqua" w:hAnsi="Book Antiqua" w:cs="Book Antiqua"/>
          <w:color w:val="000000"/>
          <w:szCs w:val="30"/>
          <w:vertAlign w:val="superscript"/>
        </w:rPr>
        <w:t>[23</w:t>
      </w:r>
      <w:r w:rsidR="00266ABC">
        <w:rPr>
          <w:rFonts w:ascii="Book Antiqua" w:eastAsia="Book Antiqua" w:hAnsi="Book Antiqua" w:cs="Book Antiqua"/>
          <w:color w:val="000000"/>
          <w:vertAlign w:val="superscript"/>
        </w:rPr>
        <w:t>]</w:t>
      </w:r>
      <w:r w:rsidR="00266ABC">
        <w:rPr>
          <w:rFonts w:ascii="Book Antiqua" w:eastAsia="Book Antiqua" w:hAnsi="Book Antiqua" w:cs="Book Antiqua"/>
          <w:color w:val="000000"/>
        </w:rPr>
        <w:t xml:space="preserve">. When cells are attacked by ROS or other stimuli, NRF2 dissociates from KEAP1 and is quickly translocated </w:t>
      </w:r>
      <w:r w:rsidR="00BA60FC">
        <w:rPr>
          <w:rFonts w:ascii="Book Antiqua" w:eastAsia="Book Antiqua" w:hAnsi="Book Antiqua" w:cs="Book Antiqua"/>
          <w:color w:val="000000"/>
        </w:rPr>
        <w:t xml:space="preserve">to </w:t>
      </w:r>
      <w:r w:rsidR="00266ABC">
        <w:rPr>
          <w:rFonts w:ascii="Book Antiqua" w:eastAsia="Book Antiqua" w:hAnsi="Book Antiqua" w:cs="Book Antiqua"/>
          <w:color w:val="000000"/>
        </w:rPr>
        <w:t>the nucleus, forming a heterodimer with the transcriptional regulator and binding to an ARE</w:t>
      </w:r>
      <w:r w:rsidR="00266ABC">
        <w:rPr>
          <w:rFonts w:ascii="Book Antiqua" w:eastAsia="Book Antiqua" w:hAnsi="Book Antiqua" w:cs="Book Antiqua"/>
          <w:color w:val="000000"/>
          <w:szCs w:val="30"/>
          <w:vertAlign w:val="superscript"/>
        </w:rPr>
        <w:t>[24</w:t>
      </w:r>
      <w:r w:rsidR="00266ABC">
        <w:rPr>
          <w:rFonts w:ascii="Book Antiqua" w:eastAsia="Book Antiqua" w:hAnsi="Book Antiqua" w:cs="Book Antiqua"/>
          <w:color w:val="000000"/>
          <w:vertAlign w:val="superscript"/>
        </w:rPr>
        <w:t>]</w:t>
      </w:r>
      <w:r w:rsidR="00266ABC">
        <w:rPr>
          <w:rFonts w:ascii="Book Antiqua" w:eastAsia="Book Antiqua" w:hAnsi="Book Antiqua" w:cs="Book Antiqua"/>
          <w:color w:val="000000"/>
        </w:rPr>
        <w:t>. The complex ultimately activates the expression of antioxidant enzymes and thus leads to the removal of excessive ROS in the body, thereby exerting antioxidant effect</w:t>
      </w:r>
      <w:r w:rsidR="00BA60FC">
        <w:rPr>
          <w:rFonts w:ascii="Book Antiqua" w:eastAsia="Book Antiqua" w:hAnsi="Book Antiqua" w:cs="Book Antiqua"/>
          <w:color w:val="000000"/>
        </w:rPr>
        <w:t>s</w:t>
      </w:r>
      <w:r w:rsidR="00266ABC">
        <w:rPr>
          <w:rFonts w:ascii="Book Antiqua" w:eastAsia="Book Antiqua" w:hAnsi="Book Antiqua" w:cs="Book Antiqua"/>
          <w:color w:val="000000"/>
          <w:szCs w:val="30"/>
          <w:vertAlign w:val="superscript"/>
        </w:rPr>
        <w:t>[25</w:t>
      </w:r>
      <w:r w:rsidR="00266ABC">
        <w:rPr>
          <w:rFonts w:ascii="Book Antiqua" w:eastAsia="Book Antiqua" w:hAnsi="Book Antiqua" w:cs="Book Antiqua"/>
          <w:color w:val="000000"/>
          <w:vertAlign w:val="superscript"/>
        </w:rPr>
        <w:t>]</w:t>
      </w:r>
      <w:r w:rsidR="00266ABC">
        <w:rPr>
          <w:rFonts w:ascii="Book Antiqua" w:eastAsia="Book Antiqua" w:hAnsi="Book Antiqua" w:cs="Book Antiqua"/>
          <w:color w:val="000000"/>
        </w:rPr>
        <w:t>. Then, NRF2 is degraded in the nucleus through the β-transducin repeat-containing protein-glycogen synthase kinase 3 (β-TrCP-GSK3) axis or by translocating to the cytoplasm and becoming rapidly degraded by KEAP1</w:t>
      </w:r>
      <w:r w:rsidR="00266ABC">
        <w:rPr>
          <w:rFonts w:ascii="Book Antiqua" w:eastAsia="Book Antiqua" w:hAnsi="Book Antiqua" w:cs="Book Antiqua"/>
          <w:color w:val="000000"/>
          <w:szCs w:val="30"/>
          <w:vertAlign w:val="superscript"/>
        </w:rPr>
        <w:t>[26</w:t>
      </w:r>
      <w:r w:rsidR="00266ABC">
        <w:rPr>
          <w:rFonts w:ascii="Book Antiqua" w:eastAsia="Book Antiqua" w:hAnsi="Book Antiqua" w:cs="Book Antiqua"/>
          <w:color w:val="000000"/>
          <w:vertAlign w:val="superscript"/>
        </w:rPr>
        <w:t>]</w:t>
      </w:r>
      <w:r w:rsidR="00266ABC">
        <w:rPr>
          <w:rFonts w:ascii="Book Antiqua" w:eastAsia="Book Antiqua" w:hAnsi="Book Antiqua" w:cs="Book Antiqua"/>
          <w:color w:val="000000"/>
        </w:rPr>
        <w:t>. Since the outbreak of COVID-19, continuous studies have shown that enhancing immunity, establishing resistance to the inflammatory response</w:t>
      </w:r>
      <w:r w:rsidR="00BA60FC">
        <w:rPr>
          <w:rFonts w:ascii="Book Antiqua" w:eastAsia="Book Antiqua" w:hAnsi="Book Antiqua" w:cs="Book Antiqua"/>
          <w:color w:val="000000"/>
        </w:rPr>
        <w:t>,</w:t>
      </w:r>
      <w:r w:rsidR="00266ABC">
        <w:rPr>
          <w:rFonts w:ascii="Book Antiqua" w:eastAsia="Book Antiqua" w:hAnsi="Book Antiqua" w:cs="Book Antiqua"/>
          <w:color w:val="000000"/>
        </w:rPr>
        <w:t xml:space="preserve"> and reducing oxidative stress are keys to COVID-19 treatment, while NRF2 may be an important target for COVID-19 treatment and play</w:t>
      </w:r>
      <w:r w:rsidR="00BA60FC">
        <w:rPr>
          <w:rFonts w:ascii="Book Antiqua" w:eastAsia="Book Antiqua" w:hAnsi="Book Antiqua" w:cs="Book Antiqua"/>
          <w:color w:val="000000"/>
        </w:rPr>
        <w:t>s</w:t>
      </w:r>
      <w:r w:rsidR="00266ABC">
        <w:rPr>
          <w:rFonts w:ascii="Book Antiqua" w:eastAsia="Book Antiqua" w:hAnsi="Book Antiqua" w:cs="Book Antiqua"/>
          <w:color w:val="000000"/>
        </w:rPr>
        <w:t xml:space="preserve"> a protective role because of its dual anti</w:t>
      </w:r>
      <w:r w:rsidR="00BA60FC">
        <w:rPr>
          <w:rFonts w:ascii="Book Antiqua" w:eastAsia="Book Antiqua" w:hAnsi="Book Antiqua" w:cs="Book Antiqua"/>
          <w:color w:val="000000"/>
        </w:rPr>
        <w:t>-</w:t>
      </w:r>
      <w:r w:rsidR="00266ABC">
        <w:rPr>
          <w:rFonts w:ascii="Book Antiqua" w:eastAsia="Book Antiqua" w:hAnsi="Book Antiqua" w:cs="Book Antiqua"/>
          <w:color w:val="000000"/>
        </w:rPr>
        <w:t>viral and anti-inflammatory properties</w:t>
      </w:r>
      <w:r w:rsidR="00266ABC">
        <w:rPr>
          <w:rFonts w:ascii="Book Antiqua" w:eastAsia="Book Antiqua" w:hAnsi="Book Antiqua" w:cs="Book Antiqua"/>
          <w:color w:val="000000"/>
          <w:szCs w:val="30"/>
          <w:vertAlign w:val="superscript"/>
        </w:rPr>
        <w:t>[27</w:t>
      </w:r>
      <w:r w:rsidR="00266ABC">
        <w:rPr>
          <w:rFonts w:ascii="Book Antiqua" w:eastAsia="Book Antiqua" w:hAnsi="Book Antiqua" w:cs="Book Antiqua"/>
          <w:color w:val="000000"/>
          <w:vertAlign w:val="superscript"/>
        </w:rPr>
        <w:t>]</w:t>
      </w:r>
      <w:r w:rsidR="00266ABC">
        <w:rPr>
          <w:rFonts w:ascii="Book Antiqua" w:eastAsia="Book Antiqua" w:hAnsi="Book Antiqua" w:cs="Book Antiqua"/>
          <w:color w:val="000000"/>
        </w:rPr>
        <w:t>. Currently</w:t>
      </w:r>
      <w:r w:rsidR="00BA60FC">
        <w:rPr>
          <w:rFonts w:ascii="Book Antiqua" w:eastAsia="Book Antiqua" w:hAnsi="Book Antiqua" w:cs="Book Antiqua"/>
          <w:color w:val="000000"/>
        </w:rPr>
        <w:t>,</w:t>
      </w:r>
      <w:r w:rsidR="00266ABC">
        <w:rPr>
          <w:rFonts w:ascii="Book Antiqua" w:eastAsia="Book Antiqua" w:hAnsi="Book Antiqua" w:cs="Book Antiqua"/>
          <w:color w:val="000000"/>
        </w:rPr>
        <w:t xml:space="preserve"> NRF2 activators, such as 4-octyl-itaconate (4-OI) and dimethyl fumarate (DMF), can be used </w:t>
      </w:r>
      <w:r w:rsidR="00BA60FC">
        <w:rPr>
          <w:rFonts w:ascii="Book Antiqua" w:eastAsia="Book Antiqua" w:hAnsi="Book Antiqua" w:cs="Book Antiqua"/>
          <w:color w:val="000000"/>
        </w:rPr>
        <w:t>for</w:t>
      </w:r>
      <w:r w:rsidR="00266ABC">
        <w:rPr>
          <w:rFonts w:ascii="Book Antiqua" w:eastAsia="Book Antiqua" w:hAnsi="Book Antiqua" w:cs="Book Antiqua"/>
          <w:color w:val="000000"/>
        </w:rPr>
        <w:t xml:space="preserve"> the treatment of COVID-19</w:t>
      </w:r>
      <w:r w:rsidR="00266ABC">
        <w:rPr>
          <w:rFonts w:ascii="Book Antiqua" w:eastAsia="Book Antiqua" w:hAnsi="Book Antiqua" w:cs="Book Antiqua"/>
          <w:color w:val="000000"/>
          <w:szCs w:val="30"/>
          <w:vertAlign w:val="superscript"/>
        </w:rPr>
        <w:t>[28</w:t>
      </w:r>
      <w:r w:rsidR="00266ABC">
        <w:rPr>
          <w:rFonts w:ascii="Book Antiqua" w:eastAsia="Book Antiqua" w:hAnsi="Book Antiqua" w:cs="Book Antiqua"/>
          <w:color w:val="000000"/>
          <w:vertAlign w:val="superscript"/>
        </w:rPr>
        <w:t>]</w:t>
      </w:r>
      <w:r w:rsidR="00266ABC">
        <w:rPr>
          <w:rFonts w:ascii="Book Antiqua" w:eastAsia="Book Antiqua" w:hAnsi="Book Antiqua" w:cs="Book Antiqua"/>
          <w:color w:val="000000"/>
        </w:rPr>
        <w:t>. As most liver injury is associated with increased oxidative stress and an overloaded antioxidant defense system, NRF2 may also be an ideal therapeutic target for treating chronic liver disease. Indeed, NRF2 has previously been shown to protect liver cells in viral hepatitis</w:t>
      </w:r>
      <w:r w:rsidR="00266ABC">
        <w:rPr>
          <w:rFonts w:ascii="Book Antiqua" w:eastAsia="Book Antiqua" w:hAnsi="Book Antiqua" w:cs="Book Antiqua"/>
          <w:color w:val="000000"/>
          <w:szCs w:val="30"/>
          <w:vertAlign w:val="superscript"/>
        </w:rPr>
        <w:t>[29,30</w:t>
      </w:r>
      <w:r w:rsidR="00266ABC">
        <w:rPr>
          <w:rFonts w:ascii="Book Antiqua" w:eastAsia="Book Antiqua" w:hAnsi="Book Antiqua" w:cs="Book Antiqua"/>
          <w:color w:val="000000"/>
          <w:vertAlign w:val="superscript"/>
        </w:rPr>
        <w:t>]</w:t>
      </w:r>
      <w:r w:rsidR="00266ABC">
        <w:rPr>
          <w:rFonts w:ascii="Book Antiqua" w:eastAsia="Book Antiqua" w:hAnsi="Book Antiqua" w:cs="Book Antiqua"/>
          <w:color w:val="000000"/>
        </w:rPr>
        <w:t>, drug-induced liver injury</w:t>
      </w:r>
      <w:r w:rsidR="00266ABC">
        <w:rPr>
          <w:rFonts w:ascii="Book Antiqua" w:eastAsia="Book Antiqua" w:hAnsi="Book Antiqua" w:cs="Book Antiqua"/>
          <w:color w:val="000000"/>
          <w:szCs w:val="30"/>
          <w:vertAlign w:val="superscript"/>
        </w:rPr>
        <w:t>[31-33</w:t>
      </w:r>
      <w:r w:rsidR="00266ABC">
        <w:rPr>
          <w:rFonts w:ascii="Book Antiqua" w:eastAsia="Book Antiqua" w:hAnsi="Book Antiqua" w:cs="Book Antiqua"/>
          <w:color w:val="000000"/>
          <w:vertAlign w:val="superscript"/>
        </w:rPr>
        <w:t>]</w:t>
      </w:r>
      <w:r w:rsidR="00266ABC">
        <w:rPr>
          <w:rFonts w:ascii="Book Antiqua" w:eastAsia="Book Antiqua" w:hAnsi="Book Antiqua" w:cs="Book Antiqua"/>
          <w:color w:val="000000"/>
        </w:rPr>
        <w:t>, cholestasis liver injury</w:t>
      </w:r>
      <w:r w:rsidR="00266ABC">
        <w:rPr>
          <w:rFonts w:ascii="Book Antiqua" w:eastAsia="Book Antiqua" w:hAnsi="Book Antiqua" w:cs="Book Antiqua"/>
          <w:color w:val="000000"/>
          <w:szCs w:val="30"/>
          <w:vertAlign w:val="superscript"/>
        </w:rPr>
        <w:t>[34-36</w:t>
      </w:r>
      <w:r w:rsidR="00266ABC">
        <w:rPr>
          <w:rFonts w:ascii="Book Antiqua" w:eastAsia="Book Antiqua" w:hAnsi="Book Antiqua" w:cs="Book Antiqua"/>
          <w:color w:val="000000"/>
          <w:vertAlign w:val="superscript"/>
        </w:rPr>
        <w:t>]</w:t>
      </w:r>
      <w:r w:rsidR="00266ABC">
        <w:rPr>
          <w:rFonts w:ascii="Book Antiqua" w:eastAsia="Book Antiqua" w:hAnsi="Book Antiqua" w:cs="Book Antiqua"/>
          <w:color w:val="000000"/>
        </w:rPr>
        <w:t>, fatty liver</w:t>
      </w:r>
      <w:r w:rsidR="00266ABC">
        <w:rPr>
          <w:rFonts w:ascii="Book Antiqua" w:eastAsia="Book Antiqua" w:hAnsi="Book Antiqua" w:cs="Book Antiqua"/>
          <w:color w:val="000000"/>
          <w:szCs w:val="30"/>
          <w:vertAlign w:val="superscript"/>
        </w:rPr>
        <w:t>[37,38</w:t>
      </w:r>
      <w:r w:rsidR="00266ABC">
        <w:rPr>
          <w:rFonts w:ascii="Book Antiqua" w:eastAsia="Book Antiqua" w:hAnsi="Book Antiqua" w:cs="Book Antiqua"/>
          <w:color w:val="000000"/>
          <w:vertAlign w:val="superscript"/>
        </w:rPr>
        <w:t>]</w:t>
      </w:r>
      <w:r w:rsidR="00BA60FC">
        <w:rPr>
          <w:rFonts w:ascii="Book Antiqua" w:eastAsia="Book Antiqua" w:hAnsi="Book Antiqua" w:cs="Book Antiqua"/>
          <w:color w:val="000000"/>
        </w:rPr>
        <w:t>,</w:t>
      </w:r>
      <w:r w:rsidR="00266ABC">
        <w:rPr>
          <w:rFonts w:ascii="Book Antiqua" w:eastAsia="Book Antiqua" w:hAnsi="Book Antiqua" w:cs="Book Antiqua"/>
          <w:color w:val="000000"/>
        </w:rPr>
        <w:t xml:space="preserve"> and other liver diseases by reversing insulin resistance, inhibiting gluconeogenesis and lipid accumulation</w:t>
      </w:r>
      <w:r w:rsidR="00BA60FC">
        <w:rPr>
          <w:rFonts w:ascii="Book Antiqua" w:eastAsia="Book Antiqua" w:hAnsi="Book Antiqua" w:cs="Book Antiqua"/>
          <w:color w:val="000000"/>
        </w:rPr>
        <w:t>,</w:t>
      </w:r>
      <w:r w:rsidR="00266ABC">
        <w:rPr>
          <w:rFonts w:ascii="Book Antiqua" w:eastAsia="Book Antiqua" w:hAnsi="Book Antiqua" w:cs="Book Antiqua"/>
          <w:color w:val="000000"/>
        </w:rPr>
        <w:t xml:space="preserve"> and enhancing </w:t>
      </w:r>
      <w:r w:rsidR="00BA60FC">
        <w:rPr>
          <w:rFonts w:ascii="Book Antiqua" w:eastAsia="Book Antiqua" w:hAnsi="Book Antiqua" w:cs="Book Antiqua"/>
          <w:color w:val="000000"/>
        </w:rPr>
        <w:t xml:space="preserve">the </w:t>
      </w:r>
      <w:r w:rsidR="00266ABC">
        <w:rPr>
          <w:rFonts w:ascii="Book Antiqua" w:eastAsia="Book Antiqua" w:hAnsi="Book Antiqua" w:cs="Book Antiqua"/>
          <w:color w:val="000000"/>
        </w:rPr>
        <w:t>anti-inflammatory and antioxidative effects</w:t>
      </w:r>
      <w:r w:rsidR="00266ABC">
        <w:rPr>
          <w:rFonts w:ascii="Book Antiqua" w:eastAsia="Book Antiqua" w:hAnsi="Book Antiqua" w:cs="Book Antiqua"/>
          <w:color w:val="000000"/>
          <w:szCs w:val="30"/>
          <w:vertAlign w:val="superscript"/>
        </w:rPr>
        <w:t>[39</w:t>
      </w:r>
      <w:r w:rsidR="00266ABC">
        <w:rPr>
          <w:rFonts w:ascii="Book Antiqua" w:eastAsia="Book Antiqua" w:hAnsi="Book Antiqua" w:cs="Book Antiqua"/>
          <w:color w:val="000000"/>
          <w:vertAlign w:val="superscript"/>
        </w:rPr>
        <w:t>]</w:t>
      </w:r>
      <w:r w:rsidR="00266ABC">
        <w:rPr>
          <w:rFonts w:ascii="Book Antiqua" w:eastAsia="Book Antiqua" w:hAnsi="Book Antiqua" w:cs="Book Antiqua"/>
          <w:color w:val="000000"/>
        </w:rPr>
        <w:t>. We speculate that NRF2 may also play a regulatory role in COVID-19-related liver injury. In this review, we systematically describe the reciprocal regulation between NRF2 and</w:t>
      </w:r>
      <w:r w:rsidR="00183625">
        <w:rPr>
          <w:rFonts w:ascii="Book Antiqua" w:eastAsia="Book Antiqua" w:hAnsi="Book Antiqua" w:cs="Book Antiqua"/>
          <w:color w:val="000000"/>
        </w:rPr>
        <w:t xml:space="preserve"> </w:t>
      </w:r>
      <w:r w:rsidR="00266ABC">
        <w:rPr>
          <w:rFonts w:ascii="Book Antiqua" w:eastAsia="Book Antiqua" w:hAnsi="Book Antiqua" w:cs="Book Antiqua"/>
          <w:color w:val="000000"/>
        </w:rPr>
        <w:t>inflammatory mediators in COVID-19-related liver injury.</w:t>
      </w:r>
    </w:p>
    <w:p w14:paraId="25B283BF" w14:textId="77777777" w:rsidR="00A77B3E" w:rsidRDefault="00A77B3E" w:rsidP="00266ABC">
      <w:pPr>
        <w:spacing w:line="360" w:lineRule="auto"/>
        <w:jc w:val="both"/>
      </w:pPr>
    </w:p>
    <w:p w14:paraId="4C7502AA" w14:textId="77777777" w:rsidR="00A77B3E" w:rsidRDefault="00266ABC" w:rsidP="00266ABC">
      <w:pPr>
        <w:spacing w:line="360" w:lineRule="auto"/>
        <w:jc w:val="both"/>
      </w:pPr>
      <w:r>
        <w:rPr>
          <w:rFonts w:ascii="Book Antiqua" w:eastAsia="Book Antiqua" w:hAnsi="Book Antiqua" w:cs="Book Antiqua"/>
          <w:b/>
          <w:bCs/>
          <w:caps/>
          <w:color w:val="000000"/>
          <w:u w:val="single"/>
        </w:rPr>
        <w:t>NRF2 AND INFLAMMATORY MEDIATORS</w:t>
      </w:r>
    </w:p>
    <w:p w14:paraId="3FF40A27" w14:textId="3A6C0118" w:rsidR="00A77B3E" w:rsidRDefault="00266ABC" w:rsidP="00266ABC">
      <w:pPr>
        <w:spacing w:line="360" w:lineRule="auto"/>
        <w:jc w:val="both"/>
      </w:pPr>
      <w:r>
        <w:rPr>
          <w:rFonts w:ascii="Book Antiqua" w:eastAsia="Book Antiqua" w:hAnsi="Book Antiqua" w:cs="Book Antiqua"/>
          <w:color w:val="000000"/>
        </w:rPr>
        <w:t>Cytokines are small-molecule messengers secreted by cells, and they can exert effect</w:t>
      </w:r>
      <w:r w:rsidR="00BA60FC">
        <w:rPr>
          <w:rFonts w:ascii="Book Antiqua" w:eastAsia="Book Antiqua" w:hAnsi="Book Antiqua" w:cs="Book Antiqua"/>
          <w:color w:val="000000"/>
        </w:rPr>
        <w:t>s</w:t>
      </w:r>
      <w:r>
        <w:rPr>
          <w:rFonts w:ascii="Book Antiqua" w:eastAsia="Book Antiqua" w:hAnsi="Book Antiqua" w:cs="Book Antiqua"/>
          <w:color w:val="000000"/>
        </w:rPr>
        <w:t xml:space="preserve"> on the same type of cell in </w:t>
      </w:r>
      <w:r w:rsidR="00BA60FC">
        <w:rPr>
          <w:rFonts w:ascii="Book Antiqua" w:eastAsia="Book Antiqua" w:hAnsi="Book Antiqua" w:cs="Book Antiqua"/>
          <w:color w:val="000000"/>
        </w:rPr>
        <w:t xml:space="preserve">the </w:t>
      </w:r>
      <w:r>
        <w:rPr>
          <w:rFonts w:ascii="Book Antiqua" w:eastAsia="Book Antiqua" w:hAnsi="Book Antiqua" w:cs="Book Antiqua"/>
          <w:color w:val="000000"/>
        </w:rPr>
        <w:t>organ periphery and cells in other organs</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Most cytokines are in a lytic state, and some exist in membrane form. Cytokines can be secreted by most cells and possess a wide range of functions. </w:t>
      </w:r>
      <w:r w:rsidR="006251A9" w:rsidRPr="006251A9">
        <w:rPr>
          <w:rFonts w:ascii="Book Antiqua" w:eastAsia="Book Antiqua" w:hAnsi="Book Antiqua" w:cs="Book Antiqua"/>
          <w:color w:val="000000"/>
        </w:rPr>
        <w:t>Interleukins (ILs) are a group of cytokines that were first seen to be expressed by white blood cells</w:t>
      </w:r>
      <w:r>
        <w:rPr>
          <w:rFonts w:ascii="Book Antiqua" w:eastAsia="Book Antiqua" w:hAnsi="Book Antiqua" w:cs="Book Antiqua"/>
          <w:color w:val="000000"/>
        </w:rPr>
        <w:t>. Chemically attractive cytokines are called chemokines. Cytokines that interfere with viral replication are called interferons (IFNs).</w:t>
      </w:r>
    </w:p>
    <w:p w14:paraId="10363E35" w14:textId="39FC24DB" w:rsidR="00A77B3E" w:rsidRDefault="00266ABC" w:rsidP="00266ABC">
      <w:pPr>
        <w:spacing w:line="360" w:lineRule="auto"/>
        <w:ind w:firstLineChars="100" w:firstLine="240"/>
        <w:jc w:val="both"/>
      </w:pPr>
      <w:r>
        <w:rPr>
          <w:rFonts w:ascii="Book Antiqua" w:eastAsia="Book Antiqua" w:hAnsi="Book Antiqua" w:cs="Book Antiqua"/>
          <w:color w:val="000000"/>
        </w:rPr>
        <w:t>When the body is stimulated by endogenous or exogenous stimuli such as viruses, it usually triggers the immune defense system and oxidative stress response to maintain homeostasis. This process is often accompanied by the production of many cytokines</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vertAlign w:val="superscript"/>
        </w:rPr>
        <w:t>]</w:t>
      </w:r>
      <w:r>
        <w:rPr>
          <w:rFonts w:ascii="Book Antiqua" w:eastAsia="Book Antiqua" w:hAnsi="Book Antiqua" w:cs="Book Antiqua"/>
          <w:color w:val="000000"/>
        </w:rPr>
        <w:t>, which interfere with mitochondrial function and lead to the production of a large amount of ROS, thereby inducing the expression of IL-1, IL-6, tumor necrosis factor</w:t>
      </w:r>
      <w:r w:rsidR="00373B62">
        <w:rPr>
          <w:rFonts w:ascii="Book Antiqua" w:eastAsia="Book Antiqua" w:hAnsi="Book Antiqua" w:cs="Book Antiqua"/>
          <w:color w:val="000000"/>
        </w:rPr>
        <w:t xml:space="preserve"> </w:t>
      </w:r>
      <w:r>
        <w:rPr>
          <w:rFonts w:ascii="Book Antiqua" w:eastAsia="Book Antiqua" w:hAnsi="Book Antiqua" w:cs="Book Antiqua"/>
          <w:color w:val="000000"/>
        </w:rPr>
        <w:t>alpha (TNF-α), IL-8 receptor-β (CXCR2), monocyte chemotactic protein-1</w:t>
      </w:r>
      <w:r w:rsidR="00BA60FC">
        <w:rPr>
          <w:rFonts w:ascii="Book Antiqua" w:eastAsia="Book Antiqua" w:hAnsi="Book Antiqua" w:cs="Book Antiqua"/>
          <w:color w:val="000000"/>
        </w:rPr>
        <w:t>,</w:t>
      </w:r>
      <w:r>
        <w:rPr>
          <w:rFonts w:ascii="Book Antiqua" w:eastAsia="Book Antiqua" w:hAnsi="Book Antiqua" w:cs="Book Antiqua"/>
          <w:color w:val="000000"/>
        </w:rPr>
        <w:t xml:space="preserve"> and cell adhesion molecule 1 and promoting the aggregation of macrophages and chemotactic neutrophils</w:t>
      </w:r>
      <w:r>
        <w:rPr>
          <w:rFonts w:ascii="Book Antiqua" w:eastAsia="Book Antiqua" w:hAnsi="Book Antiqua" w:cs="Book Antiqua"/>
          <w:color w:val="000000"/>
          <w:szCs w:val="30"/>
          <w:vertAlign w:val="superscript"/>
        </w:rPr>
        <w:t>[42-44</w:t>
      </w:r>
      <w:r>
        <w:rPr>
          <w:rFonts w:ascii="Book Antiqua" w:eastAsia="Book Antiqua" w:hAnsi="Book Antiqua" w:cs="Book Antiqua"/>
          <w:color w:val="000000"/>
          <w:vertAlign w:val="superscript"/>
        </w:rPr>
        <w:t>]</w:t>
      </w:r>
      <w:r>
        <w:rPr>
          <w:rFonts w:ascii="Book Antiqua" w:eastAsia="Book Antiqua" w:hAnsi="Book Antiqua" w:cs="Book Antiqua"/>
          <w:color w:val="000000"/>
        </w:rPr>
        <w:t>. Then neutrophils produce myeloperoxidase and catalyze the production of large amounts of hypochlorous acid, which kills cells through strong oxidation reactions</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vertAlign w:val="superscript"/>
        </w:rPr>
        <w:t>]</w:t>
      </w:r>
      <w:r>
        <w:rPr>
          <w:rFonts w:ascii="Book Antiqua" w:eastAsia="Book Antiqua" w:hAnsi="Book Antiqua" w:cs="Book Antiqua"/>
          <w:color w:val="000000"/>
        </w:rPr>
        <w:t>. Cell injury induces the expression of high mobility group box 1, osteopontin</w:t>
      </w:r>
      <w:r w:rsidR="00BA60FC">
        <w:rPr>
          <w:rFonts w:ascii="Book Antiqua" w:eastAsia="Book Antiqua" w:hAnsi="Book Antiqua" w:cs="Book Antiqua"/>
          <w:color w:val="000000"/>
        </w:rPr>
        <w:t>,</w:t>
      </w:r>
      <w:r>
        <w:rPr>
          <w:rFonts w:ascii="Book Antiqua" w:eastAsia="Book Antiqua" w:hAnsi="Book Antiqua" w:cs="Book Antiqua"/>
          <w:color w:val="000000"/>
        </w:rPr>
        <w:t xml:space="preserve"> and Toll-like receptor 4, recruiting more neutrophils, amplifying the inflammatory response, and further aggravating tissue injury</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BFD2809" w14:textId="45F24695" w:rsidR="00A77B3E" w:rsidRDefault="00266ABC" w:rsidP="00266ABC">
      <w:pPr>
        <w:spacing w:line="360" w:lineRule="auto"/>
        <w:ind w:firstLineChars="100" w:firstLine="240"/>
        <w:jc w:val="both"/>
      </w:pPr>
      <w:r>
        <w:rPr>
          <w:rFonts w:ascii="Book Antiqua" w:eastAsia="Book Antiqua" w:hAnsi="Book Antiqua" w:cs="Book Antiqua"/>
          <w:color w:val="000000"/>
        </w:rPr>
        <w:t>It is thought that COVID-19 patients suffer from cytokine storm symptoms and an uncontrolled release of proinflammatory cytokines. The levels of proinflammatory factors such as IL-1β, IL-7, IL-8, IL-9, IL-10, TNF-α, and other inflammatory factors are higher in COVID-19 patients than in healthy adults</w:t>
      </w:r>
      <w:r>
        <w:rPr>
          <w:rFonts w:ascii="Book Antiqua" w:eastAsia="Book Antiqua" w:hAnsi="Book Antiqua" w:cs="Book Antiqua"/>
          <w:color w:val="000000"/>
          <w:szCs w:val="30"/>
          <w:vertAlign w:val="superscript"/>
        </w:rPr>
        <w:t>[47,48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Serum inflammatory cytokine levels are positively correlated with indicators of liver dysfunction in patients, </w:t>
      </w:r>
      <w:r w:rsidR="008342C3">
        <w:rPr>
          <w:rFonts w:ascii="Book Antiqua" w:eastAsia="Book Antiqua" w:hAnsi="Book Antiqua" w:cs="Book Antiqua"/>
          <w:color w:val="000000"/>
        </w:rPr>
        <w:t xml:space="preserve">suggesting </w:t>
      </w:r>
      <w:r>
        <w:rPr>
          <w:rFonts w:ascii="Book Antiqua" w:eastAsia="Book Antiqua" w:hAnsi="Book Antiqua" w:cs="Book Antiqua"/>
          <w:color w:val="000000"/>
        </w:rPr>
        <w:t>potential mechanisms between liver injury and the inflammatory response</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vertAlign w:val="superscript"/>
        </w:rPr>
        <w:t>]</w:t>
      </w:r>
      <w:r>
        <w:rPr>
          <w:rFonts w:ascii="Book Antiqua" w:eastAsia="Book Antiqua" w:hAnsi="Book Antiqua" w:cs="Book Antiqua"/>
          <w:color w:val="000000"/>
        </w:rPr>
        <w:t>. N</w:t>
      </w:r>
      <w:r w:rsidR="0063721F">
        <w:rPr>
          <w:rFonts w:ascii="Book Antiqua" w:eastAsia="Book Antiqua" w:hAnsi="Book Antiqua" w:cs="Book Antiqua"/>
          <w:color w:val="000000"/>
        </w:rPr>
        <w:t>RF</w:t>
      </w:r>
      <w:r>
        <w:rPr>
          <w:rFonts w:ascii="Book Antiqua" w:eastAsia="Book Antiqua" w:hAnsi="Book Antiqua" w:cs="Book Antiqua"/>
          <w:color w:val="000000"/>
        </w:rPr>
        <w:t>2 negatively regulate</w:t>
      </w:r>
      <w:r w:rsidR="008342C3">
        <w:rPr>
          <w:rFonts w:ascii="Book Antiqua" w:eastAsia="Book Antiqua" w:hAnsi="Book Antiqua" w:cs="Book Antiqua"/>
          <w:color w:val="000000"/>
        </w:rPr>
        <w:t>s</w:t>
      </w:r>
      <w:r>
        <w:rPr>
          <w:rFonts w:ascii="Book Antiqua" w:eastAsia="Book Antiqua" w:hAnsi="Book Antiqua" w:cs="Book Antiqua"/>
          <w:color w:val="000000"/>
        </w:rPr>
        <w:t xml:space="preserve"> the expression of these inflammatory cytokines. For example, in human macrophages, N</w:t>
      </w:r>
      <w:r w:rsidR="0063721F">
        <w:rPr>
          <w:rFonts w:ascii="Book Antiqua" w:eastAsia="Book Antiqua" w:hAnsi="Book Antiqua" w:cs="Book Antiqua"/>
          <w:color w:val="000000"/>
        </w:rPr>
        <w:t>RF</w:t>
      </w:r>
      <w:r>
        <w:rPr>
          <w:rFonts w:ascii="Book Antiqua" w:eastAsia="Book Antiqua" w:hAnsi="Book Antiqua" w:cs="Book Antiqua"/>
          <w:color w:val="000000"/>
        </w:rPr>
        <w:t>2 can inhibit the expression of inflammatory cytokines, such as IL-1β, IL-6, and TNF-α, by blocking the recruitment of RNA polymerase II, thus reducing the inflammatory response. Moreover, an agonist of N</w:t>
      </w:r>
      <w:r w:rsidR="0063721F">
        <w:rPr>
          <w:rFonts w:ascii="Book Antiqua" w:eastAsia="Book Antiqua" w:hAnsi="Book Antiqua" w:cs="Book Antiqua"/>
          <w:color w:val="000000"/>
        </w:rPr>
        <w:t>RF</w:t>
      </w:r>
      <w:r>
        <w:rPr>
          <w:rFonts w:ascii="Book Antiqua" w:eastAsia="Book Antiqua" w:hAnsi="Book Antiqua" w:cs="Book Antiqua"/>
          <w:color w:val="000000"/>
        </w:rPr>
        <w:t>2 represse</w:t>
      </w:r>
      <w:r w:rsidR="008342C3">
        <w:rPr>
          <w:rFonts w:ascii="Book Antiqua" w:eastAsia="Book Antiqua" w:hAnsi="Book Antiqua" w:cs="Book Antiqua"/>
          <w:color w:val="000000"/>
        </w:rPr>
        <w:t>s</w:t>
      </w:r>
      <w:r>
        <w:rPr>
          <w:rFonts w:ascii="Book Antiqua" w:eastAsia="Book Antiqua" w:hAnsi="Book Antiqua" w:cs="Book Antiqua"/>
          <w:color w:val="000000"/>
        </w:rPr>
        <w:t xml:space="preserve"> the replication of SARS-CoV-2 and the inflammatory response</w:t>
      </w:r>
      <w:r>
        <w:rPr>
          <w:rFonts w:ascii="Book Antiqua" w:eastAsia="Book Antiqua" w:hAnsi="Book Antiqua" w:cs="Book Antiqua"/>
          <w:color w:val="000000"/>
          <w:szCs w:val="30"/>
          <w:vertAlign w:val="superscript"/>
        </w:rPr>
        <w:t>[50</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9F59E44" w14:textId="2AC2D657" w:rsidR="00A77B3E" w:rsidRDefault="00266ABC" w:rsidP="00266ABC">
      <w:pPr>
        <w:spacing w:line="360" w:lineRule="auto"/>
        <w:ind w:firstLineChars="100" w:firstLine="240"/>
        <w:jc w:val="both"/>
      </w:pPr>
      <w:r>
        <w:rPr>
          <w:rFonts w:ascii="Book Antiqua" w:eastAsia="Book Antiqua" w:hAnsi="Book Antiqua" w:cs="Book Antiqua"/>
          <w:color w:val="000000"/>
        </w:rPr>
        <w:t>The NRF2-activating compound resveratrol is a growth suppressor and apoptosis promoter in liver cancer cells</w:t>
      </w:r>
      <w:r>
        <w:rPr>
          <w:rFonts w:ascii="Book Antiqua" w:eastAsia="Book Antiqua" w:hAnsi="Book Antiqua" w:cs="Book Antiqua"/>
          <w:color w:val="000000"/>
          <w:szCs w:val="30"/>
          <w:vertAlign w:val="superscript"/>
        </w:rPr>
        <w:t>[51</w:t>
      </w:r>
      <w:r>
        <w:rPr>
          <w:rFonts w:ascii="Book Antiqua" w:eastAsia="Book Antiqua" w:hAnsi="Book Antiqua" w:cs="Book Antiqua"/>
          <w:color w:val="000000"/>
          <w:vertAlign w:val="superscript"/>
        </w:rPr>
        <w:t>]</w:t>
      </w:r>
      <w:r>
        <w:rPr>
          <w:rFonts w:ascii="Book Antiqua" w:eastAsia="Book Antiqua" w:hAnsi="Book Antiqua" w:cs="Book Antiqua"/>
          <w:color w:val="000000"/>
        </w:rPr>
        <w:t>. Resveratrol can reduce the expression of IL-1β. Another NRF2-activating compound, PB125, which contains the active ingredients carnosol, withaferin A, and luteolin, significantly downregulates IL-1β, IL6, TNF-α, intercellular adhesion molecule 1, vascular cell adhesion molecule 1 (VCAM1), E-selectin, and IFN-γ-induced gene expression</w:t>
      </w:r>
      <w:r>
        <w:rPr>
          <w:rFonts w:ascii="Book Antiqua" w:eastAsia="Book Antiqua" w:hAnsi="Book Antiqua" w:cs="Book Antiqua"/>
          <w:color w:val="000000"/>
          <w:szCs w:val="30"/>
          <w:vertAlign w:val="superscript"/>
        </w:rPr>
        <w:t>[52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inflammatory response and oxidative stress are the main pathological features of COVID-19, and disease progression has been related to redox imbalance. </w:t>
      </w:r>
      <w:r w:rsidR="00EC6733">
        <w:rPr>
          <w:rFonts w:ascii="Book Antiqua" w:eastAsia="Book Antiqua" w:hAnsi="Book Antiqua" w:cs="Book Antiqua"/>
          <w:color w:val="000000"/>
        </w:rPr>
        <w:t>The</w:t>
      </w:r>
      <w:r>
        <w:rPr>
          <w:rFonts w:ascii="Book Antiqua" w:eastAsia="Book Antiqua" w:hAnsi="Book Antiqua" w:cs="Book Antiqua"/>
          <w:color w:val="000000"/>
        </w:rPr>
        <w:t xml:space="preserve"> NRF2 antioxidant pathway </w:t>
      </w:r>
      <w:r w:rsidR="00EC6733">
        <w:rPr>
          <w:rFonts w:ascii="Book Antiqua" w:eastAsia="Book Antiqua" w:hAnsi="Book Antiqua" w:cs="Book Antiqua"/>
          <w:color w:val="000000"/>
        </w:rPr>
        <w:t xml:space="preserve">is </w:t>
      </w:r>
      <w:r>
        <w:rPr>
          <w:rFonts w:ascii="Book Antiqua" w:eastAsia="Book Antiqua" w:hAnsi="Book Antiqua" w:cs="Book Antiqua"/>
          <w:color w:val="000000"/>
        </w:rPr>
        <w:t>suppressed in COVID-19 patients and cells infected with SARS-CoV-2 show activated GSK-3, which is a conserved serine/threonine kinase that degrades NRF2</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53</w:t>
      </w:r>
      <w:r>
        <w:rPr>
          <w:rFonts w:ascii="Book Antiqua" w:eastAsia="Book Antiqua" w:hAnsi="Book Antiqua" w:cs="Book Antiqua"/>
          <w:color w:val="000000"/>
          <w:vertAlign w:val="superscript"/>
        </w:rPr>
        <w:t>]</w:t>
      </w:r>
      <w:r>
        <w:rPr>
          <w:rFonts w:ascii="Book Antiqua" w:eastAsia="Book Antiqua" w:hAnsi="Book Antiqua" w:cs="Book Antiqua"/>
          <w:color w:val="000000"/>
        </w:rPr>
        <w:t>. The NRF2 agonists 4-OI and DMF can inhibit the replication of SARS-CoV-2</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28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All </w:t>
      </w:r>
      <w:r w:rsidR="00EC6733">
        <w:rPr>
          <w:rFonts w:ascii="Book Antiqua" w:eastAsia="Book Antiqua" w:hAnsi="Book Antiqua" w:cs="Book Antiqua"/>
          <w:color w:val="000000"/>
        </w:rPr>
        <w:t xml:space="preserve">of </w:t>
      </w:r>
      <w:r>
        <w:rPr>
          <w:rFonts w:ascii="Book Antiqua" w:eastAsia="Book Antiqua" w:hAnsi="Book Antiqua" w:cs="Book Antiqua"/>
          <w:color w:val="000000"/>
        </w:rPr>
        <w:t>these findings support the idea that NRF2 has dual antiviral and anti-inflammatory properties and may be a potential therapeutic target for the treatment of COVID-19.</w:t>
      </w:r>
    </w:p>
    <w:p w14:paraId="2EC544A3" w14:textId="5C82463F" w:rsidR="00A77B3E" w:rsidRDefault="00266ABC" w:rsidP="004D19C9">
      <w:pPr>
        <w:spacing w:line="360" w:lineRule="auto"/>
        <w:ind w:firstLineChars="100" w:firstLine="240"/>
        <w:jc w:val="both"/>
      </w:pPr>
      <w:r>
        <w:rPr>
          <w:rFonts w:ascii="Book Antiqua" w:eastAsia="Book Antiqua" w:hAnsi="Book Antiqua" w:cs="Book Antiqua"/>
          <w:color w:val="000000"/>
        </w:rPr>
        <w:t>Pre-existing liver disease may play an important role in COVID-19-related liver injury, since an investigation found that a small proportion of patients with COVID-19 also ha</w:t>
      </w:r>
      <w:r w:rsidR="0011328F">
        <w:rPr>
          <w:rFonts w:ascii="Book Antiqua" w:eastAsia="Book Antiqua" w:hAnsi="Book Antiqua" w:cs="Book Antiqua"/>
          <w:color w:val="000000"/>
        </w:rPr>
        <w:t>ve</w:t>
      </w:r>
      <w:r>
        <w:rPr>
          <w:rFonts w:ascii="Book Antiqua" w:eastAsia="Book Antiqua" w:hAnsi="Book Antiqua" w:cs="Book Antiqua"/>
          <w:color w:val="000000"/>
        </w:rPr>
        <w:t xml:space="preserve"> pre-existing liver diseases</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54-56</w:t>
      </w:r>
      <w:r>
        <w:rPr>
          <w:rFonts w:ascii="Book Antiqua" w:eastAsia="Book Antiqua" w:hAnsi="Book Antiqua" w:cs="Book Antiqua"/>
          <w:color w:val="000000"/>
          <w:vertAlign w:val="superscript"/>
        </w:rPr>
        <w:t>]</w:t>
      </w:r>
      <w:r>
        <w:rPr>
          <w:rFonts w:ascii="Book Antiqua" w:eastAsia="Book Antiqua" w:hAnsi="Book Antiqua" w:cs="Book Antiqua"/>
          <w:color w:val="000000"/>
        </w:rPr>
        <w:t>. This effect may be due to the significant decrease in the number of lymphocytes, CD4+ T cells, CD8+ T cells, B cells</w:t>
      </w:r>
      <w:r w:rsidR="0011328F">
        <w:rPr>
          <w:rFonts w:ascii="Book Antiqua" w:eastAsia="Book Antiqua" w:hAnsi="Book Antiqua" w:cs="Book Antiqua"/>
          <w:color w:val="000000"/>
        </w:rPr>
        <w:t>,</w:t>
      </w:r>
      <w:r>
        <w:rPr>
          <w:rFonts w:ascii="Book Antiqua" w:eastAsia="Book Antiqua" w:hAnsi="Book Antiqua" w:cs="Book Antiqua"/>
          <w:color w:val="000000"/>
        </w:rPr>
        <w:t xml:space="preserve"> and NK cells in patients with COVID-19, which prevents a proper immune response</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57</w:t>
      </w:r>
      <w:r>
        <w:rPr>
          <w:rFonts w:ascii="Book Antiqua" w:eastAsia="Book Antiqua" w:hAnsi="Book Antiqua" w:cs="Book Antiqua"/>
          <w:color w:val="000000"/>
          <w:vertAlign w:val="superscript"/>
        </w:rPr>
        <w:t>]</w:t>
      </w:r>
      <w:r>
        <w:rPr>
          <w:rFonts w:ascii="Book Antiqua" w:eastAsia="Book Antiqua" w:hAnsi="Book Antiqua" w:cs="Book Antiqua"/>
          <w:color w:val="000000"/>
        </w:rPr>
        <w:t>, ultimately leading to the recurrence of pre-existing liver disease. Glucocorticoids effectively reduce mortality in patients with severe COVID-19</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58</w:t>
      </w:r>
      <w:r>
        <w:rPr>
          <w:rFonts w:ascii="Book Antiqua" w:eastAsia="Book Antiqua" w:hAnsi="Book Antiqua" w:cs="Book Antiqua"/>
          <w:color w:val="000000"/>
          <w:vertAlign w:val="superscript"/>
        </w:rPr>
        <w:t>]</w:t>
      </w:r>
      <w:r>
        <w:rPr>
          <w:rFonts w:ascii="Book Antiqua" w:eastAsia="Book Antiqua" w:hAnsi="Book Antiqua" w:cs="Book Antiqua"/>
          <w:color w:val="000000"/>
        </w:rPr>
        <w:t>. In addition to its anti-inflammatory function, glucocorticoids also have immunosuppressive effects, which can also participate in the reactivation of pre-existing liver diseases.</w:t>
      </w:r>
    </w:p>
    <w:p w14:paraId="60E6E1F4" w14:textId="01C56118" w:rsidR="00A77B3E" w:rsidRDefault="00266ABC" w:rsidP="004D19C9">
      <w:pPr>
        <w:spacing w:line="360" w:lineRule="auto"/>
        <w:ind w:firstLineChars="100" w:firstLine="240"/>
        <w:jc w:val="both"/>
      </w:pPr>
      <w:r>
        <w:rPr>
          <w:rFonts w:ascii="Book Antiqua" w:eastAsia="Book Antiqua" w:hAnsi="Book Antiqua" w:cs="Book Antiqua"/>
          <w:color w:val="000000"/>
        </w:rPr>
        <w:t>As shown in Figure 1, 32 inflammatory molecules are involved in the interactions with NRF2 in viral infection, as listed in a dataset generated by ingenuity pathway analysis (IPA). They include IL1A, IL1B, IL4, IL5, IL6, IL10, IL13, IL19, IL36G, IL1RN, IFNGR2, IFNB1, CCL2, CYSLTR1, EXCR3, CXCL8, CXCL6, CXCL3, CXCL2, CXCL10, CCL5, CCL4, CCL20 CCL11, TGF-β, TNFRSFA, TNF</w:t>
      </w:r>
      <w:r w:rsidR="0011328F">
        <w:rPr>
          <w:rFonts w:ascii="Book Antiqua" w:eastAsia="Book Antiqua" w:hAnsi="Book Antiqua" w:cs="Book Antiqua"/>
          <w:color w:val="000000"/>
        </w:rPr>
        <w:t>,</w:t>
      </w:r>
      <w:r>
        <w:rPr>
          <w:rFonts w:ascii="Book Antiqua" w:eastAsia="Book Antiqua" w:hAnsi="Book Antiqua" w:cs="Book Antiqua"/>
          <w:color w:val="000000"/>
        </w:rPr>
        <w:t xml:space="preserve"> and MST1R. Current literature shows that these molecules are related to the COVID-19-mediated inflammatory response</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41-48</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14772516" w14:textId="77777777" w:rsidR="00A77B3E" w:rsidRDefault="00A77B3E" w:rsidP="004D19C9">
      <w:pPr>
        <w:spacing w:line="360" w:lineRule="auto"/>
        <w:jc w:val="both"/>
      </w:pPr>
    </w:p>
    <w:p w14:paraId="39D66F7F" w14:textId="77777777" w:rsidR="00A77B3E" w:rsidRDefault="00266ABC">
      <w:pPr>
        <w:spacing w:line="360" w:lineRule="auto"/>
        <w:jc w:val="both"/>
      </w:pPr>
      <w:r>
        <w:rPr>
          <w:rFonts w:ascii="Book Antiqua" w:eastAsia="Book Antiqua" w:hAnsi="Book Antiqua" w:cs="Book Antiqua"/>
          <w:b/>
          <w:bCs/>
          <w:caps/>
          <w:color w:val="000000"/>
          <w:u w:val="single"/>
        </w:rPr>
        <w:t>INTERPLAY OF NRF2/NF-ΚB AND INFLAMMATORY MEDIATORS IN COVID-19-RELATED LIVER INJURY</w:t>
      </w:r>
    </w:p>
    <w:p w14:paraId="72801EF2" w14:textId="522E460F" w:rsidR="00A77B3E" w:rsidRDefault="00266ABC" w:rsidP="004D19C9">
      <w:pPr>
        <w:spacing w:line="360" w:lineRule="auto"/>
        <w:jc w:val="both"/>
      </w:pPr>
      <w:r>
        <w:rPr>
          <w:rFonts w:ascii="Book Antiqua" w:eastAsia="Book Antiqua" w:hAnsi="Book Antiqua" w:cs="Book Antiqua"/>
          <w:color w:val="000000"/>
        </w:rPr>
        <w:t>Activated nuclear factor</w:t>
      </w:r>
      <w:r w:rsidR="004D19C9" w:rsidRPr="004D19C9">
        <w:rPr>
          <w:rFonts w:ascii="Book Antiqua" w:eastAsia="Book Antiqua" w:hAnsi="Book Antiqua" w:cs="Book Antiqua"/>
          <w:color w:val="000000"/>
        </w:rPr>
        <w:t xml:space="preserve"> </w:t>
      </w:r>
      <w:r w:rsidR="004D19C9">
        <w:rPr>
          <w:rFonts w:ascii="Book Antiqua" w:eastAsia="Book Antiqua" w:hAnsi="Book Antiqua" w:cs="Book Antiqua"/>
          <w:color w:val="000000"/>
        </w:rPr>
        <w:t>kappa-</w:t>
      </w:r>
      <w:r>
        <w:rPr>
          <w:rFonts w:ascii="Book Antiqua" w:eastAsia="Book Antiqua" w:hAnsi="Book Antiqua" w:cs="Book Antiqua"/>
          <w:color w:val="000000"/>
        </w:rPr>
        <w:t>B (NF-κB) is a key transcription factor in the inflammatory response and oxidative stress. The NF-κB signal transduction pathway is a typical proinflammatory pathway</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59</w:t>
      </w:r>
      <w:r>
        <w:rPr>
          <w:rFonts w:ascii="Book Antiqua" w:eastAsia="Book Antiqua" w:hAnsi="Book Antiqua" w:cs="Book Antiqua"/>
          <w:color w:val="000000"/>
          <w:vertAlign w:val="superscript"/>
        </w:rPr>
        <w:t>]</w:t>
      </w:r>
      <w:r>
        <w:rPr>
          <w:rFonts w:ascii="Book Antiqua" w:eastAsia="Book Antiqua" w:hAnsi="Book Antiqua" w:cs="Book Antiqua"/>
          <w:color w:val="000000"/>
        </w:rPr>
        <w:t>. There are five members in the NF-κB family: p50 (NF-κB1), p52 (NF-κB2), p65 (RelA), RelB, and c-Re</w:t>
      </w:r>
      <w:r w:rsidR="0063721F">
        <w:rPr>
          <w:rFonts w:ascii="Book Antiqua" w:eastAsia="Book Antiqua" w:hAnsi="Book Antiqua" w:cs="Book Antiqua"/>
          <w:color w:val="000000"/>
        </w:rPr>
        <w:t>l</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60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Under physiological conditions, NF-κB and </w:t>
      </w:r>
      <w:r w:rsidR="004D19C9" w:rsidRPr="004D19C9">
        <w:rPr>
          <w:rFonts w:ascii="Book Antiqua" w:eastAsia="Book Antiqua" w:hAnsi="Book Antiqua" w:cs="Book Antiqua"/>
          <w:color w:val="000000"/>
        </w:rPr>
        <w:t>inhibitor kappa B</w:t>
      </w:r>
      <w:r w:rsidR="004D19C9">
        <w:rPr>
          <w:rFonts w:ascii="Book Antiqua" w:eastAsia="Book Antiqua" w:hAnsi="Book Antiqua" w:cs="Book Antiqua"/>
          <w:color w:val="000000"/>
        </w:rPr>
        <w:t xml:space="preserve"> (</w:t>
      </w:r>
      <w:r>
        <w:rPr>
          <w:rFonts w:ascii="Book Antiqua" w:eastAsia="Book Antiqua" w:hAnsi="Book Antiqua" w:cs="Book Antiqua"/>
          <w:color w:val="000000"/>
        </w:rPr>
        <w:t>IκB</w:t>
      </w:r>
      <w:r w:rsidR="004D19C9">
        <w:rPr>
          <w:rFonts w:ascii="Book Antiqua" w:eastAsia="Book Antiqua" w:hAnsi="Book Antiqua" w:cs="Book Antiqua"/>
          <w:color w:val="000000"/>
        </w:rPr>
        <w:t>)</w:t>
      </w:r>
      <w:r>
        <w:rPr>
          <w:rFonts w:ascii="Book Antiqua" w:eastAsia="Book Antiqua" w:hAnsi="Book Antiqua" w:cs="Book Antiqua"/>
          <w:color w:val="000000"/>
        </w:rPr>
        <w:t xml:space="preserve"> combine and are maintained in the cytoplasm in an inactive state. Upon viral infection or other stimuli, IκB is phosphorylated under the action of IκB kinase (IKK) and </w:t>
      </w:r>
      <w:r w:rsidR="0011328F">
        <w:rPr>
          <w:rFonts w:ascii="Book Antiqua" w:eastAsia="Book Antiqua" w:hAnsi="Book Antiqua" w:cs="Book Antiqua"/>
          <w:color w:val="000000"/>
        </w:rPr>
        <w:t xml:space="preserve">is </w:t>
      </w:r>
      <w:r>
        <w:rPr>
          <w:rFonts w:ascii="Book Antiqua" w:eastAsia="Book Antiqua" w:hAnsi="Book Antiqua" w:cs="Book Antiqua"/>
          <w:color w:val="000000"/>
        </w:rPr>
        <w:t>then ubiquitinated by the β-TrCP-Skp1-Cullin1 pathway, resulting in the release and nuclear translocation of NF-κB, inducing the production of a large number of inflammatory mediators</w:t>
      </w:r>
      <w:r w:rsidR="0011328F">
        <w:rPr>
          <w:rFonts w:ascii="Book Antiqua" w:eastAsia="Book Antiqua" w:hAnsi="Book Antiqua" w:cs="Book Antiqua"/>
          <w:color w:val="000000"/>
        </w:rPr>
        <w:t>,</w:t>
      </w:r>
      <w:r>
        <w:rPr>
          <w:rFonts w:ascii="Book Antiqua" w:eastAsia="Book Antiqua" w:hAnsi="Book Antiqua" w:cs="Book Antiqua"/>
          <w:color w:val="000000"/>
        </w:rPr>
        <w:t xml:space="preserve"> and leading to oxidative stress and inflammatory cascades, thereby affecting cell survival, mutation</w:t>
      </w:r>
      <w:r w:rsidR="0011328F">
        <w:rPr>
          <w:rFonts w:ascii="Book Antiqua" w:eastAsia="Book Antiqua" w:hAnsi="Book Antiqua" w:cs="Book Antiqua"/>
          <w:color w:val="000000"/>
        </w:rPr>
        <w:t>,</w:t>
      </w:r>
      <w:r>
        <w:rPr>
          <w:rFonts w:ascii="Book Antiqua" w:eastAsia="Book Antiqua" w:hAnsi="Book Antiqua" w:cs="Book Antiqua"/>
          <w:color w:val="000000"/>
        </w:rPr>
        <w:t xml:space="preserve"> and proliferation</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61</w:t>
      </w:r>
      <w:r>
        <w:rPr>
          <w:rFonts w:ascii="Book Antiqua" w:eastAsia="Book Antiqua" w:hAnsi="Book Antiqua" w:cs="Book Antiqua"/>
          <w:color w:val="000000"/>
          <w:vertAlign w:val="superscript"/>
        </w:rPr>
        <w:t>]</w:t>
      </w:r>
      <w:r>
        <w:rPr>
          <w:rFonts w:ascii="Book Antiqua" w:eastAsia="Book Antiqua" w:hAnsi="Book Antiqua" w:cs="Book Antiqua"/>
          <w:color w:val="000000"/>
        </w:rPr>
        <w:t>. According to current studies, NRF2 plays a beneficial role mainly by regulating redox metabolism through interactions with NF-kB and regulating proinflammatory genes</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62-64</w:t>
      </w:r>
      <w:r>
        <w:rPr>
          <w:rFonts w:ascii="Book Antiqua" w:eastAsia="Book Antiqua" w:hAnsi="Book Antiqua" w:cs="Book Antiqua"/>
          <w:color w:val="000000"/>
          <w:vertAlign w:val="superscript"/>
        </w:rPr>
        <w:t>]</w:t>
      </w:r>
      <w:r>
        <w:rPr>
          <w:rFonts w:ascii="Book Antiqua" w:eastAsia="Book Antiqua" w:hAnsi="Book Antiqua" w:cs="Book Antiqua"/>
          <w:color w:val="000000"/>
        </w:rPr>
        <w:t>. Several studies have shown reciprocal regulation between NRF2 and NF-κB in inflammatory diseases</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65</w:t>
      </w:r>
      <w:r>
        <w:rPr>
          <w:rFonts w:ascii="Book Antiqua" w:eastAsia="Book Antiqua" w:hAnsi="Book Antiqua" w:cs="Book Antiqua"/>
          <w:color w:val="000000"/>
          <w:vertAlign w:val="superscript"/>
        </w:rPr>
        <w:t>]</w:t>
      </w:r>
      <w:r>
        <w:rPr>
          <w:rFonts w:ascii="Book Antiqua" w:eastAsia="Book Antiqua" w:hAnsi="Book Antiqua" w:cs="Book Antiqua"/>
          <w:color w:val="000000"/>
        </w:rPr>
        <w:t>. Moreover, the activation of NF-κB can promote the release of different types of cytokines, such as IL-1, IL-2, IL-6, IL-12, TNF-α and granulocyte-macrophage colony stimulating factor, which can directly participate in acute and chronic inflammation of the liver</w:t>
      </w:r>
      <w:r w:rsidR="007837BC">
        <w:rPr>
          <w:rFonts w:ascii="Book Antiqua" w:eastAsia="Book Antiqua" w:hAnsi="Book Antiqua" w:cs="Book Antiqua"/>
          <w:color w:val="000000"/>
        </w:rPr>
        <w:t xml:space="preserve"> (</w:t>
      </w:r>
      <w:r w:rsidR="007837BC" w:rsidRPr="00456DD9">
        <w:rPr>
          <w:rFonts w:ascii="Book Antiqua" w:eastAsia="Book Antiqua" w:hAnsi="Book Antiqua" w:cs="Book Antiqua"/>
        </w:rPr>
        <w:t>Figure 2</w:t>
      </w:r>
      <w:r w:rsidR="007837BC">
        <w:rPr>
          <w:rFonts w:ascii="Book Antiqua" w:eastAsia="Book Antiqua" w:hAnsi="Book Antiqua" w:cs="Book Antiqua"/>
          <w:color w:val="000000"/>
        </w:rPr>
        <w:t>)</w:t>
      </w:r>
      <w:r>
        <w:rPr>
          <w:rFonts w:ascii="Book Antiqua" w:eastAsia="Book Antiqua" w:hAnsi="Book Antiqua" w:cs="Book Antiqua"/>
          <w:color w:val="000000"/>
        </w:rPr>
        <w:t>, causing liver injury</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60</w:t>
      </w:r>
      <w:r>
        <w:rPr>
          <w:rFonts w:ascii="Book Antiqua" w:eastAsia="Book Antiqua" w:hAnsi="Book Antiqua" w:cs="Book Antiqua"/>
          <w:color w:val="000000"/>
          <w:vertAlign w:val="superscript"/>
        </w:rPr>
        <w:t>]</w:t>
      </w:r>
      <w:r>
        <w:rPr>
          <w:rFonts w:ascii="Book Antiqua" w:eastAsia="Book Antiqua" w:hAnsi="Book Antiqua" w:cs="Book Antiqua"/>
          <w:color w:val="000000"/>
        </w:rPr>
        <w:t>. Among these cytokines, TNF-α is a cytokine mainly produced by macrophages/monocytes and is involved in the gene expression of growth factors, cytokines, transcription factors</w:t>
      </w:r>
      <w:r w:rsidR="0011328F">
        <w:rPr>
          <w:rFonts w:ascii="Book Antiqua" w:eastAsia="Book Antiqua" w:hAnsi="Book Antiqua" w:cs="Book Antiqua"/>
          <w:color w:val="000000"/>
        </w:rPr>
        <w:t>,</w:t>
      </w:r>
      <w:r>
        <w:rPr>
          <w:rFonts w:ascii="Book Antiqua" w:eastAsia="Book Antiqua" w:hAnsi="Book Antiqua" w:cs="Book Antiqua"/>
          <w:color w:val="000000"/>
        </w:rPr>
        <w:t xml:space="preserve"> and receptors</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66</w:t>
      </w:r>
      <w:r>
        <w:rPr>
          <w:rFonts w:ascii="Book Antiqua" w:eastAsia="Book Antiqua" w:hAnsi="Book Antiqua" w:cs="Book Antiqua"/>
          <w:color w:val="000000"/>
          <w:vertAlign w:val="superscript"/>
        </w:rPr>
        <w:t>]</w:t>
      </w:r>
      <w:r>
        <w:rPr>
          <w:rFonts w:ascii="Book Antiqua" w:eastAsia="Book Antiqua" w:hAnsi="Book Antiqua" w:cs="Book Antiqua"/>
          <w:color w:val="000000"/>
        </w:rPr>
        <w:t>. There are two types of TNF-α receptors</w:t>
      </w:r>
      <w:r w:rsidR="0011328F">
        <w:rPr>
          <w:rFonts w:ascii="Book Antiqua" w:eastAsia="Book Antiqua" w:hAnsi="Book Antiqua" w:cs="Book Antiqua"/>
          <w:color w:val="000000"/>
        </w:rPr>
        <w:t>:</w:t>
      </w:r>
      <w:r>
        <w:rPr>
          <w:rFonts w:ascii="Book Antiqua" w:eastAsia="Book Antiqua" w:hAnsi="Book Antiqua" w:cs="Book Antiqua"/>
          <w:color w:val="000000"/>
        </w:rPr>
        <w:t xml:space="preserve"> TNF receptor 1 (TNFR1) and TNF receptor 2 (TNFR2). TNF-α can activate NF-κB through the TNFR1-NF-κB signaling axis</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66</w:t>
      </w:r>
      <w:r>
        <w:rPr>
          <w:rFonts w:ascii="Book Antiqua" w:eastAsia="Book Antiqua" w:hAnsi="Book Antiqua" w:cs="Book Antiqua"/>
          <w:color w:val="000000"/>
          <w:vertAlign w:val="superscript"/>
        </w:rPr>
        <w:t>]</w:t>
      </w:r>
      <w:r>
        <w:rPr>
          <w:rFonts w:ascii="Book Antiqua" w:eastAsia="Book Antiqua" w:hAnsi="Book Antiqua" w:cs="Book Antiqua"/>
          <w:color w:val="000000"/>
        </w:rPr>
        <w:t>, and in turn, NF-kB promotes the expression of inflammatory cytokines</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60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thereby forming a negative cycle </w:t>
      </w:r>
      <w:r w:rsidR="0011328F">
        <w:rPr>
          <w:rFonts w:ascii="Book Antiqua" w:eastAsia="Book Antiqua" w:hAnsi="Book Antiqua" w:cs="Book Antiqua"/>
          <w:color w:val="000000"/>
        </w:rPr>
        <w:t xml:space="preserve">that </w:t>
      </w:r>
      <w:r>
        <w:rPr>
          <w:rFonts w:ascii="Book Antiqua" w:eastAsia="Book Antiqua" w:hAnsi="Book Antiqua" w:cs="Book Antiqua"/>
          <w:color w:val="000000"/>
        </w:rPr>
        <w:t>further feed</w:t>
      </w:r>
      <w:r w:rsidR="0011328F">
        <w:rPr>
          <w:rFonts w:ascii="Book Antiqua" w:eastAsia="Book Antiqua" w:hAnsi="Book Antiqua" w:cs="Book Antiqua"/>
          <w:color w:val="000000"/>
        </w:rPr>
        <w:t>s</w:t>
      </w:r>
      <w:r>
        <w:rPr>
          <w:rFonts w:ascii="Book Antiqua" w:eastAsia="Book Antiqua" w:hAnsi="Book Antiqua" w:cs="Book Antiqua"/>
          <w:color w:val="000000"/>
        </w:rPr>
        <w:t xml:space="preserve"> the destructive cytokine storm and aggravat</w:t>
      </w:r>
      <w:r w:rsidR="0011328F">
        <w:rPr>
          <w:rFonts w:ascii="Book Antiqua" w:eastAsia="Book Antiqua" w:hAnsi="Book Antiqua" w:cs="Book Antiqua"/>
          <w:color w:val="000000"/>
        </w:rPr>
        <w:t>es</w:t>
      </w:r>
      <w:r>
        <w:rPr>
          <w:rFonts w:ascii="Book Antiqua" w:eastAsia="Book Antiqua" w:hAnsi="Book Antiqua" w:cs="Book Antiqua"/>
          <w:color w:val="000000"/>
        </w:rPr>
        <w:t xml:space="preserve"> damage to the liver tissue</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36,67,68</w:t>
      </w:r>
      <w:r>
        <w:rPr>
          <w:rFonts w:ascii="Book Antiqua" w:eastAsia="Book Antiqua" w:hAnsi="Book Antiqua" w:cs="Book Antiqua"/>
          <w:color w:val="000000"/>
          <w:vertAlign w:val="superscript"/>
        </w:rPr>
        <w:t>]</w:t>
      </w:r>
      <w:r>
        <w:rPr>
          <w:rFonts w:ascii="Book Antiqua" w:eastAsia="Book Antiqua" w:hAnsi="Book Antiqua" w:cs="Book Antiqua"/>
          <w:color w:val="000000"/>
        </w:rPr>
        <w:t>. According to previous studies, lipopolysaccharides can promote NF-κB</w:t>
      </w:r>
      <w:r w:rsidR="008C66CC">
        <w:rPr>
          <w:rFonts w:ascii="Book Antiqua" w:eastAsia="Book Antiqua" w:hAnsi="Book Antiqua" w:cs="Book Antiqua"/>
          <w:color w:val="000000"/>
        </w:rPr>
        <w:t>-</w:t>
      </w:r>
      <w:r>
        <w:rPr>
          <w:rFonts w:ascii="Book Antiqua" w:eastAsia="Book Antiqua" w:hAnsi="Book Antiqua" w:cs="Book Antiqua"/>
          <w:color w:val="000000"/>
        </w:rPr>
        <w:t xml:space="preserve"> and NRF2-mediated responses</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69</w:t>
      </w:r>
      <w:r>
        <w:rPr>
          <w:rFonts w:ascii="Book Antiqua" w:eastAsia="Book Antiqua" w:hAnsi="Book Antiqua" w:cs="Book Antiqua"/>
          <w:color w:val="000000"/>
          <w:vertAlign w:val="superscript"/>
        </w:rPr>
        <w:t>]</w:t>
      </w:r>
      <w:r>
        <w:rPr>
          <w:rFonts w:ascii="Book Antiqua" w:eastAsia="Book Antiqua" w:hAnsi="Book Antiqua" w:cs="Book Antiqua"/>
          <w:color w:val="000000"/>
        </w:rPr>
        <w:t>. The initial proinflammatory response is driven by NF-κB</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60</w:t>
      </w:r>
      <w:r>
        <w:rPr>
          <w:rFonts w:ascii="Book Antiqua" w:eastAsia="Book Antiqua" w:hAnsi="Book Antiqua" w:cs="Book Antiqua"/>
          <w:color w:val="000000"/>
          <w:vertAlign w:val="superscript"/>
        </w:rPr>
        <w:t>]</w:t>
      </w:r>
      <w:r>
        <w:rPr>
          <w:rFonts w:ascii="Book Antiqua" w:eastAsia="Book Antiqua" w:hAnsi="Book Antiqua" w:cs="Book Antiqua"/>
          <w:color w:val="000000"/>
        </w:rPr>
        <w:t>, and when the activity of NRF2 reaches its maximum level, NF-κB activation is inhibited</w:t>
      </w:r>
      <w:r>
        <w:rPr>
          <w:rFonts w:ascii="Book Antiqua" w:eastAsia="Book Antiqua" w:hAnsi="Book Antiqua" w:cs="Book Antiqua"/>
          <w:color w:val="000000"/>
          <w:shd w:val="clear" w:color="auto" w:fill="F7F8FA"/>
        </w:rPr>
        <w:t xml:space="preserve">. </w:t>
      </w:r>
      <w:r>
        <w:rPr>
          <w:rFonts w:ascii="Book Antiqua" w:eastAsia="Book Antiqua" w:hAnsi="Book Antiqua" w:cs="Book Antiqua"/>
          <w:color w:val="000000"/>
        </w:rPr>
        <w:t>NF-κB subunits p50 and p65 can induce NRF2 transcription by binding specific sites of NRF2, and NRF2 can inhibit the expression of NF-kB in turn upon IκB dephosphorylation</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62</w:t>
      </w:r>
      <w:r>
        <w:rPr>
          <w:rFonts w:ascii="Book Antiqua" w:eastAsia="Book Antiqua" w:hAnsi="Book Antiqua" w:cs="Book Antiqua"/>
          <w:color w:val="000000"/>
          <w:vertAlign w:val="superscript"/>
        </w:rPr>
        <w:t>]</w:t>
      </w:r>
      <w:r>
        <w:rPr>
          <w:rFonts w:ascii="Book Antiqua" w:eastAsia="Book Antiqua" w:hAnsi="Book Antiqua" w:cs="Book Antiqua"/>
          <w:color w:val="000000"/>
        </w:rPr>
        <w:t>. CBP-p300, a transcriptional auxiliary activator, can acetylate nonhistone proteins, such as NRF2 and p65, the lysine residues of which are equipped with acetyl groups, enhancing gene transcription</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70-72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NRF2 has 605 amino acid residues and </w:t>
      </w:r>
      <w:r w:rsidR="008C66CC">
        <w:rPr>
          <w:rFonts w:ascii="Book Antiqua" w:eastAsia="Book Antiqua" w:hAnsi="Book Antiqua" w:cs="Book Antiqua"/>
          <w:color w:val="000000"/>
        </w:rPr>
        <w:t xml:space="preserve">six </w:t>
      </w:r>
      <w:r>
        <w:rPr>
          <w:rFonts w:ascii="Book Antiqua" w:eastAsia="Book Antiqua" w:hAnsi="Book Antiqua" w:cs="Book Antiqua"/>
          <w:color w:val="000000"/>
        </w:rPr>
        <w:t>conserved domains, namely, Neh1-Neh6</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18,19</w:t>
      </w:r>
      <w:r>
        <w:rPr>
          <w:rFonts w:ascii="Book Antiqua" w:eastAsia="Book Antiqua" w:hAnsi="Book Antiqua" w:cs="Book Antiqua"/>
          <w:color w:val="000000"/>
          <w:vertAlign w:val="superscript"/>
        </w:rPr>
        <w:t>]</w:t>
      </w:r>
      <w:r>
        <w:rPr>
          <w:rFonts w:ascii="Book Antiqua" w:eastAsia="Book Antiqua" w:hAnsi="Book Antiqua" w:cs="Book Antiqua"/>
          <w:color w:val="000000"/>
        </w:rPr>
        <w:t>. CBP can bind to Neh4 and Neh5 of NRF2, resulting in acetylation of the Neh1 domain. In addition, CBP can bind to phosphorylated p65 at Ser276. Overexpressed p65 can competitively bind to CBP, thereby inhibiting the transcriptional activity of NRF2 but enhancing the transcriptional activity of NF-κB promoter genes</w:t>
      </w:r>
      <w:r>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w:t>
      </w:r>
    </w:p>
    <w:p w14:paraId="38301284" w14:textId="544290DC" w:rsidR="00A77B3E" w:rsidRDefault="00266ABC" w:rsidP="004D19C9">
      <w:pPr>
        <w:spacing w:line="360" w:lineRule="auto"/>
        <w:ind w:firstLineChars="100" w:firstLine="240"/>
        <w:jc w:val="both"/>
      </w:pPr>
      <w:r>
        <w:rPr>
          <w:rFonts w:ascii="Book Antiqua" w:eastAsia="Book Antiqua" w:hAnsi="Book Antiqua" w:cs="Book Antiqua"/>
          <w:color w:val="000000"/>
        </w:rPr>
        <w:t>KEAP1 is the intermediate link between NRF2 and NF-κB. ARE is a cis-acting element, and the NRF2-ARE pathway is the most important endogenous antioxidant excitation pathway</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73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On one hand, p65 can increase the nuclear level of KEAP1 to inhibit the NRF2-ARE pathway, thus reducing the expression of cytoprotective enzymes. On the other hand, KEAP1 can initiate the autophagic degradation of inhibitor of </w:t>
      </w:r>
      <w:r w:rsidR="004D19C9">
        <w:rPr>
          <w:rFonts w:ascii="Book Antiqua" w:eastAsia="Book Antiqua" w:hAnsi="Book Antiqua" w:cs="Book Antiqua"/>
          <w:color w:val="000000"/>
        </w:rPr>
        <w:t>NF-κB</w:t>
      </w:r>
      <w:r>
        <w:rPr>
          <w:rFonts w:ascii="Book Antiqua" w:eastAsia="Book Antiqua" w:hAnsi="Book Antiqua" w:cs="Book Antiqua"/>
          <w:color w:val="000000"/>
        </w:rPr>
        <w:t xml:space="preserve"> kinase subunit β (IKKβ) by preventing the binding of heat shock protein 90 (HSP90) to IKKβ. Additionally, KEAP1 can specifically bind to IKKβ and then connect with the ubiquitin connexin CUL3-RBX1 complex, which promotes IKKβ degradation and inhibits the expression of NF-kB</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74</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27431B4F" w14:textId="7367ED9A" w:rsidR="00A77B3E" w:rsidRDefault="00266ABC" w:rsidP="004D19C9">
      <w:pPr>
        <w:spacing w:line="360" w:lineRule="auto"/>
        <w:ind w:firstLineChars="100" w:firstLine="240"/>
        <w:jc w:val="both"/>
      </w:pPr>
      <w:r>
        <w:rPr>
          <w:rFonts w:ascii="Book Antiqua" w:eastAsia="Book Antiqua" w:hAnsi="Book Antiqua" w:cs="Book Antiqua"/>
          <w:color w:val="000000"/>
        </w:rPr>
        <w:t xml:space="preserve">COVID-19 is always accompanied by an increase in inflammatory cells and proinflammatory factors. Oxidative stress </w:t>
      </w:r>
      <w:r w:rsidR="002D65D9">
        <w:rPr>
          <w:rFonts w:ascii="Book Antiqua" w:eastAsia="Book Antiqua" w:hAnsi="Book Antiqua" w:cs="Book Antiqua"/>
          <w:color w:val="000000"/>
        </w:rPr>
        <w:t>is</w:t>
      </w:r>
      <w:r>
        <w:rPr>
          <w:rFonts w:ascii="Book Antiqua" w:eastAsia="Book Antiqua" w:hAnsi="Book Antiqua" w:cs="Book Antiqua"/>
          <w:color w:val="000000"/>
        </w:rPr>
        <w:t xml:space="preserve"> an important mechanism for the occurrence and development of COVID-19, and is closely related to the prognosis of the disease</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12</w:t>
      </w:r>
      <w:r>
        <w:rPr>
          <w:rFonts w:ascii="Book Antiqua" w:eastAsia="Book Antiqua" w:hAnsi="Book Antiqua" w:cs="Book Antiqua"/>
          <w:color w:val="000000"/>
          <w:vertAlign w:val="superscript"/>
        </w:rPr>
        <w:t>]</w:t>
      </w:r>
      <w:r>
        <w:rPr>
          <w:rFonts w:ascii="Book Antiqua" w:eastAsia="Book Antiqua" w:hAnsi="Book Antiqua" w:cs="Book Antiqua"/>
          <w:color w:val="000000"/>
        </w:rPr>
        <w:t>. ROS are the key agents in oxidative stress; some researchers propose monitoring ROS levels as diagnostic criteria for COVID-19</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75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As </w:t>
      </w:r>
      <w:r w:rsidR="00861056">
        <w:rPr>
          <w:rFonts w:ascii="Book Antiqua" w:eastAsia="Book Antiqua" w:hAnsi="Book Antiqua" w:cs="Book Antiqua"/>
          <w:color w:val="000000"/>
        </w:rPr>
        <w:t xml:space="preserve">a </w:t>
      </w:r>
      <w:r>
        <w:rPr>
          <w:rFonts w:ascii="Book Antiqua" w:eastAsia="Book Antiqua" w:hAnsi="Book Antiqua" w:cs="Book Antiqua"/>
          <w:color w:val="000000"/>
        </w:rPr>
        <w:t>key regulator of oxidative stress and inflammation, NF-κB plays an important role in the progression of COVID-19. In patients with COVID-19, a severe systemic inflammatory response is always followed by acute respiratory distress syndrome (ARDS) and sepsis, which leads to tissue ischemia and hypoxia and the generation of ROS, thus activating the NF-κB pathway</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76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addition, </w:t>
      </w:r>
      <w:r w:rsidR="004D19C9" w:rsidRPr="004D19C9">
        <w:rPr>
          <w:rFonts w:ascii="Book Antiqua" w:eastAsia="Book Antiqua" w:hAnsi="Book Antiqua" w:cs="Book Antiqua"/>
          <w:color w:val="000000"/>
        </w:rPr>
        <w:t>Hirano</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4D19C9">
        <w:rPr>
          <w:rFonts w:ascii="Book Antiqua" w:eastAsia="Book Antiqua" w:hAnsi="Book Antiqua" w:cs="Book Antiqua"/>
          <w:color w:val="000000"/>
          <w:szCs w:val="30"/>
          <w:vertAlign w:val="superscript"/>
        </w:rPr>
        <w:t>[77</w:t>
      </w:r>
      <w:r w:rsidR="004D19C9">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proposed that ACE2 is the key factor in the early stage of COVID-19, and the IL-6-</w:t>
      </w:r>
      <w:r w:rsidR="00861056">
        <w:rPr>
          <w:rFonts w:ascii="Book Antiqua" w:eastAsia="Book Antiqua" w:hAnsi="Book Antiqua" w:cs="Book Antiqua"/>
          <w:color w:val="000000"/>
        </w:rPr>
        <w:t>signal transducer and activator of transcription 3 (</w:t>
      </w:r>
      <w:r>
        <w:rPr>
          <w:rFonts w:ascii="Book Antiqua" w:eastAsia="Book Antiqua" w:hAnsi="Book Antiqua" w:cs="Book Antiqua"/>
          <w:color w:val="000000"/>
        </w:rPr>
        <w:t>STAT3</w:t>
      </w:r>
      <w:r w:rsidR="00861056">
        <w:rPr>
          <w:rFonts w:ascii="Book Antiqua" w:eastAsia="Book Antiqua" w:hAnsi="Book Antiqua" w:cs="Book Antiqua"/>
          <w:color w:val="000000"/>
        </w:rPr>
        <w:t>)</w:t>
      </w:r>
      <w:r>
        <w:rPr>
          <w:rFonts w:ascii="Book Antiqua" w:eastAsia="Book Antiqua" w:hAnsi="Book Antiqua" w:cs="Book Antiqua"/>
          <w:color w:val="000000"/>
        </w:rPr>
        <w:t xml:space="preserve"> axis plays an important role in the inflammatory cytokine storm in the late stage of the disease. ACE2 is necessary for SARS-CoV-2 entry, and it can also inactivate angiotensin 2 (AngII), which can play a proinflammatory role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angiotensin 2 receptor (AT1R). SARS-CoV, ha</w:t>
      </w:r>
      <w:r w:rsidR="00861056">
        <w:rPr>
          <w:rFonts w:ascii="Book Antiqua" w:eastAsia="Book Antiqua" w:hAnsi="Book Antiqua" w:cs="Book Antiqua"/>
          <w:color w:val="000000"/>
        </w:rPr>
        <w:t>s</w:t>
      </w:r>
      <w:r>
        <w:rPr>
          <w:rFonts w:ascii="Book Antiqua" w:eastAsia="Book Antiqua" w:hAnsi="Book Antiqua" w:cs="Book Antiqua"/>
          <w:color w:val="000000"/>
        </w:rPr>
        <w:t xml:space="preserve"> high homology with SARS-CoV-2</w:t>
      </w:r>
      <w:r w:rsidR="00861056">
        <w:rPr>
          <w:rFonts w:ascii="Book Antiqua" w:eastAsia="Book Antiqua" w:hAnsi="Book Antiqua" w:cs="Book Antiqua"/>
          <w:color w:val="000000"/>
        </w:rPr>
        <w:t xml:space="preserve"> and</w:t>
      </w:r>
      <w:r>
        <w:rPr>
          <w:rFonts w:ascii="Book Antiqua" w:eastAsia="Book Antiqua" w:hAnsi="Book Antiqua" w:cs="Book Antiqua"/>
          <w:color w:val="000000"/>
        </w:rPr>
        <w:t xml:space="preserve"> binds to ACE2 on the cell membrane, which results in an increase in AngII in serum</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78</w:t>
      </w:r>
      <w:r>
        <w:rPr>
          <w:rFonts w:ascii="Book Antiqua" w:eastAsia="Book Antiqua" w:hAnsi="Book Antiqua" w:cs="Book Antiqua"/>
          <w:color w:val="000000"/>
          <w:vertAlign w:val="superscript"/>
        </w:rPr>
        <w:t>]</w:t>
      </w:r>
      <w:r>
        <w:rPr>
          <w:rFonts w:ascii="Book Antiqua" w:eastAsia="Book Antiqua" w:hAnsi="Book Antiqua" w:cs="Book Antiqua"/>
          <w:color w:val="000000"/>
        </w:rPr>
        <w:t>. In animal models, AT1R inhibitors can prevent ARDS caused by SARS-CoV infection</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78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AngII-AT1R axis </w:t>
      </w:r>
      <w:r w:rsidR="0000762A">
        <w:rPr>
          <w:rFonts w:ascii="Book Antiqua" w:eastAsia="Book Antiqua" w:hAnsi="Book Antiqua" w:cs="Book Antiqua"/>
          <w:color w:val="000000"/>
        </w:rPr>
        <w:t>also</w:t>
      </w:r>
      <w:r>
        <w:rPr>
          <w:rFonts w:ascii="Book Antiqua" w:eastAsia="Book Antiqua" w:hAnsi="Book Antiqua" w:cs="Book Antiqua"/>
          <w:color w:val="000000"/>
        </w:rPr>
        <w:t xml:space="preserve"> activate</w:t>
      </w:r>
      <w:r w:rsidR="0000762A">
        <w:rPr>
          <w:rFonts w:ascii="Book Antiqua" w:eastAsia="Book Antiqua" w:hAnsi="Book Antiqua" w:cs="Book Antiqua"/>
          <w:color w:val="000000"/>
        </w:rPr>
        <w:t>s</w:t>
      </w:r>
      <w:r>
        <w:rPr>
          <w:rFonts w:ascii="Book Antiqua" w:eastAsia="Book Antiqua" w:hAnsi="Book Antiqua" w:cs="Book Antiqua"/>
          <w:color w:val="000000"/>
        </w:rPr>
        <w:t xml:space="preserve"> NF-</w:t>
      </w:r>
      <w:r w:rsidR="004D19C9">
        <w:rPr>
          <w:rFonts w:ascii="Book Antiqua" w:eastAsia="Book Antiqua" w:hAnsi="Book Antiqua" w:cs="Book Antiqua"/>
          <w:color w:val="000000"/>
        </w:rPr>
        <w:t>κ</w:t>
      </w:r>
      <w:r>
        <w:rPr>
          <w:rFonts w:ascii="Book Antiqua" w:eastAsia="Book Antiqua" w:hAnsi="Book Antiqua" w:cs="Book Antiqua"/>
          <w:color w:val="000000"/>
        </w:rPr>
        <w:t xml:space="preserve">B and ADAM metallopeptidase domain 17 (ADAM17), which can promote the production of an </w:t>
      </w:r>
      <w:r w:rsidR="0000762A">
        <w:rPr>
          <w:rFonts w:ascii="Book Antiqua" w:eastAsia="Book Antiqua" w:hAnsi="Book Antiqua" w:cs="Book Antiqua"/>
          <w:color w:val="000000"/>
        </w:rPr>
        <w:t>epidermal growth factor ligand (</w:t>
      </w:r>
      <w:r>
        <w:rPr>
          <w:rFonts w:ascii="Book Antiqua" w:eastAsia="Book Antiqua" w:hAnsi="Book Antiqua" w:cs="Book Antiqua"/>
          <w:color w:val="000000"/>
        </w:rPr>
        <w:t>EGFR</w:t>
      </w:r>
      <w:r w:rsidR="0000762A">
        <w:rPr>
          <w:rFonts w:ascii="Book Antiqua" w:eastAsia="Book Antiqua" w:hAnsi="Book Antiqua" w:cs="Book Antiqua"/>
          <w:color w:val="000000"/>
        </w:rPr>
        <w:t>)</w:t>
      </w:r>
      <w:r>
        <w:rPr>
          <w:rFonts w:ascii="Book Antiqua" w:eastAsia="Book Antiqua" w:hAnsi="Book Antiqua" w:cs="Book Antiqua"/>
          <w:color w:val="000000"/>
        </w:rPr>
        <w:t xml:space="preserve"> ligand and TNF-α, and this EGFR ligand and TNF-α can also stimulate NF-</w:t>
      </w:r>
      <w:r w:rsidRPr="00995760">
        <w:rPr>
          <w:rFonts w:ascii="Symbol" w:eastAsia="Book Antiqua" w:hAnsi="Symbol" w:cs="Book Antiqua"/>
          <w:color w:val="000000"/>
        </w:rPr>
        <w:t></w:t>
      </w:r>
      <w:r>
        <w:rPr>
          <w:rFonts w:ascii="Book Antiqua" w:eastAsia="Book Antiqua" w:hAnsi="Book Antiqua" w:cs="Book Antiqua"/>
          <w:color w:val="000000"/>
        </w:rPr>
        <w:t>B</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79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ADAM17 can also activate STAT3 </w:t>
      </w:r>
      <w:r>
        <w:rPr>
          <w:rFonts w:ascii="Book Antiqua" w:eastAsia="Book Antiqua" w:hAnsi="Book Antiqua" w:cs="Book Antiqua"/>
          <w:i/>
          <w:iCs/>
          <w:color w:val="000000"/>
        </w:rPr>
        <w:t>via</w:t>
      </w:r>
      <w:r>
        <w:rPr>
          <w:rFonts w:ascii="Book Antiqua" w:eastAsia="Book Antiqua" w:hAnsi="Book Antiqua" w:cs="Book Antiqua"/>
          <w:color w:val="000000"/>
        </w:rPr>
        <w:t xml:space="preserve"> IL-6, thus activating NF-κB</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80</w:t>
      </w:r>
      <w:r>
        <w:rPr>
          <w:rFonts w:ascii="Book Antiqua" w:eastAsia="Book Antiqua" w:hAnsi="Book Antiqua" w:cs="Book Antiqua"/>
          <w:color w:val="000000"/>
          <w:vertAlign w:val="superscript"/>
        </w:rPr>
        <w:t>]</w:t>
      </w:r>
      <w:r>
        <w:rPr>
          <w:rFonts w:ascii="Book Antiqua" w:eastAsia="Book Antiqua" w:hAnsi="Book Antiqua" w:cs="Book Antiqua"/>
          <w:color w:val="000000"/>
        </w:rPr>
        <w:t>. The NF-κB-triggered positive feedback loop for IL-6 signaling in type 1 collagen+ nonimmune cells is termed an IL-6 amplifier. Indeed, it has been proven that both the NF-κB pathway and STAT3 pathway are activated in COVID-19, promoting an increase in proinflammatory factors and inflammatory cells by activating the IL-6 amplifier, thus forming a vicious cycle and eventually leading to a systemic inflammatory response and MODS</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80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Among </w:t>
      </w:r>
      <w:r w:rsidR="0000762A">
        <w:rPr>
          <w:rFonts w:ascii="Book Antiqua" w:eastAsia="Book Antiqua" w:hAnsi="Book Antiqua" w:cs="Book Antiqua"/>
          <w:color w:val="000000"/>
        </w:rPr>
        <w:t xml:space="preserve">the </w:t>
      </w:r>
      <w:r>
        <w:rPr>
          <w:rFonts w:ascii="Book Antiqua" w:eastAsia="Book Antiqua" w:hAnsi="Book Antiqua" w:cs="Book Antiqua"/>
          <w:color w:val="000000"/>
        </w:rPr>
        <w:t>various organs affected by MODS, COVID-19-related liver injury has a high incidence, ranging from 5.1</w:t>
      </w:r>
      <w:r w:rsidR="004D19C9">
        <w:rPr>
          <w:rFonts w:ascii="Book Antiqua" w:eastAsia="Book Antiqua" w:hAnsi="Book Antiqua" w:cs="Book Antiqua"/>
          <w:color w:val="000000"/>
        </w:rPr>
        <w:t>%</w:t>
      </w:r>
      <w:r>
        <w:rPr>
          <w:rFonts w:ascii="Book Antiqua" w:eastAsia="Book Antiqua" w:hAnsi="Book Antiqua" w:cs="Book Antiqua"/>
          <w:color w:val="000000"/>
        </w:rPr>
        <w:t xml:space="preserve"> to 69.8% according to recent reports, and manifests mainly as elevated transaminase and bilirubin levels (Table 1). Liver injury greatly affects the progression and prognosis of COVID-19. However, the exact mechanisms of liver injury are unclear due to limited data. In addition to the application of drugs that cause liver injury, direct viral cytotoxicity and reactivity of existing liver disease, systemic inflammatory response, ischemia, and hypoxia may play crucial roles, as increased oxidative stress and an overloaded antioxidant defense system have always been acknowledged as key factors in the occurrence and development of various liver injuries</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81</w:t>
      </w:r>
      <w:r>
        <w:rPr>
          <w:rFonts w:ascii="Book Antiqua" w:eastAsia="Book Antiqua" w:hAnsi="Book Antiqua" w:cs="Book Antiqua"/>
          <w:color w:val="000000"/>
          <w:vertAlign w:val="superscript"/>
        </w:rPr>
        <w:t>]</w:t>
      </w:r>
      <w:r>
        <w:rPr>
          <w:rFonts w:ascii="Book Antiqua" w:eastAsia="Book Antiqua" w:hAnsi="Book Antiqua" w:cs="Book Antiqua"/>
          <w:color w:val="000000"/>
        </w:rPr>
        <w:t>. Oxidative stress can stimulate Kupffer cells to produce cytokines that promote the apoptosis of hepatocytes and can also induce stellate cell activation/proliferation and collagen synthesis to promote fibrosis and cirrhosis</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82</w:t>
      </w:r>
      <w:r>
        <w:rPr>
          <w:rFonts w:ascii="Book Antiqua" w:eastAsia="Book Antiqua" w:hAnsi="Book Antiqua" w:cs="Book Antiqua"/>
          <w:color w:val="000000"/>
          <w:vertAlign w:val="superscript"/>
        </w:rPr>
        <w:t>]</w:t>
      </w:r>
      <w:r>
        <w:rPr>
          <w:rFonts w:ascii="Book Antiqua" w:eastAsia="Book Antiqua" w:hAnsi="Book Antiqua" w:cs="Book Antiqua"/>
          <w:color w:val="000000"/>
        </w:rPr>
        <w:t>. To maintain redox homeostasis, the liver fights oxidative stress through a complex antioxidant system. NRF2 is associated with enhancement of the endogenous antioxidant system and has been identified as a target to prevent liver injury, inhibit liver fibrosis, and promote liver regeneration</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74,83-86</w:t>
      </w:r>
      <w:r>
        <w:rPr>
          <w:rFonts w:ascii="Book Antiqua" w:eastAsia="Book Antiqua" w:hAnsi="Book Antiqua" w:cs="Book Antiqua"/>
          <w:color w:val="000000"/>
          <w:vertAlign w:val="superscript"/>
        </w:rPr>
        <w:t>]</w:t>
      </w:r>
      <w:r>
        <w:rPr>
          <w:rFonts w:ascii="Book Antiqua" w:eastAsia="Book Antiqua" w:hAnsi="Book Antiqua" w:cs="Book Antiqua"/>
          <w:color w:val="000000"/>
        </w:rPr>
        <w:t>. As shown through IPA analys</w:t>
      </w:r>
      <w:r w:rsidR="00C31ACB">
        <w:rPr>
          <w:rFonts w:ascii="Book Antiqua" w:eastAsia="Book Antiqua" w:hAnsi="Book Antiqua" w:cs="Book Antiqua"/>
          <w:color w:val="000000"/>
        </w:rPr>
        <w:t>e</w:t>
      </w:r>
      <w:r>
        <w:rPr>
          <w:rFonts w:ascii="Book Antiqua" w:eastAsia="Book Antiqua" w:hAnsi="Book Antiqua" w:cs="Book Antiqua"/>
          <w:color w:val="000000"/>
        </w:rPr>
        <w:t>s of the interactions among NRF2, NF-κB, and inflammatory cytokines in viral infections, the interaction and balance between NRF2 and NF-kB may play important roles in COVID-19-related liver injury, and targeting their interactions may be an important therapeutic strategy for COVID-19 treatment.</w:t>
      </w:r>
    </w:p>
    <w:p w14:paraId="547B78DE" w14:textId="77777777" w:rsidR="00A77B3E" w:rsidRDefault="00A77B3E" w:rsidP="004D19C9">
      <w:pPr>
        <w:spacing w:line="360" w:lineRule="auto"/>
        <w:jc w:val="both"/>
      </w:pPr>
    </w:p>
    <w:p w14:paraId="1FD8CE51" w14:textId="77777777" w:rsidR="00A77B3E" w:rsidRDefault="00266ABC">
      <w:pPr>
        <w:spacing w:line="360" w:lineRule="auto"/>
        <w:jc w:val="both"/>
      </w:pPr>
      <w:r>
        <w:rPr>
          <w:rFonts w:ascii="Book Antiqua" w:eastAsia="Book Antiqua" w:hAnsi="Book Antiqua" w:cs="Book Antiqua"/>
          <w:b/>
          <w:bCs/>
          <w:caps/>
          <w:color w:val="000000"/>
          <w:u w:val="single"/>
        </w:rPr>
        <w:t>NRF-HO1 INTERPLAY IS AN IMPORTANT TARGET FOR INFLAMMATORY MEDIATORS IN COVID-19-RELATED LIVER INJURY</w:t>
      </w:r>
    </w:p>
    <w:p w14:paraId="5B6FC1F4" w14:textId="77E68885" w:rsidR="00A77B3E" w:rsidRDefault="00266ABC" w:rsidP="004D19C9">
      <w:pPr>
        <w:spacing w:line="360" w:lineRule="auto"/>
        <w:jc w:val="both"/>
      </w:pPr>
      <w:r>
        <w:rPr>
          <w:rFonts w:ascii="Book Antiqua" w:eastAsia="Book Antiqua" w:hAnsi="Book Antiqua" w:cs="Book Antiqua"/>
          <w:color w:val="000000"/>
        </w:rPr>
        <w:t xml:space="preserve">Glutathione (GSH) is an important molecule involved in redox homeostasis, and NRF2 promotes its synthesis by regulating glutamate-cysteine ligase catalytic subunit (GCLC), glutamate-cysteine ligase regulatory subunit (GCLM), glutamine synthetase (GS or GSr1), </w:t>
      </w:r>
      <w:r w:rsidR="004D19C9">
        <w:rPr>
          <w:rFonts w:ascii="Book Antiqua" w:eastAsia="Book Antiqua" w:hAnsi="Book Antiqua" w:cs="Book Antiqua"/>
          <w:color w:val="000000"/>
        </w:rPr>
        <w:t>GSH</w:t>
      </w:r>
      <w:r>
        <w:rPr>
          <w:rFonts w:ascii="Book Antiqua" w:eastAsia="Book Antiqua" w:hAnsi="Book Antiqua" w:cs="Book Antiqua"/>
          <w:color w:val="000000"/>
        </w:rPr>
        <w:t xml:space="preserve"> reductase (GR), </w:t>
      </w:r>
      <w:r w:rsidR="004D19C9">
        <w:rPr>
          <w:rFonts w:ascii="Book Antiqua" w:eastAsia="Book Antiqua" w:hAnsi="Book Antiqua" w:cs="Book Antiqua"/>
          <w:color w:val="000000"/>
        </w:rPr>
        <w:t>GSH</w:t>
      </w:r>
      <w:r>
        <w:rPr>
          <w:rFonts w:ascii="Book Antiqua" w:eastAsia="Book Antiqua" w:hAnsi="Book Antiqua" w:cs="Book Antiqua"/>
          <w:color w:val="000000"/>
        </w:rPr>
        <w:t xml:space="preserve"> peroxidase (GPx)</w:t>
      </w:r>
      <w:r w:rsidR="00CD5BC3">
        <w:rPr>
          <w:rFonts w:ascii="Book Antiqua" w:eastAsia="Book Antiqua" w:hAnsi="Book Antiqua" w:cs="Book Antiqua"/>
          <w:color w:val="000000"/>
        </w:rPr>
        <w:t>,</w:t>
      </w:r>
      <w:r>
        <w:rPr>
          <w:rFonts w:ascii="Book Antiqua" w:eastAsia="Book Antiqua" w:hAnsi="Book Antiqua" w:cs="Book Antiqua"/>
          <w:color w:val="000000"/>
        </w:rPr>
        <w:t xml:space="preserve"> and </w:t>
      </w:r>
      <w:r w:rsidR="004D19C9">
        <w:rPr>
          <w:rFonts w:ascii="Book Antiqua" w:eastAsia="Book Antiqua" w:hAnsi="Book Antiqua" w:cs="Book Antiqua"/>
          <w:color w:val="000000"/>
        </w:rPr>
        <w:t>GSH</w:t>
      </w:r>
      <w:r>
        <w:rPr>
          <w:rFonts w:ascii="Book Antiqua" w:eastAsia="Book Antiqua" w:hAnsi="Book Antiqua" w:cs="Book Antiqua"/>
          <w:color w:val="000000"/>
        </w:rPr>
        <w:t xml:space="preserve"> S-transferases (GSTs)</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92</w:t>
      </w:r>
      <w:r>
        <w:rPr>
          <w:rFonts w:ascii="Book Antiqua" w:eastAsia="Book Antiqua" w:hAnsi="Book Antiqua" w:cs="Book Antiqua"/>
          <w:color w:val="000000"/>
          <w:vertAlign w:val="superscript"/>
        </w:rPr>
        <w:t>]</w:t>
      </w:r>
      <w:r>
        <w:rPr>
          <w:rFonts w:ascii="Book Antiqua" w:eastAsia="Book Antiqua" w:hAnsi="Book Antiqua" w:cs="Book Antiqua"/>
          <w:color w:val="000000"/>
        </w:rPr>
        <w:t>. The tricarboxylic acid cycle (TCA cycle) is the central link and cross hub of glucose metabolism, lipid metabolism</w:t>
      </w:r>
      <w:r w:rsidR="00CD5BC3">
        <w:rPr>
          <w:rFonts w:ascii="Book Antiqua" w:eastAsia="Book Antiqua" w:hAnsi="Book Antiqua" w:cs="Book Antiqua"/>
          <w:color w:val="000000"/>
        </w:rPr>
        <w:t>,</w:t>
      </w:r>
      <w:r>
        <w:rPr>
          <w:rFonts w:ascii="Book Antiqua" w:eastAsia="Book Antiqua" w:hAnsi="Book Antiqua" w:cs="Book Antiqua"/>
          <w:color w:val="000000"/>
        </w:rPr>
        <w:t xml:space="preserve"> and protein metabolism. NRF2 participates in the TCA cycle by regulating the expression of glucose 6-phosphate dehydrogenase (G6PD), malic enzyme 1, and isocitrate dehydrogenase (IDH), which are involved in the production of NADPH, a key cofactor in promoting antioxidant reactions</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93-95</w:t>
      </w:r>
      <w:r>
        <w:rPr>
          <w:rFonts w:ascii="Book Antiqua" w:eastAsia="Book Antiqua" w:hAnsi="Book Antiqua" w:cs="Book Antiqua"/>
          <w:color w:val="000000"/>
          <w:vertAlign w:val="superscript"/>
        </w:rPr>
        <w:t>]</w:t>
      </w:r>
      <w:r>
        <w:rPr>
          <w:rFonts w:ascii="Book Antiqua" w:eastAsia="Book Antiqua" w:hAnsi="Book Antiqua" w:cs="Book Antiqua"/>
          <w:color w:val="000000"/>
        </w:rPr>
        <w:t>. NRF2 can also affect intermediate metabolism, increase</w:t>
      </w:r>
      <w:r w:rsidR="005D5969">
        <w:rPr>
          <w:rFonts w:ascii="Book Antiqua" w:eastAsia="Book Antiqua" w:hAnsi="Book Antiqua" w:cs="Book Antiqua"/>
          <w:color w:val="000000"/>
        </w:rPr>
        <w:t>s</w:t>
      </w:r>
      <w:r>
        <w:rPr>
          <w:rFonts w:ascii="Book Antiqua" w:eastAsia="Book Antiqua" w:hAnsi="Book Antiqua" w:cs="Book Antiqua"/>
          <w:color w:val="000000"/>
        </w:rPr>
        <w:t xml:space="preserve"> the availability of substrates for the mitochondrial respiratory chain</w:t>
      </w:r>
      <w:r w:rsidR="00CD5BC3">
        <w:rPr>
          <w:rFonts w:ascii="Book Antiqua" w:eastAsia="Book Antiqua" w:hAnsi="Book Antiqua" w:cs="Book Antiqua"/>
          <w:color w:val="000000"/>
        </w:rPr>
        <w:t>,</w:t>
      </w:r>
      <w:r>
        <w:rPr>
          <w:rFonts w:ascii="Book Antiqua" w:eastAsia="Book Antiqua" w:hAnsi="Book Antiqua" w:cs="Book Antiqua"/>
          <w:color w:val="000000"/>
        </w:rPr>
        <w:t xml:space="preserve"> and increase</w:t>
      </w:r>
      <w:r w:rsidR="005D5969">
        <w:rPr>
          <w:rFonts w:ascii="Book Antiqua" w:eastAsia="Book Antiqua" w:hAnsi="Book Antiqua" w:cs="Book Antiqua"/>
          <w:color w:val="000000"/>
        </w:rPr>
        <w:t>s</w:t>
      </w:r>
      <w:r>
        <w:rPr>
          <w:rFonts w:ascii="Book Antiqua" w:eastAsia="Book Antiqua" w:hAnsi="Book Antiqua" w:cs="Book Antiqua"/>
          <w:color w:val="000000"/>
        </w:rPr>
        <w:t xml:space="preserve"> </w:t>
      </w:r>
      <w:r w:rsidR="001E2D0D" w:rsidRPr="001E2D0D">
        <w:rPr>
          <w:rFonts w:ascii="Book Antiqua" w:eastAsia="Book Antiqua" w:hAnsi="Book Antiqua" w:cs="Book Antiqua"/>
          <w:color w:val="000000"/>
        </w:rPr>
        <w:t>nicotinamide adenine dinucleotide phosphate</w:t>
      </w:r>
      <w:r w:rsidR="00CD5BC3">
        <w:rPr>
          <w:rFonts w:ascii="Book Antiqua" w:eastAsia="Book Antiqua" w:hAnsi="Book Antiqua" w:cs="Book Antiqua"/>
          <w:color w:val="000000"/>
        </w:rPr>
        <w:t xml:space="preserve"> (NAPDH</w:t>
      </w:r>
      <w:r w:rsidR="001E2D0D">
        <w:rPr>
          <w:rFonts w:ascii="Book Antiqua" w:eastAsia="Book Antiqua" w:hAnsi="Book Antiqua" w:cs="Book Antiqua"/>
          <w:color w:val="000000"/>
        </w:rPr>
        <w:t>)</w:t>
      </w:r>
      <w:r w:rsidR="001E2D0D" w:rsidRPr="001E2D0D">
        <w:rPr>
          <w:rFonts w:ascii="Book Antiqua" w:eastAsia="Book Antiqua" w:hAnsi="Book Antiqua" w:cs="Book Antiqua"/>
          <w:color w:val="000000"/>
        </w:rPr>
        <w:t xml:space="preserve"> </w:t>
      </w:r>
      <w:r>
        <w:rPr>
          <w:rFonts w:ascii="Book Antiqua" w:eastAsia="Book Antiqua" w:hAnsi="Book Antiqua" w:cs="Book Antiqua"/>
          <w:color w:val="000000"/>
        </w:rPr>
        <w:t>production through crosstalk between the glycolysis and pentose phosphate pathways</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96</w:t>
      </w:r>
      <w:r>
        <w:rPr>
          <w:rFonts w:ascii="Book Antiqua" w:eastAsia="Book Antiqua" w:hAnsi="Book Antiqua" w:cs="Book Antiqua"/>
          <w:color w:val="000000"/>
          <w:vertAlign w:val="superscript"/>
        </w:rPr>
        <w:t>]</w:t>
      </w:r>
      <w:r>
        <w:rPr>
          <w:rFonts w:ascii="Book Antiqua" w:eastAsia="Book Antiqua" w:hAnsi="Book Antiqua" w:cs="Book Antiqua"/>
          <w:color w:val="000000"/>
        </w:rPr>
        <w:t>. In addition, under oxidative stress or starvation, NRF2 helps maintain mitochondrial homeostasis, clears oxidized or damaged proteins and organelles and removes excessive ROS, providing a favorable environment for cell survival</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97</w:t>
      </w:r>
      <w:r>
        <w:rPr>
          <w:rFonts w:ascii="Book Antiqua" w:eastAsia="Book Antiqua" w:hAnsi="Book Antiqua" w:cs="Book Antiqua"/>
          <w:color w:val="000000"/>
          <w:vertAlign w:val="superscript"/>
        </w:rPr>
        <w:t>]</w:t>
      </w:r>
      <w:r>
        <w:rPr>
          <w:rFonts w:ascii="Book Antiqua" w:eastAsia="Book Antiqua" w:hAnsi="Book Antiqua" w:cs="Book Antiqua"/>
          <w:color w:val="000000"/>
        </w:rPr>
        <w:t>. In conclusion, NRF2 can play roles in antioxidative stress and cell protection by maintaining redox homeostasis in the body.</w:t>
      </w:r>
    </w:p>
    <w:p w14:paraId="6970A73F" w14:textId="3C91B60C" w:rsidR="00A77B3E" w:rsidRDefault="00266ABC" w:rsidP="001E2D0D">
      <w:pPr>
        <w:spacing w:line="360" w:lineRule="auto"/>
        <w:ind w:firstLineChars="100" w:firstLine="240"/>
        <w:jc w:val="both"/>
      </w:pPr>
      <w:r>
        <w:rPr>
          <w:rFonts w:ascii="Book Antiqua" w:eastAsia="Book Antiqua" w:hAnsi="Book Antiqua" w:cs="Book Antiqua"/>
          <w:color w:val="000000"/>
        </w:rPr>
        <w:t>Many researchers have proposed the hypothesis that COVID-19-related liver damage may be caused by systemic inflammatory response to viral infection. After SARS-CoV-2 infection and the increased production of ROS</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98</w:t>
      </w:r>
      <w:r>
        <w:rPr>
          <w:rFonts w:ascii="Book Antiqua" w:eastAsia="Book Antiqua" w:hAnsi="Book Antiqua" w:cs="Book Antiqua"/>
          <w:color w:val="000000"/>
          <w:vertAlign w:val="superscript"/>
        </w:rPr>
        <w:t>]</w:t>
      </w:r>
      <w:r>
        <w:rPr>
          <w:rFonts w:ascii="Book Antiqua" w:eastAsia="Book Antiqua" w:hAnsi="Book Antiqua" w:cs="Book Antiqua"/>
          <w:color w:val="000000"/>
        </w:rPr>
        <w:t>, the inflammation response of the body is activated and the expression of proinflammatory cytokines including IL-1β, IL-6, IL-8</w:t>
      </w:r>
      <w:r w:rsidR="00EF2A23">
        <w:rPr>
          <w:rFonts w:ascii="Book Antiqua" w:eastAsia="Book Antiqua" w:hAnsi="Book Antiqua" w:cs="Book Antiqua"/>
          <w:color w:val="000000"/>
        </w:rPr>
        <w:t>,</w:t>
      </w:r>
      <w:r>
        <w:rPr>
          <w:rFonts w:ascii="Book Antiqua" w:eastAsia="Book Antiqua" w:hAnsi="Book Antiqua" w:cs="Book Antiqua"/>
          <w:color w:val="000000"/>
        </w:rPr>
        <w:t xml:space="preserve"> and TNF-α </w:t>
      </w:r>
      <w:r w:rsidR="006062BD">
        <w:rPr>
          <w:rFonts w:ascii="Book Antiqua" w:eastAsia="Book Antiqua" w:hAnsi="Book Antiqua" w:cs="Book Antiqua"/>
          <w:color w:val="000000"/>
        </w:rPr>
        <w:t xml:space="preserve">is </w:t>
      </w:r>
      <w:r>
        <w:rPr>
          <w:rFonts w:ascii="Book Antiqua" w:eastAsia="Book Antiqua" w:hAnsi="Book Antiqua" w:cs="Book Antiqua"/>
          <w:color w:val="000000"/>
        </w:rPr>
        <w:t xml:space="preserve">greatly increased, and immune cells are continuously activated and </w:t>
      </w:r>
      <w:r w:rsidR="00B80AF8">
        <w:rPr>
          <w:rFonts w:ascii="Book Antiqua" w:eastAsia="Book Antiqua" w:hAnsi="Book Antiqua" w:cs="Book Antiqua"/>
          <w:color w:val="000000"/>
        </w:rPr>
        <w:t xml:space="preserve">are </w:t>
      </w:r>
      <w:r>
        <w:rPr>
          <w:rFonts w:ascii="Book Antiqua" w:eastAsia="Book Antiqua" w:hAnsi="Book Antiqua" w:cs="Book Antiqua"/>
          <w:color w:val="000000"/>
        </w:rPr>
        <w:t>accumulating</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99,100</w:t>
      </w:r>
      <w:r>
        <w:rPr>
          <w:rFonts w:ascii="Book Antiqua" w:eastAsia="Book Antiqua" w:hAnsi="Book Antiqua" w:cs="Book Antiqua"/>
          <w:color w:val="000000"/>
          <w:vertAlign w:val="superscript"/>
        </w:rPr>
        <w:t>]</w:t>
      </w:r>
      <w:r>
        <w:rPr>
          <w:rFonts w:ascii="Book Antiqua" w:eastAsia="Book Antiqua" w:hAnsi="Book Antiqua" w:cs="Book Antiqua"/>
          <w:color w:val="000000"/>
        </w:rPr>
        <w:t>. The combined effects of many immune cells and proinflammatory factors lead to a cytokine storm</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4,99-102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which may further </w:t>
      </w:r>
      <w:r w:rsidR="00FD6B12">
        <w:rPr>
          <w:rFonts w:ascii="Book Antiqua" w:eastAsia="Book Antiqua" w:hAnsi="Book Antiqua" w:cs="Book Antiqua"/>
          <w:color w:val="000000"/>
        </w:rPr>
        <w:t>result in</w:t>
      </w:r>
      <w:r>
        <w:rPr>
          <w:rFonts w:ascii="Book Antiqua" w:eastAsia="Book Antiqua" w:hAnsi="Book Antiqua" w:cs="Book Antiqua"/>
          <w:color w:val="000000"/>
        </w:rPr>
        <w:t xml:space="preserve"> multiple organ function damage, including liver dysfunction, and even the death of the patient</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103,104</w:t>
      </w:r>
      <w:r>
        <w:rPr>
          <w:rFonts w:ascii="Book Antiqua" w:eastAsia="Book Antiqua" w:hAnsi="Book Antiqua" w:cs="Book Antiqua"/>
          <w:color w:val="000000"/>
          <w:vertAlign w:val="superscript"/>
        </w:rPr>
        <w:t>]</w:t>
      </w:r>
      <w:r>
        <w:rPr>
          <w:rFonts w:ascii="Book Antiqua" w:eastAsia="Book Antiqua" w:hAnsi="Book Antiqua" w:cs="Book Antiqua"/>
          <w:color w:val="000000"/>
        </w:rPr>
        <w:t>. Moreover, there seems to be a positive correlation between the severity of COVID-19 and the level of inflammation</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57,100,105-107</w:t>
      </w:r>
      <w:r>
        <w:rPr>
          <w:rFonts w:ascii="Book Antiqua" w:eastAsia="Book Antiqua" w:hAnsi="Book Antiqua" w:cs="Book Antiqua"/>
          <w:color w:val="000000"/>
          <w:vertAlign w:val="superscript"/>
        </w:rPr>
        <w:t>]</w:t>
      </w:r>
      <w:r>
        <w:rPr>
          <w:rFonts w:ascii="Book Antiqua" w:eastAsia="Book Antiqua" w:hAnsi="Book Antiqua" w:cs="Book Antiqua"/>
          <w:color w:val="000000"/>
        </w:rPr>
        <w:t>, and the incidence of liver damage is related to the severity of COVID-19</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13</w:t>
      </w:r>
      <w:r>
        <w:rPr>
          <w:rFonts w:ascii="Book Antiqua" w:eastAsia="Book Antiqua" w:hAnsi="Book Antiqua" w:cs="Book Antiqua"/>
          <w:color w:val="000000"/>
          <w:vertAlign w:val="superscript"/>
        </w:rPr>
        <w:t>]</w:t>
      </w:r>
      <w:r>
        <w:rPr>
          <w:rFonts w:ascii="Book Antiqua" w:eastAsia="Book Antiqua" w:hAnsi="Book Antiqua" w:cs="Book Antiqua"/>
          <w:color w:val="000000"/>
        </w:rPr>
        <w:t>, which also reveals the close relationship between COVID-19-related liver injury and the inflammatory response. Since many cases of limb</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108</w:t>
      </w:r>
      <w:r>
        <w:rPr>
          <w:rFonts w:ascii="Book Antiqua" w:eastAsia="Book Antiqua" w:hAnsi="Book Antiqua" w:cs="Book Antiqua"/>
          <w:color w:val="000000"/>
          <w:vertAlign w:val="superscript"/>
        </w:rPr>
        <w:t>]</w:t>
      </w:r>
      <w:r>
        <w:rPr>
          <w:rFonts w:ascii="Book Antiqua" w:eastAsia="Book Antiqua" w:hAnsi="Book Antiqua" w:cs="Book Antiqua"/>
          <w:color w:val="000000"/>
        </w:rPr>
        <w:t>, gastrointestinal</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109</w:t>
      </w:r>
      <w:r>
        <w:rPr>
          <w:rFonts w:ascii="Book Antiqua" w:eastAsia="Book Antiqua" w:hAnsi="Book Antiqua" w:cs="Book Antiqua"/>
          <w:color w:val="000000"/>
          <w:vertAlign w:val="superscript"/>
        </w:rPr>
        <w:t>]</w:t>
      </w:r>
      <w:r>
        <w:rPr>
          <w:rFonts w:ascii="Book Antiqua" w:eastAsia="Book Antiqua" w:hAnsi="Book Antiqua" w:cs="Book Antiqua"/>
          <w:color w:val="000000"/>
        </w:rPr>
        <w:t>, heart</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110</w:t>
      </w:r>
      <w:r w:rsidRPr="00995760">
        <w:rPr>
          <w:rFonts w:ascii="Book Antiqua" w:eastAsia="Book Antiqua" w:hAnsi="Book Antiqua" w:cs="Book Antiqua"/>
          <w:color w:val="000000"/>
          <w:vertAlign w:val="superscript"/>
        </w:rPr>
        <w:t>]</w:t>
      </w:r>
      <w:r>
        <w:rPr>
          <w:rFonts w:ascii="Book Antiqua" w:eastAsia="Book Antiqua" w:hAnsi="Book Antiqua" w:cs="Book Antiqua"/>
          <w:color w:val="000000"/>
        </w:rPr>
        <w:t>, and cerebral</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111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ischemia have been reported, it is reasonable to suspect that tissue ischemia is among the causes of COVID-19-related liver injury, in which the inflammatory response may cause local blood stasis, vascular endothelial destruction and excessive activation of the coagulation system, leading to local thrombosis and tissue ischemia, ultimately resulting in liver injury. Moreover, severe inflammatory reactions, such as sepsis</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76</w:t>
      </w:r>
      <w:r>
        <w:rPr>
          <w:rFonts w:ascii="Book Antiqua" w:eastAsia="Book Antiqua" w:hAnsi="Book Antiqua" w:cs="Book Antiqua"/>
          <w:color w:val="000000"/>
          <w:vertAlign w:val="superscript"/>
        </w:rPr>
        <w:t>]</w:t>
      </w:r>
      <w:r>
        <w:rPr>
          <w:rFonts w:ascii="Book Antiqua" w:eastAsia="Book Antiqua" w:hAnsi="Book Antiqua" w:cs="Book Antiqua"/>
          <w:color w:val="000000"/>
        </w:rPr>
        <w:t>, which cause hemodynamic instability and lead to ischemia, may also be among the causes of liver injury. Strong evidence points to the major causes for liver injury involve the systemic inflammatory response and oxidative stress following SARS-CoV-2 infection.</w:t>
      </w:r>
    </w:p>
    <w:p w14:paraId="21CD1486" w14:textId="1383AF17" w:rsidR="00A77B3E" w:rsidRDefault="00266ABC" w:rsidP="001E2D0D">
      <w:pPr>
        <w:spacing w:line="360" w:lineRule="auto"/>
        <w:ind w:firstLineChars="100" w:firstLine="240"/>
        <w:jc w:val="both"/>
      </w:pPr>
      <w:r>
        <w:rPr>
          <w:rFonts w:ascii="Book Antiqua" w:eastAsia="Book Antiqua" w:hAnsi="Book Antiqua" w:cs="Book Antiqua"/>
          <w:color w:val="000000"/>
        </w:rPr>
        <w:t xml:space="preserve">Regarding the mechanisms of direct damage and inflammation-induced damage after SARS-CoV-2 infection, </w:t>
      </w:r>
      <w:r w:rsidR="001961B7">
        <w:rPr>
          <w:rFonts w:ascii="Book Antiqua" w:eastAsia="Book Antiqua" w:hAnsi="Book Antiqua" w:cs="Book Antiqua"/>
          <w:color w:val="000000"/>
        </w:rPr>
        <w:t>heme oxygenase 1 (</w:t>
      </w:r>
      <w:r>
        <w:rPr>
          <w:rFonts w:ascii="Book Antiqua" w:eastAsia="Book Antiqua" w:hAnsi="Book Antiqua" w:cs="Book Antiqua"/>
          <w:color w:val="000000"/>
        </w:rPr>
        <w:t>HO-1</w:t>
      </w:r>
      <w:r w:rsidR="001961B7">
        <w:rPr>
          <w:rFonts w:ascii="Book Antiqua" w:eastAsia="Book Antiqua" w:hAnsi="Book Antiqua" w:cs="Book Antiqua"/>
          <w:color w:val="000000"/>
        </w:rPr>
        <w:t>)</w:t>
      </w:r>
      <w:r>
        <w:rPr>
          <w:rFonts w:ascii="Book Antiqua" w:eastAsia="Book Antiqua" w:hAnsi="Book Antiqua" w:cs="Book Antiqua"/>
          <w:color w:val="000000"/>
        </w:rPr>
        <w:t xml:space="preserve"> seems to be involved and could represent a therapeutic strategy. HO-1 can inhibit the replication of influenza A virus, human respiratory syncytial virus, and hepatitis B virus, among others. In all cases, viral replication blockade </w:t>
      </w:r>
      <w:r w:rsidR="000D1D95">
        <w:rPr>
          <w:rFonts w:ascii="Book Antiqua" w:eastAsia="Book Antiqua" w:hAnsi="Book Antiqua" w:cs="Book Antiqua"/>
          <w:color w:val="000000"/>
        </w:rPr>
        <w:t xml:space="preserve">is </w:t>
      </w:r>
      <w:r>
        <w:rPr>
          <w:rFonts w:ascii="Book Antiqua" w:eastAsia="Book Antiqua" w:hAnsi="Book Antiqua" w:cs="Book Antiqua"/>
          <w:color w:val="000000"/>
        </w:rPr>
        <w:t>achieved through the type I IFN response mediated by HO-1</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112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Therefore, it is reasonable to assume that HO-1 inhibits SARS-CoV-2 replication by the same mechanism. HO-1 and its metabolites have significant anti-inflammatory effects </w:t>
      </w:r>
      <w:r>
        <w:rPr>
          <w:rFonts w:ascii="Book Antiqua" w:eastAsia="Book Antiqua" w:hAnsi="Book Antiqua" w:cs="Book Antiqua"/>
          <w:i/>
          <w:iCs/>
          <w:color w:val="000000"/>
        </w:rPr>
        <w:t>via</w:t>
      </w:r>
      <w:r>
        <w:rPr>
          <w:rFonts w:ascii="Book Antiqua" w:eastAsia="Book Antiqua" w:hAnsi="Book Antiqua" w:cs="Book Antiqua"/>
          <w:color w:val="000000"/>
        </w:rPr>
        <w:t xml:space="preserve"> NRF2. HO-1 metabolizes free heme into carbon monoxide (CO), biliverdin and iron, exhibiting cell protection and anti-apoptosis and immune regulation properties</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113</w:t>
      </w:r>
      <w:r>
        <w:rPr>
          <w:rFonts w:ascii="Book Antiqua" w:eastAsia="Book Antiqua" w:hAnsi="Book Antiqua" w:cs="Book Antiqua"/>
          <w:color w:val="000000"/>
          <w:vertAlign w:val="superscript"/>
        </w:rPr>
        <w:t>]</w:t>
      </w:r>
      <w:r>
        <w:rPr>
          <w:rFonts w:ascii="Book Antiqua" w:eastAsia="Book Antiqua" w:hAnsi="Book Antiqua" w:cs="Book Antiqua"/>
          <w:color w:val="000000"/>
        </w:rPr>
        <w:t>. In animal models of sepsis and renal ischemia-reperfusion injury with significant systemic inflammatory responses, HO-1 showed great anti-inflammatory effect</w:t>
      </w:r>
      <w:r w:rsidR="00AE28C8">
        <w:rPr>
          <w:rFonts w:ascii="Book Antiqua" w:eastAsia="Book Antiqua" w:hAnsi="Book Antiqua" w:cs="Book Antiqua"/>
          <w:color w:val="000000"/>
        </w:rPr>
        <w:t>s</w:t>
      </w:r>
      <w:r>
        <w:rPr>
          <w:rFonts w:ascii="Book Antiqua" w:eastAsia="Book Antiqua" w:hAnsi="Book Antiqua" w:cs="Book Antiqua"/>
          <w:color w:val="000000"/>
        </w:rPr>
        <w:t xml:space="preserve"> and its overexpression provided cell protection</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112</w:t>
      </w:r>
      <w:r>
        <w:rPr>
          <w:rFonts w:ascii="Book Antiqua" w:eastAsia="Book Antiqua" w:hAnsi="Book Antiqua" w:cs="Book Antiqua"/>
          <w:color w:val="000000"/>
          <w:vertAlign w:val="superscript"/>
        </w:rPr>
        <w:t>]</w:t>
      </w:r>
      <w:r>
        <w:rPr>
          <w:rFonts w:ascii="Book Antiqua" w:eastAsia="Book Antiqua" w:hAnsi="Book Antiqua" w:cs="Book Antiqua"/>
          <w:color w:val="000000"/>
        </w:rPr>
        <w:t>. Hence, it can be speculated that HO-1 counteracts the cytokine storm produced by COVID-19. Additionally, the CO product of HO-1 can stimulate the release of hydrogen sulfide (H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S)</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114</w:t>
      </w:r>
      <w:r>
        <w:rPr>
          <w:rFonts w:ascii="Book Antiqua" w:eastAsia="Book Antiqua" w:hAnsi="Book Antiqua" w:cs="Book Antiqua"/>
          <w:color w:val="000000"/>
          <w:vertAlign w:val="superscript"/>
        </w:rPr>
        <w:t>]</w:t>
      </w:r>
      <w:r>
        <w:rPr>
          <w:rFonts w:ascii="Book Antiqua" w:eastAsia="Book Antiqua" w:hAnsi="Book Antiqua" w:cs="Book Antiqua"/>
          <w:color w:val="000000"/>
        </w:rPr>
        <w:t>. 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S is a natural defense against enveloped RNA virus infections that can activate regulatory T cells, maintain the body’s immune homeostasis, and exert anti</w:t>
      </w:r>
      <w:r w:rsidR="008079AF">
        <w:rPr>
          <w:rFonts w:ascii="Book Antiqua" w:eastAsia="Book Antiqua" w:hAnsi="Book Antiqua" w:cs="Book Antiqua"/>
          <w:color w:val="000000"/>
        </w:rPr>
        <w:t>-</w:t>
      </w:r>
      <w:r>
        <w:rPr>
          <w:rFonts w:ascii="Book Antiqua" w:eastAsia="Book Antiqua" w:hAnsi="Book Antiqua" w:cs="Book Antiqua"/>
          <w:color w:val="000000"/>
        </w:rPr>
        <w:t>viral effects</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114</w:t>
      </w:r>
      <w:r>
        <w:rPr>
          <w:rFonts w:ascii="Book Antiqua" w:eastAsia="Book Antiqua" w:hAnsi="Book Antiqua" w:cs="Book Antiqua"/>
          <w:color w:val="000000"/>
          <w:vertAlign w:val="superscript"/>
        </w:rPr>
        <w:t>]</w:t>
      </w:r>
      <w:r>
        <w:rPr>
          <w:rFonts w:ascii="Book Antiqua" w:eastAsia="Book Antiqua" w:hAnsi="Book Antiqua" w:cs="Book Antiqua"/>
          <w:color w:val="000000"/>
        </w:rPr>
        <w:t>. 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S can also oversulfate the KATP channel on the white blood cell membrane to keep it open, preventing white blood cells adherence to the endothelium and triggering the inflammatory cascade</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114</w:t>
      </w:r>
      <w:r>
        <w:rPr>
          <w:rFonts w:ascii="Book Antiqua" w:eastAsia="Book Antiqua" w:hAnsi="Book Antiqua" w:cs="Book Antiqua"/>
          <w:color w:val="000000"/>
          <w:vertAlign w:val="superscript"/>
        </w:rPr>
        <w:t>]</w:t>
      </w:r>
      <w:r>
        <w:rPr>
          <w:rFonts w:ascii="Book Antiqua" w:eastAsia="Book Antiqua" w:hAnsi="Book Antiqua" w:cs="Book Antiqua"/>
          <w:color w:val="000000"/>
        </w:rPr>
        <w:t>. On the one hand, 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S regulates endothelial cell function and attenuates ischemia. On the other hand, 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S controls the body</w:t>
      </w:r>
      <w:r w:rsidR="008079AF">
        <w:rPr>
          <w:rFonts w:ascii="Book Antiqua" w:eastAsia="Book Antiqua" w:hAnsi="Book Antiqua" w:cs="Book Antiqua"/>
          <w:color w:val="000000"/>
        </w:rPr>
        <w:t>’</w:t>
      </w:r>
      <w:r>
        <w:rPr>
          <w:rFonts w:ascii="Book Antiqua" w:eastAsia="Book Antiqua" w:hAnsi="Book Antiqua" w:cs="Book Antiqua"/>
          <w:color w:val="000000"/>
        </w:rPr>
        <w:t>s inflammatory response and prevents liver injury. Therefore, HO-1 activated by NRF2 can inhibit viral replication to control viral infection and can also balance host defenses through the HO-1/CO/H</w:t>
      </w:r>
      <w:r w:rsidRPr="00995760">
        <w:rPr>
          <w:rFonts w:ascii="Book Antiqua" w:eastAsia="Book Antiqua" w:hAnsi="Book Antiqua" w:cs="Book Antiqua"/>
          <w:color w:val="000000"/>
          <w:vertAlign w:val="subscript"/>
        </w:rPr>
        <w:t>2</w:t>
      </w:r>
      <w:r>
        <w:rPr>
          <w:rFonts w:ascii="Book Antiqua" w:eastAsia="Book Antiqua" w:hAnsi="Book Antiqua" w:cs="Book Antiqua"/>
          <w:color w:val="000000"/>
        </w:rPr>
        <w:t>S axis, protecting endothelial structures, improving ischemia, and protecting the liver from damage induced by SARS-CoV-2 infection.</w:t>
      </w:r>
    </w:p>
    <w:p w14:paraId="53991D17" w14:textId="77777777" w:rsidR="00A77B3E" w:rsidRDefault="00266ABC" w:rsidP="001E2D0D">
      <w:pPr>
        <w:spacing w:line="360" w:lineRule="auto"/>
        <w:ind w:firstLineChars="100" w:firstLine="240"/>
        <w:jc w:val="both"/>
      </w:pPr>
      <w:r>
        <w:rPr>
          <w:rFonts w:ascii="Book Antiqua" w:eastAsia="Book Antiqua" w:hAnsi="Book Antiqua" w:cs="Book Antiqua"/>
          <w:color w:val="000000"/>
        </w:rPr>
        <w:t>Figure 3 shows reciprocal regulation between NRF2/redox-related genes and inflammatory mediators. In particular, upregulation of NRF2/HO-1 (HMOX1) may be an important strategy for the treatment of the liver damage caused by COVID-19.</w:t>
      </w:r>
    </w:p>
    <w:p w14:paraId="33FDCEFA" w14:textId="77777777" w:rsidR="00A77B3E" w:rsidRDefault="00A77B3E" w:rsidP="001E2D0D">
      <w:pPr>
        <w:spacing w:line="360" w:lineRule="auto"/>
        <w:jc w:val="both"/>
      </w:pPr>
    </w:p>
    <w:p w14:paraId="2AFA1B92" w14:textId="77777777" w:rsidR="00A77B3E" w:rsidRDefault="00266ABC">
      <w:pPr>
        <w:spacing w:line="360" w:lineRule="auto"/>
        <w:jc w:val="both"/>
      </w:pPr>
      <w:r>
        <w:rPr>
          <w:rFonts w:ascii="Book Antiqua" w:eastAsia="Book Antiqua" w:hAnsi="Book Antiqua" w:cs="Book Antiqua"/>
          <w:b/>
          <w:bCs/>
          <w:caps/>
          <w:color w:val="000000"/>
          <w:u w:val="single"/>
        </w:rPr>
        <w:t>NRF2-MYC IS A KEY TARGET FOR INFLAMMATORY MEDIATORS IN COVID-19-RELATED LIVER INJURY</w:t>
      </w:r>
    </w:p>
    <w:p w14:paraId="58008635" w14:textId="3F8B94CB" w:rsidR="00A77B3E" w:rsidRDefault="00266ABC">
      <w:pPr>
        <w:spacing w:line="360" w:lineRule="auto"/>
        <w:jc w:val="both"/>
      </w:pPr>
      <w:r>
        <w:rPr>
          <w:rFonts w:ascii="Book Antiqua" w:eastAsia="Book Antiqua" w:hAnsi="Book Antiqua" w:cs="Book Antiqua"/>
          <w:color w:val="000000"/>
        </w:rPr>
        <w:t>NRF2 consists of seven highly conserved domains, NRF2-ECH homology 1 (Neh1) to Neh7. Each of the Neh domains executes distinct functions</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18,19</w:t>
      </w:r>
      <w:r>
        <w:rPr>
          <w:rFonts w:ascii="Book Antiqua" w:eastAsia="Book Antiqua" w:hAnsi="Book Antiqua" w:cs="Book Antiqua"/>
          <w:color w:val="000000"/>
          <w:vertAlign w:val="superscript"/>
        </w:rPr>
        <w:t>]</w:t>
      </w:r>
      <w:r>
        <w:rPr>
          <w:rFonts w:ascii="Book Antiqua" w:eastAsia="Book Antiqua" w:hAnsi="Book Antiqua" w:cs="Book Antiqua"/>
          <w:color w:val="000000"/>
        </w:rPr>
        <w:t>. Neh1 is a CNC-bZIP domain that allows NRF2 to heterodimerize with small musculoaponeurotic fibrosarcoma (MAF) proteins (MAFF, MAFG, and MAFK)</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115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Under normal physiological conditions, NRF2 is degraded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ubiquitin-proteasome pathway in a KEAP1-dependent manner and maintained at a basal level</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36</w:t>
      </w:r>
      <w:r>
        <w:rPr>
          <w:rFonts w:ascii="Book Antiqua" w:eastAsia="Book Antiqua" w:hAnsi="Book Antiqua" w:cs="Book Antiqua"/>
          <w:color w:val="000000"/>
          <w:vertAlign w:val="superscript"/>
        </w:rPr>
        <w:t>]</w:t>
      </w:r>
      <w:r>
        <w:rPr>
          <w:rFonts w:ascii="Book Antiqua" w:eastAsia="Book Antiqua" w:hAnsi="Book Antiqua" w:cs="Book Antiqua"/>
          <w:color w:val="000000"/>
        </w:rPr>
        <w:t>. Under stress conditions, the cysteine residues in KEAP1 are modified when they are oxidized, causing the loss of its adaptor activity</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20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Then NRF2 is disengaged from the regulatory complex, </w:t>
      </w:r>
      <w:r w:rsidR="00DC15B0">
        <w:rPr>
          <w:rFonts w:ascii="Book Antiqua" w:eastAsia="Book Antiqua" w:hAnsi="Book Antiqua" w:cs="Book Antiqua"/>
          <w:color w:val="000000"/>
        </w:rPr>
        <w:t xml:space="preserve">is </w:t>
      </w:r>
      <w:r>
        <w:rPr>
          <w:rFonts w:ascii="Book Antiqua" w:eastAsia="Book Antiqua" w:hAnsi="Book Antiqua" w:cs="Book Antiqua"/>
          <w:color w:val="000000"/>
        </w:rPr>
        <w:t>phosphorylated</w:t>
      </w:r>
      <w:r w:rsidR="00DC15B0">
        <w:rPr>
          <w:rFonts w:ascii="Book Antiqua" w:eastAsia="Book Antiqua" w:hAnsi="Book Antiqua" w:cs="Book Antiqua"/>
          <w:color w:val="000000"/>
        </w:rPr>
        <w:t>,</w:t>
      </w:r>
      <w:r>
        <w:rPr>
          <w:rFonts w:ascii="Book Antiqua" w:eastAsia="Book Antiqua" w:hAnsi="Book Antiqua" w:cs="Book Antiqua"/>
          <w:color w:val="000000"/>
        </w:rPr>
        <w:t xml:space="preserve"> and accumulates in the nucleus, where it heterodimerizes with small MAF proteins and regulates ARE-driven genes</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115</w:t>
      </w:r>
      <w:r>
        <w:rPr>
          <w:rFonts w:ascii="Book Antiqua" w:eastAsia="Book Antiqua" w:hAnsi="Book Antiqua" w:cs="Book Antiqua"/>
          <w:color w:val="000000"/>
          <w:vertAlign w:val="superscript"/>
        </w:rPr>
        <w:t>]</w:t>
      </w:r>
      <w:r>
        <w:rPr>
          <w:rFonts w:ascii="Book Antiqua" w:eastAsia="Book Antiqua" w:hAnsi="Book Antiqua" w:cs="Book Antiqua"/>
          <w:color w:val="000000"/>
        </w:rPr>
        <w:t>. These proteins regulate transcription when they dimerize among themselves</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116,117</w:t>
      </w:r>
      <w:r>
        <w:rPr>
          <w:rFonts w:ascii="Book Antiqua" w:eastAsia="Book Antiqua" w:hAnsi="Book Antiqua" w:cs="Book Antiqua"/>
          <w:color w:val="000000"/>
          <w:vertAlign w:val="superscript"/>
        </w:rPr>
        <w:t>]</w:t>
      </w:r>
      <w:r>
        <w:rPr>
          <w:rFonts w:ascii="Book Antiqua" w:eastAsia="Book Antiqua" w:hAnsi="Book Antiqua" w:cs="Book Antiqua"/>
          <w:color w:val="000000"/>
        </w:rPr>
        <w:t>; that is, they seem to serve as transcriptional activators by dimerizing with other basic zipper proteins such as NFE2L2</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115</w:t>
      </w:r>
      <w:r>
        <w:rPr>
          <w:rFonts w:ascii="Book Antiqua" w:eastAsia="Book Antiqua" w:hAnsi="Book Antiqua" w:cs="Book Antiqua"/>
          <w:color w:val="000000"/>
          <w:vertAlign w:val="superscript"/>
        </w:rPr>
        <w:t>]</w:t>
      </w:r>
      <w:r>
        <w:rPr>
          <w:rFonts w:ascii="Book Antiqua" w:eastAsia="Book Antiqua" w:hAnsi="Book Antiqua" w:cs="Book Antiqua"/>
          <w:color w:val="000000"/>
        </w:rPr>
        <w:t>. The interaction of MAFG and NFE2L2 result</w:t>
      </w:r>
      <w:r w:rsidR="008C3A9E">
        <w:rPr>
          <w:rFonts w:ascii="Book Antiqua" w:eastAsia="Book Antiqua" w:hAnsi="Book Antiqua" w:cs="Book Antiqua"/>
          <w:color w:val="000000"/>
        </w:rPr>
        <w:t>s</w:t>
      </w:r>
      <w:r>
        <w:rPr>
          <w:rFonts w:ascii="Book Antiqua" w:eastAsia="Book Antiqua" w:hAnsi="Book Antiqua" w:cs="Book Antiqua"/>
          <w:color w:val="000000"/>
        </w:rPr>
        <w:t xml:space="preserve"> in activation of the ARE, which is present at the promoter-proximal region of many genes involved in </w:t>
      </w:r>
      <w:r w:rsidR="000F4D15">
        <w:rPr>
          <w:rFonts w:ascii="Book Antiqua" w:eastAsia="Book Antiqua" w:hAnsi="Book Antiqua" w:cs="Book Antiqua"/>
          <w:color w:val="000000"/>
        </w:rPr>
        <w:t xml:space="preserve">the </w:t>
      </w:r>
      <w:r>
        <w:rPr>
          <w:rFonts w:ascii="Book Antiqua" w:eastAsia="Book Antiqua" w:hAnsi="Book Antiqua" w:cs="Book Antiqua"/>
          <w:color w:val="000000"/>
        </w:rPr>
        <w:t>antioxidant defense and trigger</w:t>
      </w:r>
      <w:r w:rsidR="00BE079F">
        <w:rPr>
          <w:rFonts w:ascii="Book Antiqua" w:eastAsia="Book Antiqua" w:hAnsi="Book Antiqua" w:cs="Book Antiqua"/>
          <w:color w:val="000000"/>
        </w:rPr>
        <w:t>s</w:t>
      </w:r>
      <w:r>
        <w:rPr>
          <w:rFonts w:ascii="Book Antiqua" w:eastAsia="Book Antiqua" w:hAnsi="Book Antiqua" w:cs="Book Antiqua"/>
          <w:color w:val="000000"/>
        </w:rPr>
        <w:t xml:space="preserve"> the expression of certain genes</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115</w:t>
      </w:r>
      <w:r>
        <w:rPr>
          <w:rFonts w:ascii="Book Antiqua" w:eastAsia="Book Antiqua" w:hAnsi="Book Antiqua" w:cs="Book Antiqua"/>
          <w:color w:val="000000"/>
          <w:vertAlign w:val="superscript"/>
        </w:rPr>
        <w:t>]</w:t>
      </w:r>
      <w:r>
        <w:rPr>
          <w:rFonts w:ascii="Book Antiqua" w:eastAsia="Book Antiqua" w:hAnsi="Book Antiqua" w:cs="Book Antiqua"/>
          <w:color w:val="000000"/>
        </w:rPr>
        <w:t>. MAFG expression is induced by oxidative stressors, such as hydrogen peroxide and electrophilic compounds, increasing NRF2 and GSH expression and activating the NRF2-ARE pathway</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118</w:t>
      </w:r>
      <w:r>
        <w:rPr>
          <w:rFonts w:ascii="Book Antiqua" w:eastAsia="Book Antiqua" w:hAnsi="Book Antiqua" w:cs="Book Antiqua"/>
          <w:color w:val="000000"/>
          <w:vertAlign w:val="superscript"/>
        </w:rPr>
        <w:t>]</w:t>
      </w:r>
      <w:r>
        <w:rPr>
          <w:rFonts w:ascii="Book Antiqua" w:eastAsia="Book Antiqua" w:hAnsi="Book Antiqua" w:cs="Book Antiqua"/>
          <w:color w:val="000000"/>
        </w:rPr>
        <w:t>. NRF2 exert</w:t>
      </w:r>
      <w:r w:rsidR="001B0D30">
        <w:rPr>
          <w:rFonts w:ascii="Book Antiqua" w:eastAsia="Book Antiqua" w:hAnsi="Book Antiqua" w:cs="Book Antiqua"/>
          <w:color w:val="000000"/>
        </w:rPr>
        <w:t>s</w:t>
      </w:r>
      <w:r>
        <w:rPr>
          <w:rFonts w:ascii="Book Antiqua" w:eastAsia="Book Antiqua" w:hAnsi="Book Antiqua" w:cs="Book Antiqua"/>
          <w:color w:val="000000"/>
        </w:rPr>
        <w:t xml:space="preserve"> protective effects </w:t>
      </w:r>
      <w:r w:rsidR="001B0D30">
        <w:rPr>
          <w:rFonts w:ascii="Book Antiqua" w:eastAsia="Book Antiqua" w:hAnsi="Book Antiqua" w:cs="Book Antiqua"/>
          <w:color w:val="000000"/>
        </w:rPr>
        <w:t>o</w:t>
      </w:r>
      <w:r>
        <w:rPr>
          <w:rFonts w:ascii="Book Antiqua" w:eastAsia="Book Antiqua" w:hAnsi="Book Antiqua" w:cs="Book Antiqua"/>
          <w:color w:val="000000"/>
        </w:rPr>
        <w:t>n various liver diseases</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119,120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Therefore, NRF2 can also be a therapeutic target and NRF2 activators can also be used for the treatment of COVID-19-related liver injury. MAFG, as a molecular chaperone </w:t>
      </w:r>
      <w:r w:rsidR="00E0718B">
        <w:rPr>
          <w:rFonts w:ascii="Book Antiqua" w:eastAsia="Book Antiqua" w:hAnsi="Book Antiqua" w:cs="Book Antiqua"/>
          <w:color w:val="000000"/>
        </w:rPr>
        <w:t xml:space="preserve">is </w:t>
      </w:r>
      <w:r>
        <w:rPr>
          <w:rFonts w:ascii="Book Antiqua" w:eastAsia="Book Antiqua" w:hAnsi="Book Antiqua" w:cs="Book Antiqua"/>
          <w:color w:val="000000"/>
        </w:rPr>
        <w:t>required for the function of NRF2, may also be a target for the treatment of COVID-19-related liver injury.</w:t>
      </w:r>
    </w:p>
    <w:p w14:paraId="272974C0" w14:textId="444E5EB2" w:rsidR="00A77B3E" w:rsidRDefault="00266ABC" w:rsidP="001E2D0D">
      <w:pPr>
        <w:spacing w:line="360" w:lineRule="auto"/>
        <w:ind w:firstLineChars="100" w:firstLine="240"/>
        <w:jc w:val="both"/>
      </w:pPr>
      <w:r>
        <w:rPr>
          <w:rFonts w:ascii="Book Antiqua" w:eastAsia="Book Antiqua" w:hAnsi="Book Antiqua" w:cs="Book Antiqua"/>
          <w:color w:val="000000"/>
        </w:rPr>
        <w:t>C-MYC is a family of proto-oncogenes and encodes a nuclear phosphoprotein that plays roles in cell cycle progression, apoptosis, and cell transformation</w:t>
      </w:r>
      <w:r>
        <w:rPr>
          <w:rFonts w:ascii="Book Antiqua" w:eastAsia="Book Antiqua" w:hAnsi="Book Antiqua" w:cs="Book Antiqua"/>
          <w:color w:val="000000"/>
          <w:szCs w:val="30"/>
          <w:vertAlign w:val="superscript"/>
        </w:rPr>
        <w:t>[</w:t>
      </w:r>
      <w:r w:rsidR="00AE55CA">
        <w:rPr>
          <w:rFonts w:ascii="Book Antiqua" w:eastAsia="Book Antiqua" w:hAnsi="Book Antiqua" w:cs="Book Antiqua"/>
          <w:color w:val="000000"/>
          <w:szCs w:val="30"/>
          <w:vertAlign w:val="superscript"/>
        </w:rPr>
        <w:t>121</w:t>
      </w:r>
      <w:r>
        <w:rPr>
          <w:rFonts w:ascii="Book Antiqua" w:eastAsia="Book Antiqua" w:hAnsi="Book Antiqua" w:cs="Book Antiqua"/>
          <w:color w:val="000000"/>
          <w:vertAlign w:val="superscript"/>
        </w:rPr>
        <w:t>]</w:t>
      </w:r>
      <w:r>
        <w:rPr>
          <w:rFonts w:ascii="Book Antiqua" w:eastAsia="Book Antiqua" w:hAnsi="Book Antiqua" w:cs="Book Antiqua"/>
          <w:color w:val="000000"/>
        </w:rPr>
        <w:t>. MNT is a MAX network transcriptional repressor</w:t>
      </w:r>
      <w:r>
        <w:rPr>
          <w:rFonts w:ascii="Book Antiqua" w:eastAsia="Book Antiqua" w:hAnsi="Book Antiqua" w:cs="Book Antiqua"/>
          <w:color w:val="000000"/>
          <w:szCs w:val="30"/>
          <w:vertAlign w:val="superscript"/>
        </w:rPr>
        <w:t>[</w:t>
      </w:r>
      <w:r w:rsidR="00AE55CA">
        <w:rPr>
          <w:rFonts w:ascii="Book Antiqua" w:eastAsia="Book Antiqua" w:hAnsi="Book Antiqua" w:cs="Book Antiqua"/>
          <w:color w:val="000000"/>
          <w:szCs w:val="30"/>
          <w:vertAlign w:val="superscript"/>
        </w:rPr>
        <w:t>122</w:t>
      </w:r>
      <w:r>
        <w:rPr>
          <w:rFonts w:ascii="Book Antiqua" w:eastAsia="Book Antiqua" w:hAnsi="Book Antiqua" w:cs="Book Antiqua"/>
          <w:color w:val="000000"/>
          <w:vertAlign w:val="superscript"/>
        </w:rPr>
        <w:t>]</w:t>
      </w:r>
      <w:r>
        <w:rPr>
          <w:rFonts w:ascii="Book Antiqua" w:eastAsia="Book Antiqua" w:hAnsi="Book Antiqua" w:cs="Book Antiqua"/>
          <w:color w:val="000000"/>
        </w:rPr>
        <w:t>. C-MYC and MNT each have a basic helix-loop-helix-zipper domain (bHLHzip) with which they bind the canonical DNA sequence CACGTG, known as an E-box, following heterodimerization with MAX proteins. The protein complexes bind to the E</w:t>
      </w:r>
      <w:r w:rsidR="0063721F">
        <w:rPr>
          <w:rFonts w:ascii="Book Antiqua" w:eastAsia="Book Antiqua" w:hAnsi="Book Antiqua" w:cs="Book Antiqua"/>
          <w:color w:val="000000"/>
        </w:rPr>
        <w:t>-</w:t>
      </w:r>
      <w:r>
        <w:rPr>
          <w:rFonts w:ascii="Book Antiqua" w:eastAsia="Book Antiqua" w:hAnsi="Book Antiqua" w:cs="Book Antiqua"/>
          <w:color w:val="000000"/>
        </w:rPr>
        <w:t>box DNA sequence and regulate the transcription of specific target genes</w:t>
      </w:r>
      <w:r>
        <w:rPr>
          <w:rFonts w:ascii="Book Antiqua" w:eastAsia="Book Antiqua" w:hAnsi="Book Antiqua" w:cs="Book Antiqua"/>
          <w:color w:val="000000"/>
          <w:szCs w:val="30"/>
          <w:vertAlign w:val="superscript"/>
        </w:rPr>
        <w:t>[</w:t>
      </w:r>
      <w:r w:rsidR="00AE55CA">
        <w:rPr>
          <w:rFonts w:ascii="Book Antiqua" w:eastAsia="Book Antiqua" w:hAnsi="Book Antiqua" w:cs="Book Antiqua"/>
          <w:color w:val="000000"/>
          <w:szCs w:val="30"/>
          <w:vertAlign w:val="superscript"/>
        </w:rPr>
        <w:t>122</w:t>
      </w:r>
      <w:r>
        <w:rPr>
          <w:rFonts w:ascii="Book Antiqua" w:eastAsia="Book Antiqua" w:hAnsi="Book Antiqua" w:cs="Book Antiqua"/>
          <w:color w:val="000000"/>
          <w:vertAlign w:val="superscript"/>
        </w:rPr>
        <w:t>]</w:t>
      </w:r>
      <w:r>
        <w:rPr>
          <w:rFonts w:ascii="Book Antiqua" w:eastAsia="Book Antiqua" w:hAnsi="Book Antiqua" w:cs="Book Antiqua"/>
          <w:color w:val="000000"/>
        </w:rPr>
        <w:t>. The MYC-MAX and MNT-MAX networks comprise transcription factors that regulate gene-specific transcription</w:t>
      </w:r>
      <w:r>
        <w:rPr>
          <w:rFonts w:ascii="Book Antiqua" w:eastAsia="Book Antiqua" w:hAnsi="Book Antiqua" w:cs="Book Antiqua"/>
          <w:color w:val="000000"/>
          <w:szCs w:val="30"/>
          <w:vertAlign w:val="superscript"/>
        </w:rPr>
        <w:t>[</w:t>
      </w:r>
      <w:r w:rsidR="00AE55CA">
        <w:rPr>
          <w:rFonts w:ascii="Book Antiqua" w:eastAsia="Book Antiqua" w:hAnsi="Book Antiqua" w:cs="Book Antiqua"/>
          <w:color w:val="000000"/>
          <w:szCs w:val="30"/>
          <w:vertAlign w:val="superscript"/>
        </w:rPr>
        <w:t>122</w:t>
      </w:r>
      <w:r>
        <w:rPr>
          <w:rFonts w:ascii="Book Antiqua" w:eastAsia="Book Antiqua" w:hAnsi="Book Antiqua" w:cs="Book Antiqua"/>
          <w:color w:val="000000"/>
          <w:vertAlign w:val="superscript"/>
        </w:rPr>
        <w:t>]</w:t>
      </w:r>
      <w:r>
        <w:rPr>
          <w:rFonts w:ascii="Book Antiqua" w:eastAsia="Book Antiqua" w:hAnsi="Book Antiqua" w:cs="Book Antiqua"/>
          <w:color w:val="000000"/>
        </w:rPr>
        <w:t>. The heterodimer MNT-MAX is a transcriptional repressor, and the heterodimer MYC-MAX is a transcriptional activator</w:t>
      </w:r>
      <w:r>
        <w:rPr>
          <w:rFonts w:ascii="Book Antiqua" w:eastAsia="Book Antiqua" w:hAnsi="Book Antiqua" w:cs="Book Antiqua"/>
          <w:color w:val="000000"/>
          <w:szCs w:val="30"/>
          <w:vertAlign w:val="superscript"/>
        </w:rPr>
        <w:t>[</w:t>
      </w:r>
      <w:r w:rsidR="00AE55CA">
        <w:rPr>
          <w:rFonts w:ascii="Book Antiqua" w:eastAsia="Book Antiqua" w:hAnsi="Book Antiqua" w:cs="Book Antiqua"/>
          <w:color w:val="000000"/>
          <w:szCs w:val="30"/>
          <w:vertAlign w:val="superscript"/>
        </w:rPr>
        <w:t>123-125</w:t>
      </w:r>
      <w:r>
        <w:rPr>
          <w:rFonts w:ascii="Book Antiqua" w:eastAsia="Book Antiqua" w:hAnsi="Book Antiqua" w:cs="Book Antiqua"/>
          <w:color w:val="000000"/>
          <w:vertAlign w:val="superscript"/>
        </w:rPr>
        <w:t>]</w:t>
      </w:r>
      <w:r>
        <w:rPr>
          <w:rFonts w:ascii="Book Antiqua" w:eastAsia="Book Antiqua" w:hAnsi="Book Antiqua" w:cs="Book Antiqua"/>
          <w:color w:val="000000"/>
        </w:rPr>
        <w:t>. We also reported that c-MYC can interact with NRF2 to repress NRF2-mediated transactivation of the ARE</w:t>
      </w:r>
      <w:r>
        <w:rPr>
          <w:rFonts w:ascii="Book Antiqua" w:eastAsia="Book Antiqua" w:hAnsi="Book Antiqua" w:cs="Book Antiqua"/>
          <w:color w:val="000000"/>
          <w:szCs w:val="30"/>
          <w:vertAlign w:val="superscript"/>
        </w:rPr>
        <w:t>[</w:t>
      </w:r>
      <w:r w:rsidR="00AE55CA">
        <w:rPr>
          <w:rFonts w:ascii="Book Antiqua" w:eastAsia="Book Antiqua" w:hAnsi="Book Antiqua" w:cs="Book Antiqua"/>
          <w:color w:val="000000"/>
          <w:szCs w:val="30"/>
          <w:vertAlign w:val="superscript"/>
        </w:rPr>
        <w:t>126</w:t>
      </w:r>
      <w:r>
        <w:rPr>
          <w:rFonts w:ascii="Book Antiqua" w:eastAsia="Book Antiqua" w:hAnsi="Book Antiqua" w:cs="Book Antiqua"/>
          <w:color w:val="000000"/>
          <w:vertAlign w:val="superscript"/>
        </w:rPr>
        <w:t>]</w:t>
      </w:r>
      <w:r>
        <w:rPr>
          <w:rFonts w:ascii="Book Antiqua" w:eastAsia="Book Antiqua" w:hAnsi="Book Antiqua" w:cs="Book Antiqua"/>
          <w:color w:val="000000"/>
        </w:rPr>
        <w:t>. Their interaction may regulate the oxidative stress pathway. An IPA showed the interactions among NFE2L2/MAF/MYC/MNT and inflammatory mediators. NRF2/MYC/MNT/MAFG are involved with inflammatory mediators IL10, IL1A, IL1B, IL36G, IL4, IL5, IL6, IFNG, IFNG, CXCL8, VCAM1, TNF, TGF-β, SPP1 and MST1R (Figure 4).</w:t>
      </w:r>
    </w:p>
    <w:p w14:paraId="7C70A6E3" w14:textId="15D98727" w:rsidR="00A77B3E" w:rsidRDefault="00266ABC" w:rsidP="00AE55CA">
      <w:pPr>
        <w:spacing w:line="360" w:lineRule="auto"/>
        <w:ind w:firstLineChars="100" w:firstLine="240"/>
        <w:jc w:val="both"/>
      </w:pPr>
      <w:r>
        <w:rPr>
          <w:rFonts w:ascii="Book Antiqua" w:eastAsia="Book Antiqua" w:hAnsi="Book Antiqua" w:cs="Book Antiqua"/>
          <w:color w:val="000000"/>
        </w:rPr>
        <w:t>Upon analys</w:t>
      </w:r>
      <w:r w:rsidR="00B105B9">
        <w:rPr>
          <w:rFonts w:ascii="Book Antiqua" w:eastAsia="Book Antiqua" w:hAnsi="Book Antiqua" w:cs="Book Antiqua"/>
          <w:color w:val="000000"/>
        </w:rPr>
        <w:t>e</w:t>
      </w:r>
      <w:r>
        <w:rPr>
          <w:rFonts w:ascii="Book Antiqua" w:eastAsia="Book Antiqua" w:hAnsi="Book Antiqua" w:cs="Book Antiqua"/>
          <w:color w:val="000000"/>
        </w:rPr>
        <w:t xml:space="preserve">s of a protein-protein interaction network with 65 intersecting targets, </w:t>
      </w:r>
      <w:r w:rsidR="0063721F">
        <w:rPr>
          <w:rFonts w:ascii="Book Antiqua" w:eastAsia="Book Antiqua" w:hAnsi="Book Antiqua" w:cs="Book Antiqua"/>
          <w:color w:val="000000"/>
        </w:rPr>
        <w:t>c-</w:t>
      </w:r>
      <w:r>
        <w:rPr>
          <w:rFonts w:ascii="Book Antiqua" w:eastAsia="Book Antiqua" w:hAnsi="Book Antiqua" w:cs="Book Antiqua"/>
          <w:color w:val="000000"/>
        </w:rPr>
        <w:t>MYC was found to be one of the core targets for COVID-19 treatment</w:t>
      </w:r>
      <w:r>
        <w:rPr>
          <w:rFonts w:ascii="Book Antiqua" w:eastAsia="Book Antiqua" w:hAnsi="Book Antiqua" w:cs="Book Antiqua"/>
          <w:color w:val="000000"/>
          <w:szCs w:val="30"/>
          <w:vertAlign w:val="superscript"/>
        </w:rPr>
        <w:t>[</w:t>
      </w:r>
      <w:r w:rsidR="00AE55CA">
        <w:rPr>
          <w:rFonts w:ascii="Book Antiqua" w:eastAsia="Book Antiqua" w:hAnsi="Book Antiqua" w:cs="Book Antiqua"/>
          <w:color w:val="000000"/>
          <w:szCs w:val="30"/>
          <w:vertAlign w:val="superscript"/>
        </w:rPr>
        <w:t>127</w:t>
      </w:r>
      <w:r>
        <w:rPr>
          <w:rFonts w:ascii="Book Antiqua" w:eastAsia="Book Antiqua" w:hAnsi="Book Antiqua" w:cs="Book Antiqua"/>
          <w:color w:val="000000"/>
          <w:vertAlign w:val="superscript"/>
        </w:rPr>
        <w:t>]</w:t>
      </w:r>
      <w:r>
        <w:rPr>
          <w:rFonts w:ascii="Book Antiqua" w:eastAsia="Book Antiqua" w:hAnsi="Book Antiqua" w:cs="Book Antiqua"/>
          <w:color w:val="000000"/>
        </w:rPr>
        <w:t>. MAFG and c-MYC are upregulated and MNT is downregulated in liver injury</w:t>
      </w:r>
      <w:r>
        <w:rPr>
          <w:rFonts w:ascii="Book Antiqua" w:eastAsia="Book Antiqua" w:hAnsi="Book Antiqua" w:cs="Book Antiqua"/>
          <w:color w:val="000000"/>
          <w:szCs w:val="30"/>
          <w:vertAlign w:val="superscript"/>
        </w:rPr>
        <w:t>[</w:t>
      </w:r>
      <w:r w:rsidR="00AE55CA">
        <w:rPr>
          <w:rFonts w:ascii="Book Antiqua" w:eastAsia="Book Antiqua" w:hAnsi="Book Antiqua" w:cs="Book Antiqua"/>
          <w:color w:val="000000"/>
          <w:szCs w:val="30"/>
          <w:vertAlign w:val="superscript"/>
        </w:rPr>
        <w:t>125,128</w:t>
      </w:r>
      <w:r>
        <w:rPr>
          <w:rFonts w:ascii="Book Antiqua" w:eastAsia="Book Antiqua" w:hAnsi="Book Antiqua" w:cs="Book Antiqua"/>
          <w:color w:val="000000"/>
          <w:vertAlign w:val="superscript"/>
        </w:rPr>
        <w:t>]</w:t>
      </w:r>
      <w:r>
        <w:rPr>
          <w:rFonts w:ascii="Book Antiqua" w:eastAsia="Book Antiqua" w:hAnsi="Book Antiqua" w:cs="Book Antiqua"/>
          <w:color w:val="000000"/>
        </w:rPr>
        <w:t>. MAX directly interacts with the c-MYC, MAFG, MNT</w:t>
      </w:r>
      <w:r w:rsidR="00B105B9">
        <w:rPr>
          <w:rFonts w:ascii="Book Antiqua" w:eastAsia="Book Antiqua" w:hAnsi="Book Antiqua" w:cs="Book Antiqua"/>
          <w:color w:val="000000"/>
        </w:rPr>
        <w:t>,</w:t>
      </w:r>
      <w:r>
        <w:rPr>
          <w:rFonts w:ascii="Book Antiqua" w:eastAsia="Book Antiqua" w:hAnsi="Book Antiqua" w:cs="Book Antiqua"/>
          <w:color w:val="000000"/>
        </w:rPr>
        <w:t xml:space="preserve"> and NRF2 proteins, wh</w:t>
      </w:r>
      <w:r w:rsidR="00B105B9">
        <w:rPr>
          <w:rFonts w:ascii="Book Antiqua" w:eastAsia="Book Antiqua" w:hAnsi="Book Antiqua" w:cs="Book Antiqua"/>
          <w:color w:val="000000"/>
        </w:rPr>
        <w:t>ereas</w:t>
      </w:r>
      <w:r>
        <w:rPr>
          <w:rFonts w:ascii="Book Antiqua" w:eastAsia="Book Antiqua" w:hAnsi="Book Antiqua" w:cs="Book Antiqua"/>
          <w:color w:val="000000"/>
        </w:rPr>
        <w:t xml:space="preserve"> c-MYC and MAFG interact with NRF2. As shown in Figure 5, these complexes bind to the E</w:t>
      </w:r>
      <w:r w:rsidR="00AE55CA">
        <w:rPr>
          <w:rFonts w:ascii="Book Antiqua" w:eastAsia="Book Antiqua" w:hAnsi="Book Antiqua" w:cs="Book Antiqua"/>
          <w:color w:val="000000"/>
        </w:rPr>
        <w:t>-</w:t>
      </w:r>
      <w:r>
        <w:rPr>
          <w:rFonts w:ascii="Book Antiqua" w:eastAsia="Book Antiqua" w:hAnsi="Book Antiqua" w:cs="Book Antiqua"/>
          <w:color w:val="000000"/>
        </w:rPr>
        <w:t xml:space="preserve">box region in the promoters of the c‐MYC and MAFG genes, leading to gene activation. The complexes can also bind to AREs, leading to the dysregulation of the following genes: TXN-related genes (TXN, TXNrd1, and Srxn1); ROS and xenobiotic detoxification-related genes (GSTA1/2 and GSTM1/2/3), GSTP1, and Nqo1); </w:t>
      </w:r>
      <w:r w:rsidR="00C52D48">
        <w:rPr>
          <w:rFonts w:ascii="Book Antiqua" w:eastAsia="Book Antiqua" w:hAnsi="Book Antiqua" w:cs="Book Antiqua"/>
          <w:color w:val="000000"/>
        </w:rPr>
        <w:t>h</w:t>
      </w:r>
      <w:r>
        <w:rPr>
          <w:rFonts w:ascii="Book Antiqua" w:eastAsia="Book Antiqua" w:hAnsi="Book Antiqua" w:cs="Book Antiqua"/>
          <w:color w:val="000000"/>
        </w:rPr>
        <w:t>eme and ion metabolism-related genes (HMOX1 or HO-1, Ft1, and Fth); NADPH regeneration-related genes (G6pD, PgD, IDH1 and Me1); and GSH production-related genes (XCT, GCLC, GCLM, and GSR1). This gene dysregulation may lead to COVID-19-related cytokine storm and liver injury.</w:t>
      </w:r>
    </w:p>
    <w:p w14:paraId="08BF5B10" w14:textId="77777777" w:rsidR="00A77B3E" w:rsidRDefault="00A77B3E" w:rsidP="00AE55CA">
      <w:pPr>
        <w:spacing w:line="360" w:lineRule="auto"/>
        <w:jc w:val="both"/>
      </w:pPr>
    </w:p>
    <w:p w14:paraId="30152D62" w14:textId="2EA03F95" w:rsidR="00A77B3E" w:rsidRDefault="00266ABC">
      <w:pPr>
        <w:spacing w:line="360" w:lineRule="auto"/>
        <w:jc w:val="both"/>
      </w:pPr>
      <w:r>
        <w:rPr>
          <w:rFonts w:ascii="Book Antiqua" w:eastAsia="Book Antiqua" w:hAnsi="Book Antiqua" w:cs="Book Antiqua"/>
          <w:b/>
          <w:bCs/>
          <w:caps/>
          <w:color w:val="000000"/>
          <w:u w:val="single"/>
        </w:rPr>
        <w:t>SEVERITY OF LIVER INJURY IN TERMS OF ADVERSE OUTCOME</w:t>
      </w:r>
      <w:r w:rsidR="00985800">
        <w:rPr>
          <w:rFonts w:ascii="Book Antiqua" w:eastAsia="Book Antiqua" w:hAnsi="Book Antiqua" w:cs="Book Antiqua"/>
          <w:b/>
          <w:bCs/>
          <w:caps/>
          <w:color w:val="000000"/>
          <w:u w:val="single"/>
        </w:rPr>
        <w:t>S</w:t>
      </w:r>
      <w:r>
        <w:rPr>
          <w:rFonts w:ascii="Book Antiqua" w:eastAsia="Book Antiqua" w:hAnsi="Book Antiqua" w:cs="Book Antiqua"/>
          <w:b/>
          <w:bCs/>
          <w:caps/>
          <w:color w:val="000000"/>
          <w:u w:val="single"/>
        </w:rPr>
        <w:t xml:space="preserve"> OF SARS-CoV-2 INFECTION</w:t>
      </w:r>
    </w:p>
    <w:p w14:paraId="377AE7C3" w14:textId="1B6BE6B9" w:rsidR="00A77B3E" w:rsidRDefault="00266ABC">
      <w:pPr>
        <w:spacing w:line="360" w:lineRule="auto"/>
        <w:jc w:val="both"/>
      </w:pPr>
      <w:r>
        <w:rPr>
          <w:rFonts w:ascii="Book Antiqua" w:eastAsia="Book Antiqua" w:hAnsi="Book Antiqua" w:cs="Book Antiqua"/>
          <w:color w:val="000000"/>
        </w:rPr>
        <w:t xml:space="preserve">Alanine aminotransferase (ALT) was selected to represent liver injury rather than aspartate aminotransferase (AST) because the sources of extrahepatic AST are very common, including the heart and skeletal </w:t>
      </w:r>
      <w:r w:rsidR="00FB6E4A">
        <w:rPr>
          <w:rFonts w:ascii="Book Antiqua" w:eastAsia="Book Antiqua" w:hAnsi="Book Antiqua" w:cs="Book Antiqua"/>
          <w:color w:val="000000"/>
        </w:rPr>
        <w:t xml:space="preserve">muscle </w:t>
      </w:r>
      <w:r>
        <w:rPr>
          <w:rFonts w:ascii="Book Antiqua" w:eastAsia="Book Antiqua" w:hAnsi="Book Antiqua" w:cs="Book Antiqua"/>
          <w:color w:val="000000"/>
        </w:rPr>
        <w:t>during related muscle breakdown. Therefore, in patients infected with SAR-CoV-2, we classified liver damage into normal/mild (&lt;</w:t>
      </w:r>
      <w:r w:rsidR="00AE55CA">
        <w:rPr>
          <w:rFonts w:ascii="Book Antiqua" w:eastAsia="Book Antiqua" w:hAnsi="Book Antiqua" w:cs="Book Antiqua"/>
          <w:color w:val="000000"/>
        </w:rPr>
        <w:t xml:space="preserve"> </w:t>
      </w:r>
      <w:r>
        <w:rPr>
          <w:rFonts w:ascii="Book Antiqua" w:eastAsia="Book Antiqua" w:hAnsi="Book Antiqua" w:cs="Book Antiqua"/>
          <w:color w:val="000000"/>
        </w:rPr>
        <w:t xml:space="preserve">2 fold </w:t>
      </w:r>
      <w:r w:rsidR="00EE7A2E">
        <w:rPr>
          <w:rFonts w:ascii="Book Antiqua" w:hAnsi="Book Antiqua"/>
        </w:rPr>
        <w:t>t</w:t>
      </w:r>
      <w:r w:rsidR="00EE7A2E" w:rsidRPr="00EE7A2E">
        <w:rPr>
          <w:rFonts w:ascii="Book Antiqua" w:hAnsi="Book Antiqua"/>
        </w:rPr>
        <w:t>he upper limit of normal</w:t>
      </w:r>
      <w:r w:rsidR="00EE7A2E">
        <w:rPr>
          <w:rFonts w:ascii="Book Antiqua" w:hAnsi="Book Antiqua"/>
        </w:rPr>
        <w:t>,</w:t>
      </w:r>
      <w:r w:rsidR="00EE7A2E">
        <w:rPr>
          <w:rFonts w:ascii="Book Antiqua" w:eastAsia="Book Antiqua" w:hAnsi="Book Antiqua" w:cs="Book Antiqua"/>
          <w:color w:val="000000"/>
        </w:rPr>
        <w:t xml:space="preserve"> </w:t>
      </w:r>
      <w:r w:rsidR="002F39EF">
        <w:rPr>
          <w:rFonts w:ascii="Book Antiqua" w:eastAsia="Book Antiqua" w:hAnsi="Book Antiqua" w:cs="Book Antiqua"/>
          <w:color w:val="000000"/>
        </w:rPr>
        <w:t>upper limit of normal [</w:t>
      </w:r>
      <w:r>
        <w:rPr>
          <w:rFonts w:ascii="Book Antiqua" w:eastAsia="Book Antiqua" w:hAnsi="Book Antiqua" w:cs="Book Antiqua"/>
          <w:color w:val="000000"/>
        </w:rPr>
        <w:t>ULN</w:t>
      </w:r>
      <w:r w:rsidR="002F39EF">
        <w:rPr>
          <w:rFonts w:ascii="Book Antiqua" w:eastAsia="Book Antiqua" w:hAnsi="Book Antiqua" w:cs="Book Antiqua"/>
          <w:color w:val="000000"/>
        </w:rPr>
        <w:t>]</w:t>
      </w:r>
      <w:r>
        <w:rPr>
          <w:rFonts w:ascii="Book Antiqua" w:eastAsia="Book Antiqua" w:hAnsi="Book Antiqua" w:cs="Book Antiqua"/>
          <w:color w:val="000000"/>
        </w:rPr>
        <w:t>), moderate (2</w:t>
      </w:r>
      <w:r w:rsidR="00AA5213">
        <w:rPr>
          <w:rFonts w:ascii="Book Antiqua" w:eastAsia="Book Antiqua" w:hAnsi="Book Antiqua" w:cs="Book Antiqua"/>
          <w:color w:val="000000"/>
        </w:rPr>
        <w:t xml:space="preserve">- to </w:t>
      </w:r>
      <w:r>
        <w:rPr>
          <w:rFonts w:ascii="Book Antiqua" w:eastAsia="Book Antiqua" w:hAnsi="Book Antiqua" w:cs="Book Antiqua"/>
          <w:color w:val="000000"/>
        </w:rPr>
        <w:t>5</w:t>
      </w:r>
      <w:r w:rsidR="00AA5213">
        <w:rPr>
          <w:rFonts w:ascii="Book Antiqua" w:eastAsia="Book Antiqua" w:hAnsi="Book Antiqua" w:cs="Book Antiqua"/>
          <w:color w:val="000000"/>
        </w:rPr>
        <w:t>-</w:t>
      </w:r>
      <w:r>
        <w:rPr>
          <w:rFonts w:ascii="Book Antiqua" w:eastAsia="Book Antiqua" w:hAnsi="Book Antiqua" w:cs="Book Antiqua"/>
          <w:color w:val="000000"/>
        </w:rPr>
        <w:t>fold ULN), and severe (&gt;</w:t>
      </w:r>
      <w:r w:rsidR="00AE55CA">
        <w:rPr>
          <w:rFonts w:ascii="Book Antiqua" w:eastAsia="Book Antiqua" w:hAnsi="Book Antiqua" w:cs="Book Antiqua"/>
          <w:color w:val="000000"/>
        </w:rPr>
        <w:t xml:space="preserve"> </w:t>
      </w:r>
      <w:r>
        <w:rPr>
          <w:rFonts w:ascii="Book Antiqua" w:eastAsia="Book Antiqua" w:hAnsi="Book Antiqua" w:cs="Book Antiqua"/>
          <w:color w:val="000000"/>
        </w:rPr>
        <w:t>5 fold ULN) according to the degree of ALT elevation (Table 2)</w:t>
      </w:r>
      <w:r>
        <w:rPr>
          <w:rFonts w:ascii="Book Antiqua" w:eastAsia="Book Antiqua" w:hAnsi="Book Antiqua" w:cs="Book Antiqua"/>
          <w:color w:val="000000"/>
          <w:szCs w:val="30"/>
          <w:vertAlign w:val="superscript"/>
        </w:rPr>
        <w:t>[129]</w:t>
      </w:r>
      <w:r>
        <w:rPr>
          <w:rFonts w:ascii="Book Antiqua" w:eastAsia="Book Antiqua" w:hAnsi="Book Antiqua" w:cs="Book Antiqua"/>
          <w:color w:val="000000"/>
        </w:rPr>
        <w:t>.</w:t>
      </w:r>
    </w:p>
    <w:p w14:paraId="0119F18B" w14:textId="015571C1" w:rsidR="00A77B3E" w:rsidRDefault="00266ABC" w:rsidP="00AE55CA">
      <w:pPr>
        <w:spacing w:line="360" w:lineRule="auto"/>
        <w:ind w:firstLineChars="100" w:firstLine="240"/>
        <w:jc w:val="both"/>
      </w:pPr>
      <w:r>
        <w:rPr>
          <w:rFonts w:ascii="Book Antiqua" w:eastAsia="Book Antiqua" w:hAnsi="Book Antiqua" w:cs="Book Antiqua"/>
          <w:color w:val="000000"/>
        </w:rPr>
        <w:t>Normal and mild liver injury account for the largest proportion (60</w:t>
      </w:r>
      <w:r w:rsidR="00AE55CA">
        <w:rPr>
          <w:rFonts w:ascii="Book Antiqua" w:eastAsia="Book Antiqua" w:hAnsi="Book Antiqua" w:cs="Book Antiqua"/>
          <w:color w:val="000000"/>
        </w:rPr>
        <w:t>%</w:t>
      </w:r>
      <w:r>
        <w:rPr>
          <w:rFonts w:ascii="Book Antiqua" w:eastAsia="Book Antiqua" w:hAnsi="Book Antiqua" w:cs="Book Antiqua"/>
          <w:color w:val="000000"/>
        </w:rPr>
        <w:t xml:space="preserve">-90%) of SAR-CoV-2-infected patients. Severe liver injury accounts for less than 20% of these patients. In addition, moderate to severe liver injury is more common in patients requiring </w:t>
      </w:r>
      <w:bookmarkStart w:id="0" w:name="_Hlk61020711"/>
      <w:r w:rsidR="00AE55CA" w:rsidRPr="00045CA0">
        <w:rPr>
          <w:rFonts w:ascii="Book Antiqua" w:eastAsia="Book Antiqua" w:hAnsi="Book Antiqua" w:cs="Book Antiqua"/>
          <w:color w:val="000000"/>
        </w:rPr>
        <w:t>intensive care unit</w:t>
      </w:r>
      <w:bookmarkEnd w:id="0"/>
      <w:r w:rsidR="00AE55CA">
        <w:rPr>
          <w:rFonts w:ascii="Book Antiqua" w:eastAsia="Book Antiqua" w:hAnsi="Book Antiqua" w:cs="Book Antiqua"/>
          <w:color w:val="000000"/>
        </w:rPr>
        <w:t xml:space="preserve"> (</w:t>
      </w:r>
      <w:r>
        <w:rPr>
          <w:rFonts w:ascii="Book Antiqua" w:eastAsia="Book Antiqua" w:hAnsi="Book Antiqua" w:cs="Book Antiqua"/>
          <w:color w:val="000000"/>
        </w:rPr>
        <w:t>ICU</w:t>
      </w:r>
      <w:r w:rsidR="00AE55CA">
        <w:rPr>
          <w:rFonts w:ascii="Book Antiqua" w:eastAsia="Book Antiqua" w:hAnsi="Book Antiqua" w:cs="Book Antiqua"/>
          <w:color w:val="000000"/>
        </w:rPr>
        <w:t>)</w:t>
      </w:r>
      <w:r>
        <w:rPr>
          <w:rFonts w:ascii="Book Antiqua" w:eastAsia="Book Antiqua" w:hAnsi="Book Antiqua" w:cs="Book Antiqua"/>
          <w:color w:val="000000"/>
        </w:rPr>
        <w:t xml:space="preserve"> care. However, in general, the most common liver injury is mild liver injury, and the degree of liver injury is independently related to the occurrence of end events (ICU admission, death, mechanical injury)</w:t>
      </w:r>
      <w:r>
        <w:rPr>
          <w:rFonts w:ascii="Book Antiqua" w:eastAsia="Book Antiqua" w:hAnsi="Book Antiqua" w:cs="Book Antiqua"/>
          <w:color w:val="000000"/>
          <w:szCs w:val="30"/>
          <w:vertAlign w:val="superscript"/>
        </w:rPr>
        <w:t>[129-131]</w:t>
      </w:r>
      <w:r>
        <w:rPr>
          <w:rFonts w:ascii="Book Antiqua" w:eastAsia="Book Antiqua" w:hAnsi="Book Antiqua" w:cs="Book Antiqua"/>
          <w:color w:val="000000"/>
        </w:rPr>
        <w:t>. Only 5% of COVID-19 patients acquire severe liver damage</w:t>
      </w:r>
      <w:r>
        <w:rPr>
          <w:rFonts w:ascii="Book Antiqua" w:eastAsia="Book Antiqua" w:hAnsi="Book Antiqua" w:cs="Book Antiqua"/>
          <w:color w:val="000000"/>
          <w:szCs w:val="30"/>
          <w:vertAlign w:val="superscript"/>
        </w:rPr>
        <w:t>[132]</w:t>
      </w:r>
      <w:r>
        <w:rPr>
          <w:rFonts w:ascii="Book Antiqua" w:eastAsia="Book Antiqua" w:hAnsi="Book Antiqua" w:cs="Book Antiqua"/>
          <w:color w:val="000000"/>
        </w:rPr>
        <w:t xml:space="preserve">. </w:t>
      </w:r>
      <w:r w:rsidR="002F39EF">
        <w:rPr>
          <w:rFonts w:ascii="Book Antiqua" w:eastAsia="Book Antiqua" w:hAnsi="Book Antiqua" w:cs="Book Antiqua"/>
          <w:color w:val="000000"/>
        </w:rPr>
        <w:t>T</w:t>
      </w:r>
      <w:r>
        <w:rPr>
          <w:rFonts w:ascii="Book Antiqua" w:eastAsia="Book Antiqua" w:hAnsi="Book Antiqua" w:cs="Book Antiqua"/>
          <w:color w:val="000000"/>
        </w:rPr>
        <w:t xml:space="preserve">he Cai </w:t>
      </w:r>
      <w:r>
        <w:rPr>
          <w:rFonts w:ascii="Book Antiqua" w:eastAsia="Book Antiqua" w:hAnsi="Book Antiqua" w:cs="Book Antiqua"/>
          <w:i/>
          <w:iCs/>
          <w:color w:val="000000"/>
        </w:rPr>
        <w:t>et al</w:t>
      </w:r>
      <w:r w:rsidR="00AE55CA">
        <w:rPr>
          <w:rFonts w:ascii="Book Antiqua" w:eastAsia="Book Antiqua" w:hAnsi="Book Antiqua" w:cs="Book Antiqua"/>
          <w:color w:val="000000"/>
          <w:szCs w:val="30"/>
          <w:vertAlign w:val="superscript"/>
        </w:rPr>
        <w:t>[133]</w:t>
      </w:r>
      <w:r>
        <w:rPr>
          <w:rFonts w:ascii="Book Antiqua" w:eastAsia="Book Antiqua" w:hAnsi="Book Antiqua" w:cs="Book Antiqua"/>
          <w:color w:val="000000"/>
        </w:rPr>
        <w:t xml:space="preserve"> study</w:t>
      </w:r>
      <w:r w:rsidR="002F39EF">
        <w:rPr>
          <w:rFonts w:ascii="Book Antiqua" w:eastAsia="Book Antiqua" w:hAnsi="Book Antiqua" w:cs="Book Antiqua"/>
          <w:color w:val="000000"/>
        </w:rPr>
        <w:t xml:space="preserve"> showed that</w:t>
      </w:r>
      <w:r>
        <w:rPr>
          <w:rFonts w:ascii="Book Antiqua" w:eastAsia="Book Antiqua" w:hAnsi="Book Antiqua" w:cs="Book Antiqua"/>
          <w:color w:val="000000"/>
        </w:rPr>
        <w:t xml:space="preserve"> the incidence of liver injury in hospitals was higher than that at the time of admission. For these patients, few other factors affected liver test abnormalities, such as potential liver disease or drug use. Therefore, it can be speculated that the occurrence of liver damage is caused by COVID-19. Zhao </w:t>
      </w:r>
      <w:r>
        <w:rPr>
          <w:rFonts w:ascii="Book Antiqua" w:eastAsia="Book Antiqua" w:hAnsi="Book Antiqua" w:cs="Book Antiqua"/>
          <w:i/>
          <w:iCs/>
          <w:color w:val="000000"/>
        </w:rPr>
        <w:t>et al</w:t>
      </w:r>
      <w:r w:rsidR="00AE55CA">
        <w:rPr>
          <w:rFonts w:ascii="Book Antiqua" w:eastAsia="Book Antiqua" w:hAnsi="Book Antiqua" w:cs="Book Antiqua"/>
          <w:color w:val="000000"/>
          <w:szCs w:val="30"/>
          <w:vertAlign w:val="superscript"/>
        </w:rPr>
        <w:t>[134]</w:t>
      </w:r>
      <w:r>
        <w:rPr>
          <w:rFonts w:ascii="Book Antiqua" w:eastAsia="Book Antiqua" w:hAnsi="Book Antiqua" w:cs="Book Antiqua"/>
          <w:color w:val="000000"/>
        </w:rPr>
        <w:t xml:space="preserve"> compared patients with mild COVID-19 systems with non</w:t>
      </w:r>
      <w:r w:rsidR="0020389F">
        <w:rPr>
          <w:rFonts w:ascii="Book Antiqua" w:eastAsia="Book Antiqua" w:hAnsi="Book Antiqua" w:cs="Book Antiqua"/>
          <w:color w:val="000000"/>
        </w:rPr>
        <w:t>-</w:t>
      </w:r>
      <w:r>
        <w:rPr>
          <w:rFonts w:ascii="Book Antiqua" w:eastAsia="Book Antiqua" w:hAnsi="Book Antiqua" w:cs="Book Antiqua"/>
          <w:color w:val="000000"/>
        </w:rPr>
        <w:t xml:space="preserve">infected patients. The absolute value of lymphocyte level differences in the two groups was low, and there was no difference in C-reactive protein or IL-6 </w:t>
      </w:r>
      <w:r w:rsidR="00AE55CA">
        <w:rPr>
          <w:rFonts w:ascii="Book Antiqua" w:eastAsia="Book Antiqua" w:hAnsi="Book Antiqua" w:cs="Book Antiqua"/>
          <w:color w:val="000000"/>
        </w:rPr>
        <w:t>l</w:t>
      </w:r>
      <w:r>
        <w:rPr>
          <w:rFonts w:ascii="Book Antiqua" w:eastAsia="Book Antiqua" w:hAnsi="Book Antiqua" w:cs="Book Antiqua"/>
          <w:color w:val="000000"/>
        </w:rPr>
        <w:t>evel. ALT was not elevated in patients with pneumonia unrelated to COVID-19 when they were admitted to the hospital, but it was elevated in 28% of COVID-19 patients. Compared with the general inflammation caused by other pathogens, the specific inflammation caused by COVID-19 is more likely to cause abnormal liver function. Additionally, severe liver damage caused by SARS-CoV-2 infection is associated with serum inflammatory markers (white blood cell count and neutrophil-to-lymphocyte ratio are significantly higher). Age, hypertension, and the presence of diabetes are negatively correlated with severe liver damage in COVID-19 patients</w:t>
      </w:r>
      <w:r>
        <w:rPr>
          <w:rFonts w:ascii="Book Antiqua" w:eastAsia="Book Antiqua" w:hAnsi="Book Antiqua" w:cs="Book Antiqua"/>
          <w:color w:val="000000"/>
          <w:vertAlign w:val="superscript"/>
        </w:rPr>
        <w:t>[129]</w:t>
      </w:r>
      <w:r>
        <w:rPr>
          <w:rFonts w:ascii="Book Antiqua" w:eastAsia="Book Antiqua" w:hAnsi="Book Antiqua" w:cs="Book Antiqua"/>
          <w:color w:val="000000"/>
        </w:rPr>
        <w:t>. It can be speculated that young patients may have a stronger immune and inflammatory response to infection, which may lead to more severe liver damage. In other words, the inflammatory response can cause liver damage and determine the degree of liver damage. Therefore, inflammation plays an important role in the development of liver injury induced by COVID-19. Because of the individual response to the virus, different patients may exhibit different degrees of liver injury; therefore, it is necessary to grade the degree of liver injury. We described the anti-inflammatory effect of NRF2 above, which is of great benefit to the prevention or treatment of COVID-19-mediated liver injury, and is also crucial for improving the prognosis of patients.</w:t>
      </w:r>
    </w:p>
    <w:p w14:paraId="5B5422D5" w14:textId="77777777" w:rsidR="00A77B3E" w:rsidRDefault="00A77B3E" w:rsidP="00AE55CA">
      <w:pPr>
        <w:spacing w:line="360" w:lineRule="auto"/>
        <w:jc w:val="both"/>
      </w:pPr>
    </w:p>
    <w:p w14:paraId="45C92E34" w14:textId="77777777" w:rsidR="00A77B3E" w:rsidRDefault="00266ABC">
      <w:pPr>
        <w:spacing w:line="360" w:lineRule="auto"/>
        <w:jc w:val="both"/>
      </w:pPr>
      <w:r>
        <w:rPr>
          <w:rFonts w:ascii="Book Antiqua" w:eastAsia="Book Antiqua" w:hAnsi="Book Antiqua" w:cs="Book Antiqua"/>
          <w:b/>
          <w:caps/>
          <w:color w:val="000000"/>
          <w:u w:val="single"/>
        </w:rPr>
        <w:t>CONCLUSION</w:t>
      </w:r>
    </w:p>
    <w:p w14:paraId="51FE6A9D" w14:textId="1744E42F" w:rsidR="00A77B3E" w:rsidRDefault="00266ABC" w:rsidP="00AE55CA">
      <w:pPr>
        <w:spacing w:line="360" w:lineRule="auto"/>
        <w:jc w:val="both"/>
      </w:pPr>
      <w:r>
        <w:rPr>
          <w:rFonts w:ascii="Book Antiqua" w:eastAsia="Book Antiqua" w:hAnsi="Book Antiqua" w:cs="Book Antiqua"/>
          <w:color w:val="000000"/>
        </w:rPr>
        <w:t>There are many reasons for COVID-19-related liver injury including the inflammatory response and oxidative stress, ischemia, drug toxicity, SARS-CoV-2 cytotoxicity, and pre-existing liver disease. Regardless of the etiology, inflammatory cell infiltration, cell necrosis</w:t>
      </w:r>
      <w:r w:rsidR="003C734D">
        <w:rPr>
          <w:rFonts w:ascii="Book Antiqua" w:eastAsia="Book Antiqua" w:hAnsi="Book Antiqua" w:cs="Book Antiqua"/>
          <w:color w:val="000000"/>
        </w:rPr>
        <w:t>,</w:t>
      </w:r>
      <w:r>
        <w:rPr>
          <w:rFonts w:ascii="Book Antiqua" w:eastAsia="Book Antiqua" w:hAnsi="Book Antiqua" w:cs="Book Antiqua"/>
          <w:color w:val="000000"/>
        </w:rPr>
        <w:t xml:space="preserve"> and liver tissue fibrosis may be the final pathological result. As an important transcription factor of antioxidant stress and anti-inflammation, NRF2 can exert protective effects </w:t>
      </w:r>
      <w:r w:rsidR="003C734D">
        <w:rPr>
          <w:rFonts w:ascii="Book Antiqua" w:eastAsia="Book Antiqua" w:hAnsi="Book Antiqua" w:cs="Book Antiqua"/>
          <w:color w:val="000000"/>
        </w:rPr>
        <w:t>o</w:t>
      </w:r>
      <w:r>
        <w:rPr>
          <w:rFonts w:ascii="Book Antiqua" w:eastAsia="Book Antiqua" w:hAnsi="Book Antiqua" w:cs="Book Antiqua"/>
          <w:color w:val="000000"/>
        </w:rPr>
        <w:t>n COVID-19-related liver injury. The KEAP1-NRF2-ARE, NRF2-HO-1, NRF2-MYC/MNT/MAFG, and NRF2-NF-κB pathways are potential preventive and therapeutic targets in COVID-19-related liver injury.</w:t>
      </w:r>
    </w:p>
    <w:p w14:paraId="284CEE31" w14:textId="77777777" w:rsidR="00A77B3E" w:rsidRDefault="00A77B3E" w:rsidP="00AE55CA">
      <w:pPr>
        <w:spacing w:line="360" w:lineRule="auto"/>
        <w:jc w:val="both"/>
      </w:pPr>
    </w:p>
    <w:p w14:paraId="2A5A8985" w14:textId="77777777" w:rsidR="00A77B3E" w:rsidRDefault="00266ABC">
      <w:pPr>
        <w:spacing w:line="360" w:lineRule="auto"/>
        <w:jc w:val="both"/>
      </w:pPr>
      <w:r>
        <w:rPr>
          <w:rFonts w:ascii="Book Antiqua" w:eastAsia="Book Antiqua" w:hAnsi="Book Antiqua" w:cs="Book Antiqua"/>
          <w:b/>
          <w:caps/>
          <w:color w:val="000000"/>
          <w:u w:val="single"/>
        </w:rPr>
        <w:t>ACKNOWLEDGEMENTS</w:t>
      </w:r>
    </w:p>
    <w:p w14:paraId="6E5A843D" w14:textId="1FFF5630" w:rsidR="00A77B3E" w:rsidRDefault="00266ABC">
      <w:pPr>
        <w:spacing w:line="360" w:lineRule="auto"/>
        <w:jc w:val="both"/>
      </w:pPr>
      <w:r>
        <w:rPr>
          <w:rFonts w:ascii="Book Antiqua" w:eastAsia="Book Antiqua" w:hAnsi="Book Antiqua" w:cs="Book Antiqua"/>
          <w:color w:val="000000"/>
        </w:rPr>
        <w:t>We thank the authors of the primary studies for their responses to our information requests.</w:t>
      </w:r>
    </w:p>
    <w:p w14:paraId="218FF898" w14:textId="77777777" w:rsidR="00A77B3E" w:rsidRDefault="00A77B3E">
      <w:pPr>
        <w:spacing w:line="360" w:lineRule="auto"/>
        <w:jc w:val="both"/>
      </w:pPr>
    </w:p>
    <w:p w14:paraId="2B40B05E" w14:textId="77777777" w:rsidR="00A77B3E" w:rsidRDefault="00266ABC">
      <w:pPr>
        <w:spacing w:line="360" w:lineRule="auto"/>
        <w:jc w:val="both"/>
      </w:pPr>
      <w:r>
        <w:rPr>
          <w:rFonts w:ascii="Book Antiqua" w:eastAsia="Book Antiqua" w:hAnsi="Book Antiqua" w:cs="Book Antiqua"/>
          <w:b/>
          <w:color w:val="000000"/>
        </w:rPr>
        <w:t>REFERENCES</w:t>
      </w:r>
    </w:p>
    <w:p w14:paraId="6BBAD51F" w14:textId="77777777" w:rsidR="00A77B3E" w:rsidRDefault="00266ABC">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Wang MY</w:t>
      </w:r>
      <w:r>
        <w:rPr>
          <w:rFonts w:ascii="Book Antiqua" w:eastAsia="Book Antiqua" w:hAnsi="Book Antiqua" w:cs="Book Antiqua"/>
          <w:color w:val="000000"/>
        </w:rPr>
        <w:t xml:space="preserve">, Zhao R, Gao LJ, Gao XF, Wang DP, Cao JM. SARS-CoV-2: Structure, Biology, and Structure-Based Therapeutics Development. </w:t>
      </w:r>
      <w:r>
        <w:rPr>
          <w:rFonts w:ascii="Book Antiqua" w:eastAsia="Book Antiqua" w:hAnsi="Book Antiqua" w:cs="Book Antiqua"/>
          <w:i/>
          <w:iCs/>
          <w:color w:val="000000"/>
        </w:rPr>
        <w:t>Front Cell Infect Microbiol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587269 [PMID: 33324574 DOI: 10.3389/fcimb.2020.587269]</w:t>
      </w:r>
    </w:p>
    <w:p w14:paraId="798EF155" w14:textId="77777777" w:rsidR="00A77B3E" w:rsidRDefault="00266ABC">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Kim D</w:t>
      </w:r>
      <w:r>
        <w:rPr>
          <w:rFonts w:ascii="Book Antiqua" w:eastAsia="Book Antiqua" w:hAnsi="Book Antiqua" w:cs="Book Antiqua"/>
          <w:color w:val="000000"/>
        </w:rPr>
        <w:t xml:space="preserve">, Lee JY, Yang JS, Kim JW, Kim VN, Chang H. The Architecture of SARS-CoV-2 Transcriptome. </w:t>
      </w:r>
      <w:r>
        <w:rPr>
          <w:rFonts w:ascii="Book Antiqua" w:eastAsia="Book Antiqua" w:hAnsi="Book Antiqua" w:cs="Book Antiqua"/>
          <w:i/>
          <w:iCs/>
          <w:color w:val="000000"/>
        </w:rPr>
        <w:t>Cell</w:t>
      </w:r>
      <w:r>
        <w:rPr>
          <w:rFonts w:ascii="Book Antiqua" w:eastAsia="Book Antiqua" w:hAnsi="Book Antiqua" w:cs="Book Antiqua"/>
          <w:color w:val="000000"/>
        </w:rPr>
        <w:t xml:space="preserve"> 2020; </w:t>
      </w:r>
      <w:r>
        <w:rPr>
          <w:rFonts w:ascii="Book Antiqua" w:eastAsia="Book Antiqua" w:hAnsi="Book Antiqua" w:cs="Book Antiqua"/>
          <w:b/>
          <w:bCs/>
          <w:color w:val="000000"/>
        </w:rPr>
        <w:t>181</w:t>
      </w:r>
      <w:r>
        <w:rPr>
          <w:rFonts w:ascii="Book Antiqua" w:eastAsia="Book Antiqua" w:hAnsi="Book Antiqua" w:cs="Book Antiqua"/>
          <w:color w:val="000000"/>
        </w:rPr>
        <w:t>: 914-921.e10 [PMID: 32330414 DOI: 10.1016/j.cell.2020.04.011]</w:t>
      </w:r>
    </w:p>
    <w:p w14:paraId="7BCD3972" w14:textId="77777777" w:rsidR="00A77B3E" w:rsidRDefault="00266ABC">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Mrityunjaya M</w:t>
      </w:r>
      <w:r>
        <w:rPr>
          <w:rFonts w:ascii="Book Antiqua" w:eastAsia="Book Antiqua" w:hAnsi="Book Antiqua" w:cs="Book Antiqua"/>
          <w:color w:val="000000"/>
        </w:rPr>
        <w:t xml:space="preserve">, Pavithra V, Neelam R, Janhavi P, Halami PM, Ravindra PV. Immune-Boosting, Antioxidant and Anti-inflammatory Food Supplements Targeting Pathogenesis of COVID-19.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570122 [PMID: 33117359 DOI: 10.3389/fimmu.2020.570122]</w:t>
      </w:r>
    </w:p>
    <w:p w14:paraId="0B21B617" w14:textId="77777777" w:rsidR="00A77B3E" w:rsidRDefault="00266AB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Cuadrado A</w:t>
      </w:r>
      <w:r>
        <w:rPr>
          <w:rFonts w:ascii="Book Antiqua" w:eastAsia="Book Antiqua" w:hAnsi="Book Antiqua" w:cs="Book Antiqua"/>
          <w:color w:val="000000"/>
        </w:rPr>
        <w:t xml:space="preserve">, Pajares M, Benito C, Jiménez-Villegas J, Escoll M, Fernández-Ginés R, Garcia Yagüe AJ, Lastra D, Manda G, Rojo AI, Dinkova-Kostova AT. Can Activation of NRF2 Be a Strategy against COVID-19? </w:t>
      </w:r>
      <w:r>
        <w:rPr>
          <w:rFonts w:ascii="Book Antiqua" w:eastAsia="Book Antiqua" w:hAnsi="Book Antiqua" w:cs="Book Antiqua"/>
          <w:i/>
          <w:iCs/>
          <w:color w:val="000000"/>
        </w:rPr>
        <w:t>Trends Pharmacol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41</w:t>
      </w:r>
      <w:r>
        <w:rPr>
          <w:rFonts w:ascii="Book Antiqua" w:eastAsia="Book Antiqua" w:hAnsi="Book Antiqua" w:cs="Book Antiqua"/>
          <w:color w:val="000000"/>
        </w:rPr>
        <w:t>: 598-610 [PMID: 32711925 DOI: 10.1016/j.tips.2020.07.003]</w:t>
      </w:r>
    </w:p>
    <w:p w14:paraId="27534495" w14:textId="77777777" w:rsidR="00A77B3E" w:rsidRDefault="00266AB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Hoffmann M</w:t>
      </w:r>
      <w:r>
        <w:rPr>
          <w:rFonts w:ascii="Book Antiqua" w:eastAsia="Book Antiqua" w:hAnsi="Book Antiqua" w:cs="Book Antiqua"/>
          <w:color w:val="000000"/>
        </w:rPr>
        <w:t xml:space="preserve">, Kleine-Weber H, Schroeder S, Krüger N, Herrler T, Erichsen S, Schiergens TS, Herrler G, Wu NH, Nitsche A, Müller MA, Drosten C, Pöhlmann S. SARS-CoV-2 Cell Entry Depends on ACE2 and TMPRSS2 and Is Blocked by a Clinically Proven Protease Inhibitor. </w:t>
      </w:r>
      <w:r>
        <w:rPr>
          <w:rFonts w:ascii="Book Antiqua" w:eastAsia="Book Antiqua" w:hAnsi="Book Antiqua" w:cs="Book Antiqua"/>
          <w:i/>
          <w:iCs/>
          <w:color w:val="000000"/>
        </w:rPr>
        <w:t>Cell</w:t>
      </w:r>
      <w:r>
        <w:rPr>
          <w:rFonts w:ascii="Book Antiqua" w:eastAsia="Book Antiqua" w:hAnsi="Book Antiqua" w:cs="Book Antiqua"/>
          <w:color w:val="000000"/>
        </w:rPr>
        <w:t xml:space="preserve"> 2020; </w:t>
      </w:r>
      <w:r>
        <w:rPr>
          <w:rFonts w:ascii="Book Antiqua" w:eastAsia="Book Antiqua" w:hAnsi="Book Antiqua" w:cs="Book Antiqua"/>
          <w:b/>
          <w:bCs/>
          <w:color w:val="000000"/>
        </w:rPr>
        <w:t>181</w:t>
      </w:r>
      <w:r>
        <w:rPr>
          <w:rFonts w:ascii="Book Antiqua" w:eastAsia="Book Antiqua" w:hAnsi="Book Antiqua" w:cs="Book Antiqua"/>
          <w:color w:val="000000"/>
        </w:rPr>
        <w:t>: 271-280.e8 [PMID: 32142651 DOI: 10.1016/j.cell.2020.02.052]</w:t>
      </w:r>
    </w:p>
    <w:p w14:paraId="407AD2C2" w14:textId="77777777" w:rsidR="00A77B3E" w:rsidRDefault="00266ABC">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Channappanavar R</w:t>
      </w:r>
      <w:r>
        <w:rPr>
          <w:rFonts w:ascii="Book Antiqua" w:eastAsia="Book Antiqua" w:hAnsi="Book Antiqua" w:cs="Book Antiqua"/>
          <w:color w:val="000000"/>
        </w:rPr>
        <w:t xml:space="preserve">, Perlman S. Pathogenic human coronavirus infections: causes and consequences of cytokine storm and immunopathology. </w:t>
      </w:r>
      <w:r>
        <w:rPr>
          <w:rFonts w:ascii="Book Antiqua" w:eastAsia="Book Antiqua" w:hAnsi="Book Antiqua" w:cs="Book Antiqua"/>
          <w:i/>
          <w:iCs/>
          <w:color w:val="000000"/>
        </w:rPr>
        <w:t>Semin Immunopathol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39</w:t>
      </w:r>
      <w:r>
        <w:rPr>
          <w:rFonts w:ascii="Book Antiqua" w:eastAsia="Book Antiqua" w:hAnsi="Book Antiqua" w:cs="Book Antiqua"/>
          <w:color w:val="000000"/>
        </w:rPr>
        <w:t>: 529-539 [PMID: 28466096 DOI: 10.1007/s00281-017-0629-x]</w:t>
      </w:r>
    </w:p>
    <w:p w14:paraId="42F43305" w14:textId="77777777" w:rsidR="00A77B3E" w:rsidRDefault="00266ABC">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Rothan HA</w:t>
      </w:r>
      <w:r>
        <w:rPr>
          <w:rFonts w:ascii="Book Antiqua" w:eastAsia="Book Antiqua" w:hAnsi="Book Antiqua" w:cs="Book Antiqua"/>
          <w:color w:val="000000"/>
        </w:rPr>
        <w:t xml:space="preserve">, Byrareddy SN. The epidemiology and pathogenesis of coronavirus disease (COVID-19) outbreak. </w:t>
      </w:r>
      <w:r>
        <w:rPr>
          <w:rFonts w:ascii="Book Antiqua" w:eastAsia="Book Antiqua" w:hAnsi="Book Antiqua" w:cs="Book Antiqua"/>
          <w:i/>
          <w:iCs/>
          <w:color w:val="000000"/>
        </w:rPr>
        <w:t>J Autoimmun</w:t>
      </w:r>
      <w:r>
        <w:rPr>
          <w:rFonts w:ascii="Book Antiqua" w:eastAsia="Book Antiqua" w:hAnsi="Book Antiqua" w:cs="Book Antiqua"/>
          <w:color w:val="000000"/>
        </w:rPr>
        <w:t xml:space="preserve"> 2020; </w:t>
      </w:r>
      <w:r>
        <w:rPr>
          <w:rFonts w:ascii="Book Antiqua" w:eastAsia="Book Antiqua" w:hAnsi="Book Antiqua" w:cs="Book Antiqua"/>
          <w:b/>
          <w:bCs/>
          <w:color w:val="000000"/>
        </w:rPr>
        <w:t>109</w:t>
      </w:r>
      <w:r>
        <w:rPr>
          <w:rFonts w:ascii="Book Antiqua" w:eastAsia="Book Antiqua" w:hAnsi="Book Antiqua" w:cs="Book Antiqua"/>
          <w:color w:val="000000"/>
        </w:rPr>
        <w:t>: 102433 [PMID: 32113704 DOI: 10.1016/j.jaut.2020.102433]</w:t>
      </w:r>
    </w:p>
    <w:p w14:paraId="2D5618CA" w14:textId="77777777" w:rsidR="00A77B3E" w:rsidRDefault="00266AB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Wang Y</w:t>
      </w:r>
      <w:r>
        <w:rPr>
          <w:rFonts w:ascii="Book Antiqua" w:eastAsia="Book Antiqua" w:hAnsi="Book Antiqua" w:cs="Book Antiqua"/>
          <w:color w:val="000000"/>
        </w:rPr>
        <w:t xml:space="preserve">, Liu S, Liu H, Li W, Lin F, Jiang L, Li X, Xu P, Zhang L, Zhao L, Cao Y, Kang J, Yang J, Li L, Liu X, Li Y, Nie R, Mu J, Lu F, Zhao S, Lu J, Zhao J. SARS-CoV-2 infection of the liver directly contributes to hepatic impairment in patients with COVID-19.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73</w:t>
      </w:r>
      <w:r>
        <w:rPr>
          <w:rFonts w:ascii="Book Antiqua" w:eastAsia="Book Antiqua" w:hAnsi="Book Antiqua" w:cs="Book Antiqua"/>
          <w:color w:val="000000"/>
        </w:rPr>
        <w:t>: 807-816 [PMID: 32437830 DOI: 10.1016/j.jhep.2020.05.002]</w:t>
      </w:r>
    </w:p>
    <w:p w14:paraId="5B01CC48" w14:textId="77777777" w:rsidR="00A77B3E" w:rsidRDefault="00266ABC">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Jorgensen SCJ</w:t>
      </w:r>
      <w:r>
        <w:rPr>
          <w:rFonts w:ascii="Book Antiqua" w:eastAsia="Book Antiqua" w:hAnsi="Book Antiqua" w:cs="Book Antiqua"/>
          <w:color w:val="000000"/>
        </w:rPr>
        <w:t xml:space="preserve">, Tse CLY, Burry L, Dresser LD. Baricitinib: A Review of Pharmacology, Safety, and Emerging Clinical Experience in COVID-19. </w:t>
      </w:r>
      <w:r>
        <w:rPr>
          <w:rFonts w:ascii="Book Antiqua" w:eastAsia="Book Antiqua" w:hAnsi="Book Antiqua" w:cs="Book Antiqua"/>
          <w:i/>
          <w:iCs/>
          <w:color w:val="000000"/>
        </w:rPr>
        <w:t>Pharmacotherapy</w:t>
      </w:r>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843-856 [PMID: 32542785 DOI: 10.1002/phar.2438]</w:t>
      </w:r>
    </w:p>
    <w:p w14:paraId="6F06CA42" w14:textId="77777777" w:rsidR="00A77B3E" w:rsidRDefault="00266ABC">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Cha MH</w:t>
      </w:r>
      <w:r>
        <w:rPr>
          <w:rFonts w:ascii="Book Antiqua" w:eastAsia="Book Antiqua" w:hAnsi="Book Antiqua" w:cs="Book Antiqua"/>
          <w:color w:val="000000"/>
        </w:rPr>
        <w:t xml:space="preserve">, Regueiro M, Sandhu DS. Gastrointestinal and hepatic manifestations of COVID-19: A comprehensive review.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2323-2332 [PMID: 32476796 DOI: 10.3748/wjg.v26.i19.2323]</w:t>
      </w:r>
    </w:p>
    <w:p w14:paraId="728A3997" w14:textId="77777777" w:rsidR="00A77B3E" w:rsidRDefault="00266ABC">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Zhang C</w:t>
      </w:r>
      <w:r>
        <w:rPr>
          <w:rFonts w:ascii="Book Antiqua" w:eastAsia="Book Antiqua" w:hAnsi="Book Antiqua" w:cs="Book Antiqua"/>
          <w:color w:val="000000"/>
        </w:rPr>
        <w:t xml:space="preserve">, Shi L, Wang FS. Liver injury in COVID-19: management and challenges. </w:t>
      </w:r>
      <w:r>
        <w:rPr>
          <w:rFonts w:ascii="Book Antiqua" w:eastAsia="Book Antiqua" w:hAnsi="Book Antiqua" w:cs="Book Antiqua"/>
          <w:i/>
          <w:iCs/>
          <w:color w:val="000000"/>
        </w:rPr>
        <w:t>Lancet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428-430 [PMID: 32145190 DOI: 10.1016/S2468-1253(20)30057-1]</w:t>
      </w:r>
    </w:p>
    <w:p w14:paraId="3BD03A2F" w14:textId="77777777" w:rsidR="00A77B3E" w:rsidRDefault="00266ABC">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Xu Z</w:t>
      </w:r>
      <w:r>
        <w:rPr>
          <w:rFonts w:ascii="Book Antiqua" w:eastAsia="Book Antiqua" w:hAnsi="Book Antiqua" w:cs="Book Antiqua"/>
          <w:color w:val="000000"/>
        </w:rPr>
        <w:t xml:space="preserve">, Shi L, Wang Y, Zhang J, Huang L, Zhang C, Liu S, Zhao P, Liu H, Zhu L, Tai Y, Bai C, Gao T, Song J, Xia P, Dong J, Zhao J, Wang FS. Pathological findings of COVID-19 associated with acute respiratory distress syndrome. </w:t>
      </w:r>
      <w:r>
        <w:rPr>
          <w:rFonts w:ascii="Book Antiqua" w:eastAsia="Book Antiqua" w:hAnsi="Book Antiqua" w:cs="Book Antiqua"/>
          <w:i/>
          <w:iCs/>
          <w:color w:val="000000"/>
        </w:rPr>
        <w:t>Lancet Respir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420-422 [PMID: 32085846 DOI: 10.1016/S2213-2600(20)30076-X]</w:t>
      </w:r>
    </w:p>
    <w:p w14:paraId="3E54FF4E" w14:textId="77777777" w:rsidR="00A77B3E" w:rsidRDefault="00266ABC">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Wang Q</w:t>
      </w:r>
      <w:r>
        <w:rPr>
          <w:rFonts w:ascii="Book Antiqua" w:eastAsia="Book Antiqua" w:hAnsi="Book Antiqua" w:cs="Book Antiqua"/>
          <w:color w:val="000000"/>
        </w:rPr>
        <w:t xml:space="preserve">, Zhao H, Liu LG, Wang YB, Zhang T, Li MH, Xu YL, Gao GJ, Xiong HF, Fan Y, Cao Y, Ding R, Wang JJ, Cheng C, Xie W. Pattern of liver injury in adult patients with COVID-19: a retrospective analysis of 105 patients. </w:t>
      </w:r>
      <w:r>
        <w:rPr>
          <w:rFonts w:ascii="Book Antiqua" w:eastAsia="Book Antiqua" w:hAnsi="Book Antiqua" w:cs="Book Antiqua"/>
          <w:i/>
          <w:iCs/>
          <w:color w:val="000000"/>
        </w:rPr>
        <w:t>Mil Med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7</w:t>
      </w:r>
      <w:r>
        <w:rPr>
          <w:rFonts w:ascii="Book Antiqua" w:eastAsia="Book Antiqua" w:hAnsi="Book Antiqua" w:cs="Book Antiqua"/>
          <w:color w:val="000000"/>
        </w:rPr>
        <w:t>: 28 [PMID: 32507110 DOI: 10.1186/s40779-020-00256-6]</w:t>
      </w:r>
    </w:p>
    <w:p w14:paraId="5DD33232" w14:textId="77777777" w:rsidR="00A77B3E" w:rsidRDefault="00266ABC">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Jothimani D</w:t>
      </w:r>
      <w:r>
        <w:rPr>
          <w:rFonts w:ascii="Book Antiqua" w:eastAsia="Book Antiqua" w:hAnsi="Book Antiqua" w:cs="Book Antiqua"/>
          <w:color w:val="000000"/>
        </w:rPr>
        <w:t xml:space="preserve">, Venugopal R, Abedin MF, Kaliamoorthy I, Rela M. COVID-19 and the liver.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73</w:t>
      </w:r>
      <w:r>
        <w:rPr>
          <w:rFonts w:ascii="Book Antiqua" w:eastAsia="Book Antiqua" w:hAnsi="Book Antiqua" w:cs="Book Antiqua"/>
          <w:color w:val="000000"/>
        </w:rPr>
        <w:t>: 1231-1240 [PMID: 32553666 DOI: 10.1016/j.jhep.2020.06.006]</w:t>
      </w:r>
    </w:p>
    <w:p w14:paraId="0A39805C" w14:textId="77777777" w:rsidR="00A77B3E" w:rsidRDefault="00266ABC">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Caraballo C</w:t>
      </w:r>
      <w:r>
        <w:rPr>
          <w:rFonts w:ascii="Book Antiqua" w:eastAsia="Book Antiqua" w:hAnsi="Book Antiqua" w:cs="Book Antiqua"/>
          <w:color w:val="000000"/>
        </w:rPr>
        <w:t xml:space="preserve">, Jaimes F. Organ Dysfunction in Sepsis: An Ominous Trajectory From Infection To Death. </w:t>
      </w:r>
      <w:r>
        <w:rPr>
          <w:rFonts w:ascii="Book Antiqua" w:eastAsia="Book Antiqua" w:hAnsi="Book Antiqua" w:cs="Book Antiqua"/>
          <w:i/>
          <w:iCs/>
          <w:color w:val="000000"/>
        </w:rPr>
        <w:t>Yale J Biol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92</w:t>
      </w:r>
      <w:r>
        <w:rPr>
          <w:rFonts w:ascii="Book Antiqua" w:eastAsia="Book Antiqua" w:hAnsi="Book Antiqua" w:cs="Book Antiqua"/>
          <w:color w:val="000000"/>
        </w:rPr>
        <w:t>: 629-640 [PMID: 31866778]</w:t>
      </w:r>
    </w:p>
    <w:p w14:paraId="5AFDF4E1" w14:textId="398CC5F8" w:rsidR="00A77B3E" w:rsidRDefault="00266ABC">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Sun J</w:t>
      </w:r>
      <w:r>
        <w:rPr>
          <w:rFonts w:ascii="Book Antiqua" w:eastAsia="Book Antiqua" w:hAnsi="Book Antiqua" w:cs="Book Antiqua"/>
          <w:color w:val="000000"/>
        </w:rPr>
        <w:t xml:space="preserve">, Aghemo A, Forner A, Valenti L. COVID-19 and liver disease.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1278-1281 [PMID: 32251539 DOI: 10.1111/</w:t>
      </w:r>
      <w:r w:rsidR="001E7702">
        <w:rPr>
          <w:rFonts w:ascii="Book Antiqua" w:eastAsia="Book Antiqua" w:hAnsi="Book Antiqua" w:cs="Book Antiqua"/>
          <w:color w:val="000000"/>
        </w:rPr>
        <w:t>l</w:t>
      </w:r>
      <w:r>
        <w:rPr>
          <w:rFonts w:ascii="Book Antiqua" w:eastAsia="Book Antiqua" w:hAnsi="Book Antiqua" w:cs="Book Antiqua"/>
          <w:color w:val="000000"/>
        </w:rPr>
        <w:t>iv.14470]</w:t>
      </w:r>
    </w:p>
    <w:p w14:paraId="5BA84310" w14:textId="77777777" w:rsidR="00A77B3E" w:rsidRDefault="00266ABC">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Karakike E</w:t>
      </w:r>
      <w:r>
        <w:rPr>
          <w:rFonts w:ascii="Book Antiqua" w:eastAsia="Book Antiqua" w:hAnsi="Book Antiqua" w:cs="Book Antiqua"/>
          <w:color w:val="000000"/>
        </w:rPr>
        <w:t xml:space="preserve">, Giamarellos-Bourboulis EJ. Macrophage Activation-Like Syndrome: A Distinct Entity Leading to Early Death in Sepsis.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55 [PMID: 30766533 DOI: 10.3389/fimmu.2019.00055]</w:t>
      </w:r>
    </w:p>
    <w:p w14:paraId="6121A928" w14:textId="77777777" w:rsidR="00A77B3E" w:rsidRDefault="00266ABC">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Tonelli C</w:t>
      </w:r>
      <w:r>
        <w:rPr>
          <w:rFonts w:ascii="Book Antiqua" w:eastAsia="Book Antiqua" w:hAnsi="Book Antiqua" w:cs="Book Antiqua"/>
          <w:color w:val="000000"/>
        </w:rPr>
        <w:t xml:space="preserve">, Chio IIC, Tuveson DA. Transcriptional Regulation by Nrf2. </w:t>
      </w:r>
      <w:r>
        <w:rPr>
          <w:rFonts w:ascii="Book Antiqua" w:eastAsia="Book Antiqua" w:hAnsi="Book Antiqua" w:cs="Book Antiqua"/>
          <w:i/>
          <w:iCs/>
          <w:color w:val="000000"/>
        </w:rPr>
        <w:t>Antioxid Redox Signal</w:t>
      </w:r>
      <w:r>
        <w:rPr>
          <w:rFonts w:ascii="Book Antiqua" w:eastAsia="Book Antiqua" w:hAnsi="Book Antiqua" w:cs="Book Antiqua"/>
          <w:color w:val="000000"/>
        </w:rPr>
        <w:t xml:space="preserve"> 2018; </w:t>
      </w:r>
      <w:r>
        <w:rPr>
          <w:rFonts w:ascii="Book Antiqua" w:eastAsia="Book Antiqua" w:hAnsi="Book Antiqua" w:cs="Book Antiqua"/>
          <w:b/>
          <w:bCs/>
          <w:color w:val="000000"/>
        </w:rPr>
        <w:t>29</w:t>
      </w:r>
      <w:r>
        <w:rPr>
          <w:rFonts w:ascii="Book Antiqua" w:eastAsia="Book Antiqua" w:hAnsi="Book Antiqua" w:cs="Book Antiqua"/>
          <w:color w:val="000000"/>
        </w:rPr>
        <w:t>: 1727-1745 [PMID: 28899199 DOI: 10.1089/ars.2017.7342]</w:t>
      </w:r>
    </w:p>
    <w:p w14:paraId="63635665" w14:textId="77777777" w:rsidR="00A77B3E" w:rsidRDefault="00266ABC">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Hayes JD</w:t>
      </w:r>
      <w:r>
        <w:rPr>
          <w:rFonts w:ascii="Book Antiqua" w:eastAsia="Book Antiqua" w:hAnsi="Book Antiqua" w:cs="Book Antiqua"/>
          <w:color w:val="000000"/>
        </w:rPr>
        <w:t xml:space="preserve">, Dinkova-Kostova AT. The Nrf2 regulatory network provides an interface between redox and intermediary metabolism. </w:t>
      </w:r>
      <w:r>
        <w:rPr>
          <w:rFonts w:ascii="Book Antiqua" w:eastAsia="Book Antiqua" w:hAnsi="Book Antiqua" w:cs="Book Antiqua"/>
          <w:i/>
          <w:iCs/>
          <w:color w:val="000000"/>
        </w:rPr>
        <w:t>Trends Biochem Sci</w:t>
      </w:r>
      <w:r>
        <w:rPr>
          <w:rFonts w:ascii="Book Antiqua" w:eastAsia="Book Antiqua" w:hAnsi="Book Antiqua" w:cs="Book Antiqua"/>
          <w:color w:val="000000"/>
        </w:rPr>
        <w:t xml:space="preserve"> 2014; </w:t>
      </w:r>
      <w:r>
        <w:rPr>
          <w:rFonts w:ascii="Book Antiqua" w:eastAsia="Book Antiqua" w:hAnsi="Book Antiqua" w:cs="Book Antiqua"/>
          <w:b/>
          <w:bCs/>
          <w:color w:val="000000"/>
        </w:rPr>
        <w:t>39</w:t>
      </w:r>
      <w:r>
        <w:rPr>
          <w:rFonts w:ascii="Book Antiqua" w:eastAsia="Book Antiqua" w:hAnsi="Book Antiqua" w:cs="Book Antiqua"/>
          <w:color w:val="000000"/>
        </w:rPr>
        <w:t>: 199-218 [PMID: 24647116 DOI: 10.1016/j.tibs.2014.02.002]</w:t>
      </w:r>
    </w:p>
    <w:p w14:paraId="74F64BFC" w14:textId="77777777" w:rsidR="00A77B3E" w:rsidRDefault="00266ABC">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Kopacz A</w:t>
      </w:r>
      <w:r>
        <w:rPr>
          <w:rFonts w:ascii="Book Antiqua" w:eastAsia="Book Antiqua" w:hAnsi="Book Antiqua" w:cs="Book Antiqua"/>
          <w:color w:val="000000"/>
        </w:rPr>
        <w:t xml:space="preserve">, Kloska D, Forman HJ, Jozkowicz A, Grochot-Przeczek A. Beyond repression of Nrf2: An update on Keap1. </w:t>
      </w:r>
      <w:r>
        <w:rPr>
          <w:rFonts w:ascii="Book Antiqua" w:eastAsia="Book Antiqua" w:hAnsi="Book Antiqua" w:cs="Book Antiqua"/>
          <w:i/>
          <w:iCs/>
          <w:color w:val="000000"/>
        </w:rPr>
        <w:t>Free Radic Biol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157</w:t>
      </w:r>
      <w:r>
        <w:rPr>
          <w:rFonts w:ascii="Book Antiqua" w:eastAsia="Book Antiqua" w:hAnsi="Book Antiqua" w:cs="Book Antiqua"/>
          <w:color w:val="000000"/>
        </w:rPr>
        <w:t>: 63-74 [PMID: 32234331 DOI: 10.1016/j.freeradbiomed.2020.03.023]</w:t>
      </w:r>
    </w:p>
    <w:p w14:paraId="27CE06F2" w14:textId="77777777" w:rsidR="00A77B3E" w:rsidRDefault="00266ABC">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Lu MC</w:t>
      </w:r>
      <w:r>
        <w:rPr>
          <w:rFonts w:ascii="Book Antiqua" w:eastAsia="Book Antiqua" w:hAnsi="Book Antiqua" w:cs="Book Antiqua"/>
          <w:color w:val="000000"/>
        </w:rPr>
        <w:t xml:space="preserve">, Ji JA, Jiang ZY, You QD. The Keap1-Nrf2-ARE Pathway As a Potential Preventive and Therapeutic Target: An Update. </w:t>
      </w:r>
      <w:r>
        <w:rPr>
          <w:rFonts w:ascii="Book Antiqua" w:eastAsia="Book Antiqua" w:hAnsi="Book Antiqua" w:cs="Book Antiqua"/>
          <w:i/>
          <w:iCs/>
          <w:color w:val="000000"/>
        </w:rPr>
        <w:t>Med Res Rev</w:t>
      </w:r>
      <w:r>
        <w:rPr>
          <w:rFonts w:ascii="Book Antiqua" w:eastAsia="Book Antiqua" w:hAnsi="Book Antiqua" w:cs="Book Antiqua"/>
          <w:color w:val="000000"/>
        </w:rPr>
        <w:t xml:space="preserve"> 2016; </w:t>
      </w:r>
      <w:r>
        <w:rPr>
          <w:rFonts w:ascii="Book Antiqua" w:eastAsia="Book Antiqua" w:hAnsi="Book Antiqua" w:cs="Book Antiqua"/>
          <w:b/>
          <w:bCs/>
          <w:color w:val="000000"/>
        </w:rPr>
        <w:t>36</w:t>
      </w:r>
      <w:r>
        <w:rPr>
          <w:rFonts w:ascii="Book Antiqua" w:eastAsia="Book Antiqua" w:hAnsi="Book Antiqua" w:cs="Book Antiqua"/>
          <w:color w:val="000000"/>
        </w:rPr>
        <w:t>: 924-963 [PMID: 27192495 DOI: 10.1002/med.21396]</w:t>
      </w:r>
    </w:p>
    <w:p w14:paraId="25ED4A42" w14:textId="77777777" w:rsidR="00A77B3E" w:rsidRDefault="00266ABC">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Sajadimajd S</w:t>
      </w:r>
      <w:r>
        <w:rPr>
          <w:rFonts w:ascii="Book Antiqua" w:eastAsia="Book Antiqua" w:hAnsi="Book Antiqua" w:cs="Book Antiqua"/>
          <w:color w:val="000000"/>
        </w:rPr>
        <w:t xml:space="preserve">, Khazaei M. Oxidative Stress and Cancer: The Role of Nrf2. </w:t>
      </w:r>
      <w:r>
        <w:rPr>
          <w:rFonts w:ascii="Book Antiqua" w:eastAsia="Book Antiqua" w:hAnsi="Book Antiqua" w:cs="Book Antiqua"/>
          <w:i/>
          <w:iCs/>
          <w:color w:val="000000"/>
        </w:rPr>
        <w:t>Curr Cancer Drug Targets</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538-557 [PMID: 28969555 DOI: 10.2174/1568009617666171002144228]</w:t>
      </w:r>
    </w:p>
    <w:p w14:paraId="1B467F60" w14:textId="77777777" w:rsidR="00A77B3E" w:rsidRDefault="00266ABC">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David JA</w:t>
      </w:r>
      <w:r>
        <w:rPr>
          <w:rFonts w:ascii="Book Antiqua" w:eastAsia="Book Antiqua" w:hAnsi="Book Antiqua" w:cs="Book Antiqua"/>
          <w:color w:val="000000"/>
        </w:rPr>
        <w:t xml:space="preserve">, Rifkin WJ, Rabbani PS, Ceradini DJ. The Nrf2/Keap1/ARE Pathway and Oxidative Stress as a Therapeutic Target in Type II Diabetes Mellitus. </w:t>
      </w:r>
      <w:r>
        <w:rPr>
          <w:rFonts w:ascii="Book Antiqua" w:eastAsia="Book Antiqua" w:hAnsi="Book Antiqua" w:cs="Book Antiqua"/>
          <w:i/>
          <w:iCs/>
          <w:color w:val="000000"/>
        </w:rPr>
        <w:t>J Diabetes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4826724 [PMID: 28913364 DOI: 10.1155/2017/4826724]</w:t>
      </w:r>
    </w:p>
    <w:p w14:paraId="7A913E98" w14:textId="77777777" w:rsidR="00A77B3E" w:rsidRDefault="00266ABC">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Tang W</w:t>
      </w:r>
      <w:r>
        <w:rPr>
          <w:rFonts w:ascii="Book Antiqua" w:eastAsia="Book Antiqua" w:hAnsi="Book Antiqua" w:cs="Book Antiqua"/>
          <w:color w:val="000000"/>
        </w:rPr>
        <w:t xml:space="preserve">, Jiang YF, Ponnusamy M, Diallo M. Role of Nrf2 in chronic liver disease.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13079-13087 [PMID: 25278702 DOI: 10.3748/wjg.v20.i36.13079]</w:t>
      </w:r>
    </w:p>
    <w:p w14:paraId="311B3A51" w14:textId="77777777" w:rsidR="00A77B3E" w:rsidRDefault="00266ABC">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Cui Y</w:t>
      </w:r>
      <w:r>
        <w:rPr>
          <w:rFonts w:ascii="Book Antiqua" w:eastAsia="Book Antiqua" w:hAnsi="Book Antiqua" w:cs="Book Antiqua"/>
          <w:color w:val="000000"/>
        </w:rPr>
        <w:t xml:space="preserve">, Xin H, Tao Y, Mei L, Wang Z. Arenaria kansuensis attenuates pulmonary fibrosis in mice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activation of Nrf2 pathway and the inhibition of NF-kB/TGF-beta1/Smad2/3 pathway. </w:t>
      </w:r>
      <w:r>
        <w:rPr>
          <w:rFonts w:ascii="Book Antiqua" w:eastAsia="Book Antiqua" w:hAnsi="Book Antiqua" w:cs="Book Antiqua"/>
          <w:i/>
          <w:iCs/>
          <w:color w:val="000000"/>
        </w:rPr>
        <w:t>Phytother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35</w:t>
      </w:r>
      <w:r>
        <w:rPr>
          <w:rFonts w:ascii="Book Antiqua" w:eastAsia="Book Antiqua" w:hAnsi="Book Antiqua" w:cs="Book Antiqua"/>
          <w:color w:val="000000"/>
        </w:rPr>
        <w:t>: 974-986 [PMID: 32996197 DOI: 10.1002/ptr.6857]</w:t>
      </w:r>
    </w:p>
    <w:p w14:paraId="7C98FAE2" w14:textId="77777777" w:rsidR="00A77B3E" w:rsidRDefault="00266ABC">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Rada P</w:t>
      </w:r>
      <w:r>
        <w:rPr>
          <w:rFonts w:ascii="Book Antiqua" w:eastAsia="Book Antiqua" w:hAnsi="Book Antiqua" w:cs="Book Antiqua"/>
          <w:color w:val="000000"/>
        </w:rPr>
        <w:t xml:space="preserve">, Rojo AI, Chowdhry S, McMahon M, Hayes JD, Cuadrado A. SCF/{beta}-TrCP promotes glycogen synthase kinase 3-dependent degradation of the Nrf2 transcription factor in a Keap1-independent manner. </w:t>
      </w:r>
      <w:r>
        <w:rPr>
          <w:rFonts w:ascii="Book Antiqua" w:eastAsia="Book Antiqua" w:hAnsi="Book Antiqua" w:cs="Book Antiqua"/>
          <w:i/>
          <w:iCs/>
          <w:color w:val="000000"/>
        </w:rPr>
        <w:t>Mol Cell Biol</w:t>
      </w:r>
      <w:r>
        <w:rPr>
          <w:rFonts w:ascii="Book Antiqua" w:eastAsia="Book Antiqua" w:hAnsi="Book Antiqua" w:cs="Book Antiqua"/>
          <w:color w:val="000000"/>
        </w:rPr>
        <w:t xml:space="preserve"> 2011; </w:t>
      </w:r>
      <w:r>
        <w:rPr>
          <w:rFonts w:ascii="Book Antiqua" w:eastAsia="Book Antiqua" w:hAnsi="Book Antiqua" w:cs="Book Antiqua"/>
          <w:b/>
          <w:bCs/>
          <w:color w:val="000000"/>
        </w:rPr>
        <w:t>31</w:t>
      </w:r>
      <w:r>
        <w:rPr>
          <w:rFonts w:ascii="Book Antiqua" w:eastAsia="Book Antiqua" w:hAnsi="Book Antiqua" w:cs="Book Antiqua"/>
          <w:color w:val="000000"/>
        </w:rPr>
        <w:t>: 1121-1133 [PMID: 21245377 DOI: 10.1128/MCB.01204-10]</w:t>
      </w:r>
    </w:p>
    <w:p w14:paraId="13DD988E" w14:textId="77777777" w:rsidR="00A77B3E" w:rsidRDefault="00266ABC">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Lin CY</w:t>
      </w:r>
      <w:r>
        <w:rPr>
          <w:rFonts w:ascii="Book Antiqua" w:eastAsia="Book Antiqua" w:hAnsi="Book Antiqua" w:cs="Book Antiqua"/>
          <w:color w:val="000000"/>
        </w:rPr>
        <w:t xml:space="preserve">, Yao CA. Potential Role of Nrf2 Activators with Dual Antiviral and Anti-Inflammatory Properties in the Management of Viral Pneumonia. </w:t>
      </w:r>
      <w:r>
        <w:rPr>
          <w:rFonts w:ascii="Book Antiqua" w:eastAsia="Book Antiqua" w:hAnsi="Book Antiqua" w:cs="Book Antiqua"/>
          <w:i/>
          <w:iCs/>
          <w:color w:val="000000"/>
        </w:rPr>
        <w:t>Infect Drug Resist</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1735-1741 [PMID: 32606823 DOI: 10.2147/IDR.S256773]</w:t>
      </w:r>
    </w:p>
    <w:p w14:paraId="37323B28" w14:textId="77777777" w:rsidR="00A77B3E" w:rsidRDefault="00266ABC">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Olagnier D</w:t>
      </w:r>
      <w:r>
        <w:rPr>
          <w:rFonts w:ascii="Book Antiqua" w:eastAsia="Book Antiqua" w:hAnsi="Book Antiqua" w:cs="Book Antiqua"/>
          <w:color w:val="000000"/>
        </w:rPr>
        <w:t xml:space="preserve">, Farahani E, Thyrsted J, Blay-Cadanet J, Herengt A, Idorn M, Hait A, Hernaez B, Knudsen A, Iversen MB, Schilling M, Jørgensen SE, Thomsen M, Reinert LS, Lappe M, Hoang HD, Gilchrist VH, Hansen AL, Ottosen R, Nielsen CG, Møller C, van der Horst D, Peri S, Balachandran S, Huang J, Jakobsen M, Svenningsen EB, Poulsen TB, Bartsch L, Thielke AL, Luo Y, Alain T, Rehwinkel J, Alcamí A, Hiscott J, Mogensen TH, Paludan SR, Holm CK. SARS-CoV2-mediated suppression of NRF2-signaling reveals potent antiviral and anti-inflammatory activity of 4-octyl-itaconate and dimethyl fumarate.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4938 [PMID: 33009401 DOI: 10.1038/s41467-020-18764-3]</w:t>
      </w:r>
    </w:p>
    <w:p w14:paraId="1D143085" w14:textId="77777777" w:rsidR="00A77B3E" w:rsidRDefault="00266ABC">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Espinoza JA</w:t>
      </w:r>
      <w:r>
        <w:rPr>
          <w:rFonts w:ascii="Book Antiqua" w:eastAsia="Book Antiqua" w:hAnsi="Book Antiqua" w:cs="Book Antiqua"/>
          <w:color w:val="000000"/>
        </w:rPr>
        <w:t xml:space="preserve">, González PA, Kalergis AM. Modulation of Antiviral Immunity by Heme Oxygenase-1. </w:t>
      </w:r>
      <w:r>
        <w:rPr>
          <w:rFonts w:ascii="Book Antiqua" w:eastAsia="Book Antiqua" w:hAnsi="Book Antiqua" w:cs="Book Antiqua"/>
          <w:i/>
          <w:iCs/>
          <w:color w:val="000000"/>
        </w:rPr>
        <w:t>Am J Pathol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187</w:t>
      </w:r>
      <w:r>
        <w:rPr>
          <w:rFonts w:ascii="Book Antiqua" w:eastAsia="Book Antiqua" w:hAnsi="Book Antiqua" w:cs="Book Antiqua"/>
          <w:color w:val="000000"/>
        </w:rPr>
        <w:t>: 487-493 [PMID: 28082120 DOI: 10.1016/j.ajpath.2016.11.011]</w:t>
      </w:r>
    </w:p>
    <w:p w14:paraId="2A9620A1" w14:textId="77777777" w:rsidR="00A77B3E" w:rsidRDefault="00266ABC">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Ruan Y</w:t>
      </w:r>
      <w:r>
        <w:rPr>
          <w:rFonts w:ascii="Book Antiqua" w:eastAsia="Book Antiqua" w:hAnsi="Book Antiqua" w:cs="Book Antiqua"/>
          <w:color w:val="000000"/>
        </w:rPr>
        <w:t xml:space="preserve">, Jiang Y, Wang W, Ma J, He B, Chen M. HBV down-regulates PTEN expression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Nrf2/GSK3β signaling pathway. </w:t>
      </w:r>
      <w:r>
        <w:rPr>
          <w:rFonts w:ascii="Book Antiqua" w:eastAsia="Book Antiqua" w:hAnsi="Book Antiqua" w:cs="Book Antiqua"/>
          <w:i/>
          <w:iCs/>
          <w:color w:val="000000"/>
        </w:rPr>
        <w:t>Zhong Nan Da Xue Xue Bao Yi Xue Ban</w:t>
      </w:r>
      <w:r>
        <w:rPr>
          <w:rFonts w:ascii="Book Antiqua" w:eastAsia="Book Antiqua" w:hAnsi="Book Antiqua" w:cs="Book Antiqua"/>
          <w:color w:val="000000"/>
        </w:rPr>
        <w:t xml:space="preserve"> 2020; </w:t>
      </w:r>
      <w:r>
        <w:rPr>
          <w:rFonts w:ascii="Book Antiqua" w:eastAsia="Book Antiqua" w:hAnsi="Book Antiqua" w:cs="Book Antiqua"/>
          <w:b/>
          <w:bCs/>
          <w:color w:val="000000"/>
        </w:rPr>
        <w:t>45</w:t>
      </w:r>
      <w:r>
        <w:rPr>
          <w:rFonts w:ascii="Book Antiqua" w:eastAsia="Book Antiqua" w:hAnsi="Book Antiqua" w:cs="Book Antiqua"/>
          <w:color w:val="000000"/>
        </w:rPr>
        <w:t>: 1009-1014 [PMID: 33051413 DOI: 10.11817/j.issn.1672-7347.2020.200189]</w:t>
      </w:r>
    </w:p>
    <w:p w14:paraId="5C6E90CF" w14:textId="77777777" w:rsidR="00A77B3E" w:rsidRDefault="00266ABC">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Goldring CE</w:t>
      </w:r>
      <w:r>
        <w:rPr>
          <w:rFonts w:ascii="Book Antiqua" w:eastAsia="Book Antiqua" w:hAnsi="Book Antiqua" w:cs="Book Antiqua"/>
          <w:color w:val="000000"/>
        </w:rPr>
        <w:t xml:space="preserve">, Kitteringham NR, Elsby R, Randle LE, Clement YN, Williams DP, McMahon M, Hayes JD, Itoh K, Yamamoto M, Park BK. Activation of hepatic Nrf2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by acetaminophen in CD-1 mice.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39</w:t>
      </w:r>
      <w:r>
        <w:rPr>
          <w:rFonts w:ascii="Book Antiqua" w:eastAsia="Book Antiqua" w:hAnsi="Book Antiqua" w:cs="Book Antiqua"/>
          <w:color w:val="000000"/>
        </w:rPr>
        <w:t>: 1267-1276 [PMID: 15122755 DOI: 10.1002/hep.20183]</w:t>
      </w:r>
    </w:p>
    <w:p w14:paraId="18B64A9D" w14:textId="77777777" w:rsidR="00A77B3E" w:rsidRDefault="00266ABC">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Jadeja RN</w:t>
      </w:r>
      <w:r>
        <w:rPr>
          <w:rFonts w:ascii="Book Antiqua" w:eastAsia="Book Antiqua" w:hAnsi="Book Antiqua" w:cs="Book Antiqua"/>
          <w:color w:val="000000"/>
        </w:rPr>
        <w:t xml:space="preserve">, Urrunaga NH, Dash S, Khurana S, Saxena NK. Withaferin-A Reduces Acetaminophen-Induced Liver Injury in Mice. </w:t>
      </w:r>
      <w:r>
        <w:rPr>
          <w:rFonts w:ascii="Book Antiqua" w:eastAsia="Book Antiqua" w:hAnsi="Book Antiqua" w:cs="Book Antiqua"/>
          <w:i/>
          <w:iCs/>
          <w:color w:val="000000"/>
        </w:rPr>
        <w:t>Biochem Pharmacol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97</w:t>
      </w:r>
      <w:r>
        <w:rPr>
          <w:rFonts w:ascii="Book Antiqua" w:eastAsia="Book Antiqua" w:hAnsi="Book Antiqua" w:cs="Book Antiqua"/>
          <w:color w:val="000000"/>
        </w:rPr>
        <w:t>: 122-132 [PMID: 26212553 DOI: 10.1016/j.bcp.2015.07.024]</w:t>
      </w:r>
    </w:p>
    <w:p w14:paraId="245934B7" w14:textId="77777777" w:rsidR="00A77B3E" w:rsidRDefault="00266ABC">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Liu J</w:t>
      </w:r>
      <w:r>
        <w:rPr>
          <w:rFonts w:ascii="Book Antiqua" w:eastAsia="Book Antiqua" w:hAnsi="Book Antiqua" w:cs="Book Antiqua"/>
          <w:color w:val="000000"/>
        </w:rPr>
        <w:t xml:space="preserve">, Wu KC, Lu YF, Ekuase E, Klaassen CD. Nrf2 protection against liver injury produced by various hepatotoxicants. </w:t>
      </w:r>
      <w:r>
        <w:rPr>
          <w:rFonts w:ascii="Book Antiqua" w:eastAsia="Book Antiqua" w:hAnsi="Book Antiqua" w:cs="Book Antiqua"/>
          <w:i/>
          <w:iCs/>
          <w:color w:val="000000"/>
        </w:rPr>
        <w:t>Oxid Med Cell Longev</w:t>
      </w:r>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305861 [PMID: 23766851 DOI: 10.1155/2013/305861]</w:t>
      </w:r>
    </w:p>
    <w:p w14:paraId="0D48157E" w14:textId="77777777" w:rsidR="00A77B3E" w:rsidRDefault="00266ABC">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Tan KP</w:t>
      </w:r>
      <w:r>
        <w:rPr>
          <w:rFonts w:ascii="Book Antiqua" w:eastAsia="Book Antiqua" w:hAnsi="Book Antiqua" w:cs="Book Antiqua"/>
          <w:color w:val="000000"/>
        </w:rPr>
        <w:t xml:space="preserve">, Wood GA, Yang M, Ito S. Participation of nuclear factor (erythroid 2-related), factor 2 in ameliorating lithocholic acid-induced cholestatic liver injury in mice. </w:t>
      </w:r>
      <w:r>
        <w:rPr>
          <w:rFonts w:ascii="Book Antiqua" w:eastAsia="Book Antiqua" w:hAnsi="Book Antiqua" w:cs="Book Antiqua"/>
          <w:i/>
          <w:iCs/>
          <w:color w:val="000000"/>
        </w:rPr>
        <w:t>Br J Pharmacol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161</w:t>
      </w:r>
      <w:r>
        <w:rPr>
          <w:rFonts w:ascii="Book Antiqua" w:eastAsia="Book Antiqua" w:hAnsi="Book Antiqua" w:cs="Book Antiqua"/>
          <w:color w:val="000000"/>
        </w:rPr>
        <w:t>: 1111-1121 [PMID: 20977460 DOI: 10.1111/j.1476-5381.2010.00953.x]</w:t>
      </w:r>
    </w:p>
    <w:p w14:paraId="216D416A" w14:textId="77777777" w:rsidR="00A77B3E" w:rsidRDefault="00266ABC">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Okada K</w:t>
      </w:r>
      <w:r>
        <w:rPr>
          <w:rFonts w:ascii="Book Antiqua" w:eastAsia="Book Antiqua" w:hAnsi="Book Antiqua" w:cs="Book Antiqua"/>
          <w:color w:val="000000"/>
        </w:rPr>
        <w:t xml:space="preserve">, Shoda J, Taguchi K, Maher JM, Ishizaki K, Inoue Y, Ohtsuki M, Goto N, Sugimoto H, Utsunomiya H, Oda K, Warabi E, Ishii T, Yamamoto M. Nrf2 counteracts cholestatic liver injury </w:t>
      </w:r>
      <w:r>
        <w:rPr>
          <w:rFonts w:ascii="Book Antiqua" w:eastAsia="Book Antiqua" w:hAnsi="Book Antiqua" w:cs="Book Antiqua"/>
          <w:i/>
          <w:iCs/>
          <w:color w:val="000000"/>
        </w:rPr>
        <w:t>via</w:t>
      </w:r>
      <w:r>
        <w:rPr>
          <w:rFonts w:ascii="Book Antiqua" w:eastAsia="Book Antiqua" w:hAnsi="Book Antiqua" w:cs="Book Antiqua"/>
          <w:color w:val="000000"/>
        </w:rPr>
        <w:t xml:space="preserve"> stimulation of hepatic defense systems. </w:t>
      </w:r>
      <w:r>
        <w:rPr>
          <w:rFonts w:ascii="Book Antiqua" w:eastAsia="Book Antiqua" w:hAnsi="Book Antiqua" w:cs="Book Antiqua"/>
          <w:i/>
          <w:iCs/>
          <w:color w:val="000000"/>
        </w:rPr>
        <w:t>Biochem Biophys Res Commun</w:t>
      </w:r>
      <w:r>
        <w:rPr>
          <w:rFonts w:ascii="Book Antiqua" w:eastAsia="Book Antiqua" w:hAnsi="Book Antiqua" w:cs="Book Antiqua"/>
          <w:color w:val="000000"/>
        </w:rPr>
        <w:t xml:space="preserve"> 2009; </w:t>
      </w:r>
      <w:r>
        <w:rPr>
          <w:rFonts w:ascii="Book Antiqua" w:eastAsia="Book Antiqua" w:hAnsi="Book Antiqua" w:cs="Book Antiqua"/>
          <w:b/>
          <w:bCs/>
          <w:color w:val="000000"/>
        </w:rPr>
        <w:t>389</w:t>
      </w:r>
      <w:r>
        <w:rPr>
          <w:rFonts w:ascii="Book Antiqua" w:eastAsia="Book Antiqua" w:hAnsi="Book Antiqua" w:cs="Book Antiqua"/>
          <w:color w:val="000000"/>
        </w:rPr>
        <w:t>: 431-436 [PMID: 19732748 DOI: 10.1016/j.bbrc.2009.08.156]</w:t>
      </w:r>
    </w:p>
    <w:p w14:paraId="777353A6" w14:textId="77777777" w:rsidR="00A77B3E" w:rsidRDefault="00266ABC">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Aleksunes LM</w:t>
      </w:r>
      <w:r>
        <w:rPr>
          <w:rFonts w:ascii="Book Antiqua" w:eastAsia="Book Antiqua" w:hAnsi="Book Antiqua" w:cs="Book Antiqua"/>
          <w:color w:val="000000"/>
        </w:rPr>
        <w:t xml:space="preserve">, Slitt AL, Maher JM, Dieter MZ, Knight TR, Goedken M, Cherrington NJ, Chan JY, Klaassen CD, Manautou JE. Nuclear factor-E2-related factor 2 expression in liver is critical for induction of NAD(P)H:quinone oxidoreductase 1 during cholestasis. </w:t>
      </w:r>
      <w:r>
        <w:rPr>
          <w:rFonts w:ascii="Book Antiqua" w:eastAsia="Book Antiqua" w:hAnsi="Book Antiqua" w:cs="Book Antiqua"/>
          <w:i/>
          <w:iCs/>
          <w:color w:val="000000"/>
        </w:rPr>
        <w:t>Cell Stress Chaperones</w:t>
      </w:r>
      <w:r>
        <w:rPr>
          <w:rFonts w:ascii="Book Antiqua" w:eastAsia="Book Antiqua" w:hAnsi="Book Antiqua" w:cs="Book Antiqua"/>
          <w:color w:val="000000"/>
        </w:rPr>
        <w:t xml:space="preserve"> 2006; </w:t>
      </w:r>
      <w:r>
        <w:rPr>
          <w:rFonts w:ascii="Book Antiqua" w:eastAsia="Book Antiqua" w:hAnsi="Book Antiqua" w:cs="Book Antiqua"/>
          <w:b/>
          <w:bCs/>
          <w:color w:val="000000"/>
        </w:rPr>
        <w:t>11</w:t>
      </w:r>
      <w:r>
        <w:rPr>
          <w:rFonts w:ascii="Book Antiqua" w:eastAsia="Book Antiqua" w:hAnsi="Book Antiqua" w:cs="Book Antiqua"/>
          <w:color w:val="000000"/>
        </w:rPr>
        <w:t>: 356-363 [PMID: 17278884 DOI: 10.1379/csc-217.1]</w:t>
      </w:r>
    </w:p>
    <w:p w14:paraId="1E5D06D6" w14:textId="77777777" w:rsidR="00A77B3E" w:rsidRDefault="00266ABC">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Sugimoto H</w:t>
      </w:r>
      <w:r>
        <w:rPr>
          <w:rFonts w:ascii="Book Antiqua" w:eastAsia="Book Antiqua" w:hAnsi="Book Antiqua" w:cs="Book Antiqua"/>
          <w:color w:val="000000"/>
        </w:rPr>
        <w:t xml:space="preserve">, Okada K, Shoda J, Warabi E, Ishige K, Ueda T, Taguchi K, Yanagawa T, Nakahara A, Hyodo I, Ishii T, Yamamoto M. Deletion of nuclear factor-E2-related factor-2 Leads to rapid onset and progression of nutritional steatohepatitis in mice. </w:t>
      </w:r>
      <w:r>
        <w:rPr>
          <w:rFonts w:ascii="Book Antiqua" w:eastAsia="Book Antiqua" w:hAnsi="Book Antiqua" w:cs="Book Antiqua"/>
          <w:i/>
          <w:iCs/>
          <w:color w:val="000000"/>
        </w:rPr>
        <w:t>Am J Physiol Gastrointest Liver Physiol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298</w:t>
      </w:r>
      <w:r>
        <w:rPr>
          <w:rFonts w:ascii="Book Antiqua" w:eastAsia="Book Antiqua" w:hAnsi="Book Antiqua" w:cs="Book Antiqua"/>
          <w:color w:val="000000"/>
        </w:rPr>
        <w:t>: G283-G294 [PMID: 19926817 DOI: 10.1152/ajpgi.00296.2009]</w:t>
      </w:r>
    </w:p>
    <w:p w14:paraId="71DBF936" w14:textId="77777777" w:rsidR="00A77B3E" w:rsidRDefault="00266ABC">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Lamlé J</w:t>
      </w:r>
      <w:r>
        <w:rPr>
          <w:rFonts w:ascii="Book Antiqua" w:eastAsia="Book Antiqua" w:hAnsi="Book Antiqua" w:cs="Book Antiqua"/>
          <w:color w:val="000000"/>
        </w:rPr>
        <w:t xml:space="preserve">, Marhenke S, Borlak J, von Wasielewski R, Eriksson CJ, Geffers R, Manns MP, Yamamoto M, Vogel A. Nuclear factor-eythroid 2-related factor 2 prevents alcohol-induced fulminant liver injury.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2008; </w:t>
      </w:r>
      <w:r>
        <w:rPr>
          <w:rFonts w:ascii="Book Antiqua" w:eastAsia="Book Antiqua" w:hAnsi="Book Antiqua" w:cs="Book Antiqua"/>
          <w:b/>
          <w:bCs/>
          <w:color w:val="000000"/>
        </w:rPr>
        <w:t>134</w:t>
      </w:r>
      <w:r>
        <w:rPr>
          <w:rFonts w:ascii="Book Antiqua" w:eastAsia="Book Antiqua" w:hAnsi="Book Antiqua" w:cs="Book Antiqua"/>
          <w:color w:val="000000"/>
        </w:rPr>
        <w:t>: 1159-1168 [PMID: 18395094 DOI: 10.1053/j.gastro.2008.01.011]</w:t>
      </w:r>
    </w:p>
    <w:p w14:paraId="1EF472AC" w14:textId="77777777" w:rsidR="00A77B3E" w:rsidRDefault="00266ABC">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Cuadrado A</w:t>
      </w:r>
      <w:r>
        <w:rPr>
          <w:rFonts w:ascii="Book Antiqua" w:eastAsia="Book Antiqua" w:hAnsi="Book Antiqua" w:cs="Book Antiqua"/>
          <w:color w:val="000000"/>
        </w:rPr>
        <w:t xml:space="preserve">, Rojo AI, Wells G, Hayes JD, Cousin SP, Rumsey WL, Attucks OC, Franklin S, Levonen AL, Kensler TW, Dinkova-Kostova AT. Therapeutic targeting of the NRF2 and KEAP1 partnership in chronic diseases. </w:t>
      </w:r>
      <w:r>
        <w:rPr>
          <w:rFonts w:ascii="Book Antiqua" w:eastAsia="Book Antiqua" w:hAnsi="Book Antiqua" w:cs="Book Antiqua"/>
          <w:i/>
          <w:iCs/>
          <w:color w:val="000000"/>
        </w:rPr>
        <w:t>Nat Rev Drug Discov</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295-317 [PMID: 30610225 DOI: 10.1038/s41573-018-0008-x]</w:t>
      </w:r>
    </w:p>
    <w:p w14:paraId="22DFF33F" w14:textId="77777777" w:rsidR="00A77B3E" w:rsidRDefault="00266ABC">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Oppenheim JJ</w:t>
      </w:r>
      <w:r>
        <w:rPr>
          <w:rFonts w:ascii="Book Antiqua" w:eastAsia="Book Antiqua" w:hAnsi="Book Antiqua" w:cs="Book Antiqua"/>
          <w:color w:val="000000"/>
        </w:rPr>
        <w:t xml:space="preserve">. Cytokines: past, present, and future. </w:t>
      </w:r>
      <w:r>
        <w:rPr>
          <w:rFonts w:ascii="Book Antiqua" w:eastAsia="Book Antiqua" w:hAnsi="Book Antiqua" w:cs="Book Antiqua"/>
          <w:i/>
          <w:iCs/>
          <w:color w:val="000000"/>
        </w:rPr>
        <w:t>Int J Hematol</w:t>
      </w:r>
      <w:r>
        <w:rPr>
          <w:rFonts w:ascii="Book Antiqua" w:eastAsia="Book Antiqua" w:hAnsi="Book Antiqua" w:cs="Book Antiqua"/>
          <w:color w:val="000000"/>
        </w:rPr>
        <w:t xml:space="preserve"> 2001; </w:t>
      </w:r>
      <w:r>
        <w:rPr>
          <w:rFonts w:ascii="Book Antiqua" w:eastAsia="Book Antiqua" w:hAnsi="Book Antiqua" w:cs="Book Antiqua"/>
          <w:b/>
          <w:bCs/>
          <w:color w:val="000000"/>
        </w:rPr>
        <w:t>74</w:t>
      </w:r>
      <w:r>
        <w:rPr>
          <w:rFonts w:ascii="Book Antiqua" w:eastAsia="Book Antiqua" w:hAnsi="Book Antiqua" w:cs="Book Antiqua"/>
          <w:color w:val="000000"/>
        </w:rPr>
        <w:t>: 3-8 [PMID: 11530802 DOI: 10.1007/bf02982543]</w:t>
      </w:r>
    </w:p>
    <w:p w14:paraId="04838BA9" w14:textId="77777777" w:rsidR="00A77B3E" w:rsidRDefault="00266ABC">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Dinarello CA</w:t>
      </w:r>
      <w:r>
        <w:rPr>
          <w:rFonts w:ascii="Book Antiqua" w:eastAsia="Book Antiqua" w:hAnsi="Book Antiqua" w:cs="Book Antiqua"/>
          <w:color w:val="000000"/>
        </w:rPr>
        <w:t xml:space="preserve">. Historical insights into cytokines. </w:t>
      </w:r>
      <w:r>
        <w:rPr>
          <w:rFonts w:ascii="Book Antiqua" w:eastAsia="Book Antiqua" w:hAnsi="Book Antiqua" w:cs="Book Antiqua"/>
          <w:i/>
          <w:iCs/>
          <w:color w:val="000000"/>
        </w:rPr>
        <w:t>Eur J Immunol</w:t>
      </w:r>
      <w:r>
        <w:rPr>
          <w:rFonts w:ascii="Book Antiqua" w:eastAsia="Book Antiqua" w:hAnsi="Book Antiqua" w:cs="Book Antiqua"/>
          <w:color w:val="000000"/>
        </w:rPr>
        <w:t xml:space="preserve"> 2007; </w:t>
      </w:r>
      <w:r>
        <w:rPr>
          <w:rFonts w:ascii="Book Antiqua" w:eastAsia="Book Antiqua" w:hAnsi="Book Antiqua" w:cs="Book Antiqua"/>
          <w:b/>
          <w:bCs/>
          <w:color w:val="000000"/>
        </w:rPr>
        <w:t>37 Suppl 1</w:t>
      </w:r>
      <w:r>
        <w:rPr>
          <w:rFonts w:ascii="Book Antiqua" w:eastAsia="Book Antiqua" w:hAnsi="Book Antiqua" w:cs="Book Antiqua"/>
          <w:color w:val="000000"/>
        </w:rPr>
        <w:t>: S34-S45 [PMID: 17972343 DOI: 10.1002/eji.200737772]</w:t>
      </w:r>
    </w:p>
    <w:p w14:paraId="459188B8" w14:textId="77777777" w:rsidR="00A77B3E" w:rsidRDefault="00266ABC">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Konishi T</w:t>
      </w:r>
      <w:r>
        <w:rPr>
          <w:rFonts w:ascii="Book Antiqua" w:eastAsia="Book Antiqua" w:hAnsi="Book Antiqua" w:cs="Book Antiqua"/>
          <w:color w:val="000000"/>
        </w:rPr>
        <w:t xml:space="preserve">, Schuster RM, Goetzman HS, Caldwell CC, Lentsch AB. Cell-specific regulatory effects of CXCR2 on cholestatic liver injury. </w:t>
      </w:r>
      <w:r>
        <w:rPr>
          <w:rFonts w:ascii="Book Antiqua" w:eastAsia="Book Antiqua" w:hAnsi="Book Antiqua" w:cs="Book Antiqua"/>
          <w:i/>
          <w:iCs/>
          <w:color w:val="000000"/>
        </w:rPr>
        <w:t>Am J Physiol Gastrointest Liver Physiol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317</w:t>
      </w:r>
      <w:r>
        <w:rPr>
          <w:rFonts w:ascii="Book Antiqua" w:eastAsia="Book Antiqua" w:hAnsi="Book Antiqua" w:cs="Book Antiqua"/>
          <w:color w:val="000000"/>
        </w:rPr>
        <w:t>: G773-G783 [PMID: 31604030 DOI: 10.1152/ajpgi.00080.2019]</w:t>
      </w:r>
    </w:p>
    <w:p w14:paraId="7B36C8C4" w14:textId="77777777" w:rsidR="00A77B3E" w:rsidRDefault="00266ABC">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Saito JM</w:t>
      </w:r>
      <w:r>
        <w:rPr>
          <w:rFonts w:ascii="Book Antiqua" w:eastAsia="Book Antiqua" w:hAnsi="Book Antiqua" w:cs="Book Antiqua"/>
          <w:color w:val="000000"/>
        </w:rPr>
        <w:t xml:space="preserve">, Maher JJ. Bile duct ligation in rats induces biliary expression of cytokine-induced neutrophil chemoattractant.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2000; </w:t>
      </w:r>
      <w:r>
        <w:rPr>
          <w:rFonts w:ascii="Book Antiqua" w:eastAsia="Book Antiqua" w:hAnsi="Book Antiqua" w:cs="Book Antiqua"/>
          <w:b/>
          <w:bCs/>
          <w:color w:val="000000"/>
        </w:rPr>
        <w:t>118</w:t>
      </w:r>
      <w:r>
        <w:rPr>
          <w:rFonts w:ascii="Book Antiqua" w:eastAsia="Book Antiqua" w:hAnsi="Book Antiqua" w:cs="Book Antiqua"/>
          <w:color w:val="000000"/>
        </w:rPr>
        <w:t>: 1157-1168 [PMID: 10833491 DOI: 10.1016/s0016-5085(00)70369-6]</w:t>
      </w:r>
    </w:p>
    <w:p w14:paraId="7FC103CE" w14:textId="77777777" w:rsidR="00A77B3E" w:rsidRDefault="00266ABC">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Jones H</w:t>
      </w:r>
      <w:r>
        <w:rPr>
          <w:rFonts w:ascii="Book Antiqua" w:eastAsia="Book Antiqua" w:hAnsi="Book Antiqua" w:cs="Book Antiqua"/>
          <w:color w:val="000000"/>
        </w:rPr>
        <w:t xml:space="preserve">, Alpini G, Francis H. Bile acid signaling and biliary functions. </w:t>
      </w:r>
      <w:r>
        <w:rPr>
          <w:rFonts w:ascii="Book Antiqua" w:eastAsia="Book Antiqua" w:hAnsi="Book Antiqua" w:cs="Book Antiqua"/>
          <w:i/>
          <w:iCs/>
          <w:color w:val="000000"/>
        </w:rPr>
        <w:t>Acta Pharm Sin B</w:t>
      </w:r>
      <w:r>
        <w:rPr>
          <w:rFonts w:ascii="Book Antiqua" w:eastAsia="Book Antiqua" w:hAnsi="Book Antiqua" w:cs="Book Antiqua"/>
          <w:color w:val="000000"/>
        </w:rPr>
        <w:t xml:space="preserve"> 2015; </w:t>
      </w:r>
      <w:r>
        <w:rPr>
          <w:rFonts w:ascii="Book Antiqua" w:eastAsia="Book Antiqua" w:hAnsi="Book Antiqua" w:cs="Book Antiqua"/>
          <w:b/>
          <w:bCs/>
          <w:color w:val="000000"/>
        </w:rPr>
        <w:t>5</w:t>
      </w:r>
      <w:r>
        <w:rPr>
          <w:rFonts w:ascii="Book Antiqua" w:eastAsia="Book Antiqua" w:hAnsi="Book Antiqua" w:cs="Book Antiqua"/>
          <w:color w:val="000000"/>
        </w:rPr>
        <w:t>: 123-128 [PMID: 26579437 DOI: 10.1016/j.apsb.2015.01.009]</w:t>
      </w:r>
    </w:p>
    <w:p w14:paraId="2ABBF8BD" w14:textId="77777777" w:rsidR="00A77B3E" w:rsidRDefault="00266ABC">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Li M</w:t>
      </w:r>
      <w:r>
        <w:rPr>
          <w:rFonts w:ascii="Book Antiqua" w:eastAsia="Book Antiqua" w:hAnsi="Book Antiqua" w:cs="Book Antiqua"/>
          <w:color w:val="000000"/>
        </w:rPr>
        <w:t xml:space="preserve">, Cai SY, Boyer JL. Mechanisms of bile acid mediated inflammation in the liver. </w:t>
      </w:r>
      <w:r>
        <w:rPr>
          <w:rFonts w:ascii="Book Antiqua" w:eastAsia="Book Antiqua" w:hAnsi="Book Antiqua" w:cs="Book Antiqua"/>
          <w:i/>
          <w:iCs/>
          <w:color w:val="000000"/>
        </w:rPr>
        <w:t>Mol Aspects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56</w:t>
      </w:r>
      <w:r>
        <w:rPr>
          <w:rFonts w:ascii="Book Antiqua" w:eastAsia="Book Antiqua" w:hAnsi="Book Antiqua" w:cs="Book Antiqua"/>
          <w:color w:val="000000"/>
        </w:rPr>
        <w:t>: 45-53 [PMID: 28606651 DOI: 10.1016/j.mam.2017.06.001]</w:t>
      </w:r>
    </w:p>
    <w:p w14:paraId="08422ABA" w14:textId="77777777" w:rsidR="00A77B3E" w:rsidRDefault="00266ABC">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Wenzel P</w:t>
      </w:r>
      <w:r>
        <w:rPr>
          <w:rFonts w:ascii="Book Antiqua" w:eastAsia="Book Antiqua" w:hAnsi="Book Antiqua" w:cs="Book Antiqua"/>
          <w:color w:val="000000"/>
        </w:rPr>
        <w:t xml:space="preserve">, Kossmann S, Münzel T, Daiber A. Redox regulation of cardiovascular inflammation - Immunomodulatory function of mitochondrial and Nox-derived reactive oxygen and nitrogen species. </w:t>
      </w:r>
      <w:r>
        <w:rPr>
          <w:rFonts w:ascii="Book Antiqua" w:eastAsia="Book Antiqua" w:hAnsi="Book Antiqua" w:cs="Book Antiqua"/>
          <w:i/>
          <w:iCs/>
          <w:color w:val="000000"/>
        </w:rPr>
        <w:t>Free Radic Biol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109</w:t>
      </w:r>
      <w:r>
        <w:rPr>
          <w:rFonts w:ascii="Book Antiqua" w:eastAsia="Book Antiqua" w:hAnsi="Book Antiqua" w:cs="Book Antiqua"/>
          <w:color w:val="000000"/>
        </w:rPr>
        <w:t>: 48-60 [PMID: 28108279 DOI: 10.1016/j.freeradbiomed.2017.01.027]</w:t>
      </w:r>
    </w:p>
    <w:p w14:paraId="6D6DE0A8" w14:textId="77777777" w:rsidR="00A77B3E" w:rsidRDefault="00266ABC">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Ruan Q</w:t>
      </w:r>
      <w:r>
        <w:rPr>
          <w:rFonts w:ascii="Book Antiqua" w:eastAsia="Book Antiqua" w:hAnsi="Book Antiqua" w:cs="Book Antiqua"/>
          <w:color w:val="000000"/>
        </w:rPr>
        <w:t xml:space="preserve">, Yang K, Wang W, Jiang L, Song J. Clinical predictors of mortality due to COVID-19 based on an analysis of data of 150 patients from Wuhan, China. </w:t>
      </w:r>
      <w:r>
        <w:rPr>
          <w:rFonts w:ascii="Book Antiqua" w:eastAsia="Book Antiqua" w:hAnsi="Book Antiqua" w:cs="Book Antiqua"/>
          <w:i/>
          <w:iCs/>
          <w:color w:val="000000"/>
        </w:rPr>
        <w:t>Intensive Care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46</w:t>
      </w:r>
      <w:r>
        <w:rPr>
          <w:rFonts w:ascii="Book Antiqua" w:eastAsia="Book Antiqua" w:hAnsi="Book Antiqua" w:cs="Book Antiqua"/>
          <w:color w:val="000000"/>
        </w:rPr>
        <w:t>: 846-848 [PMID: 32125452 DOI: 10.1007/s00134-020-05991-x]</w:t>
      </w:r>
    </w:p>
    <w:p w14:paraId="2B508AFD" w14:textId="77777777" w:rsidR="00A77B3E" w:rsidRDefault="00266ABC">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Wu C</w:t>
      </w:r>
      <w:r>
        <w:rPr>
          <w:rFonts w:ascii="Book Antiqua" w:eastAsia="Book Antiqua" w:hAnsi="Book Antiqua" w:cs="Book Antiqua"/>
          <w:color w:val="000000"/>
        </w:rPr>
        <w:t xml:space="preserve">, Chen X, Cai Y, Xia J, Zhou X, Xu S, Huang H, Zhang L, Zhou X, Du C, Zhang Y, Song J, Wang S, Chao Y, Yang Z, Xu J, Zhou X, Chen D, Xiong W, Xu L, Zhou F, Jiang J, Bai C, Zheng J, Song Y. Risk Factors Associated With Acute Respiratory Distress Syndrome and Death in Patients With Coronavirus Disease 2019 Pneumonia in Wuhan, China. </w:t>
      </w:r>
      <w:r>
        <w:rPr>
          <w:rFonts w:ascii="Book Antiqua" w:eastAsia="Book Antiqua" w:hAnsi="Book Antiqua" w:cs="Book Antiqua"/>
          <w:i/>
          <w:iCs/>
          <w:color w:val="000000"/>
        </w:rPr>
        <w:t>JAMA Intern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180</w:t>
      </w:r>
      <w:r>
        <w:rPr>
          <w:rFonts w:ascii="Book Antiqua" w:eastAsia="Book Antiqua" w:hAnsi="Book Antiqua" w:cs="Book Antiqua"/>
          <w:color w:val="000000"/>
        </w:rPr>
        <w:t>: 934-943 [PMID: 32167524 DOI: 10.1001/jamainternmed.2020.0994]</w:t>
      </w:r>
    </w:p>
    <w:p w14:paraId="4BF0CC6C" w14:textId="77777777" w:rsidR="00A77B3E" w:rsidRDefault="00266ABC">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Yang RX</w:t>
      </w:r>
      <w:r>
        <w:rPr>
          <w:rFonts w:ascii="Book Antiqua" w:eastAsia="Book Antiqua" w:hAnsi="Book Antiqua" w:cs="Book Antiqua"/>
          <w:color w:val="000000"/>
        </w:rPr>
        <w:t xml:space="preserve">, Zheng RD, Fan JG. Etiology and management of liver injury in patients with COVID-19.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4753-4762 [PMID: 32921955 DOI: 10.3748/wjg.v26.i32.4753]</w:t>
      </w:r>
    </w:p>
    <w:p w14:paraId="6FDF3422" w14:textId="77777777" w:rsidR="00A77B3E" w:rsidRDefault="00266ABC">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Robledinos-Antón N</w:t>
      </w:r>
      <w:r>
        <w:rPr>
          <w:rFonts w:ascii="Book Antiqua" w:eastAsia="Book Antiqua" w:hAnsi="Book Antiqua" w:cs="Book Antiqua"/>
          <w:color w:val="000000"/>
        </w:rPr>
        <w:t xml:space="preserve">, Fernández-Ginés R, Manda G, Cuadrado A. Activators and Inhibitors of NRF2: A Review of Their Potential for Clinical Development. </w:t>
      </w:r>
      <w:r>
        <w:rPr>
          <w:rFonts w:ascii="Book Antiqua" w:eastAsia="Book Antiqua" w:hAnsi="Book Antiqua" w:cs="Book Antiqua"/>
          <w:i/>
          <w:iCs/>
          <w:color w:val="000000"/>
        </w:rPr>
        <w:t>Oxid Med Cell Longev</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9372182 [PMID: 31396308 DOI: 10.1155/2019/9372182]</w:t>
      </w:r>
    </w:p>
    <w:p w14:paraId="60DFE194" w14:textId="77777777" w:rsidR="00A77B3E" w:rsidRDefault="00266ABC">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Yang H</w:t>
      </w:r>
      <w:r>
        <w:rPr>
          <w:rFonts w:ascii="Book Antiqua" w:eastAsia="Book Antiqua" w:hAnsi="Book Antiqua" w:cs="Book Antiqua"/>
          <w:color w:val="000000"/>
        </w:rPr>
        <w:t xml:space="preserve">, Zheng Y, Li TW, Peng H, Fernandez-Ramos D, Martínez-Chantar ML, Rojas AL, Mato JM, Lu SC. Methionine adenosyltransferase 2B, HuR, and sirtuin 1 protein cross-talk impacts on the effect of resveratrol on apoptosis and growth in liver cancer cells.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2013; </w:t>
      </w:r>
      <w:r>
        <w:rPr>
          <w:rFonts w:ascii="Book Antiqua" w:eastAsia="Book Antiqua" w:hAnsi="Book Antiqua" w:cs="Book Antiqua"/>
          <w:b/>
          <w:bCs/>
          <w:color w:val="000000"/>
        </w:rPr>
        <w:t>288</w:t>
      </w:r>
      <w:r>
        <w:rPr>
          <w:rFonts w:ascii="Book Antiqua" w:eastAsia="Book Antiqua" w:hAnsi="Book Antiqua" w:cs="Book Antiqua"/>
          <w:color w:val="000000"/>
        </w:rPr>
        <w:t>: 23161-23170 [PMID: 23814050 DOI: 10.1074/jbc.M113.487157]</w:t>
      </w:r>
    </w:p>
    <w:p w14:paraId="07DDD3E5" w14:textId="77777777" w:rsidR="00A77B3E" w:rsidRDefault="00266ABC">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McCord JM</w:t>
      </w:r>
      <w:r>
        <w:rPr>
          <w:rFonts w:ascii="Book Antiqua" w:eastAsia="Book Antiqua" w:hAnsi="Book Antiqua" w:cs="Book Antiqua"/>
          <w:color w:val="000000"/>
        </w:rPr>
        <w:t>, Hybertson BM, Cota-Gomez A, Geraci KP, Gao B. Nrf2 Activator PB125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as a Potential Therapeutic Agent against COVID-19. </w:t>
      </w:r>
      <w:r>
        <w:rPr>
          <w:rFonts w:ascii="Book Antiqua" w:eastAsia="Book Antiqua" w:hAnsi="Book Antiqua" w:cs="Book Antiqua"/>
          <w:i/>
          <w:iCs/>
          <w:color w:val="000000"/>
        </w:rPr>
        <w:t>Antioxidants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32545518 DOI: 10.3390/antiox9060518]</w:t>
      </w:r>
    </w:p>
    <w:p w14:paraId="6416A599" w14:textId="77777777" w:rsidR="00A77B3E" w:rsidRDefault="00266ABC">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Rana AK</w:t>
      </w:r>
      <w:r>
        <w:rPr>
          <w:rFonts w:ascii="Book Antiqua" w:eastAsia="Book Antiqua" w:hAnsi="Book Antiqua" w:cs="Book Antiqua"/>
          <w:color w:val="000000"/>
        </w:rPr>
        <w:t xml:space="preserve">, Rahmatkar SN, Kumar A, Singh D. Glycogen synthase kinase-3: A putative target to combat severe acute respiratory syndrome coronavirus 2 (SARS-CoV-2) pandemic. </w:t>
      </w:r>
      <w:r>
        <w:rPr>
          <w:rFonts w:ascii="Book Antiqua" w:eastAsia="Book Antiqua" w:hAnsi="Book Antiqua" w:cs="Book Antiqua"/>
          <w:i/>
          <w:iCs/>
          <w:color w:val="000000"/>
        </w:rPr>
        <w:t>Cytokine Growth Factor Rev</w:t>
      </w:r>
      <w:r>
        <w:rPr>
          <w:rFonts w:ascii="Book Antiqua" w:eastAsia="Book Antiqua" w:hAnsi="Book Antiqua" w:cs="Book Antiqua"/>
          <w:color w:val="000000"/>
        </w:rPr>
        <w:t xml:space="preserve"> 2021; </w:t>
      </w:r>
      <w:r>
        <w:rPr>
          <w:rFonts w:ascii="Book Antiqua" w:eastAsia="Book Antiqua" w:hAnsi="Book Antiqua" w:cs="Book Antiqua"/>
          <w:b/>
          <w:bCs/>
          <w:color w:val="000000"/>
        </w:rPr>
        <w:t>58</w:t>
      </w:r>
      <w:r>
        <w:rPr>
          <w:rFonts w:ascii="Book Antiqua" w:eastAsia="Book Antiqua" w:hAnsi="Book Antiqua" w:cs="Book Antiqua"/>
          <w:color w:val="000000"/>
        </w:rPr>
        <w:t>: 92-101 [PMID: 32948440 DOI: 10.1016/j.cytogfr.2020.08.002]</w:t>
      </w:r>
    </w:p>
    <w:p w14:paraId="53DBBB44" w14:textId="77777777" w:rsidR="00A77B3E" w:rsidRDefault="00266ABC">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Yu C</w:t>
      </w:r>
      <w:r>
        <w:rPr>
          <w:rFonts w:ascii="Book Antiqua" w:eastAsia="Book Antiqua" w:hAnsi="Book Antiqua" w:cs="Book Antiqua"/>
          <w:color w:val="000000"/>
        </w:rPr>
        <w:t xml:space="preserve">, Lei Q, Li W, Wang X, Li W, Liu W. Epidemiological and clinical characteristics of 1663 hospitalized patients infected with COVID-19 in Wuhan, China: a single-center experience. </w:t>
      </w:r>
      <w:r>
        <w:rPr>
          <w:rFonts w:ascii="Book Antiqua" w:eastAsia="Book Antiqua" w:hAnsi="Book Antiqua" w:cs="Book Antiqua"/>
          <w:i/>
          <w:iCs/>
          <w:color w:val="000000"/>
        </w:rPr>
        <w:t>J Infect Public Health</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1202-1209 [PMID: 32718894 DOI: 10.1016/j.jiph.2020.07.002]</w:t>
      </w:r>
    </w:p>
    <w:p w14:paraId="2FAC13FE" w14:textId="77777777" w:rsidR="00A77B3E" w:rsidRDefault="00266ABC">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Jin X</w:t>
      </w:r>
      <w:r>
        <w:rPr>
          <w:rFonts w:ascii="Book Antiqua" w:eastAsia="Book Antiqua" w:hAnsi="Book Antiqua" w:cs="Book Antiqua"/>
          <w:color w:val="000000"/>
        </w:rPr>
        <w:t xml:space="preserve">, Lian JS, Hu JH, Gao J, Zheng L, Zhang YM, Hao SR, Jia HY, Cai H, Zhang XL, Yu GD, Xu KJ, Wang XY, Gu JQ, Zhang SY, Ye CY, Jin CL, Lu YF, Yu X, Yu XP, Huang JR, Xu KL, Ni Q, Yu CB, Zhu B, Li YT, Liu J, Zhao H, Zhang X, Yu L, Guo YZ, Su JW, Tao JJ, Lang GJ, Wu XX, Wu WR, Qv TT, Xiang DR, Yi P, Shi D, Chen Y, Ren Y, Qiu YQ, Li LJ, Sheng J, Yang Y. Epidemiological, clinical and virological characteristics of 74 cases of coronavirus-infected disease 2019 (COVID-19) with gastrointestinal symptoms. </w:t>
      </w:r>
      <w:r>
        <w:rPr>
          <w:rFonts w:ascii="Book Antiqua" w:eastAsia="Book Antiqua" w:hAnsi="Book Antiqua" w:cs="Book Antiqua"/>
          <w:i/>
          <w:iCs/>
          <w:color w:val="000000"/>
        </w:rPr>
        <w:t>Gut</w:t>
      </w:r>
      <w:r>
        <w:rPr>
          <w:rFonts w:ascii="Book Antiqua" w:eastAsia="Book Antiqua" w:hAnsi="Book Antiqua" w:cs="Book Antiqua"/>
          <w:color w:val="000000"/>
        </w:rPr>
        <w:t xml:space="preserve"> 2020; </w:t>
      </w:r>
      <w:r>
        <w:rPr>
          <w:rFonts w:ascii="Book Antiqua" w:eastAsia="Book Antiqua" w:hAnsi="Book Antiqua" w:cs="Book Antiqua"/>
          <w:b/>
          <w:bCs/>
          <w:color w:val="000000"/>
        </w:rPr>
        <w:t>69</w:t>
      </w:r>
      <w:r>
        <w:rPr>
          <w:rFonts w:ascii="Book Antiqua" w:eastAsia="Book Antiqua" w:hAnsi="Book Antiqua" w:cs="Book Antiqua"/>
          <w:color w:val="000000"/>
        </w:rPr>
        <w:t>: 1002-1009 [PMID: 32213556 DOI: 10.1136/gutjnl-2020-320926]</w:t>
      </w:r>
    </w:p>
    <w:p w14:paraId="7787CD83" w14:textId="77777777" w:rsidR="00A77B3E" w:rsidRDefault="00266ABC">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Lian J</w:t>
      </w:r>
      <w:r>
        <w:rPr>
          <w:rFonts w:ascii="Book Antiqua" w:eastAsia="Book Antiqua" w:hAnsi="Book Antiqua" w:cs="Book Antiqua"/>
          <w:color w:val="000000"/>
        </w:rPr>
        <w:t xml:space="preserve">, Jin X, Hao S, Jia H, Cai H, Zhang X, Hu J, Zheng L, Wang X, Zhang S, Ye C, Jin C, Yu G, Gu J, Lu Y, Yu X, Xiang D, Li L, Liang T, Sheng J, Yang Y. Epidemiological, clinical, and virological characteristics of 465 hospitalized cases of coronavirus disease 2019 (COVID-19) from Zhejiang province in China. </w:t>
      </w:r>
      <w:r>
        <w:rPr>
          <w:rFonts w:ascii="Book Antiqua" w:eastAsia="Book Antiqua" w:hAnsi="Book Antiqua" w:cs="Book Antiqua"/>
          <w:i/>
          <w:iCs/>
          <w:color w:val="000000"/>
        </w:rPr>
        <w:t>Influenza Other Respir Viruses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564-574 [PMID: 32397011 DOI: 10.1111/irv.12758]</w:t>
      </w:r>
    </w:p>
    <w:p w14:paraId="2FE41D6A" w14:textId="77777777" w:rsidR="00A77B3E" w:rsidRDefault="00266ABC">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Huang C</w:t>
      </w:r>
      <w:r>
        <w:rPr>
          <w:rFonts w:ascii="Book Antiqua" w:eastAsia="Book Antiqua" w:hAnsi="Book Antiqua" w:cs="Book Antiqua"/>
          <w:color w:val="000000"/>
        </w:rPr>
        <w:t xml:space="preserve">, Wang Y, Li X, Ren L, Zhao J, Hu Y, Zhang L, Fan G, Xu J, Gu X, Cheng Z, Yu T, Xia J, Wei Y, Wu W, Xie X, Yin W, Li H, Liu M, Xiao Y, Gao H, Guo L, Xie J, Wang G, Jiang R, Gao Z, Jin Q, Wang J, Cao B. Clinical features of patients infected with 2019 novel coronavirus in Wuhan, China.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497-506 [PMID: 31986264 DOI: 10.1016/S0140-6736(20)30183-5]</w:t>
      </w:r>
    </w:p>
    <w:p w14:paraId="5D494B0A" w14:textId="77777777" w:rsidR="00A77B3E" w:rsidRDefault="00266ABC">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Angus DC</w:t>
      </w:r>
      <w:r>
        <w:rPr>
          <w:rFonts w:ascii="Book Antiqua" w:eastAsia="Book Antiqua" w:hAnsi="Book Antiqua" w:cs="Book Antiqua"/>
          <w:color w:val="000000"/>
        </w:rPr>
        <w:t xml:space="preserve">, Derde L, Al-Beidh F, Annane D, Arabi Y, Beane A, van Bentum-Puijk W, Berry L, Bhimani Z, Bonten M, Bradbury C, Brunkhorst F, Buxton M, Buzgau A, Cheng AC, de Jong M, Detry M, Estcourt L, Fitzgerald M, Goossens H, Green C, Haniffa R, Higgins AM, Horvat C, Hullegie SJ, Kruger P, Lamontagne F, Lawler PR, Linstrum K, Litton E, Lorenzi E, Marshall J, McAuley D, McGlothin A, McGuinness S, McVerry B, Montgomery S, Mouncey P, Murthy S, Nichol A, Parke R, Parker J, Rowan K, Sanil A, Santos M, Saunders C, Seymour C, Turner A, van de Veerdonk F, Venkatesh B, Zarychanski R, Berry S, Lewis RJ, McArthur C, Webb SA, Gordon AC; Writing Committee for the REMAP-CAP Investigators, Al-Beidh F, Angus D, Annane D, Arabi Y, van Bentum-Puijk W, Berry S, Beane A, Bhimani Z, Bonten M, Bradbury C, Brunkhorst F, Buxton M, Cheng A, De Jong M, Derde L, Estcourt L, Goossens H, Gordon A, Green C, Haniffa R, Lamontagne F, Lawler P, Litton E, Marshall J, McArthur C, McAuley D, McGuinness S, McVerry B, Montgomery S, Mouncey P, Murthy S, Nichol A, Parke R, Rowan K, Seymour C, Turner A, van de Veerdonk F, Webb S, Zarychanski R, Campbell L, Forbes A, Gattas D, Heritier S, Higgins L, Kruger P, Peake S, Presneill J, Seppelt I, Trapani T, Young P, Bagshaw S, Daneman N, Ferguson N, Misak C, Santos M, Hullegie S, Pletz M, Rohde G, Rowan K, Alexander B, Basile K, Girard T, Horvat C, Huang D, Linstrum K, Vates J, Beasley R, Fowler R, McGloughlin S, Morpeth S, Paterson D, Venkatesh B, Uyeki T, Baillie K, Duffy E, Fowler R, Hills T, Orr K, Patanwala A, Tong S, Netea M, Bihari S, Carrier M, Fergusson D, Goligher E, Haidar G, Hunt B, Kumar A, Laffan M, Lawless P, Lother S, McCallum P, Middeldopr S, McQuilten Z, Neal M, Pasi J, Schutgens R, Stanworth S, Turgeon A, Weissman A, Adhikari N, Anstey M, Brant E, de Man A, Lamonagne F, Masse MH, Udy A, Arnold D, Begin P, Charlewood R, Chasse M, Coyne M, Cooper J, Daly J, Gosbell I, Harvala-Simmonds H, Hills T, MacLennan S, Menon D, McDyer J, Pridee N, Roberts D, Shankar-Hari M, Thomas H, Tinmouth A, Triulzi D, Walsh T, Wood E, Calfee C, O’Kane C, Shyamsundar M, Sinha P, Thompson T, Young I, Bihari S, Hodgson C, Laffey J, McAuley D, Orford N, Neto A, Detry M, Fitzgerald M, Lewis R, McGlothlin A, Sanil A, Saunders C, Berry L, Lorenzi E, Miller E, Singh V, Zammit C, van Bentum Puijk W, Bouwman W, Mangindaan Y, Parker L, Peters S, Rietveld I, Raymakers K, Ganpat R, Brillinger N, Markgraf R, Ainscough K, Brickell K, Anjum A, Lane JB, Richards-Belle A, Saull M, Wiley D, Bion J, Connor J, Gates S, Manax V, van der Poll T, Reynolds J, van Beurden M, Effelaar E, Schotsman J, Boyd C, Harland C, Shearer A, Wren J, Clermont G, Garrard W, Kalchthaler K, King A, Ricketts D, Malakoutis S, Marroquin O, Music E, Quinn K, Cate H, Pearson K, Collins J, Hanson J, Williams P, Jackson S, Asghar A, Dyas S, Sutu M, Murphy S, Williamson D, Mguni N, Potter A, Porter D, Goodwin J, Rook C, Harrison S, Williams H, Campbell H, Lomme K, Williamson J, Sheffield J, van’t Hoff W, McCracken P, Young M, Board J, Mart E, Knott C, Smith J, Boschert C, Affleck J, Ramanan M, D’Souza R, Pateman K, Shakih A, Cheung W, Kol M, Wong H, Shah A, Wagh A, Simpson J, Duke G, Chan P, Cartner B, Hunter S, Laver R, Shrestha T, Regli A, Pellicano A, McCullough J, Tallott M, Kumar N, Panwar R, Brinkerhoff G, Koppen C, Cazzola F, Brain M, Mineall S, Fischer R, Biradar V, Soar N, White H, Estensen K, Morrison L, Smith J, Cooper M, Health M, Shehabi Y, Al-Bassam W, Hulley A, Whitehead C, Lowrey J, Gresha R, Walsham J, Meyer J, Harward M, Venz E, Williams P, Kurenda C, Smith K, Smith M, Garcia R, Barge D, Byrne D, Byrne K, Driscoll A, Fortune L, Janin P, Yarad E, Hammond N, Bass F, Ashelford A, Waterson S, Wedd S, McNamara R, Buhr H, Coles J, Schweikert S, Wibrow B, Rauniyar R, Myers E, Fysh E, Dawda A, Mevavala B, Litton E, Ferrier J, Nair P, Buscher H, Reynolds C, Santamaria J, Barbazza L, Homes J, Smith R, Murray L, Brailsford J, Forbes L, Maguire T, Mariappa V, Smith J, Simpson S, Maiden M, Bone A, Horton M, Salerno T, Sterba M, Geng W, Depuydt P, De Waele J, De Bus L, Fierens J, Bracke S, Reeve B, Dechert W, Chassé M, Carrier FM, Boumahni D, Benettaib F, Ghamraoui A, Bellemare D, Cloutier È, Francoeur C, Lamontagne F, D’Aragon F, Carbonneau E, Leblond J, Vazquez-Grande G, Marten N, Wilson M, Albert M, Serri K, Cavayas A, Duplaix M, Williams V, Rochwerg B, Karachi T, Oczkowski S, Centofanti J, Millen T, Duan E, Tsang J, Patterson L, English S, Watpool I, Porteous R, Miezitis S, McIntyre L, Brochard L, Burns K, Sandhu G, Khalid I, Binnie A, Powell E, McMillan A, Luk T, Aref N, Andric Z, Cviljevic S, Đimoti R, Zapalac M, Mirković G, Baršić B, Kutleša M, Kotarski V, Vujaklija Brajković A, Babel J, Sever H, Dragija L, Kušan I, Vaara S, Pettilä L, Heinonen J, Kuitunen A, Karlsson S, Vahtera A, Kiiski H, Ristimäki S, Azaiz A, Charron C, Godement M, Geri G, Vieillard-Baron A, Pourcine F, Monchi M, Luis D, Mercier R, Sagnier A, Verrier N, Caplin C, Siami S, Aparicio C, Vautier S, Jeblaoui A, Fartoukh M, Courtin L, Labbe V, Leparco C, Muller G, Nay MA, Kamel T, Benzekri D, Jacquier S, Mercier E, Chartier D, Salmon C, Dequin P, Schneider F, Morel G, L’Hotellier S, Badie J, Berdaguer FD, Malfroy S, Mezher C, Bourgoin C, Megarbane B, Voicu S, Deye N, Malissin I, Sutterlin L, Guitton C, Darreau C, Landais M, Chudeau N, Robert A, Moine P, Heming N, Maxime V, Bossard I, Nicholier TB, Colin G, Zinzoni V, Maquigneau N, Finn A, Kreß G, Hoff U, Friedrich Hinrichs C, Nee J, Pletz M, Hagel S, Ankert J, Kolanos S, Bloos F, Petros S, Pasieka B, Kunz K, Appelt P, Schütze B, Kluge S, Nierhaus A, Jarczak D, Roedl K, Weismann D, Frey A, Klinikum Neukölln V, Reill L, Distler M, Maselli A, Bélteczki J, Magyar I, Fazekas Á, Kovács S, Szőke V, Szigligeti G, Leszkoven J, Collins D, Breen P, Frohlich S, Whelan R, McNicholas B, Scully M, Casey S, Kernan M, Doran P, O’Dywer M, Smyth M, Hayes L, Hoiting O, Peters M, Rengers E, Evers M, Prinssen A, Bosch Ziekenhuis J, Simons K, Rozendaal W, Polderman F, de Jager P, Moviat M, Paling A, Salet A, Rademaker E, Peters AL, de Jonge E, Wigbers J, Guilder E, Butler M, Cowdrey KA, Newby L, Chen Y, Simmonds C, McConnochie R, Ritzema Carter J, Henderson S, Van Der Heyden K, Mehrtens J, Williams T, Kazemi A, Song R, Lai V, Girijadevi D, Everitt R, Russell R, Hacking D, Buehner U, Williams E, Browne T, Grimwade K, Goodson J, Keet O, Callender O, Martynoga R, Trask K, Butler A, Schischka L, Young C, Lesona E, Olatunji S, Robertson Y, José N, Amaro dos Santos Catorze T, de Lima Pereira TNA, Neves Pessoa LM, Castro Ferreira RM, Pereira Sousa Bastos JM, Aysel Florescu S, Stanciu D, Zaharia MF, Kosa AG, Codreanu D, Marabi Y, Al Qasim E, Moneer Hagazy M, Al Swaidan L, Arishi H, Muñoz-Bermúdez R, Marin-Corral J, Salazar Degracia A, Parrilla Gómez F, Mateo López MI, Rodriguez Fernandez J, Cárcel Fernández S, Carmona Flores R, León López R, de la Fuente Martos C, Allan A, Polgarova P, Farahi N, McWilliam S, Hawcutt D, Rad L, O’Malley L, Whitbread J, Kelsall O, Wild L, Thrush J, Wood H, Austin K, Donnelly A, Kelly M, O’Kane S, McClintock D, Warnock M, Johnston P, Gallagher LJ, Mc Goldrick C, Mc Master M, Strzelecka A, Jha R, Kalogirou M, Ellis C, Krishnamurthy V, Deelchand V, Silversides J, McGuigan P, Ward K, O’Neill A, Finn S, Phillips B, Mullan D, Oritz-Ruiz de Gordoa L, Thomas M, Sweet K, Grimmer L, Johnson R, Pinnell J, Robinson M, Gledhill L, Wood T, Morgan M, Cole J, Hill H, Davies M, Antcliffe D, Templeton M, Rojo R, Coghlan P, Smee J, Mackay E, Cort J, Whileman A, Spencer T, Spittle N, Kasipandian V, Patel A, Allibone S, Genetu RM, Ramali M, Ghosh A, Bamford P, London E, Cawley K, Faulkner M, Jeffrey H, Smith T, Brewer C, Gregory J, Limb J, Cowton A, O’Brien J, Nikitas N, Wells C, Lankester L, Pulletz M, Williams P, Birch J, Wiseman S, Horton S, Alegria A, Turki S, Elsefi T, Crisp N, Allen L, McCullagh I, Robinson P, Hays C, Babio-Galan M, Stevenson H, Khare D, Pinder M, Selvamoni S, Gopinath A, Pugh R, Menzies D, Mackay C, Allan E, Davies G, Puxty K, McCue C, Cathcart S, Hickey N, Ireland J, Yusuff H, Isgro G, Brightling C, Bourne M, Craner M, Watters M, Prout R, Davies L, Pegler S, Kyeremeh L, Arbane G, Wilson K, Gomm L, Francia F, Brett S, Sousa Arias S, Elin Hall R, Budd J, Small C, Birch J, Collins E, Henning J, Bonner S, Hugill K, Cirstea E, Wilkinson D, Karlikowski M, Sutherland H, Wilhelmsen E, Woods J, North J, Sundaran D, Hollos L, Coburn S, Walsh J, Turns M, Hopkins P, Smith J, Noble H, Depante MT, Clarey E, Laha S, Verlander M, Williams A, Huckle A, Hall A, Cooke J, Gardiner-Hill C, Maloney C, Qureshi H, Flint N, Nicholson S, Southin S, Nicholson A, Borgatta B, Turner-Bone I, Reddy A, Wilding L, Chamara Warnapura L, Agno Sathianathan R, Golden D, Hart C, Jones J, Bannard-Smith J, Henry J, Birchall K, Pomeroy F, Quayle R, Makowski A, Misztal B, Ahmed I, KyereDiabour T, Naiker K, Stewart R, Mwaura E, Mew L, Wren L, Willams F, Innes R, Doble P, Hutter J, Shovelton C, Plumb B, Szakmany T, Hamlyn V, Hawkins N, Lewis S, Dell A, Gopal S, Ganguly S, Smallwood A, Harris N, Metherell S, Lazaro JM, Newman T, Fletcher S, Nortje J, Fottrell-Gould D, Randell G, Zaman M, Elmahi E, Jones A, Hall K, Mills G, Ryalls K, Bowler H, Sall J, Bourne R, Borrill Z, Duncan T, Lamb T, Shaw J, Fox C, Moreno Cuesta J, Xavier K, Purohit D, Elhassan M, Bakthavatsalam D, Rowland M, Hutton P, Bashyal A, Davidson N, Hird C, Chhablani M, Phalod G, Kirkby A, Archer S, Netherton K, Reschreiter H, Camsooksai J, Patch S, Jenkins S, Pogson D, Rose S, Daly Z, Brimfield L, Claridge H, Parekh D, Bergin C, Bates M, Dasgin J, McGhee C, Sim M, Hay SK, Henderson S, Phull MK, Zaidi A, Pogreban T, Rosaroso LP, Harvey D, Lowe B, Meredith M, Ryan L, Hormis A, Walker R, Collier D, Kimpton S, Oakley S, Rooney K, Rodden N, Hughes E, Thomson N, McGlynn D, Walden A, Jacques N, Coles H, Tilney E, Vowell E, Schuster-Bruce M, Pitts S, Miln R, Purandare L, Vamplew L, Spivey M, Bean S, Burt K, Moore L, Day C, Gibson C, Gordon E, Zitter L, Keenan S, Baker E, Cherian S, Cutler S, Roynon-Reed A, Harrington K, Raithatha A, Bauchmuller K, Ahmad N, Grecu I, Trodd D, Martin J, Wrey Brown C, Arias AM, Craven T, Hope D, Singleton J, Clark S, Rae N, Welters I, Hamilton DO, Williams K, Waugh V, Shaw D, Puthucheary Z, Martin T, Santos F, Uddin R, Somerville A, Tatham KC, Jhanji S, Black E, Dela Rosa A, Howle R, Tully R, Drummond A, Dearden J, Philbin J, Munt S, Vuylsteke A, Chan C, Victor S, Matsa R, Gellamucho M, Creagh-Brown B, Tooley J, Montague L, De Beaux F, Bullman L, Kersiake I, Demetriou C, Mitchard S, Ramos L, White K, Donnison P, Johns M, Casey R, Mattocks L, Salisbury S, Dark P, Claxton A, McLachlan D, Slevin K, Lee S, Hulme J, Joseph S, Kinney F, Senya HJ, Oborska A, Kayani A, Hadebe B, Orath Prabakaran R, Nichols L, Thomas M, Worner R, Faulkner B, Gendall E, Hayes K, Hamilton-Davies C, Chan C, Mfuko C, Abbass H, Mandadapu V, Leaver S, Forton D, Patel K, Paramasivam E, Powell M, Gould R, Wilby E, Howcroft C, Banach D, Fernández de Pinedo Artaraz Z, Cabreros L, White I, Croft M, Holland N, Pereira R, Zaki A, Johnson D, Jackson M, Garrard H, Juhaz V, Roy A, Rostron A, Woods L, Cornell S, Pillai S, Harford R, Rees T, Ivatt H, Sundara Raman A, Davey M, Lee K, Barber R, Chablani M, Brohi F, Jagannathan V, Clark M, Purvis S, Wetherill B, Dushianthan A, Cusack R, de Courcy-Golder K, Smith S, Jackson S, Attwood B, Parsons P, Page V, Zhao XB, Oza D, Rhodes J, Anderson T, Morris S, Xia Le Tai C, Thomas A, Keen A, Digby S, Cowley N, Wild L, Southern D, Reddy H, Campbell A, Watkins C, Smuts S, Touma O, Barnes N, Alexander P, Felton T, Ferguson S, Sellers K, Bradley-Potts J, Yates D, Birkinshaw I, Kell K, Marshall N, Carr-Knott L, Summers C. Effect of Hydrocortisone on Mortality and Organ Support in Patients With Severe COVID-19: The REMAP-CAP COVID-19 Corticosteroid Domain Randomized Clinical Trial.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2020; </w:t>
      </w:r>
      <w:r>
        <w:rPr>
          <w:rFonts w:ascii="Book Antiqua" w:eastAsia="Book Antiqua" w:hAnsi="Book Antiqua" w:cs="Book Antiqua"/>
          <w:b/>
          <w:bCs/>
          <w:color w:val="000000"/>
        </w:rPr>
        <w:t>324</w:t>
      </w:r>
      <w:r>
        <w:rPr>
          <w:rFonts w:ascii="Book Antiqua" w:eastAsia="Book Antiqua" w:hAnsi="Book Antiqua" w:cs="Book Antiqua"/>
          <w:color w:val="000000"/>
        </w:rPr>
        <w:t>: 1317-1329 [PMID: 32876697 DOI: 10.1001/jama.2020.17022]</w:t>
      </w:r>
    </w:p>
    <w:p w14:paraId="5FD0AF2C" w14:textId="77777777" w:rsidR="00A77B3E" w:rsidRDefault="00266ABC">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Tóbon-Velasco JC</w:t>
      </w:r>
      <w:r>
        <w:rPr>
          <w:rFonts w:ascii="Book Antiqua" w:eastAsia="Book Antiqua" w:hAnsi="Book Antiqua" w:cs="Book Antiqua"/>
          <w:color w:val="000000"/>
        </w:rPr>
        <w:t xml:space="preserve">, Cuevas E, Torres-Ramos MA. Receptor for AGEs (RAGE) as mediator of NF-kB pathway activation in neuroinflammation and oxidative stress. </w:t>
      </w:r>
      <w:r>
        <w:rPr>
          <w:rFonts w:ascii="Book Antiqua" w:eastAsia="Book Antiqua" w:hAnsi="Book Antiqua" w:cs="Book Antiqua"/>
          <w:i/>
          <w:iCs/>
          <w:color w:val="000000"/>
        </w:rPr>
        <w:t>CNS Neurol Disord Drug Targets</w:t>
      </w:r>
      <w:r>
        <w:rPr>
          <w:rFonts w:ascii="Book Antiqua" w:eastAsia="Book Antiqua" w:hAnsi="Book Antiqua" w:cs="Book Antiqua"/>
          <w:color w:val="000000"/>
        </w:rPr>
        <w:t xml:space="preserve"> 2014; </w:t>
      </w:r>
      <w:r>
        <w:rPr>
          <w:rFonts w:ascii="Book Antiqua" w:eastAsia="Book Antiqua" w:hAnsi="Book Antiqua" w:cs="Book Antiqua"/>
          <w:b/>
          <w:bCs/>
          <w:color w:val="000000"/>
        </w:rPr>
        <w:t>13</w:t>
      </w:r>
      <w:r>
        <w:rPr>
          <w:rFonts w:ascii="Book Antiqua" w:eastAsia="Book Antiqua" w:hAnsi="Book Antiqua" w:cs="Book Antiqua"/>
          <w:color w:val="000000"/>
        </w:rPr>
        <w:t>: 1615-1626 [PMID: 25106630 DOI: 10.2174/1871527313666140806144831]</w:t>
      </w:r>
    </w:p>
    <w:p w14:paraId="63DD2471" w14:textId="77777777" w:rsidR="00A77B3E" w:rsidRDefault="00266ABC">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Siebenlist U</w:t>
      </w:r>
      <w:r>
        <w:rPr>
          <w:rFonts w:ascii="Book Antiqua" w:eastAsia="Book Antiqua" w:hAnsi="Book Antiqua" w:cs="Book Antiqua"/>
          <w:color w:val="000000"/>
        </w:rPr>
        <w:t xml:space="preserve">, Franzoso G, Brown K. Structure, regulation and function of NF-kappa B. </w:t>
      </w:r>
      <w:r>
        <w:rPr>
          <w:rFonts w:ascii="Book Antiqua" w:eastAsia="Book Antiqua" w:hAnsi="Book Antiqua" w:cs="Book Antiqua"/>
          <w:i/>
          <w:iCs/>
          <w:color w:val="000000"/>
        </w:rPr>
        <w:t>Annu Rev Cell Biol</w:t>
      </w:r>
      <w:r>
        <w:rPr>
          <w:rFonts w:ascii="Book Antiqua" w:eastAsia="Book Antiqua" w:hAnsi="Book Antiqua" w:cs="Book Antiqua"/>
          <w:color w:val="000000"/>
        </w:rPr>
        <w:t xml:space="preserve"> 1994; </w:t>
      </w:r>
      <w:r>
        <w:rPr>
          <w:rFonts w:ascii="Book Antiqua" w:eastAsia="Book Antiqua" w:hAnsi="Book Antiqua" w:cs="Book Antiqua"/>
          <w:b/>
          <w:bCs/>
          <w:color w:val="000000"/>
        </w:rPr>
        <w:t>10</w:t>
      </w:r>
      <w:r>
        <w:rPr>
          <w:rFonts w:ascii="Book Antiqua" w:eastAsia="Book Antiqua" w:hAnsi="Book Antiqua" w:cs="Book Antiqua"/>
          <w:color w:val="000000"/>
        </w:rPr>
        <w:t>: 405-455 [PMID: 7888182 DOI: 10.1146/annurev.cb.10.110194.002201]</w:t>
      </w:r>
    </w:p>
    <w:p w14:paraId="35CBEDC0" w14:textId="77777777" w:rsidR="00A77B3E" w:rsidRDefault="00266ABC">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Hariharan A</w:t>
      </w:r>
      <w:r>
        <w:rPr>
          <w:rFonts w:ascii="Book Antiqua" w:eastAsia="Book Antiqua" w:hAnsi="Book Antiqua" w:cs="Book Antiqua"/>
          <w:color w:val="000000"/>
        </w:rPr>
        <w:t xml:space="preserve">, Hakeem AR, Radhakrishnan S, Reddy MS, Rela M. The Role and Therapeutic Potential of NF-kappa-B Pathway in Severe COVID-19 Patients. </w:t>
      </w:r>
      <w:r>
        <w:rPr>
          <w:rFonts w:ascii="Book Antiqua" w:eastAsia="Book Antiqua" w:hAnsi="Book Antiqua" w:cs="Book Antiqua"/>
          <w:i/>
          <w:iCs/>
          <w:color w:val="000000"/>
        </w:rPr>
        <w:t>Inflammopharmacology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29</w:t>
      </w:r>
      <w:r>
        <w:rPr>
          <w:rFonts w:ascii="Book Antiqua" w:eastAsia="Book Antiqua" w:hAnsi="Book Antiqua" w:cs="Book Antiqua"/>
          <w:color w:val="000000"/>
        </w:rPr>
        <w:t>: 91-100 [PMID: 33159646 DOI: 10.1007/s10787-020-00773-9]</w:t>
      </w:r>
    </w:p>
    <w:p w14:paraId="6B6CAB66" w14:textId="77777777" w:rsidR="00A77B3E" w:rsidRDefault="00266ABC">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Sivandzade F</w:t>
      </w:r>
      <w:r>
        <w:rPr>
          <w:rFonts w:ascii="Book Antiqua" w:eastAsia="Book Antiqua" w:hAnsi="Book Antiqua" w:cs="Book Antiqua"/>
          <w:color w:val="000000"/>
        </w:rPr>
        <w:t xml:space="preserve">, Prasad S, Bhalerao A, Cucullo L. NRF2 and NF-қB interplay in cerebrovascular and neurodegenerative disorders: Molecular mechanisms and possible therapeutic approaches. </w:t>
      </w:r>
      <w:r>
        <w:rPr>
          <w:rFonts w:ascii="Book Antiqua" w:eastAsia="Book Antiqua" w:hAnsi="Book Antiqua" w:cs="Book Antiqua"/>
          <w:i/>
          <w:iCs/>
          <w:color w:val="000000"/>
        </w:rPr>
        <w:t>Redox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21</w:t>
      </w:r>
      <w:r>
        <w:rPr>
          <w:rFonts w:ascii="Book Antiqua" w:eastAsia="Book Antiqua" w:hAnsi="Book Antiqua" w:cs="Book Antiqua"/>
          <w:color w:val="000000"/>
        </w:rPr>
        <w:t>: 101059 [PMID: 30576920 DOI: 10.1016/j.redox.2018.11.017]</w:t>
      </w:r>
    </w:p>
    <w:p w14:paraId="42F8614A" w14:textId="77777777" w:rsidR="00A77B3E" w:rsidRDefault="00266ABC">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Bellezza I</w:t>
      </w:r>
      <w:r>
        <w:rPr>
          <w:rFonts w:ascii="Book Antiqua" w:eastAsia="Book Antiqua" w:hAnsi="Book Antiqua" w:cs="Book Antiqua"/>
          <w:color w:val="000000"/>
        </w:rPr>
        <w:t xml:space="preserve">, Giambanco I, Minelli A, Donato R. Nrf2-Keap1 signaling in oxidative and reductive stress. </w:t>
      </w:r>
      <w:r>
        <w:rPr>
          <w:rFonts w:ascii="Book Antiqua" w:eastAsia="Book Antiqua" w:hAnsi="Book Antiqua" w:cs="Book Antiqua"/>
          <w:i/>
          <w:iCs/>
          <w:color w:val="000000"/>
        </w:rPr>
        <w:t>Biochim Biophys Acta Mol Cell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1865</w:t>
      </w:r>
      <w:r>
        <w:rPr>
          <w:rFonts w:ascii="Book Antiqua" w:eastAsia="Book Antiqua" w:hAnsi="Book Antiqua" w:cs="Book Antiqua"/>
          <w:color w:val="000000"/>
        </w:rPr>
        <w:t>: 721-733 [PMID: 29499228 DOI: 10.1016/j.bbamcr.2018.02.010]</w:t>
      </w:r>
    </w:p>
    <w:p w14:paraId="4DB929D3" w14:textId="77777777" w:rsidR="00A77B3E" w:rsidRDefault="00266ABC">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Sies H</w:t>
      </w:r>
      <w:r>
        <w:rPr>
          <w:rFonts w:ascii="Book Antiqua" w:eastAsia="Book Antiqua" w:hAnsi="Book Antiqua" w:cs="Book Antiqua"/>
          <w:color w:val="000000"/>
        </w:rPr>
        <w:t xml:space="preserve">, Berndt C, Jones DP. Oxidative Stress. </w:t>
      </w:r>
      <w:r>
        <w:rPr>
          <w:rFonts w:ascii="Book Antiqua" w:eastAsia="Book Antiqua" w:hAnsi="Book Antiqua" w:cs="Book Antiqua"/>
          <w:i/>
          <w:iCs/>
          <w:color w:val="000000"/>
        </w:rPr>
        <w:t>Annu Rev Biochem</w:t>
      </w:r>
      <w:r>
        <w:rPr>
          <w:rFonts w:ascii="Book Antiqua" w:eastAsia="Book Antiqua" w:hAnsi="Book Antiqua" w:cs="Book Antiqua"/>
          <w:color w:val="000000"/>
        </w:rPr>
        <w:t xml:space="preserve"> 2017; </w:t>
      </w:r>
      <w:r>
        <w:rPr>
          <w:rFonts w:ascii="Book Antiqua" w:eastAsia="Book Antiqua" w:hAnsi="Book Antiqua" w:cs="Book Antiqua"/>
          <w:b/>
          <w:bCs/>
          <w:color w:val="000000"/>
        </w:rPr>
        <w:t>86</w:t>
      </w:r>
      <w:r>
        <w:rPr>
          <w:rFonts w:ascii="Book Antiqua" w:eastAsia="Book Antiqua" w:hAnsi="Book Antiqua" w:cs="Book Antiqua"/>
          <w:color w:val="000000"/>
        </w:rPr>
        <w:t>: 715-748 [PMID: 28441057 DOI: 10.1146/annurev-biochem-061516-045037]</w:t>
      </w:r>
    </w:p>
    <w:p w14:paraId="53866A9A" w14:textId="77777777" w:rsidR="00A77B3E" w:rsidRDefault="00266ABC">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Wardyn JD</w:t>
      </w:r>
      <w:r>
        <w:rPr>
          <w:rFonts w:ascii="Book Antiqua" w:eastAsia="Book Antiqua" w:hAnsi="Book Antiqua" w:cs="Book Antiqua"/>
          <w:color w:val="000000"/>
        </w:rPr>
        <w:t xml:space="preserve">, Ponsford AH, Sanderson CM. Dissecting molecular cross-talk between Nrf2 and NF-κB response pathways. </w:t>
      </w:r>
      <w:r>
        <w:rPr>
          <w:rFonts w:ascii="Book Antiqua" w:eastAsia="Book Antiqua" w:hAnsi="Book Antiqua" w:cs="Book Antiqua"/>
          <w:i/>
          <w:iCs/>
          <w:color w:val="000000"/>
        </w:rPr>
        <w:t>Biochem Soc Trans</w:t>
      </w:r>
      <w:r>
        <w:rPr>
          <w:rFonts w:ascii="Book Antiqua" w:eastAsia="Book Antiqua" w:hAnsi="Book Antiqua" w:cs="Book Antiqua"/>
          <w:color w:val="000000"/>
        </w:rPr>
        <w:t xml:space="preserve"> 2015; </w:t>
      </w:r>
      <w:r>
        <w:rPr>
          <w:rFonts w:ascii="Book Antiqua" w:eastAsia="Book Antiqua" w:hAnsi="Book Antiqua" w:cs="Book Antiqua"/>
          <w:b/>
          <w:bCs/>
          <w:color w:val="000000"/>
        </w:rPr>
        <w:t>43</w:t>
      </w:r>
      <w:r>
        <w:rPr>
          <w:rFonts w:ascii="Book Antiqua" w:eastAsia="Book Antiqua" w:hAnsi="Book Antiqua" w:cs="Book Antiqua"/>
          <w:color w:val="000000"/>
        </w:rPr>
        <w:t>: 621-626 [PMID: 26551702 DOI: 10.1042/BST20150014]</w:t>
      </w:r>
    </w:p>
    <w:p w14:paraId="66B485D0" w14:textId="77777777" w:rsidR="00A77B3E" w:rsidRDefault="00266ABC">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Zelová H</w:t>
      </w:r>
      <w:r>
        <w:rPr>
          <w:rFonts w:ascii="Book Antiqua" w:eastAsia="Book Antiqua" w:hAnsi="Book Antiqua" w:cs="Book Antiqua"/>
          <w:color w:val="000000"/>
        </w:rPr>
        <w:t xml:space="preserve">, Hošek J. TNF-α signalling and inflammation: interactions between old acquaintances. </w:t>
      </w:r>
      <w:r>
        <w:rPr>
          <w:rFonts w:ascii="Book Antiqua" w:eastAsia="Book Antiqua" w:hAnsi="Book Antiqua" w:cs="Book Antiqua"/>
          <w:i/>
          <w:iCs/>
          <w:color w:val="000000"/>
        </w:rPr>
        <w:t>Inflamm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62</w:t>
      </w:r>
      <w:r>
        <w:rPr>
          <w:rFonts w:ascii="Book Antiqua" w:eastAsia="Book Antiqua" w:hAnsi="Book Antiqua" w:cs="Book Antiqua"/>
          <w:color w:val="000000"/>
        </w:rPr>
        <w:t>: 641-651 [PMID: 23685857 DOI: 10.1007/s00011-013-0633-0]</w:t>
      </w:r>
    </w:p>
    <w:p w14:paraId="367E5DAC" w14:textId="77777777" w:rsidR="00A77B3E" w:rsidRDefault="00266ABC">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Leist M</w:t>
      </w:r>
      <w:r>
        <w:rPr>
          <w:rFonts w:ascii="Book Antiqua" w:eastAsia="Book Antiqua" w:hAnsi="Book Antiqua" w:cs="Book Antiqua"/>
          <w:color w:val="000000"/>
        </w:rPr>
        <w:t xml:space="preserve">, Gantner F, Bohlinger I, Tiegs G, Germann PG, Wendel A. Tumor necrosis factor-induced hepatocyte apoptosis precedes liver failure in experimental murine shock models. </w:t>
      </w:r>
      <w:r>
        <w:rPr>
          <w:rFonts w:ascii="Book Antiqua" w:eastAsia="Book Antiqua" w:hAnsi="Book Antiqua" w:cs="Book Antiqua"/>
          <w:i/>
          <w:iCs/>
          <w:color w:val="000000"/>
        </w:rPr>
        <w:t>Am J Pathol</w:t>
      </w:r>
      <w:r>
        <w:rPr>
          <w:rFonts w:ascii="Book Antiqua" w:eastAsia="Book Antiqua" w:hAnsi="Book Antiqua" w:cs="Book Antiqua"/>
          <w:color w:val="000000"/>
        </w:rPr>
        <w:t xml:space="preserve"> 1995; </w:t>
      </w:r>
      <w:r>
        <w:rPr>
          <w:rFonts w:ascii="Book Antiqua" w:eastAsia="Book Antiqua" w:hAnsi="Book Antiqua" w:cs="Book Antiqua"/>
          <w:b/>
          <w:bCs/>
          <w:color w:val="000000"/>
        </w:rPr>
        <w:t>146</w:t>
      </w:r>
      <w:r>
        <w:rPr>
          <w:rFonts w:ascii="Book Antiqua" w:eastAsia="Book Antiqua" w:hAnsi="Book Antiqua" w:cs="Book Antiqua"/>
          <w:color w:val="000000"/>
        </w:rPr>
        <w:t>: 1220-1234 [PMID: 7538266]</w:t>
      </w:r>
    </w:p>
    <w:p w14:paraId="28DC528C" w14:textId="77777777" w:rsidR="00A77B3E" w:rsidRDefault="00266ABC">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Ogasawara J</w:t>
      </w:r>
      <w:r>
        <w:rPr>
          <w:rFonts w:ascii="Book Antiqua" w:eastAsia="Book Antiqua" w:hAnsi="Book Antiqua" w:cs="Book Antiqua"/>
          <w:color w:val="000000"/>
        </w:rPr>
        <w:t xml:space="preserve">, Watanabe-Fukunaga R, Adachi M, Matsuzawa A, Kasugai T, Kitamura Y, Itoh N, Suda T, Nagata S. Lethal effect of the anti-Fas antibody in mice. </w:t>
      </w:r>
      <w:r>
        <w:rPr>
          <w:rFonts w:ascii="Book Antiqua" w:eastAsia="Book Antiqua" w:hAnsi="Book Antiqua" w:cs="Book Antiqua"/>
          <w:i/>
          <w:iCs/>
          <w:color w:val="000000"/>
        </w:rPr>
        <w:t>Nature</w:t>
      </w:r>
      <w:r>
        <w:rPr>
          <w:rFonts w:ascii="Book Antiqua" w:eastAsia="Book Antiqua" w:hAnsi="Book Antiqua" w:cs="Book Antiqua"/>
          <w:color w:val="000000"/>
        </w:rPr>
        <w:t xml:space="preserve"> 1993; </w:t>
      </w:r>
      <w:r>
        <w:rPr>
          <w:rFonts w:ascii="Book Antiqua" w:eastAsia="Book Antiqua" w:hAnsi="Book Antiqua" w:cs="Book Antiqua"/>
          <w:b/>
          <w:bCs/>
          <w:color w:val="000000"/>
        </w:rPr>
        <w:t>364</w:t>
      </w:r>
      <w:r>
        <w:rPr>
          <w:rFonts w:ascii="Book Antiqua" w:eastAsia="Book Antiqua" w:hAnsi="Book Antiqua" w:cs="Book Antiqua"/>
          <w:color w:val="000000"/>
        </w:rPr>
        <w:t>: 806-809 [PMID: 7689176 DOI: 10.1038/364806a0]</w:t>
      </w:r>
    </w:p>
    <w:p w14:paraId="27578E24" w14:textId="77777777" w:rsidR="00A77B3E" w:rsidRDefault="00266ABC">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Ren J</w:t>
      </w:r>
      <w:r>
        <w:rPr>
          <w:rFonts w:ascii="Book Antiqua" w:eastAsia="Book Antiqua" w:hAnsi="Book Antiqua" w:cs="Book Antiqua"/>
          <w:color w:val="000000"/>
        </w:rPr>
        <w:t xml:space="preserve">, Su D, Li L, Cai H, Zhang M, Zhai J, Li M, Wu X, Hu K. Anti-inflammatory effects of Aureusidin in LPS-stimulated RAW264.7 macrophages </w:t>
      </w:r>
      <w:r>
        <w:rPr>
          <w:rFonts w:ascii="Book Antiqua" w:eastAsia="Book Antiqua" w:hAnsi="Book Antiqua" w:cs="Book Antiqua"/>
          <w:i/>
          <w:iCs/>
          <w:color w:val="000000"/>
        </w:rPr>
        <w:t>via</w:t>
      </w:r>
      <w:r>
        <w:rPr>
          <w:rFonts w:ascii="Book Antiqua" w:eastAsia="Book Antiqua" w:hAnsi="Book Antiqua" w:cs="Book Antiqua"/>
          <w:color w:val="000000"/>
        </w:rPr>
        <w:t xml:space="preserve"> suppressing NF-κB and activating ROS- and MAPKs-dependent Nrf2/HO-1 signaling pathways. </w:t>
      </w:r>
      <w:r>
        <w:rPr>
          <w:rFonts w:ascii="Book Antiqua" w:eastAsia="Book Antiqua" w:hAnsi="Book Antiqua" w:cs="Book Antiqua"/>
          <w:i/>
          <w:iCs/>
          <w:color w:val="000000"/>
        </w:rPr>
        <w:t>Toxicol Appl Pharmacol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387</w:t>
      </w:r>
      <w:r>
        <w:rPr>
          <w:rFonts w:ascii="Book Antiqua" w:eastAsia="Book Antiqua" w:hAnsi="Book Antiqua" w:cs="Book Antiqua"/>
          <w:color w:val="000000"/>
        </w:rPr>
        <w:t>: 114846 [PMID: 31790703 DOI: 10.1016/j.taap.2019.114846]</w:t>
      </w:r>
    </w:p>
    <w:p w14:paraId="64F4C747" w14:textId="77777777" w:rsidR="00A77B3E" w:rsidRDefault="00266ABC">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Liu GH</w:t>
      </w:r>
      <w:r>
        <w:rPr>
          <w:rFonts w:ascii="Book Antiqua" w:eastAsia="Book Antiqua" w:hAnsi="Book Antiqua" w:cs="Book Antiqua"/>
          <w:color w:val="000000"/>
        </w:rPr>
        <w:t xml:space="preserve">, Qu J, Shen X. NF-kappaB/p65 antagonizes Nrf2-ARE pathway by depriving CBP from Nrf2 and facilitating recruitment of HDAC3 to MafK. </w:t>
      </w:r>
      <w:r>
        <w:rPr>
          <w:rFonts w:ascii="Book Antiqua" w:eastAsia="Book Antiqua" w:hAnsi="Book Antiqua" w:cs="Book Antiqua"/>
          <w:i/>
          <w:iCs/>
          <w:color w:val="000000"/>
        </w:rPr>
        <w:t>Biochim Biophys Acta</w:t>
      </w:r>
      <w:r>
        <w:rPr>
          <w:rFonts w:ascii="Book Antiqua" w:eastAsia="Book Antiqua" w:hAnsi="Book Antiqua" w:cs="Book Antiqua"/>
          <w:color w:val="000000"/>
        </w:rPr>
        <w:t xml:space="preserve"> 2008; </w:t>
      </w:r>
      <w:r>
        <w:rPr>
          <w:rFonts w:ascii="Book Antiqua" w:eastAsia="Book Antiqua" w:hAnsi="Book Antiqua" w:cs="Book Antiqua"/>
          <w:b/>
          <w:bCs/>
          <w:color w:val="000000"/>
        </w:rPr>
        <w:t>1783</w:t>
      </w:r>
      <w:r>
        <w:rPr>
          <w:rFonts w:ascii="Book Antiqua" w:eastAsia="Book Antiqua" w:hAnsi="Book Antiqua" w:cs="Book Antiqua"/>
          <w:color w:val="000000"/>
        </w:rPr>
        <w:t>: 713-727 [PMID: 18241676 DOI: 10.1016/j.bbamcr.2008.01.002]</w:t>
      </w:r>
    </w:p>
    <w:p w14:paraId="1D8DE495" w14:textId="77777777" w:rsidR="00A77B3E" w:rsidRDefault="00266ABC">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Sun Z</w:t>
      </w:r>
      <w:r>
        <w:rPr>
          <w:rFonts w:ascii="Book Antiqua" w:eastAsia="Book Antiqua" w:hAnsi="Book Antiqua" w:cs="Book Antiqua"/>
          <w:color w:val="000000"/>
        </w:rPr>
        <w:t xml:space="preserve">, Chin YE, Zhang DD. Acetylation of Nrf2 by p300/CBP augments promoter-specific DNA binding of Nrf2 during the antioxidant response. </w:t>
      </w:r>
      <w:r>
        <w:rPr>
          <w:rFonts w:ascii="Book Antiqua" w:eastAsia="Book Antiqua" w:hAnsi="Book Antiqua" w:cs="Book Antiqua"/>
          <w:i/>
          <w:iCs/>
          <w:color w:val="000000"/>
        </w:rPr>
        <w:t>Mol Cell Biol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29</w:t>
      </w:r>
      <w:r>
        <w:rPr>
          <w:rFonts w:ascii="Book Antiqua" w:eastAsia="Book Antiqua" w:hAnsi="Book Antiqua" w:cs="Book Antiqua"/>
          <w:color w:val="000000"/>
        </w:rPr>
        <w:t>: 2658-2672 [PMID: 19273602 DOI: 10.1128/MCB.01639-08]</w:t>
      </w:r>
    </w:p>
    <w:p w14:paraId="6786F048" w14:textId="77777777" w:rsidR="00A77B3E" w:rsidRDefault="00266ABC">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Wang B</w:t>
      </w:r>
      <w:r>
        <w:rPr>
          <w:rFonts w:ascii="Book Antiqua" w:eastAsia="Book Antiqua" w:hAnsi="Book Antiqua" w:cs="Book Antiqua"/>
          <w:color w:val="000000"/>
        </w:rPr>
        <w:t xml:space="preserve">, Zhu X, Kim Y, Li J, Huang S, Saleem S, Li RC, Xu Y, Dore S, Cao W. Histone deacetylase inhibition activates transcription factor Nrf2 and protects against cerebral ischemic damage. </w:t>
      </w:r>
      <w:r>
        <w:rPr>
          <w:rFonts w:ascii="Book Antiqua" w:eastAsia="Book Antiqua" w:hAnsi="Book Antiqua" w:cs="Book Antiqua"/>
          <w:i/>
          <w:iCs/>
          <w:color w:val="000000"/>
        </w:rPr>
        <w:t>Free Radic Biol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52</w:t>
      </w:r>
      <w:r>
        <w:rPr>
          <w:rFonts w:ascii="Book Antiqua" w:eastAsia="Book Antiqua" w:hAnsi="Book Antiqua" w:cs="Book Antiqua"/>
          <w:color w:val="000000"/>
        </w:rPr>
        <w:t>: 928-936 [PMID: 22226832 DOI: 10.1016/j.freeradbiomed.2011.12.006]</w:t>
      </w:r>
    </w:p>
    <w:p w14:paraId="3EBCF749" w14:textId="77777777" w:rsidR="00A77B3E" w:rsidRDefault="00266ABC">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Yu M</w:t>
      </w:r>
      <w:r>
        <w:rPr>
          <w:rFonts w:ascii="Book Antiqua" w:eastAsia="Book Antiqua" w:hAnsi="Book Antiqua" w:cs="Book Antiqua"/>
          <w:color w:val="000000"/>
        </w:rPr>
        <w:t xml:space="preserve">, Li H, Liu Q, Liu F, Tang L, Li C, Yuan Y, Zhan Y, Xu W, Li W, Chen H, Ge C, Wang J, Yang X. Nuclear factor p65 interacts with Keap1 to repress the Nrf2-ARE pathway. </w:t>
      </w:r>
      <w:r>
        <w:rPr>
          <w:rFonts w:ascii="Book Antiqua" w:eastAsia="Book Antiqua" w:hAnsi="Book Antiqua" w:cs="Book Antiqua"/>
          <w:i/>
          <w:iCs/>
          <w:color w:val="000000"/>
        </w:rPr>
        <w:t>Cell Signal</w:t>
      </w:r>
      <w:r>
        <w:rPr>
          <w:rFonts w:ascii="Book Antiqua" w:eastAsia="Book Antiqua" w:hAnsi="Book Antiqua" w:cs="Book Antiqua"/>
          <w:color w:val="000000"/>
        </w:rPr>
        <w:t xml:space="preserve"> 2011; </w:t>
      </w:r>
      <w:r>
        <w:rPr>
          <w:rFonts w:ascii="Book Antiqua" w:eastAsia="Book Antiqua" w:hAnsi="Book Antiqua" w:cs="Book Antiqua"/>
          <w:b/>
          <w:bCs/>
          <w:color w:val="000000"/>
        </w:rPr>
        <w:t>23</w:t>
      </w:r>
      <w:r>
        <w:rPr>
          <w:rFonts w:ascii="Book Antiqua" w:eastAsia="Book Antiqua" w:hAnsi="Book Antiqua" w:cs="Book Antiqua"/>
          <w:color w:val="000000"/>
        </w:rPr>
        <w:t>: 883-892 [PMID: 21262351 DOI: 10.1016/j.cellsig.2011.01.014]</w:t>
      </w:r>
    </w:p>
    <w:p w14:paraId="72679265" w14:textId="77777777" w:rsidR="00A77B3E" w:rsidRDefault="00266ABC">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Probst BL</w:t>
      </w:r>
      <w:r>
        <w:rPr>
          <w:rFonts w:ascii="Book Antiqua" w:eastAsia="Book Antiqua" w:hAnsi="Book Antiqua" w:cs="Book Antiqua"/>
          <w:color w:val="000000"/>
        </w:rPr>
        <w:t xml:space="preserve">, McCauley L, Trevino I, Wigley WC, Ferguson DA. Cancer Cell Growth Is Differentially Affected by Constitutive Activation of NRF2 by KEAP1 Deletion and Pharmacological Activation of NRF2 by the Synthetic Triterpenoid, RTA 405.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e0135257 [PMID: 26301506 DOI: 10.1371/journal.pone.0135257]</w:t>
      </w:r>
    </w:p>
    <w:p w14:paraId="0A681598" w14:textId="77777777" w:rsidR="00A77B3E" w:rsidRDefault="00266ABC">
      <w:pPr>
        <w:spacing w:line="360" w:lineRule="auto"/>
        <w:jc w:val="both"/>
      </w:pPr>
      <w:r>
        <w:rPr>
          <w:rFonts w:ascii="Book Antiqua" w:eastAsia="Book Antiqua" w:hAnsi="Book Antiqua" w:cs="Book Antiqua"/>
          <w:color w:val="000000"/>
        </w:rPr>
        <w:t xml:space="preserve">75 </w:t>
      </w:r>
      <w:r>
        <w:rPr>
          <w:rFonts w:ascii="Book Antiqua" w:eastAsia="Book Antiqua" w:hAnsi="Book Antiqua" w:cs="Book Antiqua"/>
          <w:b/>
          <w:bCs/>
          <w:color w:val="000000"/>
        </w:rPr>
        <w:t>Miripour ZS</w:t>
      </w:r>
      <w:r>
        <w:rPr>
          <w:rFonts w:ascii="Book Antiqua" w:eastAsia="Book Antiqua" w:hAnsi="Book Antiqua" w:cs="Book Antiqua"/>
          <w:color w:val="000000"/>
        </w:rPr>
        <w:t xml:space="preserve">, Sarrami-Forooshani R, Sanati H, Makarem J, Taheri MS, Shojaeian F, Eskafi AH, Abbasvandi F, Namdar N, Ghafari H, Aghaee P, Zandi A, Faramarzpour M, Hoseinyazdi M, Tayebi M, Abdolahad M. Real-time diagnosis of reactive oxygen species (ROS) in fresh sputum by electrochemical tracing; correlation between COVID-19 and viral-induced ROS in lung/respiratory epithelium during this pandemic. </w:t>
      </w:r>
      <w:r>
        <w:rPr>
          <w:rFonts w:ascii="Book Antiqua" w:eastAsia="Book Antiqua" w:hAnsi="Book Antiqua" w:cs="Book Antiqua"/>
          <w:i/>
          <w:iCs/>
          <w:color w:val="000000"/>
        </w:rPr>
        <w:t>Biosens Bioelectron</w:t>
      </w:r>
      <w:r>
        <w:rPr>
          <w:rFonts w:ascii="Book Antiqua" w:eastAsia="Book Antiqua" w:hAnsi="Book Antiqua" w:cs="Book Antiqua"/>
          <w:color w:val="000000"/>
        </w:rPr>
        <w:t xml:space="preserve"> 2020; </w:t>
      </w:r>
      <w:r>
        <w:rPr>
          <w:rFonts w:ascii="Book Antiqua" w:eastAsia="Book Antiqua" w:hAnsi="Book Antiqua" w:cs="Book Antiqua"/>
          <w:b/>
          <w:bCs/>
          <w:color w:val="000000"/>
        </w:rPr>
        <w:t>165</w:t>
      </w:r>
      <w:r>
        <w:rPr>
          <w:rFonts w:ascii="Book Antiqua" w:eastAsia="Book Antiqua" w:hAnsi="Book Antiqua" w:cs="Book Antiqua"/>
          <w:color w:val="000000"/>
        </w:rPr>
        <w:t>: 112435 [PMID: 32729548 DOI: 10.1016/j.bios.2020.112435]</w:t>
      </w:r>
    </w:p>
    <w:p w14:paraId="56112715" w14:textId="77777777" w:rsidR="00A77B3E" w:rsidRDefault="00266ABC">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Cecchini R</w:t>
      </w:r>
      <w:r>
        <w:rPr>
          <w:rFonts w:ascii="Book Antiqua" w:eastAsia="Book Antiqua" w:hAnsi="Book Antiqua" w:cs="Book Antiqua"/>
          <w:color w:val="000000"/>
        </w:rPr>
        <w:t xml:space="preserve">, Cecchini AL. SARS-CoV-2 infection pathogenesis is related to oxidative stress as a response to aggression. </w:t>
      </w:r>
      <w:r>
        <w:rPr>
          <w:rFonts w:ascii="Book Antiqua" w:eastAsia="Book Antiqua" w:hAnsi="Book Antiqua" w:cs="Book Antiqua"/>
          <w:i/>
          <w:iCs/>
          <w:color w:val="000000"/>
        </w:rPr>
        <w:t>Med Hypotheses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143</w:t>
      </w:r>
      <w:r>
        <w:rPr>
          <w:rFonts w:ascii="Book Antiqua" w:eastAsia="Book Antiqua" w:hAnsi="Book Antiqua" w:cs="Book Antiqua"/>
          <w:color w:val="000000"/>
        </w:rPr>
        <w:t>: 110102 [PMID: 32721799 DOI: 10.1016/j.mehy.2020.110102]</w:t>
      </w:r>
    </w:p>
    <w:p w14:paraId="6B1539AD" w14:textId="77777777" w:rsidR="00A77B3E" w:rsidRDefault="00266ABC">
      <w:pPr>
        <w:spacing w:line="360" w:lineRule="auto"/>
        <w:jc w:val="both"/>
      </w:pPr>
      <w:r>
        <w:rPr>
          <w:rFonts w:ascii="Book Antiqua" w:eastAsia="Book Antiqua" w:hAnsi="Book Antiqua" w:cs="Book Antiqua"/>
          <w:color w:val="000000"/>
        </w:rPr>
        <w:t xml:space="preserve">77 </w:t>
      </w:r>
      <w:bookmarkStart w:id="1" w:name="_Hlk70004352"/>
      <w:r>
        <w:rPr>
          <w:rFonts w:ascii="Book Antiqua" w:eastAsia="Book Antiqua" w:hAnsi="Book Antiqua" w:cs="Book Antiqua"/>
          <w:b/>
          <w:bCs/>
          <w:color w:val="000000"/>
        </w:rPr>
        <w:t>Hirano</w:t>
      </w:r>
      <w:bookmarkEnd w:id="1"/>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Murakami M. COVID-19: A New Virus, but a Familiar Receptor and Cytokine Release Syndrome.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731-733 [PMID: 32325025 DOI: 10.1016/j.immuni.2020.04.003]</w:t>
      </w:r>
    </w:p>
    <w:p w14:paraId="28529504" w14:textId="77777777" w:rsidR="00A77B3E" w:rsidRDefault="00266ABC">
      <w:pPr>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Kuba K</w:t>
      </w:r>
      <w:r>
        <w:rPr>
          <w:rFonts w:ascii="Book Antiqua" w:eastAsia="Book Antiqua" w:hAnsi="Book Antiqua" w:cs="Book Antiqua"/>
          <w:color w:val="000000"/>
        </w:rPr>
        <w:t xml:space="preserve">, Imai Y, Rao S, Gao H, Guo F, Guan B, Huan Y, Yang P, Zhang Y, Deng W, Bao L, Zhang B, Liu G, Wang Z, Chappell M, Liu Y, Zheng D, Leibbrandt A, Wada T, Slutsky AS, Liu D, Qin C, Jiang C, Penninger JM. A crucial role of angiotensin converting enzyme 2 (ACE2) in SARS coronavirus-induced lung injury.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2005; </w:t>
      </w:r>
      <w:r>
        <w:rPr>
          <w:rFonts w:ascii="Book Antiqua" w:eastAsia="Book Antiqua" w:hAnsi="Book Antiqua" w:cs="Book Antiqua"/>
          <w:b/>
          <w:bCs/>
          <w:color w:val="000000"/>
        </w:rPr>
        <w:t>11</w:t>
      </w:r>
      <w:r>
        <w:rPr>
          <w:rFonts w:ascii="Book Antiqua" w:eastAsia="Book Antiqua" w:hAnsi="Book Antiqua" w:cs="Book Antiqua"/>
          <w:color w:val="000000"/>
        </w:rPr>
        <w:t>: 875-879 [PMID: 16007097 DOI: 10.1038/nm1267]</w:t>
      </w:r>
    </w:p>
    <w:p w14:paraId="032B74FA" w14:textId="77777777" w:rsidR="00A77B3E" w:rsidRDefault="00266ABC">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Eguchi S</w:t>
      </w:r>
      <w:r>
        <w:rPr>
          <w:rFonts w:ascii="Book Antiqua" w:eastAsia="Book Antiqua" w:hAnsi="Book Antiqua" w:cs="Book Antiqua"/>
          <w:color w:val="000000"/>
        </w:rPr>
        <w:t xml:space="preserve">, Kawai T, Scalia R, Rizzo V. Understanding Angiotensin II Type 1 Receptor Signaling in Vascular Pathophysiology. </w:t>
      </w:r>
      <w:r>
        <w:rPr>
          <w:rFonts w:ascii="Book Antiqua" w:eastAsia="Book Antiqua" w:hAnsi="Book Antiqua" w:cs="Book Antiqua"/>
          <w:i/>
          <w:iCs/>
          <w:color w:val="000000"/>
        </w:rPr>
        <w:t>Hypertension</w:t>
      </w:r>
      <w:r>
        <w:rPr>
          <w:rFonts w:ascii="Book Antiqua" w:eastAsia="Book Antiqua" w:hAnsi="Book Antiqua" w:cs="Book Antiqua"/>
          <w:color w:val="000000"/>
        </w:rPr>
        <w:t xml:space="preserve"> 2018; </w:t>
      </w:r>
      <w:r>
        <w:rPr>
          <w:rFonts w:ascii="Book Antiqua" w:eastAsia="Book Antiqua" w:hAnsi="Book Antiqua" w:cs="Book Antiqua"/>
          <w:b/>
          <w:bCs/>
          <w:color w:val="000000"/>
        </w:rPr>
        <w:t>71</w:t>
      </w:r>
      <w:r>
        <w:rPr>
          <w:rFonts w:ascii="Book Antiqua" w:eastAsia="Book Antiqua" w:hAnsi="Book Antiqua" w:cs="Book Antiqua"/>
          <w:color w:val="000000"/>
        </w:rPr>
        <w:t>: 804-810 [PMID: 29581215 DOI: 10.1161/HYPERTENSIONAHA.118.10266]</w:t>
      </w:r>
    </w:p>
    <w:p w14:paraId="353348FA" w14:textId="77777777" w:rsidR="00A77B3E" w:rsidRDefault="00266ABC">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Murakami M</w:t>
      </w:r>
      <w:r>
        <w:rPr>
          <w:rFonts w:ascii="Book Antiqua" w:eastAsia="Book Antiqua" w:hAnsi="Book Antiqua" w:cs="Book Antiqua"/>
          <w:color w:val="000000"/>
        </w:rPr>
        <w:t xml:space="preserve">, Kamimura D, Hirano T. Pleiotropy and Specificity: Insights from the Interleukin 6 Family of Cytokines.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2019; </w:t>
      </w:r>
      <w:r>
        <w:rPr>
          <w:rFonts w:ascii="Book Antiqua" w:eastAsia="Book Antiqua" w:hAnsi="Book Antiqua" w:cs="Book Antiqua"/>
          <w:b/>
          <w:bCs/>
          <w:color w:val="000000"/>
        </w:rPr>
        <w:t>50</w:t>
      </w:r>
      <w:r>
        <w:rPr>
          <w:rFonts w:ascii="Book Antiqua" w:eastAsia="Book Antiqua" w:hAnsi="Book Antiqua" w:cs="Book Antiqua"/>
          <w:color w:val="000000"/>
        </w:rPr>
        <w:t>: 812-831 [PMID: 30995501 DOI: 10.1016/j.immuni.2019.03.027]</w:t>
      </w:r>
    </w:p>
    <w:p w14:paraId="0B837478" w14:textId="77777777" w:rsidR="00A77B3E" w:rsidRDefault="00266ABC">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Cichoż-Lach H</w:t>
      </w:r>
      <w:r>
        <w:rPr>
          <w:rFonts w:ascii="Book Antiqua" w:eastAsia="Book Antiqua" w:hAnsi="Book Antiqua" w:cs="Book Antiqua"/>
          <w:color w:val="000000"/>
        </w:rPr>
        <w:t xml:space="preserve">, Michalak A. Oxidative stress as a crucial factor in liver diseases.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8082-8091 [PMID: 25009380 DOI: 10.3748/wjg.v20.i25.8082]</w:t>
      </w:r>
    </w:p>
    <w:p w14:paraId="4D17DB50" w14:textId="77777777" w:rsidR="00A77B3E" w:rsidRDefault="00266ABC">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Yu HH</w:t>
      </w:r>
      <w:r>
        <w:rPr>
          <w:rFonts w:ascii="Book Antiqua" w:eastAsia="Book Antiqua" w:hAnsi="Book Antiqua" w:cs="Book Antiqua"/>
          <w:color w:val="000000"/>
        </w:rPr>
        <w:t xml:space="preserve">, Qiu YX, Li B, Peng CY, Zeng R, Wang W. Kadsura heteroclita stem ethanol extract protects against carbon tetrachloride-induced liver injury in mice </w:t>
      </w:r>
      <w:r>
        <w:rPr>
          <w:rFonts w:ascii="Book Antiqua" w:eastAsia="Book Antiqua" w:hAnsi="Book Antiqua" w:cs="Book Antiqua"/>
          <w:i/>
          <w:iCs/>
          <w:color w:val="000000"/>
        </w:rPr>
        <w:t>via</w:t>
      </w:r>
      <w:r>
        <w:rPr>
          <w:rFonts w:ascii="Book Antiqua" w:eastAsia="Book Antiqua" w:hAnsi="Book Antiqua" w:cs="Book Antiqua"/>
          <w:color w:val="000000"/>
        </w:rPr>
        <w:t xml:space="preserve"> suppression of oxidative stress, inflammation, and apoptosis. </w:t>
      </w:r>
      <w:r>
        <w:rPr>
          <w:rFonts w:ascii="Book Antiqua" w:eastAsia="Book Antiqua" w:hAnsi="Book Antiqua" w:cs="Book Antiqua"/>
          <w:i/>
          <w:iCs/>
          <w:color w:val="000000"/>
        </w:rPr>
        <w:t>J Ethnopharmacol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267</w:t>
      </w:r>
      <w:r>
        <w:rPr>
          <w:rFonts w:ascii="Book Antiqua" w:eastAsia="Book Antiqua" w:hAnsi="Book Antiqua" w:cs="Book Antiqua"/>
          <w:color w:val="000000"/>
        </w:rPr>
        <w:t>: 113496 [PMID: 33091494 DOI: 10.1016/j.jep.2020.113496]</w:t>
      </w:r>
    </w:p>
    <w:p w14:paraId="27455CFD" w14:textId="77777777" w:rsidR="00A77B3E" w:rsidRDefault="00266ABC">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Wakabayashi N</w:t>
      </w:r>
      <w:r>
        <w:rPr>
          <w:rFonts w:ascii="Book Antiqua" w:eastAsia="Book Antiqua" w:hAnsi="Book Antiqua" w:cs="Book Antiqua"/>
          <w:color w:val="000000"/>
        </w:rPr>
        <w:t xml:space="preserve">, Shin S, Slocum SL, Agoston ES, Wakabayashi J, Kwak MK, Misra V, Biswal S, Yamamoto M, Kensler TW. Regulation of notch1 signaling by nrf2: implications for tissue regeneration. </w:t>
      </w:r>
      <w:r>
        <w:rPr>
          <w:rFonts w:ascii="Book Antiqua" w:eastAsia="Book Antiqua" w:hAnsi="Book Antiqua" w:cs="Book Antiqua"/>
          <w:i/>
          <w:iCs/>
          <w:color w:val="000000"/>
        </w:rPr>
        <w:t>Sci Signal</w:t>
      </w:r>
      <w:r>
        <w:rPr>
          <w:rFonts w:ascii="Book Antiqua" w:eastAsia="Book Antiqua" w:hAnsi="Book Antiqua" w:cs="Book Antiqua"/>
          <w:color w:val="000000"/>
        </w:rPr>
        <w:t xml:space="preserve"> 2010; </w:t>
      </w:r>
      <w:r>
        <w:rPr>
          <w:rFonts w:ascii="Book Antiqua" w:eastAsia="Book Antiqua" w:hAnsi="Book Antiqua" w:cs="Book Antiqua"/>
          <w:b/>
          <w:bCs/>
          <w:color w:val="000000"/>
        </w:rPr>
        <w:t>3</w:t>
      </w:r>
      <w:r>
        <w:rPr>
          <w:rFonts w:ascii="Book Antiqua" w:eastAsia="Book Antiqua" w:hAnsi="Book Antiqua" w:cs="Book Antiqua"/>
          <w:color w:val="000000"/>
        </w:rPr>
        <w:t>: ra52 [PMID: 20628156 DOI: 10.1126/scisignal.2000762]</w:t>
      </w:r>
    </w:p>
    <w:p w14:paraId="2B0D0FFB" w14:textId="77777777" w:rsidR="00A77B3E" w:rsidRDefault="00266ABC">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Duarte TL</w:t>
      </w:r>
      <w:r>
        <w:rPr>
          <w:rFonts w:ascii="Book Antiqua" w:eastAsia="Book Antiqua" w:hAnsi="Book Antiqua" w:cs="Book Antiqua"/>
          <w:color w:val="000000"/>
        </w:rPr>
        <w:t xml:space="preserve">, Caldas C, Santos AG, Silva-Gomes S, Santos-Gonçalves A, Martins MJ, Porto G, Lopes JM. Genetic disruption of NRF2 promotes the development of necroinflammation and liver fibrosis in a mouse model of HFE-hereditary hemochromatosis. </w:t>
      </w:r>
      <w:r>
        <w:rPr>
          <w:rFonts w:ascii="Book Antiqua" w:eastAsia="Book Antiqua" w:hAnsi="Book Antiqua" w:cs="Book Antiqua"/>
          <w:i/>
          <w:iCs/>
          <w:color w:val="000000"/>
        </w:rPr>
        <w:t>Redox 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157-169 [PMID: 27936457 DOI: 10.1016/j.redox.2016.11.013]</w:t>
      </w:r>
    </w:p>
    <w:p w14:paraId="2F2AE142" w14:textId="77777777" w:rsidR="00A77B3E" w:rsidRDefault="00266ABC">
      <w:pPr>
        <w:spacing w:line="360" w:lineRule="auto"/>
        <w:jc w:val="both"/>
      </w:pPr>
      <w:r>
        <w:rPr>
          <w:rFonts w:ascii="Book Antiqua" w:eastAsia="Book Antiqua" w:hAnsi="Book Antiqua" w:cs="Book Antiqua"/>
          <w:color w:val="000000"/>
        </w:rPr>
        <w:t xml:space="preserve">85 </w:t>
      </w:r>
      <w:r>
        <w:rPr>
          <w:rFonts w:ascii="Book Antiqua" w:eastAsia="Book Antiqua" w:hAnsi="Book Antiqua" w:cs="Book Antiqua"/>
          <w:b/>
          <w:bCs/>
          <w:color w:val="000000"/>
        </w:rPr>
        <w:t>Wu KC</w:t>
      </w:r>
      <w:r>
        <w:rPr>
          <w:rFonts w:ascii="Book Antiqua" w:eastAsia="Book Antiqua" w:hAnsi="Book Antiqua" w:cs="Book Antiqua"/>
          <w:color w:val="000000"/>
        </w:rPr>
        <w:t xml:space="preserve">, Liu JJ, Klaassen CD. Nrf2 activation prevents cadmium-induced acute liver injury. </w:t>
      </w:r>
      <w:r>
        <w:rPr>
          <w:rFonts w:ascii="Book Antiqua" w:eastAsia="Book Antiqua" w:hAnsi="Book Antiqua" w:cs="Book Antiqua"/>
          <w:i/>
          <w:iCs/>
          <w:color w:val="000000"/>
        </w:rPr>
        <w:t>Toxicol Appl Pharmacol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263</w:t>
      </w:r>
      <w:r>
        <w:rPr>
          <w:rFonts w:ascii="Book Antiqua" w:eastAsia="Book Antiqua" w:hAnsi="Book Antiqua" w:cs="Book Antiqua"/>
          <w:color w:val="000000"/>
        </w:rPr>
        <w:t>: 14-20 [PMID: 22677785 DOI: 10.1016/j.taap.2012.05.017]</w:t>
      </w:r>
    </w:p>
    <w:p w14:paraId="1B1068FC" w14:textId="77777777" w:rsidR="00A77B3E" w:rsidRDefault="00266ABC">
      <w:pPr>
        <w:spacing w:line="360" w:lineRule="auto"/>
        <w:jc w:val="both"/>
      </w:pPr>
      <w:r>
        <w:rPr>
          <w:rFonts w:ascii="Book Antiqua" w:eastAsia="Book Antiqua" w:hAnsi="Book Antiqua" w:cs="Book Antiqua"/>
          <w:color w:val="000000"/>
        </w:rPr>
        <w:t xml:space="preserve">86 </w:t>
      </w:r>
      <w:r>
        <w:rPr>
          <w:rFonts w:ascii="Book Antiqua" w:eastAsia="Book Antiqua" w:hAnsi="Book Antiqua" w:cs="Book Antiqua"/>
          <w:b/>
          <w:bCs/>
          <w:color w:val="000000"/>
        </w:rPr>
        <w:t>Luedde T</w:t>
      </w:r>
      <w:r>
        <w:rPr>
          <w:rFonts w:ascii="Book Antiqua" w:eastAsia="Book Antiqua" w:hAnsi="Book Antiqua" w:cs="Book Antiqua"/>
          <w:color w:val="000000"/>
        </w:rPr>
        <w:t xml:space="preserve">, Schwabe RF. NF-κB in the liver--linking injury, fibrosis and hepatocellular carcinoma.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2011; </w:t>
      </w:r>
      <w:r>
        <w:rPr>
          <w:rFonts w:ascii="Book Antiqua" w:eastAsia="Book Antiqua" w:hAnsi="Book Antiqua" w:cs="Book Antiqua"/>
          <w:b/>
          <w:bCs/>
          <w:color w:val="000000"/>
        </w:rPr>
        <w:t>8</w:t>
      </w:r>
      <w:r>
        <w:rPr>
          <w:rFonts w:ascii="Book Antiqua" w:eastAsia="Book Antiqua" w:hAnsi="Book Antiqua" w:cs="Book Antiqua"/>
          <w:color w:val="000000"/>
        </w:rPr>
        <w:t>: 108-118 [PMID: 21293511 DOI: 10.1038/nrgastro.2010.213]</w:t>
      </w:r>
    </w:p>
    <w:p w14:paraId="5F985460" w14:textId="77777777" w:rsidR="00A77B3E" w:rsidRDefault="00266ABC">
      <w:pPr>
        <w:spacing w:line="360" w:lineRule="auto"/>
        <w:jc w:val="both"/>
      </w:pPr>
      <w:r>
        <w:rPr>
          <w:rFonts w:ascii="Book Antiqua" w:eastAsia="Book Antiqua" w:hAnsi="Book Antiqua" w:cs="Book Antiqua"/>
          <w:color w:val="000000"/>
        </w:rPr>
        <w:t xml:space="preserve">87 </w:t>
      </w:r>
      <w:r>
        <w:rPr>
          <w:rFonts w:ascii="Book Antiqua" w:eastAsia="Book Antiqua" w:hAnsi="Book Antiqua" w:cs="Book Antiqua"/>
          <w:b/>
          <w:bCs/>
          <w:color w:val="000000"/>
        </w:rPr>
        <w:t>Guan WJ</w:t>
      </w:r>
      <w:r>
        <w:rPr>
          <w:rFonts w:ascii="Book Antiqua" w:eastAsia="Book Antiqua" w:hAnsi="Book Antiqua" w:cs="Book Antiqua"/>
          <w:color w:val="000000"/>
        </w:rPr>
        <w:t xml:space="preserve">, Ni ZY, Hu Y, Liang WH, Ou CQ, He JX, Liu L, Shan H, Lei CL, Hui DSC, Du B, Li LJ, Zeng G, Yuen KY, Chen RC, Tang CL, Wang T, Chen PY, Xiang J, Li SY, Wang JL, Liang ZJ, Peng YX, Wei L, Liu Y, Hu YH, Peng P, Wang JM, Liu JY, Chen Z, Li G, Zheng ZJ, Qiu SQ, Luo J, Ye CJ, Zhu SY, Zhong NS; China Medical Treatment Expert Group for Covid-19. Clinical Characteristics of Coronavirus Disease 2019 in China.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382</w:t>
      </w:r>
      <w:r>
        <w:rPr>
          <w:rFonts w:ascii="Book Antiqua" w:eastAsia="Book Antiqua" w:hAnsi="Book Antiqua" w:cs="Book Antiqua"/>
          <w:color w:val="000000"/>
        </w:rPr>
        <w:t>: 1708-1720 [PMID: 32109013 DOI: 10.1056/NEJMoa2002032]</w:t>
      </w:r>
    </w:p>
    <w:p w14:paraId="71E9D5FE" w14:textId="77777777" w:rsidR="00A77B3E" w:rsidRDefault="00266ABC">
      <w:pPr>
        <w:spacing w:line="360" w:lineRule="auto"/>
        <w:jc w:val="both"/>
      </w:pPr>
      <w:r>
        <w:rPr>
          <w:rFonts w:ascii="Book Antiqua" w:eastAsia="Book Antiqua" w:hAnsi="Book Antiqua" w:cs="Book Antiqua"/>
          <w:color w:val="000000"/>
        </w:rPr>
        <w:t xml:space="preserve">88 </w:t>
      </w:r>
      <w:r>
        <w:rPr>
          <w:rFonts w:ascii="Book Antiqua" w:eastAsia="Book Antiqua" w:hAnsi="Book Antiqua" w:cs="Book Antiqua"/>
          <w:b/>
          <w:bCs/>
          <w:color w:val="000000"/>
        </w:rPr>
        <w:t>Chen LY</w:t>
      </w:r>
      <w:r>
        <w:rPr>
          <w:rFonts w:ascii="Book Antiqua" w:eastAsia="Book Antiqua" w:hAnsi="Book Antiqua" w:cs="Book Antiqua"/>
          <w:color w:val="000000"/>
        </w:rPr>
        <w:t xml:space="preserve">, Chu HK, Bai T, Tu SJ, Wei Y, Li ZL, Hu LL, Zhu R, Zhang L, Han CQ, Xiao L, He Q, Song J, Liu WH, Zhu QJ, Chen H, Yang L, Hou XH. Liver damage at admission is an independent prognostic factor for COVID-19. </w:t>
      </w:r>
      <w:r>
        <w:rPr>
          <w:rFonts w:ascii="Book Antiqua" w:eastAsia="Book Antiqua" w:hAnsi="Book Antiqua" w:cs="Book Antiqua"/>
          <w:i/>
          <w:iCs/>
          <w:color w:val="000000"/>
        </w:rPr>
        <w:t>J Dig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512-518 [PMID: 32713118 DOI: 10.1111/1751-2980.12925]</w:t>
      </w:r>
    </w:p>
    <w:p w14:paraId="32C3596D" w14:textId="7DC5E906" w:rsidR="00A77B3E" w:rsidRDefault="00266ABC">
      <w:pPr>
        <w:spacing w:line="360" w:lineRule="auto"/>
        <w:jc w:val="both"/>
      </w:pPr>
      <w:r>
        <w:rPr>
          <w:rFonts w:ascii="Book Antiqua" w:eastAsia="Book Antiqua" w:hAnsi="Book Antiqua" w:cs="Book Antiqua"/>
          <w:color w:val="000000"/>
        </w:rPr>
        <w:t xml:space="preserve">89 </w:t>
      </w:r>
      <w:r>
        <w:rPr>
          <w:rFonts w:ascii="Book Antiqua" w:eastAsia="Book Antiqua" w:hAnsi="Book Antiqua" w:cs="Book Antiqua"/>
          <w:b/>
          <w:bCs/>
          <w:color w:val="000000"/>
        </w:rPr>
        <w:t>Xie H</w:t>
      </w:r>
      <w:r>
        <w:rPr>
          <w:rFonts w:ascii="Book Antiqua" w:eastAsia="Book Antiqua" w:hAnsi="Book Antiqua" w:cs="Book Antiqua"/>
          <w:color w:val="000000"/>
        </w:rPr>
        <w:t xml:space="preserve">, Zhao J, Lian N, Lin S, Xie Q, Zhuo H. Clinical characteristics of non-ICU hospitalized patients with coronavirus disease 2019 and liver injury: A retrospective study.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1321-1326 [PMID: 32239591 DOI: 10.1111/</w:t>
      </w:r>
      <w:r w:rsidR="001E7702">
        <w:rPr>
          <w:rFonts w:ascii="Book Antiqua" w:eastAsia="Book Antiqua" w:hAnsi="Book Antiqua" w:cs="Book Antiqua"/>
          <w:color w:val="000000"/>
        </w:rPr>
        <w:t>l</w:t>
      </w:r>
      <w:r>
        <w:rPr>
          <w:rFonts w:ascii="Book Antiqua" w:eastAsia="Book Antiqua" w:hAnsi="Book Antiqua" w:cs="Book Antiqua"/>
          <w:color w:val="000000"/>
        </w:rPr>
        <w:t>iv.14449]</w:t>
      </w:r>
    </w:p>
    <w:p w14:paraId="0B4A70A9" w14:textId="77777777" w:rsidR="00A77B3E" w:rsidRDefault="00266ABC">
      <w:pPr>
        <w:spacing w:line="360" w:lineRule="auto"/>
        <w:jc w:val="both"/>
      </w:pPr>
      <w:r>
        <w:rPr>
          <w:rFonts w:ascii="Book Antiqua" w:eastAsia="Book Antiqua" w:hAnsi="Book Antiqua" w:cs="Book Antiqua"/>
          <w:color w:val="000000"/>
        </w:rPr>
        <w:t xml:space="preserve">90 </w:t>
      </w:r>
      <w:r>
        <w:rPr>
          <w:rFonts w:ascii="Book Antiqua" w:eastAsia="Book Antiqua" w:hAnsi="Book Antiqua" w:cs="Book Antiqua"/>
          <w:b/>
          <w:bCs/>
          <w:color w:val="000000"/>
        </w:rPr>
        <w:t>Wang Z</w:t>
      </w:r>
      <w:r>
        <w:rPr>
          <w:rFonts w:ascii="Book Antiqua" w:eastAsia="Book Antiqua" w:hAnsi="Book Antiqua" w:cs="Book Antiqua"/>
          <w:color w:val="000000"/>
        </w:rPr>
        <w:t xml:space="preserve">, Ye D, Wang M, Zhao M, Li D, Ye J, Liu J, Xu Y, Zhang J, Pan W, Liu M, Luo Z, Wan J. Clinical Features of COVID-19 Patients with Different Outcomes in Wuhan: A Retrospective Observational Study.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2138387 [PMID: 33029494 DOI: 10.1155/2020/2138387]</w:t>
      </w:r>
    </w:p>
    <w:p w14:paraId="41D0B080" w14:textId="77777777" w:rsidR="00A77B3E" w:rsidRDefault="00266ABC">
      <w:pPr>
        <w:spacing w:line="360" w:lineRule="auto"/>
        <w:jc w:val="both"/>
      </w:pPr>
      <w:r>
        <w:rPr>
          <w:rFonts w:ascii="Book Antiqua" w:eastAsia="Book Antiqua" w:hAnsi="Book Antiqua" w:cs="Book Antiqua"/>
          <w:color w:val="000000"/>
        </w:rPr>
        <w:t xml:space="preserve">91 </w:t>
      </w:r>
      <w:r>
        <w:rPr>
          <w:rFonts w:ascii="Book Antiqua" w:eastAsia="Book Antiqua" w:hAnsi="Book Antiqua" w:cs="Book Antiqua"/>
          <w:b/>
          <w:bCs/>
          <w:color w:val="000000"/>
        </w:rPr>
        <w:t>Chen N</w:t>
      </w:r>
      <w:r>
        <w:rPr>
          <w:rFonts w:ascii="Book Antiqua" w:eastAsia="Book Antiqua" w:hAnsi="Book Antiqua" w:cs="Book Antiqua"/>
          <w:color w:val="000000"/>
        </w:rPr>
        <w:t xml:space="preserve">, Zhou M, Dong X, Qu J, Gong F, Han Y, Qiu Y, Wang J, Liu Y, Wei Y, Xia J, Yu T, Zhang X, Zhang L. Epidemiological and clinical characteristics of 99 cases of 2019 novel coronavirus pneumonia in Wuhan, China: a descriptive study.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507-513 [PMID: 32007143 DOI: 10.1016/S0140-6736(20)30211-7]</w:t>
      </w:r>
    </w:p>
    <w:p w14:paraId="7E1005AC" w14:textId="77777777" w:rsidR="00A77B3E" w:rsidRDefault="00266ABC">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Lu SC</w:t>
      </w:r>
      <w:r>
        <w:rPr>
          <w:rFonts w:ascii="Book Antiqua" w:eastAsia="Book Antiqua" w:hAnsi="Book Antiqua" w:cs="Book Antiqua"/>
          <w:color w:val="000000"/>
        </w:rPr>
        <w:t xml:space="preserve">. Regulation of glutathione synthesis. </w:t>
      </w:r>
      <w:r>
        <w:rPr>
          <w:rFonts w:ascii="Book Antiqua" w:eastAsia="Book Antiqua" w:hAnsi="Book Antiqua" w:cs="Book Antiqua"/>
          <w:i/>
          <w:iCs/>
          <w:color w:val="000000"/>
        </w:rPr>
        <w:t>Mol Aspects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30</w:t>
      </w:r>
      <w:r>
        <w:rPr>
          <w:rFonts w:ascii="Book Antiqua" w:eastAsia="Book Antiqua" w:hAnsi="Book Antiqua" w:cs="Book Antiqua"/>
          <w:color w:val="000000"/>
        </w:rPr>
        <w:t>: 42-59 [PMID: 18601945 DOI: 10.1016/j.mam.2008.05.005]</w:t>
      </w:r>
    </w:p>
    <w:p w14:paraId="47B69C42" w14:textId="77777777" w:rsidR="00A77B3E" w:rsidRDefault="00266ABC">
      <w:pPr>
        <w:spacing w:line="360" w:lineRule="auto"/>
        <w:jc w:val="both"/>
      </w:pPr>
      <w:r>
        <w:rPr>
          <w:rFonts w:ascii="Book Antiqua" w:eastAsia="Book Antiqua" w:hAnsi="Book Antiqua" w:cs="Book Antiqua"/>
          <w:color w:val="000000"/>
        </w:rPr>
        <w:t xml:space="preserve">93 </w:t>
      </w:r>
      <w:r>
        <w:rPr>
          <w:rFonts w:ascii="Book Antiqua" w:eastAsia="Book Antiqua" w:hAnsi="Book Antiqua" w:cs="Book Antiqua"/>
          <w:b/>
          <w:bCs/>
          <w:color w:val="000000"/>
        </w:rPr>
        <w:t>Thimmulappa RK</w:t>
      </w:r>
      <w:r>
        <w:rPr>
          <w:rFonts w:ascii="Book Antiqua" w:eastAsia="Book Antiqua" w:hAnsi="Book Antiqua" w:cs="Book Antiqua"/>
          <w:color w:val="000000"/>
        </w:rPr>
        <w:t xml:space="preserve">, Mai KH, Srisuma S, Kensler TW, Yamamoto M, Biswal S. Identification of Nrf2-regulated genes induced by the chemopreventive agent sulforaphane by oligonucleotide microarray.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2002; </w:t>
      </w:r>
      <w:r>
        <w:rPr>
          <w:rFonts w:ascii="Book Antiqua" w:eastAsia="Book Antiqua" w:hAnsi="Book Antiqua" w:cs="Book Antiqua"/>
          <w:b/>
          <w:bCs/>
          <w:color w:val="000000"/>
        </w:rPr>
        <w:t>62</w:t>
      </w:r>
      <w:r>
        <w:rPr>
          <w:rFonts w:ascii="Book Antiqua" w:eastAsia="Book Antiqua" w:hAnsi="Book Antiqua" w:cs="Book Antiqua"/>
          <w:color w:val="000000"/>
        </w:rPr>
        <w:t>: 5196-5203 [PMID: 12234984]</w:t>
      </w:r>
    </w:p>
    <w:p w14:paraId="439564B8" w14:textId="77777777" w:rsidR="00A77B3E" w:rsidRDefault="00266ABC">
      <w:pPr>
        <w:spacing w:line="360" w:lineRule="auto"/>
        <w:jc w:val="both"/>
      </w:pPr>
      <w:r>
        <w:rPr>
          <w:rFonts w:ascii="Book Antiqua" w:eastAsia="Book Antiqua" w:hAnsi="Book Antiqua" w:cs="Book Antiqua"/>
          <w:color w:val="000000"/>
        </w:rPr>
        <w:t xml:space="preserve">94 </w:t>
      </w:r>
      <w:r>
        <w:rPr>
          <w:rFonts w:ascii="Book Antiqua" w:eastAsia="Book Antiqua" w:hAnsi="Book Antiqua" w:cs="Book Antiqua"/>
          <w:b/>
          <w:bCs/>
          <w:color w:val="000000"/>
        </w:rPr>
        <w:t>Mitsuishi Y</w:t>
      </w:r>
      <w:r>
        <w:rPr>
          <w:rFonts w:ascii="Book Antiqua" w:eastAsia="Book Antiqua" w:hAnsi="Book Antiqua" w:cs="Book Antiqua"/>
          <w:color w:val="000000"/>
        </w:rPr>
        <w:t xml:space="preserve">, Taguchi K, Kawatani Y, Shibata T, Nukiwa T, Aburatani H, Yamamoto M, Motohashi H. Nrf2 redirects glucose and glutamine into anabolic pathways in metabolic reprogramming. </w:t>
      </w:r>
      <w:r>
        <w:rPr>
          <w:rFonts w:ascii="Book Antiqua" w:eastAsia="Book Antiqua" w:hAnsi="Book Antiqua" w:cs="Book Antiqua"/>
          <w:i/>
          <w:iCs/>
          <w:color w:val="000000"/>
        </w:rPr>
        <w:t>Cancer Cell</w:t>
      </w:r>
      <w:r>
        <w:rPr>
          <w:rFonts w:ascii="Book Antiqua" w:eastAsia="Book Antiqua" w:hAnsi="Book Antiqua" w:cs="Book Antiqua"/>
          <w:color w:val="000000"/>
        </w:rPr>
        <w:t xml:space="preserve"> 2012; </w:t>
      </w:r>
      <w:r>
        <w:rPr>
          <w:rFonts w:ascii="Book Antiqua" w:eastAsia="Book Antiqua" w:hAnsi="Book Antiqua" w:cs="Book Antiqua"/>
          <w:b/>
          <w:bCs/>
          <w:color w:val="000000"/>
        </w:rPr>
        <w:t>22</w:t>
      </w:r>
      <w:r>
        <w:rPr>
          <w:rFonts w:ascii="Book Antiqua" w:eastAsia="Book Antiqua" w:hAnsi="Book Antiqua" w:cs="Book Antiqua"/>
          <w:color w:val="000000"/>
        </w:rPr>
        <w:t>: 66-79 [PMID: 22789539 DOI: 10.1016/j.ccr.2012.05.016]</w:t>
      </w:r>
    </w:p>
    <w:p w14:paraId="5545D164" w14:textId="77777777" w:rsidR="00A77B3E" w:rsidRDefault="00266ABC">
      <w:pPr>
        <w:spacing w:line="360" w:lineRule="auto"/>
        <w:jc w:val="both"/>
      </w:pPr>
      <w:r>
        <w:rPr>
          <w:rFonts w:ascii="Book Antiqua" w:eastAsia="Book Antiqua" w:hAnsi="Book Antiqua" w:cs="Book Antiqua"/>
          <w:color w:val="000000"/>
        </w:rPr>
        <w:t xml:space="preserve">95 </w:t>
      </w:r>
      <w:r>
        <w:rPr>
          <w:rFonts w:ascii="Book Antiqua" w:eastAsia="Book Antiqua" w:hAnsi="Book Antiqua" w:cs="Book Antiqua"/>
          <w:b/>
          <w:bCs/>
          <w:color w:val="000000"/>
        </w:rPr>
        <w:t>Wu KC</w:t>
      </w:r>
      <w:r>
        <w:rPr>
          <w:rFonts w:ascii="Book Antiqua" w:eastAsia="Book Antiqua" w:hAnsi="Book Antiqua" w:cs="Book Antiqua"/>
          <w:color w:val="000000"/>
        </w:rPr>
        <w:t xml:space="preserve">, Cui JY, Klaassen CD. Beneficial role of Nrf2 in regulating NADPH generation and consumption. </w:t>
      </w:r>
      <w:r>
        <w:rPr>
          <w:rFonts w:ascii="Book Antiqua" w:eastAsia="Book Antiqua" w:hAnsi="Book Antiqua" w:cs="Book Antiqua"/>
          <w:i/>
          <w:iCs/>
          <w:color w:val="000000"/>
        </w:rPr>
        <w:t>Toxicol Sci</w:t>
      </w:r>
      <w:r>
        <w:rPr>
          <w:rFonts w:ascii="Book Antiqua" w:eastAsia="Book Antiqua" w:hAnsi="Book Antiqua" w:cs="Book Antiqua"/>
          <w:color w:val="000000"/>
        </w:rPr>
        <w:t xml:space="preserve"> 2011; </w:t>
      </w:r>
      <w:r>
        <w:rPr>
          <w:rFonts w:ascii="Book Antiqua" w:eastAsia="Book Antiqua" w:hAnsi="Book Antiqua" w:cs="Book Antiqua"/>
          <w:b/>
          <w:bCs/>
          <w:color w:val="000000"/>
        </w:rPr>
        <w:t>123</w:t>
      </w:r>
      <w:r>
        <w:rPr>
          <w:rFonts w:ascii="Book Antiqua" w:eastAsia="Book Antiqua" w:hAnsi="Book Antiqua" w:cs="Book Antiqua"/>
          <w:color w:val="000000"/>
        </w:rPr>
        <w:t>: 590-600 [PMID: 21775727 DOI: 10.1093/toxsci/kfr183]</w:t>
      </w:r>
    </w:p>
    <w:p w14:paraId="727ECE67" w14:textId="77777777" w:rsidR="00A77B3E" w:rsidRDefault="00266ABC">
      <w:pPr>
        <w:spacing w:line="360" w:lineRule="auto"/>
        <w:jc w:val="both"/>
      </w:pPr>
      <w:r>
        <w:rPr>
          <w:rFonts w:ascii="Book Antiqua" w:eastAsia="Book Antiqua" w:hAnsi="Book Antiqua" w:cs="Book Antiqua"/>
          <w:color w:val="000000"/>
        </w:rPr>
        <w:t xml:space="preserve">96 </w:t>
      </w:r>
      <w:r>
        <w:rPr>
          <w:rFonts w:ascii="Book Antiqua" w:eastAsia="Book Antiqua" w:hAnsi="Book Antiqua" w:cs="Book Antiqua"/>
          <w:b/>
          <w:bCs/>
          <w:color w:val="000000"/>
        </w:rPr>
        <w:t>Holmström KM</w:t>
      </w:r>
      <w:r>
        <w:rPr>
          <w:rFonts w:ascii="Book Antiqua" w:eastAsia="Book Antiqua" w:hAnsi="Book Antiqua" w:cs="Book Antiqua"/>
          <w:color w:val="000000"/>
        </w:rPr>
        <w:t xml:space="preserve">, Kostov RV, Dinkova-Kostova AT. The multifaceted role of Nrf2 in mitochondrial function. </w:t>
      </w:r>
      <w:r>
        <w:rPr>
          <w:rFonts w:ascii="Book Antiqua" w:eastAsia="Book Antiqua" w:hAnsi="Book Antiqua" w:cs="Book Antiqua"/>
          <w:i/>
          <w:iCs/>
          <w:color w:val="000000"/>
        </w:rPr>
        <w:t>Curr Opin Toxicol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w:t>
      </w:r>
      <w:r>
        <w:rPr>
          <w:rFonts w:ascii="Book Antiqua" w:eastAsia="Book Antiqua" w:hAnsi="Book Antiqua" w:cs="Book Antiqua"/>
          <w:color w:val="000000"/>
        </w:rPr>
        <w:t>: 80-91 [PMID: 28066829 DOI: 10.1016/j.cotox.2016.10.002]</w:t>
      </w:r>
    </w:p>
    <w:p w14:paraId="05C146E6" w14:textId="77777777" w:rsidR="00A77B3E" w:rsidRDefault="00266ABC">
      <w:pPr>
        <w:spacing w:line="360" w:lineRule="auto"/>
        <w:jc w:val="both"/>
      </w:pPr>
      <w:r>
        <w:rPr>
          <w:rFonts w:ascii="Book Antiqua" w:eastAsia="Book Antiqua" w:hAnsi="Book Antiqua" w:cs="Book Antiqua"/>
          <w:color w:val="000000"/>
        </w:rPr>
        <w:t xml:space="preserve">97 </w:t>
      </w:r>
      <w:r>
        <w:rPr>
          <w:rFonts w:ascii="Book Antiqua" w:eastAsia="Book Antiqua" w:hAnsi="Book Antiqua" w:cs="Book Antiqua"/>
          <w:b/>
          <w:bCs/>
          <w:color w:val="000000"/>
        </w:rPr>
        <w:t>Hu Q</w:t>
      </w:r>
      <w:r>
        <w:rPr>
          <w:rFonts w:ascii="Book Antiqua" w:eastAsia="Book Antiqua" w:hAnsi="Book Antiqua" w:cs="Book Antiqua"/>
          <w:color w:val="000000"/>
        </w:rPr>
        <w:t xml:space="preserve">, Ren J, Li G, Wu J, Wu X, Wang G, Gu G, Ren H, Hong Z, Li J. The mitochondrially targeted antioxidant MitoQ protects the intestinal barrier by ameliorating mitochondrial DNA damage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Nrf2/ARE signaling pathway.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403 [PMID: 29540694 DOI: 10.1038/s41419-018-0436-x]</w:t>
      </w:r>
    </w:p>
    <w:p w14:paraId="62C9943C" w14:textId="77777777" w:rsidR="00A77B3E" w:rsidRDefault="00266ABC">
      <w:pPr>
        <w:spacing w:line="360" w:lineRule="auto"/>
        <w:jc w:val="both"/>
      </w:pPr>
      <w:r>
        <w:rPr>
          <w:rFonts w:ascii="Book Antiqua" w:eastAsia="Book Antiqua" w:hAnsi="Book Antiqua" w:cs="Book Antiqua"/>
          <w:color w:val="000000"/>
        </w:rPr>
        <w:t xml:space="preserve">98 </w:t>
      </w:r>
      <w:r>
        <w:rPr>
          <w:rFonts w:ascii="Book Antiqua" w:eastAsia="Book Antiqua" w:hAnsi="Book Antiqua" w:cs="Book Antiqua"/>
          <w:b/>
          <w:bCs/>
          <w:color w:val="000000"/>
        </w:rPr>
        <w:t>Codo AC</w:t>
      </w:r>
      <w:r>
        <w:rPr>
          <w:rFonts w:ascii="Book Antiqua" w:eastAsia="Book Antiqua" w:hAnsi="Book Antiqua" w:cs="Book Antiqua"/>
          <w:color w:val="000000"/>
        </w:rPr>
        <w:t xml:space="preserve">, Davanzo GG, Monteiro LB, de Souza GF, Muraro SP, Virgilio-da-Silva JV, Prodonoff JS, Carregari VC, de Biagi Junior CAO, Crunfli F, Jimenez Restrepo JL, Vendramini PH, Reis-de-Oliveira G, Bispo Dos Santos K, Toledo-Teixeira DA, Parise PL, Martini MC, Marques RE, Carmo HR, Borin A, Coimbra LD, Boldrini VO, Brunetti NS, Vieira AS, Mansour E, Ulaf RG, Bernardes AF, Nunes TA, Ribeiro LC, Palma AC, Agrela MV, Moretti ML, Sposito AC, Pereira FB, Velloso LA, Vinolo MAR, Damasio A, Proença-Módena JL, Carvalho RF, Mori MA, Martins-de-Souza D, Nakaya HI, Farias AS, Moraes-Vieira PM. Elevated Glucose Levels Favor SARS-CoV-2 Infection and Monocyte Response through a HIF-1α/Glycolysis-Dependent Axis. </w:t>
      </w:r>
      <w:r>
        <w:rPr>
          <w:rFonts w:ascii="Book Antiqua" w:eastAsia="Book Antiqua" w:hAnsi="Book Antiqua" w:cs="Book Antiqua"/>
          <w:i/>
          <w:iCs/>
          <w:color w:val="000000"/>
        </w:rPr>
        <w:t>Cell Metab</w:t>
      </w:r>
      <w:r>
        <w:rPr>
          <w:rFonts w:ascii="Book Antiqua" w:eastAsia="Book Antiqua" w:hAnsi="Book Antiqua" w:cs="Book Antiqua"/>
          <w:color w:val="000000"/>
        </w:rPr>
        <w:t xml:space="preserve"> 2020; </w:t>
      </w:r>
      <w:r>
        <w:rPr>
          <w:rFonts w:ascii="Book Antiqua" w:eastAsia="Book Antiqua" w:hAnsi="Book Antiqua" w:cs="Book Antiqua"/>
          <w:b/>
          <w:bCs/>
          <w:color w:val="000000"/>
        </w:rPr>
        <w:t>32</w:t>
      </w:r>
      <w:r>
        <w:rPr>
          <w:rFonts w:ascii="Book Antiqua" w:eastAsia="Book Antiqua" w:hAnsi="Book Antiqua" w:cs="Book Antiqua"/>
          <w:color w:val="000000"/>
        </w:rPr>
        <w:t>: 437-446.e5 [PMID: 32697943 DOI: 10.1016/j.cmet.2020.07.007]</w:t>
      </w:r>
    </w:p>
    <w:p w14:paraId="6A48A1DA" w14:textId="77777777" w:rsidR="00A77B3E" w:rsidRDefault="00266ABC">
      <w:pPr>
        <w:spacing w:line="360" w:lineRule="auto"/>
        <w:jc w:val="both"/>
      </w:pPr>
      <w:r>
        <w:rPr>
          <w:rFonts w:ascii="Book Antiqua" w:eastAsia="Book Antiqua" w:hAnsi="Book Antiqua" w:cs="Book Antiqua"/>
          <w:color w:val="000000"/>
        </w:rPr>
        <w:t xml:space="preserve">99 </w:t>
      </w:r>
      <w:r>
        <w:rPr>
          <w:rFonts w:ascii="Book Antiqua" w:eastAsia="Book Antiqua" w:hAnsi="Book Antiqua" w:cs="Book Antiqua"/>
          <w:b/>
          <w:bCs/>
          <w:color w:val="000000"/>
        </w:rPr>
        <w:t>Martínez-Sánchez G</w:t>
      </w:r>
      <w:r>
        <w:rPr>
          <w:rFonts w:ascii="Book Antiqua" w:eastAsia="Book Antiqua" w:hAnsi="Book Antiqua" w:cs="Book Antiqua"/>
          <w:color w:val="000000"/>
        </w:rPr>
        <w:t xml:space="preserve">, Schwartz A, Donna VD. Potential Cytoprotective Activity of Ozone Therapy in SARS-CoV-2/COVID-19. </w:t>
      </w:r>
      <w:r>
        <w:rPr>
          <w:rFonts w:ascii="Book Antiqua" w:eastAsia="Book Antiqua" w:hAnsi="Book Antiqua" w:cs="Book Antiqua"/>
          <w:i/>
          <w:iCs/>
          <w:color w:val="000000"/>
        </w:rPr>
        <w:t>Antioxidants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32384798 DOI: 10.3390/antiox9050389]</w:t>
      </w:r>
    </w:p>
    <w:p w14:paraId="7F762326" w14:textId="77777777" w:rsidR="00A77B3E" w:rsidRDefault="00266ABC">
      <w:pPr>
        <w:spacing w:line="360" w:lineRule="auto"/>
        <w:jc w:val="both"/>
      </w:pPr>
      <w:r>
        <w:rPr>
          <w:rFonts w:ascii="Book Antiqua" w:eastAsia="Book Antiqua" w:hAnsi="Book Antiqua" w:cs="Book Antiqua"/>
          <w:color w:val="000000"/>
        </w:rPr>
        <w:t xml:space="preserve">100 </w:t>
      </w:r>
      <w:r>
        <w:rPr>
          <w:rFonts w:ascii="Book Antiqua" w:eastAsia="Book Antiqua" w:hAnsi="Book Antiqua" w:cs="Book Antiqua"/>
          <w:b/>
          <w:bCs/>
          <w:color w:val="000000"/>
        </w:rPr>
        <w:t>Chen G</w:t>
      </w:r>
      <w:r>
        <w:rPr>
          <w:rFonts w:ascii="Book Antiqua" w:eastAsia="Book Antiqua" w:hAnsi="Book Antiqua" w:cs="Book Antiqua"/>
          <w:color w:val="000000"/>
        </w:rPr>
        <w:t xml:space="preserve">, Wu D, Guo W, Cao Y, Huang D, Wang H, Wang T, Zhang X, Chen H, Yu H, Zhang X, Zhang M, Wu S, Song J, Chen T, Han M, Li S, Luo X, Zhao J, Ning Q. Clinical and immunological features of severe and moderate coronavirus disease 2019.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2020; </w:t>
      </w:r>
      <w:r>
        <w:rPr>
          <w:rFonts w:ascii="Book Antiqua" w:eastAsia="Book Antiqua" w:hAnsi="Book Antiqua" w:cs="Book Antiqua"/>
          <w:b/>
          <w:bCs/>
          <w:color w:val="000000"/>
        </w:rPr>
        <w:t>130</w:t>
      </w:r>
      <w:r>
        <w:rPr>
          <w:rFonts w:ascii="Book Antiqua" w:eastAsia="Book Antiqua" w:hAnsi="Book Antiqua" w:cs="Book Antiqua"/>
          <w:color w:val="000000"/>
        </w:rPr>
        <w:t>: 2620-2629 [PMID: 32217835 DOI: 10.1172/JCI137244]</w:t>
      </w:r>
    </w:p>
    <w:p w14:paraId="722F6BC7" w14:textId="77777777" w:rsidR="00A77B3E" w:rsidRDefault="00266ABC">
      <w:pPr>
        <w:spacing w:line="360" w:lineRule="auto"/>
        <w:jc w:val="both"/>
      </w:pPr>
      <w:r>
        <w:rPr>
          <w:rFonts w:ascii="Book Antiqua" w:eastAsia="Book Antiqua" w:hAnsi="Book Antiqua" w:cs="Book Antiqua"/>
          <w:color w:val="000000"/>
        </w:rPr>
        <w:t xml:space="preserve">101 </w:t>
      </w:r>
      <w:r>
        <w:rPr>
          <w:rFonts w:ascii="Book Antiqua" w:eastAsia="Book Antiqua" w:hAnsi="Book Antiqua" w:cs="Book Antiqua"/>
          <w:b/>
          <w:bCs/>
          <w:color w:val="000000"/>
        </w:rPr>
        <w:t>Iddir M</w:t>
      </w:r>
      <w:r>
        <w:rPr>
          <w:rFonts w:ascii="Book Antiqua" w:eastAsia="Book Antiqua" w:hAnsi="Book Antiqua" w:cs="Book Antiqua"/>
          <w:color w:val="000000"/>
        </w:rPr>
        <w:t xml:space="preserve">, Brito A, Dingeo G, Fernandez Del Campo SS, Samouda H, La Frano MR, Bohn T. Strengthening the Immune System and Reducing Inflammation and Oxidative Stress through Diet and Nutrition: Considerations during the COVID-19 Crisis. </w:t>
      </w:r>
      <w:r>
        <w:rPr>
          <w:rFonts w:ascii="Book Antiqua" w:eastAsia="Book Antiqua" w:hAnsi="Book Antiqua" w:cs="Book Antiqua"/>
          <w:i/>
          <w:iCs/>
          <w:color w:val="000000"/>
        </w:rPr>
        <w:t>Nutrients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32471251 DOI: 10.3390/nu12061562]</w:t>
      </w:r>
    </w:p>
    <w:p w14:paraId="20469E9E" w14:textId="77777777" w:rsidR="00A77B3E" w:rsidRDefault="00266ABC">
      <w:pPr>
        <w:spacing w:line="360" w:lineRule="auto"/>
        <w:jc w:val="both"/>
      </w:pPr>
      <w:r>
        <w:rPr>
          <w:rFonts w:ascii="Book Antiqua" w:eastAsia="Book Antiqua" w:hAnsi="Book Antiqua" w:cs="Book Antiqua"/>
          <w:color w:val="000000"/>
        </w:rPr>
        <w:t xml:space="preserve">102 </w:t>
      </w:r>
      <w:r>
        <w:rPr>
          <w:rFonts w:ascii="Book Antiqua" w:eastAsia="Book Antiqua" w:hAnsi="Book Antiqua" w:cs="Book Antiqua"/>
          <w:b/>
          <w:bCs/>
          <w:color w:val="000000"/>
        </w:rPr>
        <w:t>Schieber M</w:t>
      </w:r>
      <w:r>
        <w:rPr>
          <w:rFonts w:ascii="Book Antiqua" w:eastAsia="Book Antiqua" w:hAnsi="Book Antiqua" w:cs="Book Antiqua"/>
          <w:color w:val="000000"/>
        </w:rPr>
        <w:t xml:space="preserve">, Chandel NS. ROS function in redox signaling and oxidative stress. </w:t>
      </w:r>
      <w:r>
        <w:rPr>
          <w:rFonts w:ascii="Book Antiqua" w:eastAsia="Book Antiqua" w:hAnsi="Book Antiqua" w:cs="Book Antiqua"/>
          <w:i/>
          <w:iCs/>
          <w:color w:val="000000"/>
        </w:rPr>
        <w:t>Curr Biol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24</w:t>
      </w:r>
      <w:r>
        <w:rPr>
          <w:rFonts w:ascii="Book Antiqua" w:eastAsia="Book Antiqua" w:hAnsi="Book Antiqua" w:cs="Book Antiqua"/>
          <w:color w:val="000000"/>
        </w:rPr>
        <w:t>: R453-R462 [PMID: 24845678 DOI: 10.1016/j.cub.2014.03.034]</w:t>
      </w:r>
    </w:p>
    <w:p w14:paraId="503FC779" w14:textId="77777777" w:rsidR="00A77B3E" w:rsidRDefault="00266ABC">
      <w:pPr>
        <w:spacing w:line="360" w:lineRule="auto"/>
        <w:jc w:val="both"/>
      </w:pPr>
      <w:r>
        <w:rPr>
          <w:rFonts w:ascii="Book Antiqua" w:eastAsia="Book Antiqua" w:hAnsi="Book Antiqua" w:cs="Book Antiqua"/>
          <w:color w:val="000000"/>
        </w:rPr>
        <w:t xml:space="preserve">103 </w:t>
      </w:r>
      <w:r>
        <w:rPr>
          <w:rFonts w:ascii="Book Antiqua" w:eastAsia="Book Antiqua" w:hAnsi="Book Antiqua" w:cs="Book Antiqua"/>
          <w:b/>
          <w:bCs/>
          <w:color w:val="000000"/>
        </w:rPr>
        <w:t>Fu Y</w:t>
      </w:r>
      <w:r>
        <w:rPr>
          <w:rFonts w:ascii="Book Antiqua" w:eastAsia="Book Antiqua" w:hAnsi="Book Antiqua" w:cs="Book Antiqua"/>
          <w:color w:val="000000"/>
        </w:rPr>
        <w:t xml:space="preserve">, Cheng Y, Wu Y. Understanding SARS-CoV-2-Mediated Inflammatory Responses: From Mechanisms to Potential Therapeutic Tools. </w:t>
      </w:r>
      <w:r>
        <w:rPr>
          <w:rFonts w:ascii="Book Antiqua" w:eastAsia="Book Antiqua" w:hAnsi="Book Antiqua" w:cs="Book Antiqua"/>
          <w:i/>
          <w:iCs/>
          <w:color w:val="000000"/>
        </w:rPr>
        <w:t>Virol Sin</w:t>
      </w:r>
      <w:r>
        <w:rPr>
          <w:rFonts w:ascii="Book Antiqua" w:eastAsia="Book Antiqua" w:hAnsi="Book Antiqua" w:cs="Book Antiqua"/>
          <w:color w:val="000000"/>
        </w:rPr>
        <w:t xml:space="preserve"> 2020; </w:t>
      </w:r>
      <w:r>
        <w:rPr>
          <w:rFonts w:ascii="Book Antiqua" w:eastAsia="Book Antiqua" w:hAnsi="Book Antiqua" w:cs="Book Antiqua"/>
          <w:b/>
          <w:bCs/>
          <w:color w:val="000000"/>
        </w:rPr>
        <w:t>35</w:t>
      </w:r>
      <w:r>
        <w:rPr>
          <w:rFonts w:ascii="Book Antiqua" w:eastAsia="Book Antiqua" w:hAnsi="Book Antiqua" w:cs="Book Antiqua"/>
          <w:color w:val="000000"/>
        </w:rPr>
        <w:t>: 266-271 [PMID: 32125642 DOI: 10.1007/s12250-020-00207-4]</w:t>
      </w:r>
    </w:p>
    <w:p w14:paraId="39D45003" w14:textId="77777777" w:rsidR="00A77B3E" w:rsidRDefault="00266ABC">
      <w:pPr>
        <w:spacing w:line="360" w:lineRule="auto"/>
        <w:jc w:val="both"/>
      </w:pPr>
      <w:r>
        <w:rPr>
          <w:rFonts w:ascii="Book Antiqua" w:eastAsia="Book Antiqua" w:hAnsi="Book Antiqua" w:cs="Book Antiqua"/>
          <w:color w:val="000000"/>
        </w:rPr>
        <w:t xml:space="preserve">104 </w:t>
      </w:r>
      <w:r>
        <w:rPr>
          <w:rFonts w:ascii="Book Antiqua" w:eastAsia="Book Antiqua" w:hAnsi="Book Antiqua" w:cs="Book Antiqua"/>
          <w:b/>
          <w:bCs/>
          <w:color w:val="000000"/>
        </w:rPr>
        <w:t>Prompetchara E</w:t>
      </w:r>
      <w:r>
        <w:rPr>
          <w:rFonts w:ascii="Book Antiqua" w:eastAsia="Book Antiqua" w:hAnsi="Book Antiqua" w:cs="Book Antiqua"/>
          <w:color w:val="000000"/>
        </w:rPr>
        <w:t xml:space="preserve">, Ketloy C, Palaga T. Immune responses in COVID-19 and potential vaccines: Lessons learned from SARS and MERS epidemic. </w:t>
      </w:r>
      <w:r>
        <w:rPr>
          <w:rFonts w:ascii="Book Antiqua" w:eastAsia="Book Antiqua" w:hAnsi="Book Antiqua" w:cs="Book Antiqua"/>
          <w:i/>
          <w:iCs/>
          <w:color w:val="000000"/>
        </w:rPr>
        <w:t>Asian Pac J Allergy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38</w:t>
      </w:r>
      <w:r>
        <w:rPr>
          <w:rFonts w:ascii="Book Antiqua" w:eastAsia="Book Antiqua" w:hAnsi="Book Antiqua" w:cs="Book Antiqua"/>
          <w:color w:val="000000"/>
        </w:rPr>
        <w:t>: 1-9 [PMID: 32105090 DOI: 10.12932/AP-200220-0772]</w:t>
      </w:r>
    </w:p>
    <w:p w14:paraId="210E61E0" w14:textId="77777777" w:rsidR="00A77B3E" w:rsidRDefault="00266ABC">
      <w:pPr>
        <w:spacing w:line="360" w:lineRule="auto"/>
        <w:jc w:val="both"/>
      </w:pPr>
      <w:r>
        <w:rPr>
          <w:rFonts w:ascii="Book Antiqua" w:eastAsia="Book Antiqua" w:hAnsi="Book Antiqua" w:cs="Book Antiqua"/>
          <w:color w:val="000000"/>
        </w:rPr>
        <w:t xml:space="preserve">105 </w:t>
      </w:r>
      <w:r>
        <w:rPr>
          <w:rFonts w:ascii="Book Antiqua" w:eastAsia="Book Antiqua" w:hAnsi="Book Antiqua" w:cs="Book Antiqua"/>
          <w:b/>
          <w:bCs/>
          <w:color w:val="000000"/>
        </w:rPr>
        <w:t>Qin C</w:t>
      </w:r>
      <w:r>
        <w:rPr>
          <w:rFonts w:ascii="Book Antiqua" w:eastAsia="Book Antiqua" w:hAnsi="Book Antiqua" w:cs="Book Antiqua"/>
          <w:color w:val="000000"/>
        </w:rPr>
        <w:t xml:space="preserve">, Zhou L, Hu Z, Zhang S, Yang S, Tao Y, Xie C, Ma K, Shang K, Wang W, Tian DS. Dysregulation of Immune Response in Patients With Coronavirus 2019 (COVID-19) in Wuhan, China. </w:t>
      </w:r>
      <w:r>
        <w:rPr>
          <w:rFonts w:ascii="Book Antiqua" w:eastAsia="Book Antiqua" w:hAnsi="Book Antiqua" w:cs="Book Antiqua"/>
          <w:i/>
          <w:iCs/>
          <w:color w:val="000000"/>
        </w:rPr>
        <w:t>Clin Infect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71</w:t>
      </w:r>
      <w:r>
        <w:rPr>
          <w:rFonts w:ascii="Book Antiqua" w:eastAsia="Book Antiqua" w:hAnsi="Book Antiqua" w:cs="Book Antiqua"/>
          <w:color w:val="000000"/>
        </w:rPr>
        <w:t>: 762-768 [PMID: 32161940 DOI: 10.1093/cid/ciaa248]</w:t>
      </w:r>
    </w:p>
    <w:p w14:paraId="3FCD9F99" w14:textId="77777777" w:rsidR="00A77B3E" w:rsidRDefault="00266ABC">
      <w:pPr>
        <w:spacing w:line="360" w:lineRule="auto"/>
        <w:jc w:val="both"/>
      </w:pPr>
      <w:r>
        <w:rPr>
          <w:rFonts w:ascii="Book Antiqua" w:eastAsia="Book Antiqua" w:hAnsi="Book Antiqua" w:cs="Book Antiqua"/>
          <w:color w:val="000000"/>
        </w:rPr>
        <w:t xml:space="preserve">106 </w:t>
      </w:r>
      <w:r>
        <w:rPr>
          <w:rFonts w:ascii="Book Antiqua" w:eastAsia="Book Antiqua" w:hAnsi="Book Antiqua" w:cs="Book Antiqua"/>
          <w:b/>
          <w:bCs/>
          <w:color w:val="000000"/>
        </w:rPr>
        <w:t>Zhang W</w:t>
      </w:r>
      <w:r>
        <w:rPr>
          <w:rFonts w:ascii="Book Antiqua" w:eastAsia="Book Antiqua" w:hAnsi="Book Antiqua" w:cs="Book Antiqua"/>
          <w:color w:val="000000"/>
        </w:rPr>
        <w:t xml:space="preserve">, Zhao Y, Zhang F, Wang Q, Li T, Liu Z, Wang J, Qin Y, Zhang X, Yan X, Zeng X, Zhang S. The use of anti-inflammatory drugs in the treatment of people with severe coronavirus disease 2019 (COVID-19): The Perspectives of clinical immunologists from China. </w:t>
      </w:r>
      <w:r>
        <w:rPr>
          <w:rFonts w:ascii="Book Antiqua" w:eastAsia="Book Antiqua" w:hAnsi="Book Antiqua" w:cs="Book Antiqua"/>
          <w:i/>
          <w:iCs/>
          <w:color w:val="000000"/>
        </w:rPr>
        <w:t>Clin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214</w:t>
      </w:r>
      <w:r>
        <w:rPr>
          <w:rFonts w:ascii="Book Antiqua" w:eastAsia="Book Antiqua" w:hAnsi="Book Antiqua" w:cs="Book Antiqua"/>
          <w:color w:val="000000"/>
        </w:rPr>
        <w:t>: 108393 [PMID: 32222466 DOI: 10.1016/j.clim.2020.108393]</w:t>
      </w:r>
    </w:p>
    <w:p w14:paraId="4E708686" w14:textId="77777777" w:rsidR="00A77B3E" w:rsidRDefault="00266ABC">
      <w:pPr>
        <w:spacing w:line="360" w:lineRule="auto"/>
        <w:jc w:val="both"/>
      </w:pPr>
      <w:r>
        <w:rPr>
          <w:rFonts w:ascii="Book Antiqua" w:eastAsia="Book Antiqua" w:hAnsi="Book Antiqua" w:cs="Book Antiqua"/>
          <w:color w:val="000000"/>
        </w:rPr>
        <w:t xml:space="preserve">107 </w:t>
      </w:r>
      <w:r>
        <w:rPr>
          <w:rFonts w:ascii="Book Antiqua" w:eastAsia="Book Antiqua" w:hAnsi="Book Antiqua" w:cs="Book Antiqua"/>
          <w:b/>
          <w:bCs/>
          <w:color w:val="000000"/>
        </w:rPr>
        <w:t>Li X</w:t>
      </w:r>
      <w:r>
        <w:rPr>
          <w:rFonts w:ascii="Book Antiqua" w:eastAsia="Book Antiqua" w:hAnsi="Book Antiqua" w:cs="Book Antiqua"/>
          <w:color w:val="000000"/>
        </w:rPr>
        <w:t xml:space="preserve">, Geng M, Peng Y, Meng L, Lu S. Molecular immune pathogenesis and diagnosis of COVID-19. </w:t>
      </w:r>
      <w:r>
        <w:rPr>
          <w:rFonts w:ascii="Book Antiqua" w:eastAsia="Book Antiqua" w:hAnsi="Book Antiqua" w:cs="Book Antiqua"/>
          <w:i/>
          <w:iCs/>
          <w:color w:val="000000"/>
        </w:rPr>
        <w:t>J Pharm Anal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102-108 [PMID: 32282863 DOI: 10.1016/j.jpha.2020.03.001]</w:t>
      </w:r>
    </w:p>
    <w:p w14:paraId="4DE5A9A1" w14:textId="77777777" w:rsidR="00A77B3E" w:rsidRDefault="00266ABC">
      <w:pPr>
        <w:spacing w:line="360" w:lineRule="auto"/>
        <w:jc w:val="both"/>
      </w:pPr>
      <w:r>
        <w:rPr>
          <w:rFonts w:ascii="Book Antiqua" w:eastAsia="Book Antiqua" w:hAnsi="Book Antiqua" w:cs="Book Antiqua"/>
          <w:color w:val="000000"/>
        </w:rPr>
        <w:t xml:space="preserve">108 </w:t>
      </w:r>
      <w:r>
        <w:rPr>
          <w:rFonts w:ascii="Book Antiqua" w:eastAsia="Book Antiqua" w:hAnsi="Book Antiqua" w:cs="Book Antiqua"/>
          <w:b/>
          <w:bCs/>
          <w:color w:val="000000"/>
        </w:rPr>
        <w:t>Bellosta R</w:t>
      </w:r>
      <w:r>
        <w:rPr>
          <w:rFonts w:ascii="Book Antiqua" w:eastAsia="Book Antiqua" w:hAnsi="Book Antiqua" w:cs="Book Antiqua"/>
          <w:color w:val="000000"/>
        </w:rPr>
        <w:t xml:space="preserve">, Luzzani L, Natalini G, Pegorer MA, Attisani L, Cossu LG, Ferrandina C, Fossati A, Conti E, Bush RL, Piffaretti G. Acute limb ischemia in patients with COVID-19 pneumonia. </w:t>
      </w:r>
      <w:r>
        <w:rPr>
          <w:rFonts w:ascii="Book Antiqua" w:eastAsia="Book Antiqua" w:hAnsi="Book Antiqua" w:cs="Book Antiqua"/>
          <w:i/>
          <w:iCs/>
          <w:color w:val="000000"/>
        </w:rPr>
        <w:t>J Vasc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72</w:t>
      </w:r>
      <w:r>
        <w:rPr>
          <w:rFonts w:ascii="Book Antiqua" w:eastAsia="Book Antiqua" w:hAnsi="Book Antiqua" w:cs="Book Antiqua"/>
          <w:color w:val="000000"/>
        </w:rPr>
        <w:t>: 1864-1872 [PMID: 32360679 DOI: 10.1016/j.jvs.2020.04.483]</w:t>
      </w:r>
    </w:p>
    <w:p w14:paraId="7EA9755A" w14:textId="77777777" w:rsidR="00A77B3E" w:rsidRDefault="00266ABC">
      <w:pPr>
        <w:spacing w:line="360" w:lineRule="auto"/>
        <w:jc w:val="both"/>
      </w:pPr>
      <w:r>
        <w:rPr>
          <w:rFonts w:ascii="Book Antiqua" w:eastAsia="Book Antiqua" w:hAnsi="Book Antiqua" w:cs="Book Antiqua"/>
          <w:color w:val="000000"/>
        </w:rPr>
        <w:t xml:space="preserve">109 </w:t>
      </w:r>
      <w:r>
        <w:rPr>
          <w:rFonts w:ascii="Book Antiqua" w:eastAsia="Book Antiqua" w:hAnsi="Book Antiqua" w:cs="Book Antiqua"/>
          <w:b/>
          <w:bCs/>
          <w:color w:val="000000"/>
        </w:rPr>
        <w:t>Low SW</w:t>
      </w:r>
      <w:r>
        <w:rPr>
          <w:rFonts w:ascii="Book Antiqua" w:eastAsia="Book Antiqua" w:hAnsi="Book Antiqua" w:cs="Book Antiqua"/>
          <w:color w:val="000000"/>
        </w:rPr>
        <w:t xml:space="preserve">, Swanson KL, McCain JD, Sen A, Kawashima A, Pasha SF. Gastric ischemia and portal vein thrombosis in a COVID-19-infected patient.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E465-E466 [PMID: 32877937 DOI: 10.1055/a-1230-3357]</w:t>
      </w:r>
    </w:p>
    <w:p w14:paraId="4608052A" w14:textId="77777777" w:rsidR="00A77B3E" w:rsidRDefault="00266ABC">
      <w:pPr>
        <w:spacing w:line="360" w:lineRule="auto"/>
        <w:jc w:val="both"/>
      </w:pPr>
      <w:r>
        <w:rPr>
          <w:rFonts w:ascii="Book Antiqua" w:eastAsia="Book Antiqua" w:hAnsi="Book Antiqua" w:cs="Book Antiqua"/>
          <w:color w:val="000000"/>
        </w:rPr>
        <w:t xml:space="preserve">110 </w:t>
      </w:r>
      <w:r>
        <w:rPr>
          <w:rFonts w:ascii="Book Antiqua" w:eastAsia="Book Antiqua" w:hAnsi="Book Antiqua" w:cs="Book Antiqua"/>
          <w:b/>
          <w:bCs/>
          <w:color w:val="000000"/>
        </w:rPr>
        <w:t>Shafi AMA</w:t>
      </w:r>
      <w:r>
        <w:rPr>
          <w:rFonts w:ascii="Book Antiqua" w:eastAsia="Book Antiqua" w:hAnsi="Book Antiqua" w:cs="Book Antiqua"/>
          <w:color w:val="000000"/>
        </w:rPr>
        <w:t xml:space="preserve">, Shaikh SA, Shirke MM, Iddawela S, Harky A. Cardiac manifestations in COVID-19 patients-A systematic review. </w:t>
      </w:r>
      <w:r>
        <w:rPr>
          <w:rFonts w:ascii="Book Antiqua" w:eastAsia="Book Antiqua" w:hAnsi="Book Antiqua" w:cs="Book Antiqua"/>
          <w:i/>
          <w:iCs/>
          <w:color w:val="000000"/>
        </w:rPr>
        <w:t>J Card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35</w:t>
      </w:r>
      <w:r>
        <w:rPr>
          <w:rFonts w:ascii="Book Antiqua" w:eastAsia="Book Antiqua" w:hAnsi="Book Antiqua" w:cs="Book Antiqua"/>
          <w:color w:val="000000"/>
        </w:rPr>
        <w:t>: 1988-2008 [PMID: 32652713 DOI: 10.1111/jocs.14808]</w:t>
      </w:r>
    </w:p>
    <w:p w14:paraId="3CBB05AF" w14:textId="77777777" w:rsidR="00A77B3E" w:rsidRDefault="00266ABC">
      <w:pPr>
        <w:spacing w:line="360" w:lineRule="auto"/>
        <w:jc w:val="both"/>
      </w:pPr>
      <w:r>
        <w:rPr>
          <w:rFonts w:ascii="Book Antiqua" w:eastAsia="Book Antiqua" w:hAnsi="Book Antiqua" w:cs="Book Antiqua"/>
          <w:color w:val="000000"/>
        </w:rPr>
        <w:t xml:space="preserve">111 </w:t>
      </w:r>
      <w:r>
        <w:rPr>
          <w:rFonts w:ascii="Book Antiqua" w:eastAsia="Book Antiqua" w:hAnsi="Book Antiqua" w:cs="Book Antiqua"/>
          <w:b/>
          <w:bCs/>
          <w:color w:val="000000"/>
        </w:rPr>
        <w:t>Garg RK</w:t>
      </w:r>
      <w:r>
        <w:rPr>
          <w:rFonts w:ascii="Book Antiqua" w:eastAsia="Book Antiqua" w:hAnsi="Book Antiqua" w:cs="Book Antiqua"/>
          <w:color w:val="000000"/>
        </w:rPr>
        <w:t xml:space="preserve">. Spectrum of Neurological Manifestations in Covid-19: A Review. </w:t>
      </w:r>
      <w:r>
        <w:rPr>
          <w:rFonts w:ascii="Book Antiqua" w:eastAsia="Book Antiqua" w:hAnsi="Book Antiqua" w:cs="Book Antiqua"/>
          <w:i/>
          <w:iCs/>
          <w:color w:val="000000"/>
        </w:rPr>
        <w:t>Neurol India</w:t>
      </w:r>
      <w:r>
        <w:rPr>
          <w:rFonts w:ascii="Book Antiqua" w:eastAsia="Book Antiqua" w:hAnsi="Book Antiqua" w:cs="Book Antiqua"/>
          <w:color w:val="000000"/>
        </w:rPr>
        <w:t xml:space="preserve"> 2020; </w:t>
      </w:r>
      <w:r>
        <w:rPr>
          <w:rFonts w:ascii="Book Antiqua" w:eastAsia="Book Antiqua" w:hAnsi="Book Antiqua" w:cs="Book Antiqua"/>
          <w:b/>
          <w:bCs/>
          <w:color w:val="000000"/>
        </w:rPr>
        <w:t>68</w:t>
      </w:r>
      <w:r>
        <w:rPr>
          <w:rFonts w:ascii="Book Antiqua" w:eastAsia="Book Antiqua" w:hAnsi="Book Antiqua" w:cs="Book Antiqua"/>
          <w:color w:val="000000"/>
        </w:rPr>
        <w:t>: 560-572 [PMID: 32643664 DOI: 10.4103/0028-3886.289000]</w:t>
      </w:r>
    </w:p>
    <w:p w14:paraId="6DD5D3DA" w14:textId="77777777" w:rsidR="00A77B3E" w:rsidRDefault="00266ABC">
      <w:pPr>
        <w:spacing w:line="360" w:lineRule="auto"/>
        <w:jc w:val="both"/>
      </w:pPr>
      <w:r>
        <w:rPr>
          <w:rFonts w:ascii="Book Antiqua" w:eastAsia="Book Antiqua" w:hAnsi="Book Antiqua" w:cs="Book Antiqua"/>
          <w:color w:val="000000"/>
        </w:rPr>
        <w:t xml:space="preserve">112 </w:t>
      </w:r>
      <w:r>
        <w:rPr>
          <w:rFonts w:ascii="Book Antiqua" w:eastAsia="Book Antiqua" w:hAnsi="Book Antiqua" w:cs="Book Antiqua"/>
          <w:b/>
          <w:bCs/>
          <w:color w:val="000000"/>
        </w:rPr>
        <w:t>Rossi M</w:t>
      </w:r>
      <w:r>
        <w:rPr>
          <w:rFonts w:ascii="Book Antiqua" w:eastAsia="Book Antiqua" w:hAnsi="Book Antiqua" w:cs="Book Antiqua"/>
          <w:color w:val="000000"/>
        </w:rPr>
        <w:t xml:space="preserve">, Piagnerelli M, Van Meerhaeghe A, Zouaoui Boudjeltia K. Heme oxygenase-1 (HO-1) cytoprotective pathway: A potential treatment strategy against coronavirus disease 2019 (COVID-19)-induced cytokine storm syndrome. </w:t>
      </w:r>
      <w:r>
        <w:rPr>
          <w:rFonts w:ascii="Book Antiqua" w:eastAsia="Book Antiqua" w:hAnsi="Book Antiqua" w:cs="Book Antiqua"/>
          <w:i/>
          <w:iCs/>
          <w:color w:val="000000"/>
        </w:rPr>
        <w:t>Med Hypotheses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144</w:t>
      </w:r>
      <w:r>
        <w:rPr>
          <w:rFonts w:ascii="Book Antiqua" w:eastAsia="Book Antiqua" w:hAnsi="Book Antiqua" w:cs="Book Antiqua"/>
          <w:color w:val="000000"/>
        </w:rPr>
        <w:t>: 110242 [PMID: 33254548 DOI: 10.1016/j.mehy.2020.110242]</w:t>
      </w:r>
    </w:p>
    <w:p w14:paraId="3F2D44C3" w14:textId="77777777" w:rsidR="00A77B3E" w:rsidRDefault="00266ABC">
      <w:pPr>
        <w:spacing w:line="360" w:lineRule="auto"/>
        <w:jc w:val="both"/>
      </w:pPr>
      <w:r>
        <w:rPr>
          <w:rFonts w:ascii="Book Antiqua" w:eastAsia="Book Antiqua" w:hAnsi="Book Antiqua" w:cs="Book Antiqua"/>
          <w:color w:val="000000"/>
        </w:rPr>
        <w:t xml:space="preserve">113 </w:t>
      </w:r>
      <w:r>
        <w:rPr>
          <w:rFonts w:ascii="Book Antiqua" w:eastAsia="Book Antiqua" w:hAnsi="Book Antiqua" w:cs="Book Antiqua"/>
          <w:b/>
          <w:bCs/>
          <w:color w:val="000000"/>
        </w:rPr>
        <w:t>Calay D</w:t>
      </w:r>
      <w:r>
        <w:rPr>
          <w:rFonts w:ascii="Book Antiqua" w:eastAsia="Book Antiqua" w:hAnsi="Book Antiqua" w:cs="Book Antiqua"/>
          <w:color w:val="000000"/>
        </w:rPr>
        <w:t xml:space="preserve">, Mason JC. The multifunctional role and therapeutic potential of HO-1 in the vascular endothelium. </w:t>
      </w:r>
      <w:r>
        <w:rPr>
          <w:rFonts w:ascii="Book Antiqua" w:eastAsia="Book Antiqua" w:hAnsi="Book Antiqua" w:cs="Book Antiqua"/>
          <w:i/>
          <w:iCs/>
          <w:color w:val="000000"/>
        </w:rPr>
        <w:t>Antioxid Redox Signal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1789-1809 [PMID: 24131232 DOI: 10.1089/ars.2013.5659]</w:t>
      </w:r>
    </w:p>
    <w:p w14:paraId="46B3BC57" w14:textId="77777777" w:rsidR="00A77B3E" w:rsidRDefault="00266ABC">
      <w:pPr>
        <w:spacing w:line="360" w:lineRule="auto"/>
        <w:jc w:val="both"/>
      </w:pPr>
      <w:r>
        <w:rPr>
          <w:rFonts w:ascii="Book Antiqua" w:eastAsia="Book Antiqua" w:hAnsi="Book Antiqua" w:cs="Book Antiqua"/>
          <w:color w:val="000000"/>
        </w:rPr>
        <w:t xml:space="preserve">114 </w:t>
      </w:r>
      <w:r>
        <w:rPr>
          <w:rFonts w:ascii="Book Antiqua" w:eastAsia="Book Antiqua" w:hAnsi="Book Antiqua" w:cs="Book Antiqua"/>
          <w:b/>
          <w:bCs/>
          <w:color w:val="000000"/>
        </w:rPr>
        <w:t>Dattilo M</w:t>
      </w:r>
      <w:r>
        <w:rPr>
          <w:rFonts w:ascii="Book Antiqua" w:eastAsia="Book Antiqua" w:hAnsi="Book Antiqua" w:cs="Book Antiqua"/>
          <w:color w:val="000000"/>
        </w:rPr>
        <w:t xml:space="preserve">. The role of host defences in Covid 19 and treatments thereof. </w:t>
      </w:r>
      <w:r>
        <w:rPr>
          <w:rFonts w:ascii="Book Antiqua" w:eastAsia="Book Antiqua" w:hAnsi="Book Antiqua" w:cs="Book Antiqua"/>
          <w:i/>
          <w:iCs/>
          <w:color w:val="000000"/>
        </w:rPr>
        <w:t>Mol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90 [PMID: 32993497 DOI: 10.1186/s10020-020-00216-9]</w:t>
      </w:r>
    </w:p>
    <w:p w14:paraId="784D24BA" w14:textId="77777777" w:rsidR="00A77B3E" w:rsidRDefault="00266ABC">
      <w:pPr>
        <w:spacing w:line="360" w:lineRule="auto"/>
        <w:jc w:val="both"/>
      </w:pPr>
      <w:r>
        <w:rPr>
          <w:rFonts w:ascii="Book Antiqua" w:eastAsia="Book Antiqua" w:hAnsi="Book Antiqua" w:cs="Book Antiqua"/>
          <w:color w:val="000000"/>
        </w:rPr>
        <w:t xml:space="preserve">115 </w:t>
      </w:r>
      <w:r>
        <w:rPr>
          <w:rFonts w:ascii="Book Antiqua" w:eastAsia="Book Antiqua" w:hAnsi="Book Antiqua" w:cs="Book Antiqua"/>
          <w:b/>
          <w:bCs/>
          <w:color w:val="000000"/>
        </w:rPr>
        <w:t>Raghunath A</w:t>
      </w:r>
      <w:r>
        <w:rPr>
          <w:rFonts w:ascii="Book Antiqua" w:eastAsia="Book Antiqua" w:hAnsi="Book Antiqua" w:cs="Book Antiqua"/>
          <w:color w:val="000000"/>
        </w:rPr>
        <w:t xml:space="preserve">, Sundarraj K, Nagarajan R, Arfuso F, Bian J, Kumar AP, Sethi G, Perumal E. Antioxidant response elements: Discovery, classes, regulation and potential applications. </w:t>
      </w:r>
      <w:r>
        <w:rPr>
          <w:rFonts w:ascii="Book Antiqua" w:eastAsia="Book Antiqua" w:hAnsi="Book Antiqua" w:cs="Book Antiqua"/>
          <w:i/>
          <w:iCs/>
          <w:color w:val="000000"/>
        </w:rPr>
        <w:t>Redox 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297-314 [PMID: 29775961 DOI: 10.1016/j.redox.2018.05.002]</w:t>
      </w:r>
    </w:p>
    <w:p w14:paraId="4286EC94" w14:textId="77777777" w:rsidR="00A77B3E" w:rsidRDefault="00266ABC">
      <w:pPr>
        <w:spacing w:line="360" w:lineRule="auto"/>
        <w:jc w:val="both"/>
      </w:pPr>
      <w:r>
        <w:rPr>
          <w:rFonts w:ascii="Book Antiqua" w:eastAsia="Book Antiqua" w:hAnsi="Book Antiqua" w:cs="Book Antiqua"/>
          <w:color w:val="000000"/>
        </w:rPr>
        <w:t xml:space="preserve">116 </w:t>
      </w:r>
      <w:r>
        <w:rPr>
          <w:rFonts w:ascii="Book Antiqua" w:eastAsia="Book Antiqua" w:hAnsi="Book Antiqua" w:cs="Book Antiqua"/>
          <w:b/>
          <w:bCs/>
          <w:color w:val="000000"/>
        </w:rPr>
        <w:t>Motohashi H</w:t>
      </w:r>
      <w:r>
        <w:rPr>
          <w:rFonts w:ascii="Book Antiqua" w:eastAsia="Book Antiqua" w:hAnsi="Book Antiqua" w:cs="Book Antiqua"/>
          <w:color w:val="000000"/>
        </w:rPr>
        <w:t xml:space="preserve">, Katsuoka F, Miyoshi C, Uchimura Y, Saitoh H, Francastel C, Engel JD, Yamamoto M. MafG sumoylation is required for active transcriptional repression. </w:t>
      </w:r>
      <w:r>
        <w:rPr>
          <w:rFonts w:ascii="Book Antiqua" w:eastAsia="Book Antiqua" w:hAnsi="Book Antiqua" w:cs="Book Antiqua"/>
          <w:i/>
          <w:iCs/>
          <w:color w:val="000000"/>
        </w:rPr>
        <w:t>Mol Cell Biol</w:t>
      </w:r>
      <w:r>
        <w:rPr>
          <w:rFonts w:ascii="Book Antiqua" w:eastAsia="Book Antiqua" w:hAnsi="Book Antiqua" w:cs="Book Antiqua"/>
          <w:color w:val="000000"/>
        </w:rPr>
        <w:t xml:space="preserve"> 2006; </w:t>
      </w:r>
      <w:r>
        <w:rPr>
          <w:rFonts w:ascii="Book Antiqua" w:eastAsia="Book Antiqua" w:hAnsi="Book Antiqua" w:cs="Book Antiqua"/>
          <w:b/>
          <w:bCs/>
          <w:color w:val="000000"/>
        </w:rPr>
        <w:t>26</w:t>
      </w:r>
      <w:r>
        <w:rPr>
          <w:rFonts w:ascii="Book Antiqua" w:eastAsia="Book Antiqua" w:hAnsi="Book Antiqua" w:cs="Book Antiqua"/>
          <w:color w:val="000000"/>
        </w:rPr>
        <w:t>: 4652-4663 [PMID: 16738329 DOI: 10.1128/mcb.02193-05]</w:t>
      </w:r>
    </w:p>
    <w:p w14:paraId="4D2ED117" w14:textId="77777777" w:rsidR="00A77B3E" w:rsidRDefault="00266ABC">
      <w:pPr>
        <w:spacing w:line="360" w:lineRule="auto"/>
        <w:jc w:val="both"/>
      </w:pPr>
      <w:r>
        <w:rPr>
          <w:rFonts w:ascii="Book Antiqua" w:eastAsia="Book Antiqua" w:hAnsi="Book Antiqua" w:cs="Book Antiqua"/>
          <w:color w:val="000000"/>
        </w:rPr>
        <w:t xml:space="preserve">117 </w:t>
      </w:r>
      <w:r>
        <w:rPr>
          <w:rFonts w:ascii="Book Antiqua" w:eastAsia="Book Antiqua" w:hAnsi="Book Antiqua" w:cs="Book Antiqua"/>
          <w:b/>
          <w:bCs/>
          <w:color w:val="000000"/>
        </w:rPr>
        <w:t>Shavit JA</w:t>
      </w:r>
      <w:r>
        <w:rPr>
          <w:rFonts w:ascii="Book Antiqua" w:eastAsia="Book Antiqua" w:hAnsi="Book Antiqua" w:cs="Book Antiqua"/>
          <w:color w:val="000000"/>
        </w:rPr>
        <w:t xml:space="preserve">, Motohashi H, Onodera K, Akasaka J, Yamamoto M, Engel JD. Impaired megakaryopoiesis and behavioral defects in mafG-null mutant mice. </w:t>
      </w:r>
      <w:r>
        <w:rPr>
          <w:rFonts w:ascii="Book Antiqua" w:eastAsia="Book Antiqua" w:hAnsi="Book Antiqua" w:cs="Book Antiqua"/>
          <w:i/>
          <w:iCs/>
          <w:color w:val="000000"/>
        </w:rPr>
        <w:t>Genes Dev</w:t>
      </w:r>
      <w:r>
        <w:rPr>
          <w:rFonts w:ascii="Book Antiqua" w:eastAsia="Book Antiqua" w:hAnsi="Book Antiqua" w:cs="Book Antiqua"/>
          <w:color w:val="000000"/>
        </w:rPr>
        <w:t xml:space="preserve"> 1998; </w:t>
      </w:r>
      <w:r>
        <w:rPr>
          <w:rFonts w:ascii="Book Antiqua" w:eastAsia="Book Antiqua" w:hAnsi="Book Antiqua" w:cs="Book Antiqua"/>
          <w:b/>
          <w:bCs/>
          <w:color w:val="000000"/>
        </w:rPr>
        <w:t>12</w:t>
      </w:r>
      <w:r>
        <w:rPr>
          <w:rFonts w:ascii="Book Antiqua" w:eastAsia="Book Antiqua" w:hAnsi="Book Antiqua" w:cs="Book Antiqua"/>
          <w:color w:val="000000"/>
        </w:rPr>
        <w:t>: 2164-2174 [PMID: 9679061 DOI: 10.1101/gad.12.14.2164]</w:t>
      </w:r>
    </w:p>
    <w:p w14:paraId="18184BB4" w14:textId="77777777" w:rsidR="00A77B3E" w:rsidRDefault="00266ABC">
      <w:pPr>
        <w:spacing w:line="360" w:lineRule="auto"/>
        <w:jc w:val="both"/>
      </w:pPr>
      <w:r>
        <w:rPr>
          <w:rFonts w:ascii="Book Antiqua" w:eastAsia="Book Antiqua" w:hAnsi="Book Antiqua" w:cs="Book Antiqua"/>
          <w:color w:val="000000"/>
        </w:rPr>
        <w:t xml:space="preserve">118 </w:t>
      </w:r>
      <w:r>
        <w:rPr>
          <w:rFonts w:ascii="Book Antiqua" w:eastAsia="Book Antiqua" w:hAnsi="Book Antiqua" w:cs="Book Antiqua"/>
          <w:b/>
          <w:bCs/>
          <w:color w:val="000000"/>
        </w:rPr>
        <w:t>Katsuoka F</w:t>
      </w:r>
      <w:r>
        <w:rPr>
          <w:rFonts w:ascii="Book Antiqua" w:eastAsia="Book Antiqua" w:hAnsi="Book Antiqua" w:cs="Book Antiqua"/>
          <w:color w:val="000000"/>
        </w:rPr>
        <w:t xml:space="preserve">, Otsuki A, Takahashi M, Ito S, Yamamoto M. Direct and Specific Functional Evaluation of the Nrf2 and MafG Heterodimer by Introducing a Tethered Dimer into Small Maf-Deficient Cells. </w:t>
      </w:r>
      <w:r>
        <w:rPr>
          <w:rFonts w:ascii="Book Antiqua" w:eastAsia="Book Antiqua" w:hAnsi="Book Antiqua" w:cs="Book Antiqua"/>
          <w:i/>
          <w:iCs/>
          <w:color w:val="000000"/>
        </w:rPr>
        <w:t>Mol Cell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xml:space="preserve"> [PMID: 31383749 DOI: 10.1128/mcb.00273-19]</w:t>
      </w:r>
    </w:p>
    <w:p w14:paraId="771D04E4" w14:textId="77777777" w:rsidR="00A77B3E" w:rsidRDefault="00266ABC">
      <w:pPr>
        <w:spacing w:line="360" w:lineRule="auto"/>
        <w:jc w:val="both"/>
      </w:pPr>
      <w:r>
        <w:rPr>
          <w:rFonts w:ascii="Book Antiqua" w:eastAsia="Book Antiqua" w:hAnsi="Book Antiqua" w:cs="Book Antiqua"/>
          <w:color w:val="000000"/>
        </w:rPr>
        <w:t xml:space="preserve">119 </w:t>
      </w:r>
      <w:r>
        <w:rPr>
          <w:rFonts w:ascii="Book Antiqua" w:eastAsia="Book Antiqua" w:hAnsi="Book Antiqua" w:cs="Book Antiqua"/>
          <w:b/>
          <w:bCs/>
          <w:color w:val="000000"/>
        </w:rPr>
        <w:t>Xu D</w:t>
      </w:r>
      <w:r>
        <w:rPr>
          <w:rFonts w:ascii="Book Antiqua" w:eastAsia="Book Antiqua" w:hAnsi="Book Antiqua" w:cs="Book Antiqua"/>
          <w:color w:val="000000"/>
        </w:rPr>
        <w:t xml:space="preserve">, Xu M, Jeong S, Qian Y, Wu H, Xia Q, Kong X. The Role of Nrf2 in Liver Disease: Novel Molecular Mechanisms and Therapeutic Approaches. </w:t>
      </w:r>
      <w:r>
        <w:rPr>
          <w:rFonts w:ascii="Book Antiqua" w:eastAsia="Book Antiqua" w:hAnsi="Book Antiqua" w:cs="Book Antiqua"/>
          <w:i/>
          <w:iCs/>
          <w:color w:val="000000"/>
        </w:rPr>
        <w:t>Front Pharmacol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1428 [PMID: 30670963 DOI: 10.3389/fphar.2018.01428]</w:t>
      </w:r>
    </w:p>
    <w:p w14:paraId="2F518A20" w14:textId="77777777" w:rsidR="00A77B3E" w:rsidRDefault="00266ABC">
      <w:pPr>
        <w:spacing w:line="360" w:lineRule="auto"/>
        <w:jc w:val="both"/>
      </w:pPr>
      <w:r>
        <w:rPr>
          <w:rFonts w:ascii="Book Antiqua" w:eastAsia="Book Antiqua" w:hAnsi="Book Antiqua" w:cs="Book Antiqua"/>
          <w:color w:val="000000"/>
        </w:rPr>
        <w:t xml:space="preserve">120 </w:t>
      </w:r>
      <w:r>
        <w:rPr>
          <w:rFonts w:ascii="Book Antiqua" w:eastAsia="Book Antiqua" w:hAnsi="Book Antiqua" w:cs="Book Antiqua"/>
          <w:b/>
          <w:bCs/>
          <w:color w:val="000000"/>
        </w:rPr>
        <w:t>Sun J</w:t>
      </w:r>
      <w:r>
        <w:rPr>
          <w:rFonts w:ascii="Book Antiqua" w:eastAsia="Book Antiqua" w:hAnsi="Book Antiqua" w:cs="Book Antiqua"/>
          <w:color w:val="000000"/>
        </w:rPr>
        <w:t xml:space="preserve">, Fu J, Li L, Chen C, Wang H, Hou Y, Xu Y, Pi J. Nrf2 in alcoholic liver disease. </w:t>
      </w:r>
      <w:r>
        <w:rPr>
          <w:rFonts w:ascii="Book Antiqua" w:eastAsia="Book Antiqua" w:hAnsi="Book Antiqua" w:cs="Book Antiqua"/>
          <w:i/>
          <w:iCs/>
          <w:color w:val="000000"/>
        </w:rPr>
        <w:t>Toxicol Appl Pharmacol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357</w:t>
      </w:r>
      <w:r>
        <w:rPr>
          <w:rFonts w:ascii="Book Antiqua" w:eastAsia="Book Antiqua" w:hAnsi="Book Antiqua" w:cs="Book Antiqua"/>
          <w:color w:val="000000"/>
        </w:rPr>
        <w:t>: 62-69 [PMID: 30165058 DOI: 10.1016/j.taap.2018.08.019]</w:t>
      </w:r>
    </w:p>
    <w:p w14:paraId="662CCBA8" w14:textId="77777777" w:rsidR="00A77B3E" w:rsidRDefault="00266ABC">
      <w:pPr>
        <w:spacing w:line="360" w:lineRule="auto"/>
        <w:jc w:val="both"/>
      </w:pPr>
      <w:r>
        <w:rPr>
          <w:rFonts w:ascii="Book Antiqua" w:eastAsia="Book Antiqua" w:hAnsi="Book Antiqua" w:cs="Book Antiqua"/>
          <w:color w:val="000000"/>
        </w:rPr>
        <w:t xml:space="preserve">121 </w:t>
      </w:r>
      <w:r>
        <w:rPr>
          <w:rFonts w:ascii="Book Antiqua" w:eastAsia="Book Antiqua" w:hAnsi="Book Antiqua" w:cs="Book Antiqua"/>
          <w:b/>
          <w:bCs/>
          <w:color w:val="000000"/>
        </w:rPr>
        <w:t>Qin SJ</w:t>
      </w:r>
      <w:r>
        <w:rPr>
          <w:rFonts w:ascii="Book Antiqua" w:eastAsia="Book Antiqua" w:hAnsi="Book Antiqua" w:cs="Book Antiqua"/>
          <w:color w:val="000000"/>
        </w:rPr>
        <w:t xml:space="preserve">, Wang BY, Li BR, Zheng K, Cai Y, Li RB, Zeng M, Xiao F, Xu XY. [Effect of c-myc gene silence on the expression of oncogenes and apoptotic genes in hepatocytes treated with PM(2).5]. </w:t>
      </w:r>
      <w:r>
        <w:rPr>
          <w:rFonts w:ascii="Book Antiqua" w:eastAsia="Book Antiqua" w:hAnsi="Book Antiqua" w:cs="Book Antiqua"/>
          <w:i/>
          <w:iCs/>
          <w:color w:val="000000"/>
        </w:rPr>
        <w:t>Zhonghua Lao Dong Wei Sheng Zhi Ye Bing Za Zhi</w:t>
      </w:r>
      <w:r>
        <w:rPr>
          <w:rFonts w:ascii="Book Antiqua" w:eastAsia="Book Antiqua" w:hAnsi="Book Antiqua" w:cs="Book Antiqua"/>
          <w:color w:val="000000"/>
        </w:rPr>
        <w:t xml:space="preserve"> 2020; </w:t>
      </w:r>
      <w:r>
        <w:rPr>
          <w:rFonts w:ascii="Book Antiqua" w:eastAsia="Book Antiqua" w:hAnsi="Book Antiqua" w:cs="Book Antiqua"/>
          <w:b/>
          <w:bCs/>
          <w:color w:val="000000"/>
        </w:rPr>
        <w:t>38</w:t>
      </w:r>
      <w:r>
        <w:rPr>
          <w:rFonts w:ascii="Book Antiqua" w:eastAsia="Book Antiqua" w:hAnsi="Book Antiqua" w:cs="Book Antiqua"/>
          <w:color w:val="000000"/>
        </w:rPr>
        <w:t>: 657-663 [PMID: 33036527 DOI: 10.3760/cma.j.cn121094-20200326-00056]</w:t>
      </w:r>
    </w:p>
    <w:p w14:paraId="5F8DEAA9" w14:textId="77777777" w:rsidR="00A77B3E" w:rsidRDefault="00266ABC">
      <w:pPr>
        <w:spacing w:line="360" w:lineRule="auto"/>
        <w:jc w:val="both"/>
      </w:pPr>
      <w:r>
        <w:rPr>
          <w:rFonts w:ascii="Book Antiqua" w:eastAsia="Book Antiqua" w:hAnsi="Book Antiqua" w:cs="Book Antiqua"/>
          <w:color w:val="000000"/>
        </w:rPr>
        <w:t xml:space="preserve">122 </w:t>
      </w:r>
      <w:r>
        <w:rPr>
          <w:rFonts w:ascii="Book Antiqua" w:eastAsia="Book Antiqua" w:hAnsi="Book Antiqua" w:cs="Book Antiqua"/>
          <w:b/>
          <w:bCs/>
          <w:color w:val="000000"/>
        </w:rPr>
        <w:t>Wahlström T</w:t>
      </w:r>
      <w:r>
        <w:rPr>
          <w:rFonts w:ascii="Book Antiqua" w:eastAsia="Book Antiqua" w:hAnsi="Book Antiqua" w:cs="Book Antiqua"/>
          <w:color w:val="000000"/>
        </w:rPr>
        <w:t xml:space="preserve">, Henriksson M. Mnt takes control as key regulator of the myc/max/mxd network. </w:t>
      </w:r>
      <w:r>
        <w:rPr>
          <w:rFonts w:ascii="Book Antiqua" w:eastAsia="Book Antiqua" w:hAnsi="Book Antiqua" w:cs="Book Antiqua"/>
          <w:i/>
          <w:iCs/>
          <w:color w:val="000000"/>
        </w:rPr>
        <w:t>Adv Cancer Res</w:t>
      </w:r>
      <w:r>
        <w:rPr>
          <w:rFonts w:ascii="Book Antiqua" w:eastAsia="Book Antiqua" w:hAnsi="Book Antiqua" w:cs="Book Antiqua"/>
          <w:color w:val="000000"/>
        </w:rPr>
        <w:t xml:space="preserve"> 2007; </w:t>
      </w:r>
      <w:r>
        <w:rPr>
          <w:rFonts w:ascii="Book Antiqua" w:eastAsia="Book Antiqua" w:hAnsi="Book Antiqua" w:cs="Book Antiqua"/>
          <w:b/>
          <w:bCs/>
          <w:color w:val="000000"/>
        </w:rPr>
        <w:t>97</w:t>
      </w:r>
      <w:r>
        <w:rPr>
          <w:rFonts w:ascii="Book Antiqua" w:eastAsia="Book Antiqua" w:hAnsi="Book Antiqua" w:cs="Book Antiqua"/>
          <w:color w:val="000000"/>
        </w:rPr>
        <w:t>: 61-80 [PMID: 17419941 DOI: 10.1016/s0065-230x(06)97003-1]</w:t>
      </w:r>
    </w:p>
    <w:p w14:paraId="62702E2F" w14:textId="77777777" w:rsidR="00A77B3E" w:rsidRDefault="00266ABC">
      <w:pPr>
        <w:spacing w:line="360" w:lineRule="auto"/>
        <w:jc w:val="both"/>
      </w:pPr>
      <w:r>
        <w:rPr>
          <w:rFonts w:ascii="Book Antiqua" w:eastAsia="Book Antiqua" w:hAnsi="Book Antiqua" w:cs="Book Antiqua"/>
          <w:color w:val="000000"/>
        </w:rPr>
        <w:t xml:space="preserve">123 </w:t>
      </w:r>
      <w:r>
        <w:rPr>
          <w:rFonts w:ascii="Book Antiqua" w:eastAsia="Book Antiqua" w:hAnsi="Book Antiqua" w:cs="Book Antiqua"/>
          <w:b/>
          <w:bCs/>
          <w:color w:val="000000"/>
        </w:rPr>
        <w:t>Yang H</w:t>
      </w:r>
      <w:r>
        <w:rPr>
          <w:rFonts w:ascii="Book Antiqua" w:eastAsia="Book Antiqua" w:hAnsi="Book Antiqua" w:cs="Book Antiqua"/>
          <w:color w:val="000000"/>
        </w:rPr>
        <w:t xml:space="preserve">, Li TW, Peng J, Tang X, Ko KS, Xia M, Aller MA. A mouse model of cholestasis-associated cholangiocarcinoma and transcription factors involved in progression.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141</w:t>
      </w:r>
      <w:r>
        <w:rPr>
          <w:rFonts w:ascii="Book Antiqua" w:eastAsia="Book Antiqua" w:hAnsi="Book Antiqua" w:cs="Book Antiqua"/>
          <w:color w:val="000000"/>
        </w:rPr>
        <w:t>: 378-388, 388.e1-388.e4 [PMID: 21440549 DOI: 10.1053/j.gastro.2011.03.044]</w:t>
      </w:r>
    </w:p>
    <w:p w14:paraId="04A8A449" w14:textId="77777777" w:rsidR="00A77B3E" w:rsidRDefault="00266ABC">
      <w:pPr>
        <w:spacing w:line="360" w:lineRule="auto"/>
        <w:jc w:val="both"/>
      </w:pPr>
      <w:r>
        <w:rPr>
          <w:rFonts w:ascii="Book Antiqua" w:eastAsia="Book Antiqua" w:hAnsi="Book Antiqua" w:cs="Book Antiqua"/>
          <w:color w:val="000000"/>
        </w:rPr>
        <w:t xml:space="preserve">124 </w:t>
      </w:r>
      <w:r>
        <w:rPr>
          <w:rFonts w:ascii="Book Antiqua" w:eastAsia="Book Antiqua" w:hAnsi="Book Antiqua" w:cs="Book Antiqua"/>
          <w:b/>
          <w:bCs/>
          <w:color w:val="000000"/>
        </w:rPr>
        <w:t>Yang H</w:t>
      </w:r>
      <w:r>
        <w:rPr>
          <w:rFonts w:ascii="Book Antiqua" w:eastAsia="Book Antiqua" w:hAnsi="Book Antiqua" w:cs="Book Antiqua"/>
          <w:color w:val="000000"/>
        </w:rPr>
        <w:t xml:space="preserve">, Li TW, Ko KS, Xia M, Lu SC. Switch from Mnt-Max to Myc-Max induces p53 and cyclin D1 expression and apoptosis during cholestasis in mouse and human hepatocytes.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2009; </w:t>
      </w:r>
      <w:r>
        <w:rPr>
          <w:rFonts w:ascii="Book Antiqua" w:eastAsia="Book Antiqua" w:hAnsi="Book Antiqua" w:cs="Book Antiqua"/>
          <w:b/>
          <w:bCs/>
          <w:color w:val="000000"/>
        </w:rPr>
        <w:t>49</w:t>
      </w:r>
      <w:r>
        <w:rPr>
          <w:rFonts w:ascii="Book Antiqua" w:eastAsia="Book Antiqua" w:hAnsi="Book Antiqua" w:cs="Book Antiqua"/>
          <w:color w:val="000000"/>
        </w:rPr>
        <w:t>: 860-870 [PMID: 19086036 DOI: 10.1002/hep.22720]</w:t>
      </w:r>
    </w:p>
    <w:p w14:paraId="54B32483" w14:textId="77777777" w:rsidR="00A77B3E" w:rsidRDefault="00266ABC">
      <w:pPr>
        <w:spacing w:line="360" w:lineRule="auto"/>
        <w:jc w:val="both"/>
      </w:pPr>
      <w:r>
        <w:rPr>
          <w:rFonts w:ascii="Book Antiqua" w:eastAsia="Book Antiqua" w:hAnsi="Book Antiqua" w:cs="Book Antiqua"/>
          <w:color w:val="000000"/>
        </w:rPr>
        <w:t xml:space="preserve">125 </w:t>
      </w:r>
      <w:r>
        <w:rPr>
          <w:rFonts w:ascii="Book Antiqua" w:eastAsia="Book Antiqua" w:hAnsi="Book Antiqua" w:cs="Book Antiqua"/>
          <w:b/>
          <w:bCs/>
          <w:color w:val="000000"/>
        </w:rPr>
        <w:t>Yang H</w:t>
      </w:r>
      <w:r>
        <w:rPr>
          <w:rFonts w:ascii="Book Antiqua" w:eastAsia="Book Antiqua" w:hAnsi="Book Antiqua" w:cs="Book Antiqua"/>
          <w:color w:val="000000"/>
        </w:rPr>
        <w:t xml:space="preserve">, Liu T, Wang J, Li TW, Fan W, Peng H, Krishnan A, Gores GJ, Mato JM, Lu SC. Deregulated methionine adenosyltransferase α1, c-Myc, and Maf proteins together promote cholangiocarcinoma growth in mice and humans(‡).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64</w:t>
      </w:r>
      <w:r>
        <w:rPr>
          <w:rFonts w:ascii="Book Antiqua" w:eastAsia="Book Antiqua" w:hAnsi="Book Antiqua" w:cs="Book Antiqua"/>
          <w:color w:val="000000"/>
        </w:rPr>
        <w:t>: 439-455 [PMID: 26969892 DOI: 10.1002/hep.28541]</w:t>
      </w:r>
    </w:p>
    <w:p w14:paraId="778CA4EE" w14:textId="77777777" w:rsidR="00A77B3E" w:rsidRDefault="00266ABC">
      <w:pPr>
        <w:spacing w:line="360" w:lineRule="auto"/>
        <w:jc w:val="both"/>
      </w:pPr>
      <w:r>
        <w:rPr>
          <w:rFonts w:ascii="Book Antiqua" w:eastAsia="Book Antiqua" w:hAnsi="Book Antiqua" w:cs="Book Antiqua"/>
          <w:color w:val="000000"/>
        </w:rPr>
        <w:t xml:space="preserve">126 </w:t>
      </w:r>
      <w:r>
        <w:rPr>
          <w:rFonts w:ascii="Book Antiqua" w:eastAsia="Book Antiqua" w:hAnsi="Book Antiqua" w:cs="Book Antiqua"/>
          <w:b/>
          <w:bCs/>
          <w:color w:val="000000"/>
        </w:rPr>
        <w:t>Yang H</w:t>
      </w:r>
      <w:r>
        <w:rPr>
          <w:rFonts w:ascii="Book Antiqua" w:eastAsia="Book Antiqua" w:hAnsi="Book Antiqua" w:cs="Book Antiqua"/>
          <w:color w:val="000000"/>
        </w:rPr>
        <w:t xml:space="preserve">, Li TW, Zhou Y, Peng H, Liu T, Zandi E, Martínez-Chantar ML, Mato JM, Lu SC. Activation of a novel c-Myc-miR27-prohibitin 1 circuitry in cholestatic liver injury inhibits glutathione synthesis in mice. </w:t>
      </w:r>
      <w:r>
        <w:rPr>
          <w:rFonts w:ascii="Book Antiqua" w:eastAsia="Book Antiqua" w:hAnsi="Book Antiqua" w:cs="Book Antiqua"/>
          <w:i/>
          <w:iCs/>
          <w:color w:val="000000"/>
        </w:rPr>
        <w:t>Antioxid Redox Signal</w:t>
      </w:r>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259-274 [PMID: 25226451 DOI: 10.1089/ars.2014.6027]</w:t>
      </w:r>
    </w:p>
    <w:p w14:paraId="69A03B84" w14:textId="77777777" w:rsidR="00A77B3E" w:rsidRDefault="00266ABC">
      <w:pPr>
        <w:spacing w:line="360" w:lineRule="auto"/>
        <w:jc w:val="both"/>
      </w:pPr>
      <w:r>
        <w:rPr>
          <w:rFonts w:ascii="Book Antiqua" w:eastAsia="Book Antiqua" w:hAnsi="Book Antiqua" w:cs="Book Antiqua"/>
          <w:color w:val="000000"/>
        </w:rPr>
        <w:t xml:space="preserve">127 </w:t>
      </w:r>
      <w:r>
        <w:rPr>
          <w:rFonts w:ascii="Book Antiqua" w:eastAsia="Book Antiqua" w:hAnsi="Book Antiqua" w:cs="Book Antiqua"/>
          <w:b/>
          <w:bCs/>
          <w:color w:val="000000"/>
        </w:rPr>
        <w:t>Zeng Y</w:t>
      </w:r>
      <w:r>
        <w:rPr>
          <w:rFonts w:ascii="Book Antiqua" w:eastAsia="Book Antiqua" w:hAnsi="Book Antiqua" w:cs="Book Antiqua"/>
          <w:color w:val="000000"/>
        </w:rPr>
        <w:t xml:space="preserve">, Lou G, Ren Y, Li T, Zhang X, Wang J, Huang Q. Network pharmacology-based analysis of Zukamu granules for the treatment of COVID-19. </w:t>
      </w:r>
      <w:r>
        <w:rPr>
          <w:rFonts w:ascii="Book Antiqua" w:eastAsia="Book Antiqua" w:hAnsi="Book Antiqua" w:cs="Book Antiqua"/>
          <w:i/>
          <w:iCs/>
          <w:color w:val="000000"/>
        </w:rPr>
        <w:t>Eur J Integr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42</w:t>
      </w:r>
      <w:r>
        <w:rPr>
          <w:rFonts w:ascii="Book Antiqua" w:eastAsia="Book Antiqua" w:hAnsi="Book Antiqua" w:cs="Book Antiqua"/>
          <w:color w:val="000000"/>
        </w:rPr>
        <w:t>: 101282 [PMID: 33425074 DOI: 10.1016/j.eujim.2020.101282]</w:t>
      </w:r>
    </w:p>
    <w:p w14:paraId="431816F0" w14:textId="77777777" w:rsidR="00A77B3E" w:rsidRDefault="00266ABC">
      <w:pPr>
        <w:spacing w:line="360" w:lineRule="auto"/>
        <w:jc w:val="both"/>
      </w:pPr>
      <w:r>
        <w:rPr>
          <w:rFonts w:ascii="Book Antiqua" w:eastAsia="Book Antiqua" w:hAnsi="Book Antiqua" w:cs="Book Antiqua"/>
          <w:color w:val="000000"/>
        </w:rPr>
        <w:t xml:space="preserve">128 </w:t>
      </w:r>
      <w:r>
        <w:rPr>
          <w:rFonts w:ascii="Book Antiqua" w:eastAsia="Book Antiqua" w:hAnsi="Book Antiqua" w:cs="Book Antiqua"/>
          <w:b/>
          <w:bCs/>
          <w:color w:val="000000"/>
        </w:rPr>
        <w:t>Li Y</w:t>
      </w:r>
      <w:r>
        <w:rPr>
          <w:rFonts w:ascii="Book Antiqua" w:eastAsia="Book Antiqua" w:hAnsi="Book Antiqua" w:cs="Book Antiqua"/>
          <w:color w:val="000000"/>
        </w:rPr>
        <w:t xml:space="preserve">, Lu L, Tu J, Zhang J, Xiong T, Fan W, Wang J, Li M, Chen Y, Steggerda J, Peng H, Chen Y, Li TWH, Zhou ZG, Mato JM, Seki E, Liu T, Yang H, Lu SC. Reciprocal Regulation Between Forkhead Box M1/NF-κB and Methionine Adenosyltransferase 1A Drives Liver Cancer.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72</w:t>
      </w:r>
      <w:r>
        <w:rPr>
          <w:rFonts w:ascii="Book Antiqua" w:eastAsia="Book Antiqua" w:hAnsi="Book Antiqua" w:cs="Book Antiqua"/>
          <w:color w:val="000000"/>
        </w:rPr>
        <w:t>: 1682-1700 [PMID: 32080887 DOI: 10.1002/hep.31196]</w:t>
      </w:r>
    </w:p>
    <w:p w14:paraId="0E34C2D1" w14:textId="77777777" w:rsidR="00A77B3E" w:rsidRDefault="00266ABC">
      <w:pPr>
        <w:spacing w:line="360" w:lineRule="auto"/>
        <w:jc w:val="both"/>
      </w:pPr>
      <w:r>
        <w:rPr>
          <w:rFonts w:ascii="Book Antiqua" w:eastAsia="Book Antiqua" w:hAnsi="Book Antiqua" w:cs="Book Antiqua"/>
          <w:color w:val="000000"/>
        </w:rPr>
        <w:t xml:space="preserve">129 </w:t>
      </w:r>
      <w:r>
        <w:rPr>
          <w:rFonts w:ascii="Book Antiqua" w:eastAsia="Book Antiqua" w:hAnsi="Book Antiqua" w:cs="Book Antiqua"/>
          <w:b/>
          <w:bCs/>
          <w:color w:val="000000"/>
        </w:rPr>
        <w:t>Phipps MM</w:t>
      </w:r>
      <w:r>
        <w:rPr>
          <w:rFonts w:ascii="Book Antiqua" w:eastAsia="Book Antiqua" w:hAnsi="Book Antiqua" w:cs="Book Antiqua"/>
          <w:color w:val="000000"/>
        </w:rPr>
        <w:t xml:space="preserve">, Barraza LH, LaSota ED, Sobieszczyk ME, Pereira MR, Zheng EX, Fox AN, Zucker J, Verna EC. Acute Liver Injury in COVID-19: Prevalence and Association with Clinical Outcomes in a Large U.S. Cohort.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72</w:t>
      </w:r>
      <w:r>
        <w:rPr>
          <w:rFonts w:ascii="Book Antiqua" w:eastAsia="Book Antiqua" w:hAnsi="Book Antiqua" w:cs="Book Antiqua"/>
          <w:color w:val="000000"/>
        </w:rPr>
        <w:t>: 807-817 [PMID: 32473607 DOI: 10.1002/hep.31404]</w:t>
      </w:r>
    </w:p>
    <w:p w14:paraId="1922864C" w14:textId="77777777" w:rsidR="00A77B3E" w:rsidRDefault="00266ABC">
      <w:pPr>
        <w:spacing w:line="360" w:lineRule="auto"/>
        <w:jc w:val="both"/>
      </w:pPr>
      <w:r>
        <w:rPr>
          <w:rFonts w:ascii="Book Antiqua" w:eastAsia="Book Antiqua" w:hAnsi="Book Antiqua" w:cs="Book Antiqua"/>
          <w:color w:val="000000"/>
        </w:rPr>
        <w:t xml:space="preserve">130 </w:t>
      </w:r>
      <w:r>
        <w:rPr>
          <w:rFonts w:ascii="Book Antiqua" w:eastAsia="Book Antiqua" w:hAnsi="Book Antiqua" w:cs="Book Antiqua"/>
          <w:b/>
          <w:bCs/>
          <w:color w:val="000000"/>
        </w:rPr>
        <w:t>Mendizabal M</w:t>
      </w:r>
      <w:r>
        <w:rPr>
          <w:rFonts w:ascii="Book Antiqua" w:eastAsia="Book Antiqua" w:hAnsi="Book Antiqua" w:cs="Book Antiqua"/>
          <w:color w:val="000000"/>
        </w:rPr>
        <w:t xml:space="preserve">, Piñero F, Ridruejo E, Anders M, Silveyra MD, Torre A, Montes P, Urzúa A, Pages J, Toro LG, Díaz J, Gonzalez Ballerga E, Miranda-Zazueta G, Peralta M, Gutiérrez I, Michelato D, Venturelli MG, Varón A, Vera-Pozo E, Tagle M, García M, Tassara A, Brutti J, Ruiz García S, Bustios C, Escajadillo N, Macias Y, Higuera-de la Tijera F, Gómez AJ, Dominguez A, Castillo-Barradas M, Contreras F, Scarpin A, Schinoni MI, Toledo C, Girala M, Mainardi V, Sanchez A, Bessone F, Rubinstein F, Silva MO. Prospective Latin American cohort evaluating outcomes of patients with COVID-19 and abnormal liver tests on admission. </w:t>
      </w:r>
      <w:r>
        <w:rPr>
          <w:rFonts w:ascii="Book Antiqua" w:eastAsia="Book Antiqua" w:hAnsi="Book Antiqua" w:cs="Book Antiqua"/>
          <w:i/>
          <w:iCs/>
          <w:color w:val="000000"/>
        </w:rPr>
        <w:t>Ann Hepatol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21</w:t>
      </w:r>
      <w:r>
        <w:rPr>
          <w:rFonts w:ascii="Book Antiqua" w:eastAsia="Book Antiqua" w:hAnsi="Book Antiqua" w:cs="Book Antiqua"/>
          <w:color w:val="000000"/>
        </w:rPr>
        <w:t>: 100298 [PMID: 33359234 DOI: 10.1016/j.aohep.2020.100298]</w:t>
      </w:r>
    </w:p>
    <w:p w14:paraId="5C86D831" w14:textId="77777777" w:rsidR="00A77B3E" w:rsidRDefault="00266ABC">
      <w:pPr>
        <w:spacing w:line="360" w:lineRule="auto"/>
        <w:jc w:val="both"/>
      </w:pPr>
      <w:r>
        <w:rPr>
          <w:rFonts w:ascii="Book Antiqua" w:eastAsia="Book Antiqua" w:hAnsi="Book Antiqua" w:cs="Book Antiqua"/>
          <w:color w:val="000000"/>
        </w:rPr>
        <w:t xml:space="preserve">131 </w:t>
      </w:r>
      <w:r>
        <w:rPr>
          <w:rFonts w:ascii="Book Antiqua" w:eastAsia="Book Antiqua" w:hAnsi="Book Antiqua" w:cs="Book Antiqua"/>
          <w:b/>
          <w:bCs/>
          <w:color w:val="000000"/>
        </w:rPr>
        <w:t>Hundt MA</w:t>
      </w:r>
      <w:r>
        <w:rPr>
          <w:rFonts w:ascii="Book Antiqua" w:eastAsia="Book Antiqua" w:hAnsi="Book Antiqua" w:cs="Book Antiqua"/>
          <w:color w:val="000000"/>
        </w:rPr>
        <w:t xml:space="preserve">, Deng Y, Ciarleglio MM, Nathanson MH, Lim JK. Abnormal Liver Tests in COVID-19: A Retrospective Observational Cohort Study of 1,827 Patients in a Major U.S. Hospital Network.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72</w:t>
      </w:r>
      <w:r>
        <w:rPr>
          <w:rFonts w:ascii="Book Antiqua" w:eastAsia="Book Antiqua" w:hAnsi="Book Antiqua" w:cs="Book Antiqua"/>
          <w:color w:val="000000"/>
        </w:rPr>
        <w:t>: 1169-1176 [PMID: 32725890 DOI: 10.1002/hep.31487]</w:t>
      </w:r>
    </w:p>
    <w:p w14:paraId="3C20ADB0" w14:textId="77777777" w:rsidR="00A77B3E" w:rsidRDefault="00266ABC">
      <w:pPr>
        <w:spacing w:line="360" w:lineRule="auto"/>
        <w:jc w:val="both"/>
      </w:pPr>
      <w:r>
        <w:rPr>
          <w:rFonts w:ascii="Book Antiqua" w:eastAsia="Book Antiqua" w:hAnsi="Book Antiqua" w:cs="Book Antiqua"/>
          <w:color w:val="000000"/>
        </w:rPr>
        <w:t xml:space="preserve">132 </w:t>
      </w:r>
      <w:r>
        <w:rPr>
          <w:rFonts w:ascii="Book Antiqua" w:eastAsia="Book Antiqua" w:hAnsi="Book Antiqua" w:cs="Book Antiqua"/>
          <w:b/>
          <w:bCs/>
          <w:color w:val="000000"/>
        </w:rPr>
        <w:t>Yip TC</w:t>
      </w:r>
      <w:r>
        <w:rPr>
          <w:rFonts w:ascii="Book Antiqua" w:eastAsia="Book Antiqua" w:hAnsi="Book Antiqua" w:cs="Book Antiqua"/>
          <w:color w:val="000000"/>
        </w:rPr>
        <w:t xml:space="preserve">, Lui GC, Wong VW, Chow VC, Ho TH, Li TC, Tse YK, Hui DS, Chan HL, Wong GL. Liver injury is independently associated with adverse clinical outcomes in patients with COVID-19. </w:t>
      </w:r>
      <w:r>
        <w:rPr>
          <w:rFonts w:ascii="Book Antiqua" w:eastAsia="Book Antiqua" w:hAnsi="Book Antiqua" w:cs="Book Antiqua"/>
          <w:i/>
          <w:iCs/>
          <w:color w:val="000000"/>
        </w:rPr>
        <w:t>Gut</w:t>
      </w:r>
      <w:r>
        <w:rPr>
          <w:rFonts w:ascii="Book Antiqua" w:eastAsia="Book Antiqua" w:hAnsi="Book Antiqua" w:cs="Book Antiqua"/>
          <w:color w:val="000000"/>
        </w:rPr>
        <w:t xml:space="preserve"> 2021; </w:t>
      </w:r>
      <w:r>
        <w:rPr>
          <w:rFonts w:ascii="Book Antiqua" w:eastAsia="Book Antiqua" w:hAnsi="Book Antiqua" w:cs="Book Antiqua"/>
          <w:b/>
          <w:bCs/>
          <w:color w:val="000000"/>
        </w:rPr>
        <w:t>70</w:t>
      </w:r>
      <w:r>
        <w:rPr>
          <w:rFonts w:ascii="Book Antiqua" w:eastAsia="Book Antiqua" w:hAnsi="Book Antiqua" w:cs="Book Antiqua"/>
          <w:color w:val="000000"/>
        </w:rPr>
        <w:t>: 733-742 [PMID: 32641471 DOI: 10.1136/gutjnl-2020-321726]</w:t>
      </w:r>
    </w:p>
    <w:p w14:paraId="4CB40344" w14:textId="77777777" w:rsidR="00A77B3E" w:rsidRDefault="00266ABC">
      <w:pPr>
        <w:spacing w:line="360" w:lineRule="auto"/>
        <w:jc w:val="both"/>
      </w:pPr>
      <w:r>
        <w:rPr>
          <w:rFonts w:ascii="Book Antiqua" w:eastAsia="Book Antiqua" w:hAnsi="Book Antiqua" w:cs="Book Antiqua"/>
          <w:color w:val="000000"/>
        </w:rPr>
        <w:t xml:space="preserve">133 </w:t>
      </w:r>
      <w:r>
        <w:rPr>
          <w:rFonts w:ascii="Book Antiqua" w:eastAsia="Book Antiqua" w:hAnsi="Book Antiqua" w:cs="Book Antiqua"/>
          <w:b/>
          <w:bCs/>
          <w:color w:val="000000"/>
        </w:rPr>
        <w:t>Cai Q</w:t>
      </w:r>
      <w:r>
        <w:rPr>
          <w:rFonts w:ascii="Book Antiqua" w:eastAsia="Book Antiqua" w:hAnsi="Book Antiqua" w:cs="Book Antiqua"/>
          <w:color w:val="000000"/>
        </w:rPr>
        <w:t xml:space="preserve">, Huang D, Yu H, Zhu Z, Xia Z, Su Y, Li Z, Zhou G, Gou J, Qu J, Sun Y, Liu Y, He Q, Chen J, Liu L, Xu L. COVID-19: Abnormal liver function tests.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73</w:t>
      </w:r>
      <w:r>
        <w:rPr>
          <w:rFonts w:ascii="Book Antiqua" w:eastAsia="Book Antiqua" w:hAnsi="Book Antiqua" w:cs="Book Antiqua"/>
          <w:color w:val="000000"/>
        </w:rPr>
        <w:t>: 566-574 [PMID: 32298767 DOI: 10.1016/j.jhep.2020.04.006]</w:t>
      </w:r>
    </w:p>
    <w:p w14:paraId="30EE28BD" w14:textId="77777777" w:rsidR="00A77B3E" w:rsidRDefault="00266ABC">
      <w:pPr>
        <w:spacing w:line="360" w:lineRule="auto"/>
        <w:jc w:val="both"/>
      </w:pPr>
      <w:r>
        <w:rPr>
          <w:rFonts w:ascii="Book Antiqua" w:eastAsia="Book Antiqua" w:hAnsi="Book Antiqua" w:cs="Book Antiqua"/>
          <w:color w:val="000000"/>
        </w:rPr>
        <w:t xml:space="preserve">134 </w:t>
      </w:r>
      <w:r>
        <w:rPr>
          <w:rFonts w:ascii="Book Antiqua" w:eastAsia="Book Antiqua" w:hAnsi="Book Antiqua" w:cs="Book Antiqua"/>
          <w:b/>
          <w:bCs/>
          <w:color w:val="000000"/>
        </w:rPr>
        <w:t>Zhao D</w:t>
      </w:r>
      <w:r>
        <w:rPr>
          <w:rFonts w:ascii="Book Antiqua" w:eastAsia="Book Antiqua" w:hAnsi="Book Antiqua" w:cs="Book Antiqua"/>
          <w:color w:val="000000"/>
        </w:rPr>
        <w:t xml:space="preserve">, Yao F, Wang L, Zheng L, Gao Y, Ye J, Guo F, Zhao H, Gao R. A Comparative Study on the Clinical Features of Coronavirus 2019 (COVID-19) Pneumonia With Other Pneumonias. </w:t>
      </w:r>
      <w:r>
        <w:rPr>
          <w:rFonts w:ascii="Book Antiqua" w:eastAsia="Book Antiqua" w:hAnsi="Book Antiqua" w:cs="Book Antiqua"/>
          <w:i/>
          <w:iCs/>
          <w:color w:val="000000"/>
        </w:rPr>
        <w:t>Clin Infect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71</w:t>
      </w:r>
      <w:r>
        <w:rPr>
          <w:rFonts w:ascii="Book Antiqua" w:eastAsia="Book Antiqua" w:hAnsi="Book Antiqua" w:cs="Book Antiqua"/>
          <w:color w:val="000000"/>
        </w:rPr>
        <w:t>: 756-761 [PMID: 32161968 DOI: 10.1093/cid/ciaa247]</w:t>
      </w:r>
    </w:p>
    <w:p w14:paraId="3B9D96C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7AD3784" w14:textId="77777777" w:rsidR="00A77B3E" w:rsidRDefault="00266ABC">
      <w:pPr>
        <w:spacing w:line="360" w:lineRule="auto"/>
        <w:jc w:val="both"/>
      </w:pPr>
      <w:r>
        <w:rPr>
          <w:rFonts w:ascii="Book Antiqua" w:eastAsia="Book Antiqua" w:hAnsi="Book Antiqua" w:cs="Book Antiqua"/>
          <w:b/>
          <w:color w:val="000000"/>
        </w:rPr>
        <w:t>Footnotes</w:t>
      </w:r>
    </w:p>
    <w:p w14:paraId="3B378EC8" w14:textId="77777777" w:rsidR="00A77B3E" w:rsidRDefault="00266AB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None of the authors have any conflict of interest.</w:t>
      </w:r>
    </w:p>
    <w:p w14:paraId="5D6D619A" w14:textId="77777777" w:rsidR="00A77B3E" w:rsidRDefault="00A77B3E">
      <w:pPr>
        <w:spacing w:line="360" w:lineRule="auto"/>
        <w:jc w:val="both"/>
      </w:pPr>
    </w:p>
    <w:p w14:paraId="48462DB5" w14:textId="77777777" w:rsidR="00A77B3E" w:rsidRDefault="00266AB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7544DA6" w14:textId="77777777" w:rsidR="00A77B3E" w:rsidRDefault="00A77B3E">
      <w:pPr>
        <w:spacing w:line="360" w:lineRule="auto"/>
        <w:jc w:val="both"/>
      </w:pPr>
    </w:p>
    <w:p w14:paraId="0833AB6E" w14:textId="1BF84A2B" w:rsidR="00A77B3E" w:rsidRDefault="00266AB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BC682F">
        <w:rPr>
          <w:rFonts w:ascii="Book Antiqua" w:eastAsia="Book Antiqua" w:hAnsi="Book Antiqua" w:cs="Book Antiqua"/>
          <w:color w:val="000000"/>
        </w:rPr>
        <w:t>man</w:t>
      </w:r>
      <w:r>
        <w:rPr>
          <w:rFonts w:ascii="Book Antiqua" w:eastAsia="Book Antiqua" w:hAnsi="Book Antiqua" w:cs="Book Antiqua"/>
          <w:color w:val="000000"/>
        </w:rPr>
        <w:t>uscript</w:t>
      </w:r>
    </w:p>
    <w:p w14:paraId="4144516F" w14:textId="77777777" w:rsidR="00A77B3E" w:rsidRDefault="00A77B3E">
      <w:pPr>
        <w:spacing w:line="360" w:lineRule="auto"/>
        <w:jc w:val="both"/>
      </w:pPr>
    </w:p>
    <w:p w14:paraId="74F4EB2F" w14:textId="77777777" w:rsidR="00A77B3E" w:rsidRDefault="00266AB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29, 2021</w:t>
      </w:r>
    </w:p>
    <w:p w14:paraId="72EF5E6F" w14:textId="77777777" w:rsidR="00A77B3E" w:rsidRDefault="00266AB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24, 2021</w:t>
      </w:r>
    </w:p>
    <w:p w14:paraId="6406CBF9" w14:textId="7F187476" w:rsidR="00A77B3E" w:rsidRDefault="00266ABC">
      <w:pPr>
        <w:spacing w:line="360" w:lineRule="auto"/>
        <w:jc w:val="both"/>
      </w:pPr>
      <w:r>
        <w:rPr>
          <w:rFonts w:ascii="Book Antiqua" w:eastAsia="Book Antiqua" w:hAnsi="Book Antiqua" w:cs="Book Antiqua"/>
          <w:b/>
          <w:color w:val="000000"/>
        </w:rPr>
        <w:t xml:space="preserve">Article in press: </w:t>
      </w:r>
      <w:r w:rsidR="00F80974" w:rsidRPr="000571AA">
        <w:rPr>
          <w:rFonts w:ascii="Book Antiqua" w:eastAsia="Book Antiqua" w:hAnsi="Book Antiqua" w:cs="Book Antiqua"/>
          <w:bCs/>
          <w:color w:val="000000"/>
        </w:rPr>
        <w:t>April 25, 2021</w:t>
      </w:r>
    </w:p>
    <w:p w14:paraId="73CBEED7" w14:textId="77777777" w:rsidR="00A77B3E" w:rsidRDefault="00A77B3E">
      <w:pPr>
        <w:spacing w:line="360" w:lineRule="auto"/>
        <w:jc w:val="both"/>
      </w:pPr>
    </w:p>
    <w:p w14:paraId="719690B5" w14:textId="466CD558" w:rsidR="00A77B3E" w:rsidRDefault="00266ABC">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BC682F">
        <w:rPr>
          <w:rFonts w:ascii="Book Antiqua" w:eastAsia="Book Antiqua" w:hAnsi="Book Antiqua" w:cs="Book Antiqua"/>
          <w:color w:val="000000"/>
        </w:rPr>
        <w:t>hep</w:t>
      </w:r>
      <w:r>
        <w:rPr>
          <w:rFonts w:ascii="Book Antiqua" w:eastAsia="Book Antiqua" w:hAnsi="Book Antiqua" w:cs="Book Antiqua"/>
          <w:color w:val="000000"/>
        </w:rPr>
        <w:t>atology</w:t>
      </w:r>
    </w:p>
    <w:p w14:paraId="383A7175" w14:textId="77777777" w:rsidR="00A77B3E" w:rsidRDefault="00266AB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51F592A" w14:textId="77777777" w:rsidR="00A77B3E" w:rsidRDefault="00266ABC">
      <w:pPr>
        <w:spacing w:line="360" w:lineRule="auto"/>
        <w:jc w:val="both"/>
      </w:pPr>
      <w:r>
        <w:rPr>
          <w:rFonts w:ascii="Book Antiqua" w:eastAsia="Book Antiqua" w:hAnsi="Book Antiqua" w:cs="Book Antiqua"/>
          <w:b/>
          <w:color w:val="000000"/>
        </w:rPr>
        <w:t>Peer-review report’s scientific quality classification</w:t>
      </w:r>
    </w:p>
    <w:p w14:paraId="0EAC7AED" w14:textId="77777777" w:rsidR="00A77B3E" w:rsidRDefault="00266ABC">
      <w:pPr>
        <w:spacing w:line="360" w:lineRule="auto"/>
        <w:jc w:val="both"/>
      </w:pPr>
      <w:r>
        <w:rPr>
          <w:rFonts w:ascii="Book Antiqua" w:eastAsia="Book Antiqua" w:hAnsi="Book Antiqua" w:cs="Book Antiqua"/>
          <w:color w:val="000000"/>
        </w:rPr>
        <w:t>Grade A (Excellent): 0</w:t>
      </w:r>
    </w:p>
    <w:p w14:paraId="09F48156" w14:textId="77777777" w:rsidR="00A77B3E" w:rsidRDefault="00266ABC">
      <w:pPr>
        <w:spacing w:line="360" w:lineRule="auto"/>
        <w:jc w:val="both"/>
      </w:pPr>
      <w:r>
        <w:rPr>
          <w:rFonts w:ascii="Book Antiqua" w:eastAsia="Book Antiqua" w:hAnsi="Book Antiqua" w:cs="Book Antiqua"/>
          <w:color w:val="000000"/>
        </w:rPr>
        <w:t>Grade B (Very good): B</w:t>
      </w:r>
    </w:p>
    <w:p w14:paraId="04126C4E" w14:textId="77777777" w:rsidR="00A77B3E" w:rsidRDefault="00266ABC">
      <w:pPr>
        <w:spacing w:line="360" w:lineRule="auto"/>
        <w:jc w:val="both"/>
      </w:pPr>
      <w:r>
        <w:rPr>
          <w:rFonts w:ascii="Book Antiqua" w:eastAsia="Book Antiqua" w:hAnsi="Book Antiqua" w:cs="Book Antiqua"/>
          <w:color w:val="000000"/>
        </w:rPr>
        <w:t>Grade C (Good): C</w:t>
      </w:r>
    </w:p>
    <w:p w14:paraId="51D19851" w14:textId="77777777" w:rsidR="00A77B3E" w:rsidRDefault="00266ABC">
      <w:pPr>
        <w:spacing w:line="360" w:lineRule="auto"/>
        <w:jc w:val="both"/>
      </w:pPr>
      <w:r>
        <w:rPr>
          <w:rFonts w:ascii="Book Antiqua" w:eastAsia="Book Antiqua" w:hAnsi="Book Antiqua" w:cs="Book Antiqua"/>
          <w:color w:val="000000"/>
        </w:rPr>
        <w:t>Grade D (Fair): 0</w:t>
      </w:r>
    </w:p>
    <w:p w14:paraId="70CD4D2A" w14:textId="77777777" w:rsidR="00A77B3E" w:rsidRDefault="00266ABC">
      <w:pPr>
        <w:spacing w:line="360" w:lineRule="auto"/>
        <w:jc w:val="both"/>
      </w:pPr>
      <w:r>
        <w:rPr>
          <w:rFonts w:ascii="Book Antiqua" w:eastAsia="Book Antiqua" w:hAnsi="Book Antiqua" w:cs="Book Antiqua"/>
          <w:color w:val="000000"/>
        </w:rPr>
        <w:t>Grade E (Poor): 0</w:t>
      </w:r>
    </w:p>
    <w:p w14:paraId="0F163A20" w14:textId="77777777" w:rsidR="00A77B3E" w:rsidRDefault="00A77B3E">
      <w:pPr>
        <w:spacing w:line="360" w:lineRule="auto"/>
        <w:jc w:val="both"/>
      </w:pPr>
    </w:p>
    <w:p w14:paraId="62C08676" w14:textId="627B0F6C" w:rsidR="00A77B3E" w:rsidRPr="00FB2D46" w:rsidRDefault="00266ABC">
      <w:pPr>
        <w:spacing w:line="360" w:lineRule="auto"/>
        <w:jc w:val="both"/>
        <w:rPr>
          <w:lang w:eastAsia="zh-CN"/>
        </w:rPr>
        <w:sectPr w:rsidR="00A77B3E" w:rsidRPr="00FB2D46">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Boscá L</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BF007E">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r w:rsidR="00FB2D46" w:rsidRPr="00FB2D46">
        <w:rPr>
          <w:rFonts w:ascii="Book Antiqua" w:hAnsi="Book Antiqua" w:cs="Book Antiqua" w:hint="eastAsia"/>
          <w:color w:val="000000"/>
          <w:lang w:eastAsia="zh-CN"/>
        </w:rPr>
        <w:t>Ma YJ</w:t>
      </w:r>
    </w:p>
    <w:p w14:paraId="0EF3367C" w14:textId="219A3858" w:rsidR="00A77B3E" w:rsidRDefault="00266AB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347057B2" w14:textId="7438C0F9" w:rsidR="00AE55CA" w:rsidRDefault="00AE55CA">
      <w:pPr>
        <w:spacing w:line="360" w:lineRule="auto"/>
        <w:jc w:val="both"/>
      </w:pPr>
      <w:r w:rsidRPr="00AE55CA">
        <w:rPr>
          <w:noProof/>
          <w:lang w:eastAsia="zh-CN"/>
        </w:rPr>
        <w:drawing>
          <wp:inline distT="0" distB="0" distL="0" distR="0" wp14:anchorId="40500A71" wp14:editId="15C03E4C">
            <wp:extent cx="3687718" cy="3589615"/>
            <wp:effectExtent l="0" t="0" r="0" b="0"/>
            <wp:docPr id="8" name="Picture 7" descr="Chart, pie chart&#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2069F1A-D95E-449A-90FC-E52277AE0A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hart, pie chart&#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2069F1A-D95E-449A-90FC-E52277AE0AB3}"/>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3206" t="2999" r="3428" b="3080"/>
                    <a:stretch/>
                  </pic:blipFill>
                  <pic:spPr>
                    <a:xfrm>
                      <a:off x="0" y="0"/>
                      <a:ext cx="3690454" cy="3592278"/>
                    </a:xfrm>
                    <a:prstGeom prst="rect">
                      <a:avLst/>
                    </a:prstGeom>
                  </pic:spPr>
                </pic:pic>
              </a:graphicData>
            </a:graphic>
          </wp:inline>
        </w:drawing>
      </w:r>
    </w:p>
    <w:p w14:paraId="237DEFD1" w14:textId="487F56CE" w:rsidR="00AE55CA" w:rsidRDefault="00266AB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AE55CA" w:rsidRPr="00AE55CA">
        <w:rPr>
          <w:rFonts w:ascii="Book Antiqua" w:eastAsia="Book Antiqua" w:hAnsi="Book Antiqua" w:cs="Book Antiqua"/>
          <w:b/>
          <w:bCs/>
          <w:color w:val="000000"/>
        </w:rPr>
        <w:t xml:space="preserve"> </w:t>
      </w:r>
      <w:r w:rsidRPr="00AE55CA">
        <w:rPr>
          <w:rFonts w:ascii="Book Antiqua" w:eastAsia="Book Antiqua" w:hAnsi="Book Antiqua" w:cs="Book Antiqua"/>
          <w:b/>
          <w:bCs/>
          <w:color w:val="000000"/>
        </w:rPr>
        <w:t xml:space="preserve">An interaction network analysis (ingenuity pathway analysis) was performed to predict </w:t>
      </w:r>
      <w:r w:rsidR="00327E1D" w:rsidRPr="00995760">
        <w:rPr>
          <w:rFonts w:ascii="Book Antiqua" w:eastAsia="Book Antiqua" w:hAnsi="Book Antiqua" w:cs="Book Antiqua"/>
          <w:b/>
          <w:bCs/>
          <w:color w:val="000000"/>
        </w:rPr>
        <w:t>nuclear factor, erythroid 2-like 2</w:t>
      </w:r>
      <w:r w:rsidRPr="00AE55CA">
        <w:rPr>
          <w:rFonts w:ascii="Book Antiqua" w:eastAsia="Book Antiqua" w:hAnsi="Book Antiqua" w:cs="Book Antiqua"/>
          <w:b/>
          <w:bCs/>
          <w:color w:val="000000"/>
        </w:rPr>
        <w:t>-mediated inflammatory cytokine-related genes in viral infections.</w:t>
      </w:r>
      <w:r>
        <w:rPr>
          <w:rFonts w:ascii="Book Antiqua" w:eastAsia="Book Antiqua" w:hAnsi="Book Antiqua" w:cs="Book Antiqua"/>
          <w:color w:val="000000"/>
        </w:rPr>
        <w:t xml:space="preserve"> Solid lines indicate direct regulation, and dotted lines depict indirect interactions. ABCC2</w:t>
      </w:r>
      <w:r w:rsidR="00AE55CA">
        <w:rPr>
          <w:rFonts w:ascii="Book Antiqua" w:eastAsia="Book Antiqua" w:hAnsi="Book Antiqua" w:cs="Book Antiqua"/>
          <w:color w:val="000000"/>
        </w:rPr>
        <w:t>:</w:t>
      </w:r>
      <w:r>
        <w:rPr>
          <w:rFonts w:ascii="Book Antiqua" w:eastAsia="Book Antiqua" w:hAnsi="Book Antiqua" w:cs="Book Antiqua"/>
          <w:color w:val="000000"/>
        </w:rPr>
        <w:t xml:space="preserve"> ATP</w:t>
      </w:r>
      <w:r w:rsidR="009A6480">
        <w:rPr>
          <w:rFonts w:ascii="Book Antiqua" w:eastAsia="Book Antiqua" w:hAnsi="Book Antiqua" w:cs="Book Antiqua"/>
          <w:color w:val="000000"/>
        </w:rPr>
        <w:t>-</w:t>
      </w:r>
      <w:r>
        <w:rPr>
          <w:rFonts w:ascii="Book Antiqua" w:eastAsia="Book Antiqua" w:hAnsi="Book Antiqua" w:cs="Book Antiqua"/>
          <w:color w:val="000000"/>
        </w:rPr>
        <w:t>binding cassette subfamily C member 2; ACE</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A</w:t>
      </w:r>
      <w:r>
        <w:rPr>
          <w:rFonts w:ascii="Book Antiqua" w:eastAsia="Book Antiqua" w:hAnsi="Book Antiqua" w:cs="Book Antiqua"/>
          <w:color w:val="000000"/>
        </w:rPr>
        <w:t>ngiotensin I</w:t>
      </w:r>
      <w:r w:rsidR="004B77C4">
        <w:rPr>
          <w:rFonts w:ascii="Book Antiqua" w:eastAsia="Book Antiqua" w:hAnsi="Book Antiqua" w:cs="Book Antiqua"/>
          <w:color w:val="000000"/>
        </w:rPr>
        <w:t>-</w:t>
      </w:r>
      <w:r>
        <w:rPr>
          <w:rFonts w:ascii="Book Antiqua" w:eastAsia="Book Antiqua" w:hAnsi="Book Antiqua" w:cs="Book Antiqua"/>
          <w:color w:val="000000"/>
        </w:rPr>
        <w:t>converting enzyme; ACE2</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A</w:t>
      </w:r>
      <w:r>
        <w:rPr>
          <w:rFonts w:ascii="Book Antiqua" w:eastAsia="Book Antiqua" w:hAnsi="Book Antiqua" w:cs="Book Antiqua"/>
          <w:color w:val="000000"/>
        </w:rPr>
        <w:t>ngiotensin I</w:t>
      </w:r>
      <w:r w:rsidR="004B77C4">
        <w:rPr>
          <w:rFonts w:ascii="Book Antiqua" w:eastAsia="Book Antiqua" w:hAnsi="Book Antiqua" w:cs="Book Antiqua"/>
          <w:color w:val="000000"/>
        </w:rPr>
        <w:t>-</w:t>
      </w:r>
      <w:r>
        <w:rPr>
          <w:rFonts w:ascii="Book Antiqua" w:eastAsia="Book Antiqua" w:hAnsi="Book Antiqua" w:cs="Book Antiqua"/>
          <w:color w:val="000000"/>
        </w:rPr>
        <w:t>converting enzyme 2; C5</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C</w:t>
      </w:r>
      <w:r>
        <w:rPr>
          <w:rFonts w:ascii="Book Antiqua" w:eastAsia="Book Antiqua" w:hAnsi="Book Antiqua" w:cs="Book Antiqua"/>
          <w:color w:val="000000"/>
        </w:rPr>
        <w:t>omplement C5; Ccl2</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C</w:t>
      </w:r>
      <w:r>
        <w:rPr>
          <w:rFonts w:ascii="Book Antiqua" w:eastAsia="Book Antiqua" w:hAnsi="Book Antiqua" w:cs="Book Antiqua"/>
          <w:color w:val="000000"/>
        </w:rPr>
        <w:t>hemokine (C-C motif) ligand 2; CCL</w:t>
      </w:r>
      <w:r w:rsidR="00AE55CA">
        <w:rPr>
          <w:rFonts w:ascii="Book Antiqua" w:eastAsia="Book Antiqua" w:hAnsi="Book Antiqua" w:cs="Book Antiqua"/>
          <w:color w:val="000000"/>
        </w:rPr>
        <w:t>:</w:t>
      </w:r>
      <w:r>
        <w:rPr>
          <w:rFonts w:ascii="Book Antiqua" w:eastAsia="Book Antiqua" w:hAnsi="Book Antiqua" w:cs="Book Antiqua"/>
          <w:color w:val="000000"/>
        </w:rPr>
        <w:t xml:space="preserve"> C-C motif chemokine ligand; CXCR3</w:t>
      </w:r>
      <w:r w:rsidR="00AE55CA">
        <w:rPr>
          <w:rFonts w:ascii="Book Antiqua" w:eastAsia="Book Antiqua" w:hAnsi="Book Antiqua" w:cs="Book Antiqua"/>
          <w:color w:val="000000"/>
        </w:rPr>
        <w:t>:</w:t>
      </w:r>
      <w:r>
        <w:rPr>
          <w:rFonts w:ascii="Book Antiqua" w:eastAsia="Book Antiqua" w:hAnsi="Book Antiqua" w:cs="Book Antiqua"/>
          <w:color w:val="000000"/>
        </w:rPr>
        <w:t xml:space="preserve"> C-X-C motif chemokine receptor 3; CYSLTR1</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C</w:t>
      </w:r>
      <w:r>
        <w:rPr>
          <w:rFonts w:ascii="Book Antiqua" w:eastAsia="Book Antiqua" w:hAnsi="Book Antiqua" w:cs="Book Antiqua"/>
          <w:color w:val="000000"/>
        </w:rPr>
        <w:t>ysteinyl leukotriene receptor 1; F10</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C</w:t>
      </w:r>
      <w:r>
        <w:rPr>
          <w:rFonts w:ascii="Book Antiqua" w:eastAsia="Book Antiqua" w:hAnsi="Book Antiqua" w:cs="Book Antiqua"/>
          <w:color w:val="000000"/>
        </w:rPr>
        <w:t>oagulation factor X; IFNB1</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I</w:t>
      </w:r>
      <w:r>
        <w:rPr>
          <w:rFonts w:ascii="Book Antiqua" w:eastAsia="Book Antiqua" w:hAnsi="Book Antiqua" w:cs="Book Antiqua"/>
          <w:color w:val="000000"/>
        </w:rPr>
        <w:t>nterferon beta 1; IFNG</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I</w:t>
      </w:r>
      <w:r>
        <w:rPr>
          <w:rFonts w:ascii="Book Antiqua" w:eastAsia="Book Antiqua" w:hAnsi="Book Antiqua" w:cs="Book Antiqua"/>
          <w:color w:val="000000"/>
        </w:rPr>
        <w:t>nterferon gamma; IFNGR2</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I</w:t>
      </w:r>
      <w:r>
        <w:rPr>
          <w:rFonts w:ascii="Book Antiqua" w:eastAsia="Book Antiqua" w:hAnsi="Book Antiqua" w:cs="Book Antiqua"/>
          <w:color w:val="000000"/>
        </w:rPr>
        <w:t>nterferon gamma receptor 2; IL</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I</w:t>
      </w:r>
      <w:r>
        <w:rPr>
          <w:rFonts w:ascii="Book Antiqua" w:eastAsia="Book Antiqua" w:hAnsi="Book Antiqua" w:cs="Book Antiqua"/>
          <w:color w:val="000000"/>
        </w:rPr>
        <w:t>nterleukin; IL1A</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I</w:t>
      </w:r>
      <w:r>
        <w:rPr>
          <w:rFonts w:ascii="Book Antiqua" w:eastAsia="Book Antiqua" w:hAnsi="Book Antiqua" w:cs="Book Antiqua"/>
          <w:color w:val="000000"/>
        </w:rPr>
        <w:t>nterleukin 1 alpha; IL1B</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I</w:t>
      </w:r>
      <w:r>
        <w:rPr>
          <w:rFonts w:ascii="Book Antiqua" w:eastAsia="Book Antiqua" w:hAnsi="Book Antiqua" w:cs="Book Antiqua"/>
          <w:color w:val="000000"/>
        </w:rPr>
        <w:t>nterleukin 1 beta; IL1RN</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I</w:t>
      </w:r>
      <w:r>
        <w:rPr>
          <w:rFonts w:ascii="Book Antiqua" w:eastAsia="Book Antiqua" w:hAnsi="Book Antiqua" w:cs="Book Antiqua"/>
          <w:color w:val="000000"/>
        </w:rPr>
        <w:t>nterleukin 1 receptor antagonist; IL36G</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I</w:t>
      </w:r>
      <w:r>
        <w:rPr>
          <w:rFonts w:ascii="Book Antiqua" w:eastAsia="Book Antiqua" w:hAnsi="Book Antiqua" w:cs="Book Antiqua"/>
          <w:color w:val="000000"/>
        </w:rPr>
        <w:t>nterleukin 36 gamma; MST1R</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M</w:t>
      </w:r>
      <w:r>
        <w:rPr>
          <w:rFonts w:ascii="Book Antiqua" w:eastAsia="Book Antiqua" w:hAnsi="Book Antiqua" w:cs="Book Antiqua"/>
          <w:color w:val="000000"/>
        </w:rPr>
        <w:t>acrophage-stimulating 1 receptor; NFE2L2</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N</w:t>
      </w:r>
      <w:r>
        <w:rPr>
          <w:rFonts w:ascii="Book Antiqua" w:eastAsia="Book Antiqua" w:hAnsi="Book Antiqua" w:cs="Book Antiqua"/>
          <w:color w:val="000000"/>
        </w:rPr>
        <w:t>uclear factor, erythroid 2</w:t>
      </w:r>
      <w:r w:rsidR="004B77C4">
        <w:rPr>
          <w:rFonts w:ascii="Book Antiqua" w:eastAsia="Book Antiqua" w:hAnsi="Book Antiqua" w:cs="Book Antiqua"/>
          <w:color w:val="000000"/>
        </w:rPr>
        <w:t>-</w:t>
      </w:r>
      <w:r w:rsidR="00112F6F">
        <w:rPr>
          <w:rFonts w:ascii="Book Antiqua" w:eastAsia="Book Antiqua" w:hAnsi="Book Antiqua" w:cs="Book Antiqua"/>
          <w:color w:val="000000"/>
        </w:rPr>
        <w:t>l</w:t>
      </w:r>
      <w:r>
        <w:rPr>
          <w:rFonts w:ascii="Book Antiqua" w:eastAsia="Book Antiqua" w:hAnsi="Book Antiqua" w:cs="Book Antiqua"/>
          <w:color w:val="000000"/>
        </w:rPr>
        <w:t>ike 2; PF4</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P</w:t>
      </w:r>
      <w:r>
        <w:rPr>
          <w:rFonts w:ascii="Book Antiqua" w:eastAsia="Book Antiqua" w:hAnsi="Book Antiqua" w:cs="Book Antiqua"/>
          <w:color w:val="000000"/>
        </w:rPr>
        <w:t>latelet factor 4; PIP5K1C</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P</w:t>
      </w:r>
      <w:r>
        <w:rPr>
          <w:rFonts w:ascii="Book Antiqua" w:eastAsia="Book Antiqua" w:hAnsi="Book Antiqua" w:cs="Book Antiqua"/>
          <w:color w:val="000000"/>
        </w:rPr>
        <w:t>hosphatidylinositol-4-phosphate 5-kinase type 1 gamma; SPP1</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S</w:t>
      </w:r>
      <w:r>
        <w:rPr>
          <w:rFonts w:ascii="Book Antiqua" w:eastAsia="Book Antiqua" w:hAnsi="Book Antiqua" w:cs="Book Antiqua"/>
          <w:color w:val="000000"/>
        </w:rPr>
        <w:t>ecreted phosphoprotein 1; TGF-beta</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T</w:t>
      </w:r>
      <w:r>
        <w:rPr>
          <w:rFonts w:ascii="Book Antiqua" w:eastAsia="Book Antiqua" w:hAnsi="Book Antiqua" w:cs="Book Antiqua"/>
          <w:color w:val="000000"/>
        </w:rPr>
        <w:t>ransforming growth factor beta; TNF</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T</w:t>
      </w:r>
      <w:r>
        <w:rPr>
          <w:rFonts w:ascii="Book Antiqua" w:eastAsia="Book Antiqua" w:hAnsi="Book Antiqua" w:cs="Book Antiqua"/>
          <w:color w:val="000000"/>
        </w:rPr>
        <w:t>umor necrosis factor; TNFRSF1A</w:t>
      </w:r>
      <w:r w:rsidR="00AE55CA">
        <w:rPr>
          <w:rFonts w:ascii="Book Antiqua" w:eastAsia="Book Antiqua" w:hAnsi="Book Antiqua" w:cs="Book Antiqua"/>
          <w:color w:val="000000"/>
        </w:rPr>
        <w:t>:</w:t>
      </w:r>
      <w:r>
        <w:rPr>
          <w:rFonts w:ascii="Book Antiqua" w:eastAsia="Book Antiqua" w:hAnsi="Book Antiqua" w:cs="Book Antiqua"/>
          <w:color w:val="000000"/>
        </w:rPr>
        <w:t xml:space="preserve"> TNF receptor superfamily member 1A; VCAM1</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V</w:t>
      </w:r>
      <w:r>
        <w:rPr>
          <w:rFonts w:ascii="Book Antiqua" w:eastAsia="Book Antiqua" w:hAnsi="Book Antiqua" w:cs="Book Antiqua"/>
          <w:color w:val="000000"/>
        </w:rPr>
        <w:t>ascular cell adhesion molecule 1.</w:t>
      </w:r>
    </w:p>
    <w:p w14:paraId="3165E451" w14:textId="48AA7F0D" w:rsidR="00A77B3E" w:rsidRDefault="00AE55CA">
      <w:pPr>
        <w:spacing w:line="360" w:lineRule="auto"/>
        <w:jc w:val="both"/>
      </w:pPr>
      <w:r>
        <w:rPr>
          <w:rFonts w:ascii="Book Antiqua" w:eastAsia="Book Antiqua" w:hAnsi="Book Antiqua" w:cs="Book Antiqua"/>
          <w:color w:val="000000"/>
        </w:rPr>
        <w:br w:type="page"/>
      </w:r>
      <w:r w:rsidRPr="00AE55CA">
        <w:rPr>
          <w:rFonts w:ascii="Book Antiqua" w:eastAsia="Book Antiqua" w:hAnsi="Book Antiqua" w:cs="Book Antiqua"/>
          <w:noProof/>
          <w:color w:val="000000"/>
          <w:lang w:eastAsia="zh-CN"/>
        </w:rPr>
        <w:drawing>
          <wp:inline distT="0" distB="0" distL="0" distR="0" wp14:anchorId="4FD8E931" wp14:editId="7622DB31">
            <wp:extent cx="4000115" cy="3919343"/>
            <wp:effectExtent l="0" t="0" r="0" b="0"/>
            <wp:docPr id="1" name="Picture 7" descr="Diagram&#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1FB50A7-D73B-4667-9A5F-6BE5A00744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Diagram&#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1FB50A7-D73B-4667-9A5F-6BE5A0074489}"/>
                        </a:ext>
                      </a:extLst>
                    </pic:cNvPr>
                    <pic:cNvPicPr>
                      <a:picLocks noChangeAspect="1"/>
                    </pic:cNvPicPr>
                  </pic:nvPicPr>
                  <pic:blipFill rotWithShape="1">
                    <a:blip r:embed="rId10">
                      <a:extLst>
                        <a:ext uri="{28A0092B-C50C-407E-A947-70E740481C1C}">
                          <a14:useLocalDpi xmlns:a14="http://schemas.microsoft.com/office/drawing/2010/main" val="0"/>
                        </a:ext>
                      </a:extLst>
                    </a:blip>
                    <a:srcRect l="4678" t="3861" r="3507" b="3689"/>
                    <a:stretch/>
                  </pic:blipFill>
                  <pic:spPr>
                    <a:xfrm>
                      <a:off x="0" y="0"/>
                      <a:ext cx="4007159" cy="3926245"/>
                    </a:xfrm>
                    <a:prstGeom prst="rect">
                      <a:avLst/>
                    </a:prstGeom>
                  </pic:spPr>
                </pic:pic>
              </a:graphicData>
            </a:graphic>
          </wp:inline>
        </w:drawing>
      </w:r>
    </w:p>
    <w:p w14:paraId="2CF4C487" w14:textId="65794E51" w:rsidR="00A77B3E" w:rsidRDefault="00266ABC">
      <w:pPr>
        <w:spacing w:line="360" w:lineRule="auto"/>
        <w:jc w:val="both"/>
      </w:pPr>
      <w:r>
        <w:rPr>
          <w:rFonts w:ascii="Book Antiqua" w:eastAsia="Book Antiqua" w:hAnsi="Book Antiqua" w:cs="Book Antiqua"/>
          <w:b/>
          <w:bCs/>
          <w:color w:val="000000"/>
        </w:rPr>
        <w:t>Figure 2</w:t>
      </w:r>
      <w:r w:rsidR="00AE55CA" w:rsidRPr="00AE55CA">
        <w:rPr>
          <w:rFonts w:ascii="Book Antiqua" w:eastAsia="Book Antiqua" w:hAnsi="Book Antiqua" w:cs="Book Antiqua"/>
          <w:b/>
          <w:bCs/>
          <w:color w:val="000000"/>
        </w:rPr>
        <w:t xml:space="preserve"> </w:t>
      </w:r>
      <w:r w:rsidRPr="00AE55CA">
        <w:rPr>
          <w:rFonts w:ascii="Book Antiqua" w:eastAsia="Book Antiqua" w:hAnsi="Book Antiqua" w:cs="Book Antiqua"/>
          <w:b/>
          <w:bCs/>
          <w:color w:val="000000"/>
        </w:rPr>
        <w:t xml:space="preserve">An </w:t>
      </w:r>
      <w:r w:rsidR="00AE55CA" w:rsidRPr="00AE55CA">
        <w:rPr>
          <w:rFonts w:ascii="Book Antiqua" w:eastAsia="Book Antiqua" w:hAnsi="Book Antiqua" w:cs="Book Antiqua"/>
          <w:b/>
          <w:bCs/>
          <w:color w:val="000000"/>
        </w:rPr>
        <w:t>ingenuity pathway analysis</w:t>
      </w:r>
      <w:r w:rsidRPr="00AE55CA">
        <w:rPr>
          <w:rFonts w:ascii="Book Antiqua" w:eastAsia="Book Antiqua" w:hAnsi="Book Antiqua" w:cs="Book Antiqua"/>
          <w:b/>
          <w:bCs/>
          <w:color w:val="000000"/>
        </w:rPr>
        <w:t xml:space="preserve"> was performed to predict </w:t>
      </w:r>
      <w:r w:rsidR="00A83AB6" w:rsidRPr="00AA0DA8">
        <w:rPr>
          <w:rFonts w:ascii="Book Antiqua" w:eastAsia="Book Antiqua" w:hAnsi="Book Antiqua" w:cs="Book Antiqua"/>
          <w:b/>
          <w:bCs/>
          <w:color w:val="000000"/>
        </w:rPr>
        <w:t>nuclear factor, erythroid 2-like 2</w:t>
      </w:r>
      <w:r w:rsidRPr="00AE55CA">
        <w:rPr>
          <w:rFonts w:ascii="Book Antiqua" w:eastAsia="Book Antiqua" w:hAnsi="Book Antiqua" w:cs="Book Antiqua"/>
          <w:b/>
          <w:bCs/>
          <w:color w:val="000000"/>
        </w:rPr>
        <w:t>/</w:t>
      </w:r>
      <w:r w:rsidR="00AE55CA" w:rsidRPr="00AE55CA">
        <w:rPr>
          <w:rFonts w:ascii="Book Antiqua" w:eastAsia="Book Antiqua" w:hAnsi="Book Antiqua" w:cs="Book Antiqua"/>
          <w:b/>
          <w:bCs/>
          <w:color w:val="000000"/>
        </w:rPr>
        <w:t>nuclear factor kappa B</w:t>
      </w:r>
      <w:r w:rsidRPr="00AE55CA">
        <w:rPr>
          <w:rFonts w:ascii="Book Antiqua" w:eastAsia="Book Antiqua" w:hAnsi="Book Antiqua" w:cs="Book Antiqua"/>
          <w:b/>
          <w:bCs/>
          <w:color w:val="000000"/>
        </w:rPr>
        <w:t>-mediated inflammatory cytokine-related genes in viral infections.</w:t>
      </w:r>
      <w:r>
        <w:rPr>
          <w:rFonts w:ascii="Book Antiqua" w:eastAsia="Book Antiqua" w:hAnsi="Book Antiqua" w:cs="Book Antiqua"/>
          <w:color w:val="000000"/>
        </w:rPr>
        <w:t xml:space="preserve"> Solid lines indicate direct regulation, and dotted lines depict indirect interactions. </w:t>
      </w:r>
      <w:r w:rsidR="00D435B7">
        <w:rPr>
          <w:rFonts w:ascii="Book Antiqua" w:eastAsia="Book Antiqua" w:hAnsi="Book Antiqua" w:cs="Book Antiqua"/>
          <w:color w:val="000000"/>
        </w:rPr>
        <w:t xml:space="preserve">ACE: Angiotensin I-converting enzyme; </w:t>
      </w:r>
      <w:r w:rsidR="007517DB">
        <w:rPr>
          <w:rFonts w:ascii="Book Antiqua" w:eastAsia="Book Antiqua" w:hAnsi="Book Antiqua" w:cs="Book Antiqua"/>
          <w:color w:val="000000"/>
        </w:rPr>
        <w:t xml:space="preserve">Ccl2: Chemokine (C-C motif) ligand 2; </w:t>
      </w:r>
      <w:r w:rsidR="007517DB" w:rsidRPr="00112F6F">
        <w:rPr>
          <w:rFonts w:ascii="Book Antiqua" w:eastAsia="Book Antiqua" w:hAnsi="Book Antiqua" w:cs="Book Antiqua"/>
          <w:color w:val="000000"/>
        </w:rPr>
        <w:t>CXCL</w:t>
      </w:r>
      <w:r w:rsidR="007517DB">
        <w:rPr>
          <w:rFonts w:ascii="Book Antiqua" w:eastAsia="Book Antiqua" w:hAnsi="Book Antiqua" w:cs="Book Antiqua"/>
          <w:color w:val="000000"/>
        </w:rPr>
        <w:t xml:space="preserve">: </w:t>
      </w:r>
      <w:r w:rsidR="007517DB" w:rsidRPr="00112F6F">
        <w:rPr>
          <w:rFonts w:ascii="Book Antiqua" w:eastAsia="Book Antiqua" w:hAnsi="Book Antiqua" w:cs="Book Antiqua"/>
          <w:color w:val="000000"/>
        </w:rPr>
        <w:t>C-X-C motif</w:t>
      </w:r>
      <w:r w:rsidR="007517DB">
        <w:rPr>
          <w:rFonts w:ascii="Book Antiqua" w:eastAsia="Book Antiqua" w:hAnsi="Book Antiqua" w:cs="Book Antiqua"/>
          <w:color w:val="000000"/>
        </w:rPr>
        <w:t xml:space="preserve"> </w:t>
      </w:r>
      <w:r w:rsidR="007517DB" w:rsidRPr="00112F6F">
        <w:rPr>
          <w:rFonts w:ascii="Book Antiqua" w:eastAsia="Book Antiqua" w:hAnsi="Book Antiqua" w:cs="Book Antiqua"/>
          <w:color w:val="000000"/>
        </w:rPr>
        <w:t>ligand</w:t>
      </w:r>
      <w:r w:rsidR="007517DB">
        <w:rPr>
          <w:rFonts w:ascii="Book Antiqua" w:eastAsia="Book Antiqua" w:hAnsi="Book Antiqua" w:cs="Book Antiqua"/>
          <w:color w:val="000000"/>
        </w:rPr>
        <w:t xml:space="preserve">; </w:t>
      </w:r>
      <w:r w:rsidR="00112F6F">
        <w:rPr>
          <w:rFonts w:ascii="Book Antiqua" w:eastAsia="Book Antiqua" w:hAnsi="Book Antiqua" w:cs="Book Antiqua"/>
          <w:color w:val="000000"/>
        </w:rPr>
        <w:t xml:space="preserve">IL: Interleukin; IL1B: Interleukin 1 beta; </w:t>
      </w:r>
      <w:r w:rsidR="00D435B7">
        <w:rPr>
          <w:rFonts w:ascii="Book Antiqua" w:eastAsia="Book Antiqua" w:hAnsi="Book Antiqua" w:cs="Book Antiqua"/>
          <w:color w:val="000000"/>
        </w:rPr>
        <w:t xml:space="preserve">IFNG: Interferon gamma; </w:t>
      </w:r>
      <w:r w:rsidR="00112F6F">
        <w:rPr>
          <w:rFonts w:ascii="Book Antiqua" w:eastAsia="Book Antiqua" w:hAnsi="Book Antiqua" w:cs="Book Antiqua"/>
          <w:color w:val="000000"/>
        </w:rPr>
        <w:t xml:space="preserve">IL1RN: Interleukin 1 receptor antagonist; </w:t>
      </w:r>
      <w:r w:rsidR="007517DB">
        <w:rPr>
          <w:rFonts w:ascii="Book Antiqua" w:eastAsia="Book Antiqua" w:hAnsi="Book Antiqua" w:cs="Book Antiqua"/>
          <w:color w:val="000000"/>
        </w:rPr>
        <w:t xml:space="preserve">NFKB1: Nuclear factor kappa B subunit 1 (p50); </w:t>
      </w:r>
      <w:r w:rsidR="00D435B7">
        <w:rPr>
          <w:rFonts w:ascii="Book Antiqua" w:eastAsia="Book Antiqua" w:hAnsi="Book Antiqua" w:cs="Book Antiqua"/>
          <w:color w:val="000000"/>
        </w:rPr>
        <w:t>RELA: RELA proto-oncogene, NF-</w:t>
      </w:r>
      <w:r w:rsidR="00D435B7" w:rsidRPr="00AA0DA8">
        <w:rPr>
          <w:rFonts w:ascii="Symbol" w:eastAsia="Book Antiqua" w:hAnsi="Symbol" w:cs="Book Antiqua"/>
          <w:color w:val="000000"/>
        </w:rPr>
        <w:t></w:t>
      </w:r>
      <w:r w:rsidR="00D435B7">
        <w:rPr>
          <w:rFonts w:ascii="Book Antiqua" w:eastAsia="Book Antiqua" w:hAnsi="Book Antiqua" w:cs="Book Antiqua"/>
          <w:color w:val="000000"/>
        </w:rPr>
        <w:t xml:space="preserve">B subunit (p65); </w:t>
      </w:r>
      <w:r w:rsidR="00112F6F">
        <w:rPr>
          <w:rFonts w:ascii="Book Antiqua" w:eastAsia="Book Antiqua" w:hAnsi="Book Antiqua" w:cs="Book Antiqua"/>
          <w:color w:val="000000"/>
        </w:rPr>
        <w:t>TNF: Tumor necrosis factor; TNFRSF1A: TNF receptor superfamily member 1A</w:t>
      </w:r>
      <w:r w:rsidR="002C4A81">
        <w:rPr>
          <w:rFonts w:ascii="Book Antiqua" w:eastAsia="Book Antiqua" w:hAnsi="Book Antiqua" w:cs="Book Antiqua"/>
          <w:color w:val="000000"/>
        </w:rPr>
        <w:t>; VCAM1: Vascular cell adhesion molecule 1</w:t>
      </w:r>
      <w:r w:rsidR="00112F6F">
        <w:rPr>
          <w:rFonts w:ascii="Book Antiqua" w:eastAsia="Book Antiqua" w:hAnsi="Book Antiqua" w:cs="Book Antiqua"/>
          <w:color w:val="000000"/>
        </w:rPr>
        <w:t>.</w:t>
      </w:r>
    </w:p>
    <w:p w14:paraId="4524455C" w14:textId="6416C49E" w:rsidR="00A77B3E" w:rsidRDefault="00112F6F">
      <w:pPr>
        <w:spacing w:line="360" w:lineRule="auto"/>
        <w:jc w:val="both"/>
      </w:pPr>
      <w:r>
        <w:br w:type="page"/>
      </w:r>
      <w:r w:rsidR="00671243">
        <w:rPr>
          <w:noProof/>
          <w:lang w:eastAsia="zh-CN"/>
        </w:rPr>
        <w:drawing>
          <wp:inline distT="0" distB="0" distL="0" distR="0" wp14:anchorId="612FF134" wp14:editId="5634FBBD">
            <wp:extent cx="3362325" cy="3591575"/>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2325" cy="3591575"/>
                    </a:xfrm>
                    <a:prstGeom prst="rect">
                      <a:avLst/>
                    </a:prstGeom>
                    <a:noFill/>
                    <a:ln>
                      <a:noFill/>
                    </a:ln>
                  </pic:spPr>
                </pic:pic>
              </a:graphicData>
            </a:graphic>
          </wp:inline>
        </w:drawing>
      </w:r>
    </w:p>
    <w:p w14:paraId="1B85BDDB" w14:textId="62708BDB" w:rsidR="00112F6F" w:rsidRDefault="00266AB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112F6F" w:rsidRPr="00112F6F">
        <w:rPr>
          <w:rFonts w:ascii="Book Antiqua" w:eastAsia="Book Antiqua" w:hAnsi="Book Antiqua" w:cs="Book Antiqua"/>
          <w:b/>
          <w:bCs/>
          <w:color w:val="000000"/>
        </w:rPr>
        <w:t xml:space="preserve"> </w:t>
      </w:r>
      <w:r w:rsidRPr="00112F6F">
        <w:rPr>
          <w:rFonts w:ascii="Book Antiqua" w:eastAsia="Book Antiqua" w:hAnsi="Book Antiqua" w:cs="Book Antiqua"/>
          <w:b/>
          <w:bCs/>
          <w:color w:val="000000"/>
        </w:rPr>
        <w:t xml:space="preserve">An </w:t>
      </w:r>
      <w:r w:rsidR="00AE55CA" w:rsidRPr="00112F6F">
        <w:rPr>
          <w:rFonts w:ascii="Book Antiqua" w:eastAsia="Book Antiqua" w:hAnsi="Book Antiqua" w:cs="Book Antiqua"/>
          <w:b/>
          <w:bCs/>
          <w:color w:val="000000"/>
        </w:rPr>
        <w:t>ingenuity pathway analysis</w:t>
      </w:r>
      <w:r w:rsidRPr="00112F6F">
        <w:rPr>
          <w:rFonts w:ascii="Book Antiqua" w:eastAsia="Book Antiqua" w:hAnsi="Book Antiqua" w:cs="Book Antiqua"/>
          <w:b/>
          <w:bCs/>
          <w:color w:val="000000"/>
        </w:rPr>
        <w:t xml:space="preserve"> was performed to predict NRF2/redox-related genes and inflammatory cytokine-related gene expression in viral infections.</w:t>
      </w:r>
      <w:r>
        <w:rPr>
          <w:rFonts w:ascii="Book Antiqua" w:eastAsia="Book Antiqua" w:hAnsi="Book Antiqua" w:cs="Book Antiqua"/>
          <w:color w:val="000000"/>
        </w:rPr>
        <w:t xml:space="preserve"> Solid lines indicate direct regulation, and dotted lines depict indirect interactions. </w:t>
      </w:r>
      <w:r w:rsidR="005D372F">
        <w:rPr>
          <w:rFonts w:ascii="Book Antiqua" w:eastAsia="Book Antiqua" w:hAnsi="Book Antiqua" w:cs="Book Antiqua"/>
          <w:color w:val="000000"/>
        </w:rPr>
        <w:t xml:space="preserve">Ccl2: Chemokine (C-C motif) ligand 2; </w:t>
      </w:r>
      <w:r w:rsidR="005D372F" w:rsidRPr="00112F6F">
        <w:rPr>
          <w:rFonts w:ascii="Book Antiqua" w:eastAsia="Book Antiqua" w:hAnsi="Book Antiqua" w:cs="Book Antiqua"/>
          <w:color w:val="000000"/>
        </w:rPr>
        <w:t>CXCL</w:t>
      </w:r>
      <w:r w:rsidR="005D372F">
        <w:rPr>
          <w:rFonts w:ascii="Book Antiqua" w:eastAsia="Book Antiqua" w:hAnsi="Book Antiqua" w:cs="Book Antiqua"/>
          <w:color w:val="000000"/>
        </w:rPr>
        <w:t xml:space="preserve">: </w:t>
      </w:r>
      <w:r w:rsidR="005D372F" w:rsidRPr="00112F6F">
        <w:rPr>
          <w:rFonts w:ascii="Book Antiqua" w:eastAsia="Book Antiqua" w:hAnsi="Book Antiqua" w:cs="Book Antiqua"/>
          <w:color w:val="000000"/>
        </w:rPr>
        <w:t>C-X-C motif</w:t>
      </w:r>
      <w:r w:rsidR="005D372F">
        <w:rPr>
          <w:rFonts w:ascii="Book Antiqua" w:eastAsia="Book Antiqua" w:hAnsi="Book Antiqua" w:cs="Book Antiqua"/>
          <w:color w:val="000000"/>
        </w:rPr>
        <w:t xml:space="preserve"> </w:t>
      </w:r>
      <w:r w:rsidR="005D372F" w:rsidRPr="00112F6F">
        <w:rPr>
          <w:rFonts w:ascii="Book Antiqua" w:eastAsia="Book Antiqua" w:hAnsi="Book Antiqua" w:cs="Book Antiqua"/>
          <w:color w:val="000000"/>
        </w:rPr>
        <w:t>ligand</w:t>
      </w:r>
      <w:r w:rsidR="005D372F">
        <w:rPr>
          <w:rFonts w:ascii="Book Antiqua" w:eastAsia="Book Antiqua" w:hAnsi="Book Antiqua" w:cs="Book Antiqua"/>
          <w:color w:val="000000"/>
        </w:rPr>
        <w:t xml:space="preserve">; </w:t>
      </w:r>
      <w:r>
        <w:rPr>
          <w:rFonts w:ascii="Book Antiqua" w:eastAsia="Book Antiqua" w:hAnsi="Book Antiqua" w:cs="Book Antiqua"/>
          <w:color w:val="000000"/>
        </w:rPr>
        <w:t>GCLC</w:t>
      </w:r>
      <w:r w:rsidR="00112F6F">
        <w:rPr>
          <w:rFonts w:ascii="Book Antiqua" w:eastAsia="Book Antiqua" w:hAnsi="Book Antiqua" w:cs="Book Antiqua"/>
          <w:color w:val="000000"/>
        </w:rPr>
        <w:t>:</w:t>
      </w:r>
      <w:r>
        <w:rPr>
          <w:rFonts w:ascii="Book Antiqua" w:eastAsia="Book Antiqua" w:hAnsi="Book Antiqua" w:cs="Book Antiqua"/>
          <w:color w:val="000000"/>
        </w:rPr>
        <w:t xml:space="preserve"> </w:t>
      </w:r>
      <w:r w:rsidR="00112F6F">
        <w:rPr>
          <w:rFonts w:ascii="Book Antiqua" w:eastAsia="Book Antiqua" w:hAnsi="Book Antiqua" w:cs="Book Antiqua"/>
          <w:color w:val="000000"/>
        </w:rPr>
        <w:t>G</w:t>
      </w:r>
      <w:r>
        <w:rPr>
          <w:rFonts w:ascii="Book Antiqua" w:eastAsia="Book Antiqua" w:hAnsi="Book Antiqua" w:cs="Book Antiqua"/>
          <w:color w:val="000000"/>
        </w:rPr>
        <w:t>lutamate-cysteine ligase catalytic subunit; GCLM</w:t>
      </w:r>
      <w:r w:rsidR="00112F6F">
        <w:rPr>
          <w:rFonts w:ascii="Book Antiqua" w:eastAsia="Book Antiqua" w:hAnsi="Book Antiqua" w:cs="Book Antiqua"/>
          <w:color w:val="000000"/>
        </w:rPr>
        <w:t>:</w:t>
      </w:r>
      <w:r>
        <w:rPr>
          <w:rFonts w:ascii="Book Antiqua" w:eastAsia="Book Antiqua" w:hAnsi="Book Antiqua" w:cs="Book Antiqua"/>
          <w:color w:val="000000"/>
        </w:rPr>
        <w:t xml:space="preserve"> </w:t>
      </w:r>
      <w:r w:rsidR="00112F6F">
        <w:rPr>
          <w:rFonts w:ascii="Book Antiqua" w:eastAsia="Book Antiqua" w:hAnsi="Book Antiqua" w:cs="Book Antiqua"/>
          <w:color w:val="000000"/>
        </w:rPr>
        <w:t>G</w:t>
      </w:r>
      <w:r>
        <w:rPr>
          <w:rFonts w:ascii="Book Antiqua" w:eastAsia="Book Antiqua" w:hAnsi="Book Antiqua" w:cs="Book Antiqua"/>
          <w:color w:val="000000"/>
        </w:rPr>
        <w:t>lutamate-cysteine ligase modifier subunit; GPX1</w:t>
      </w:r>
      <w:r w:rsidR="00112F6F">
        <w:rPr>
          <w:rFonts w:ascii="Book Antiqua" w:eastAsia="Book Antiqua" w:hAnsi="Book Antiqua" w:cs="Book Antiqua"/>
          <w:color w:val="000000"/>
        </w:rPr>
        <w:t>:</w:t>
      </w:r>
      <w:r>
        <w:rPr>
          <w:rFonts w:ascii="Book Antiqua" w:eastAsia="Book Antiqua" w:hAnsi="Book Antiqua" w:cs="Book Antiqua"/>
          <w:color w:val="000000"/>
        </w:rPr>
        <w:t xml:space="preserve"> </w:t>
      </w:r>
      <w:r w:rsidR="00112F6F">
        <w:rPr>
          <w:rFonts w:ascii="Book Antiqua" w:eastAsia="Book Antiqua" w:hAnsi="Book Antiqua" w:cs="Book Antiqua"/>
          <w:color w:val="000000"/>
        </w:rPr>
        <w:t>G</w:t>
      </w:r>
      <w:r>
        <w:rPr>
          <w:rFonts w:ascii="Book Antiqua" w:eastAsia="Book Antiqua" w:hAnsi="Book Antiqua" w:cs="Book Antiqua"/>
          <w:color w:val="000000"/>
        </w:rPr>
        <w:t>lutathione peroxidase 1; HMOX1</w:t>
      </w:r>
      <w:r w:rsidR="00112F6F">
        <w:rPr>
          <w:rFonts w:ascii="Book Antiqua" w:eastAsia="Book Antiqua" w:hAnsi="Book Antiqua" w:cs="Book Antiqua"/>
          <w:color w:val="000000"/>
        </w:rPr>
        <w:t>:</w:t>
      </w:r>
      <w:r>
        <w:rPr>
          <w:rFonts w:ascii="Book Antiqua" w:eastAsia="Book Antiqua" w:hAnsi="Book Antiqua" w:cs="Book Antiqua"/>
          <w:color w:val="000000"/>
        </w:rPr>
        <w:t xml:space="preserve"> </w:t>
      </w:r>
      <w:r w:rsidR="00112F6F">
        <w:rPr>
          <w:rFonts w:ascii="Book Antiqua" w:eastAsia="Book Antiqua" w:hAnsi="Book Antiqua" w:cs="Book Antiqua"/>
          <w:color w:val="000000"/>
        </w:rPr>
        <w:t>H</w:t>
      </w:r>
      <w:r>
        <w:rPr>
          <w:rFonts w:ascii="Book Antiqua" w:eastAsia="Book Antiqua" w:hAnsi="Book Antiqua" w:cs="Book Antiqua"/>
          <w:color w:val="000000"/>
        </w:rPr>
        <w:t>eme oxygenase 1 (HO-1)</w:t>
      </w:r>
      <w:r w:rsidR="00112F6F">
        <w:rPr>
          <w:rFonts w:ascii="Book Antiqua" w:eastAsia="Book Antiqua" w:hAnsi="Book Antiqua" w:cs="Book Antiqua"/>
          <w:color w:val="000000"/>
        </w:rPr>
        <w:t>; IFN: Interferon; IL: Interleukin; TNF: Tumor necrosis factor; TNFRSF1A: TNF receptor superfamily member 1A; VCAM1: Vascular cell adhesion molecule 1</w:t>
      </w:r>
      <w:r w:rsidR="005D372F">
        <w:rPr>
          <w:rFonts w:ascii="Book Antiqua" w:eastAsia="Book Antiqua" w:hAnsi="Book Antiqua" w:cs="Book Antiqua"/>
          <w:color w:val="000000"/>
        </w:rPr>
        <w:t>.</w:t>
      </w:r>
      <w:r w:rsidR="00112F6F">
        <w:rPr>
          <w:rFonts w:ascii="Book Antiqua" w:eastAsia="Book Antiqua" w:hAnsi="Book Antiqua" w:cs="Book Antiqua"/>
          <w:color w:val="000000"/>
        </w:rPr>
        <w:t xml:space="preserve"> </w:t>
      </w:r>
    </w:p>
    <w:p w14:paraId="20393B7A" w14:textId="507DAB86" w:rsidR="00A77B3E" w:rsidRDefault="00112F6F">
      <w:pPr>
        <w:spacing w:line="360" w:lineRule="auto"/>
        <w:jc w:val="both"/>
      </w:pPr>
      <w:r>
        <w:rPr>
          <w:rFonts w:ascii="Book Antiqua" w:eastAsia="Book Antiqua" w:hAnsi="Book Antiqua" w:cs="Book Antiqua"/>
          <w:color w:val="000000"/>
        </w:rPr>
        <w:br w:type="page"/>
      </w:r>
      <w:r>
        <w:rPr>
          <w:noProof/>
          <w:lang w:eastAsia="zh-CN"/>
        </w:rPr>
        <w:drawing>
          <wp:inline distT="0" distB="0" distL="0" distR="0" wp14:anchorId="002A20A1" wp14:editId="27EE97D1">
            <wp:extent cx="3828761" cy="3085106"/>
            <wp:effectExtent l="0" t="0" r="63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33814" cy="3089178"/>
                    </a:xfrm>
                    <a:prstGeom prst="rect">
                      <a:avLst/>
                    </a:prstGeom>
                  </pic:spPr>
                </pic:pic>
              </a:graphicData>
            </a:graphic>
          </wp:inline>
        </w:drawing>
      </w:r>
    </w:p>
    <w:p w14:paraId="25E19CE5" w14:textId="1E3B7703" w:rsidR="00112F6F" w:rsidRDefault="00266ABC" w:rsidP="00112F6F">
      <w:pPr>
        <w:spacing w:line="360" w:lineRule="auto"/>
        <w:jc w:val="both"/>
        <w:rPr>
          <w:rFonts w:ascii="Book Antiqua" w:eastAsia="Book Antiqua" w:hAnsi="Book Antiqua" w:cs="Book Antiqua"/>
          <w:color w:val="000000"/>
        </w:rPr>
      </w:pPr>
      <w:r w:rsidRPr="00E4266D">
        <w:rPr>
          <w:rFonts w:ascii="Book Antiqua" w:eastAsia="Book Antiqua" w:hAnsi="Book Antiqua" w:cs="Book Antiqua"/>
          <w:b/>
          <w:bCs/>
          <w:color w:val="000000"/>
        </w:rPr>
        <w:t>Figure 4</w:t>
      </w:r>
      <w:r w:rsidR="00112F6F" w:rsidRPr="00C31319">
        <w:rPr>
          <w:rFonts w:ascii="Book Antiqua" w:eastAsia="Book Antiqua" w:hAnsi="Book Antiqua" w:cs="Book Antiqua"/>
          <w:b/>
          <w:bCs/>
          <w:color w:val="000000"/>
        </w:rPr>
        <w:t xml:space="preserve"> </w:t>
      </w:r>
      <w:r w:rsidRPr="00340265">
        <w:rPr>
          <w:rFonts w:ascii="Book Antiqua" w:eastAsia="Book Antiqua" w:hAnsi="Book Antiqua" w:cs="Book Antiqua"/>
          <w:b/>
          <w:bCs/>
          <w:color w:val="000000"/>
        </w:rPr>
        <w:t xml:space="preserve">An </w:t>
      </w:r>
      <w:r w:rsidR="00AE55CA" w:rsidRPr="00905CDA">
        <w:rPr>
          <w:rFonts w:ascii="Book Antiqua" w:eastAsia="Book Antiqua" w:hAnsi="Book Antiqua" w:cs="Book Antiqua"/>
          <w:b/>
          <w:bCs/>
          <w:color w:val="000000"/>
        </w:rPr>
        <w:t>ingenuity pathway analysis</w:t>
      </w:r>
      <w:r w:rsidRPr="00373B62">
        <w:rPr>
          <w:rFonts w:ascii="Book Antiqua" w:eastAsia="Book Antiqua" w:hAnsi="Book Antiqua" w:cs="Book Antiqua"/>
          <w:b/>
          <w:bCs/>
          <w:color w:val="000000"/>
        </w:rPr>
        <w:t xml:space="preserve"> was performed to predict that </w:t>
      </w:r>
      <w:r w:rsidR="00E4266D" w:rsidRPr="00373B62">
        <w:rPr>
          <w:rFonts w:ascii="Book Antiqua" w:eastAsia="Book Antiqua" w:hAnsi="Book Antiqua" w:cs="Book Antiqua"/>
          <w:b/>
          <w:bCs/>
          <w:color w:val="000000"/>
        </w:rPr>
        <w:t>nuclear factor, erythroid 2</w:t>
      </w:r>
      <w:r w:rsidR="00E4266D" w:rsidRPr="00E4266D">
        <w:rPr>
          <w:rFonts w:ascii="Book Antiqua" w:eastAsia="Book Antiqua" w:hAnsi="Book Antiqua" w:cs="Book Antiqua"/>
          <w:b/>
          <w:bCs/>
          <w:color w:val="000000"/>
        </w:rPr>
        <w:t>-like 2</w:t>
      </w:r>
      <w:r w:rsidRPr="00E4266D">
        <w:rPr>
          <w:rFonts w:ascii="Book Antiqua" w:eastAsia="Book Antiqua" w:hAnsi="Book Antiqua" w:cs="Book Antiqua"/>
          <w:b/>
          <w:bCs/>
          <w:color w:val="000000"/>
        </w:rPr>
        <w:t>/MYC</w:t>
      </w:r>
      <w:r w:rsidR="00E4266D" w:rsidRPr="00E4266D">
        <w:rPr>
          <w:rFonts w:ascii="Book Antiqua" w:eastAsia="Book Antiqua" w:hAnsi="Book Antiqua" w:cs="Book Antiqua"/>
          <w:b/>
          <w:bCs/>
          <w:color w:val="000000"/>
        </w:rPr>
        <w:t xml:space="preserve"> </w:t>
      </w:r>
      <w:r w:rsidR="00E4266D" w:rsidRPr="00995760">
        <w:rPr>
          <w:rFonts w:ascii="Book Antiqua" w:eastAsia="Book Antiqua" w:hAnsi="Book Antiqua" w:cs="Book Antiqua"/>
          <w:b/>
          <w:bCs/>
          <w:color w:val="000000"/>
        </w:rPr>
        <w:t>proto-oncogene</w:t>
      </w:r>
      <w:r w:rsidR="00C31319">
        <w:rPr>
          <w:rFonts w:ascii="Book Antiqua" w:eastAsia="Book Antiqua" w:hAnsi="Book Antiqua" w:cs="Book Antiqua"/>
          <w:b/>
          <w:bCs/>
          <w:color w:val="000000"/>
        </w:rPr>
        <w:t xml:space="preserve">, </w:t>
      </w:r>
      <w:r w:rsidR="00C31319" w:rsidRPr="00995760">
        <w:rPr>
          <w:rFonts w:ascii="Book Antiqua" w:eastAsia="Book Antiqua" w:hAnsi="Book Antiqua" w:cs="Book Antiqua"/>
          <w:b/>
          <w:bCs/>
          <w:color w:val="000000"/>
        </w:rPr>
        <w:t>bHLH transcription factor</w:t>
      </w:r>
      <w:r w:rsidRPr="00C31319">
        <w:rPr>
          <w:rFonts w:ascii="Book Antiqua" w:eastAsia="Book Antiqua" w:hAnsi="Book Antiqua" w:cs="Book Antiqua"/>
          <w:b/>
          <w:bCs/>
          <w:color w:val="000000"/>
        </w:rPr>
        <w:t>/</w:t>
      </w:r>
      <w:r w:rsidR="00E4266D" w:rsidRPr="00995760">
        <w:rPr>
          <w:rFonts w:ascii="Book Antiqua" w:eastAsia="Book Antiqua" w:hAnsi="Book Antiqua" w:cs="Book Antiqua"/>
          <w:b/>
          <w:bCs/>
          <w:color w:val="000000"/>
        </w:rPr>
        <w:t>MAX network transcriptional repressor</w:t>
      </w:r>
      <w:r w:rsidRPr="00E4266D">
        <w:rPr>
          <w:rFonts w:ascii="Book Antiqua" w:eastAsia="Book Antiqua" w:hAnsi="Book Antiqua" w:cs="Book Antiqua"/>
          <w:b/>
          <w:bCs/>
          <w:color w:val="000000"/>
        </w:rPr>
        <w:t>/</w:t>
      </w:r>
      <w:r w:rsidR="00E4266D" w:rsidRPr="00995760">
        <w:rPr>
          <w:rFonts w:ascii="Book Antiqua" w:eastAsia="Book Antiqua" w:hAnsi="Book Antiqua" w:cs="Book Antiqua"/>
          <w:b/>
          <w:bCs/>
          <w:color w:val="000000"/>
        </w:rPr>
        <w:t>MAF bZIP transcription factor G</w:t>
      </w:r>
      <w:r w:rsidRPr="00E4266D">
        <w:rPr>
          <w:rFonts w:ascii="Book Antiqua" w:eastAsia="Book Antiqua" w:hAnsi="Book Antiqua" w:cs="Book Antiqua"/>
          <w:b/>
          <w:bCs/>
          <w:color w:val="000000"/>
        </w:rPr>
        <w:t xml:space="preserve"> regulates the corresponding inflammatory cytokines</w:t>
      </w:r>
      <w:r w:rsidRPr="00112F6F">
        <w:rPr>
          <w:rFonts w:ascii="Book Antiqua" w:eastAsia="Book Antiqua" w:hAnsi="Book Antiqua" w:cs="Book Antiqua"/>
          <w:b/>
          <w:bCs/>
          <w:color w:val="000000"/>
        </w:rPr>
        <w:t>.</w:t>
      </w:r>
      <w:r>
        <w:rPr>
          <w:rFonts w:ascii="Book Antiqua" w:eastAsia="Book Antiqua" w:hAnsi="Book Antiqua" w:cs="Book Antiqua"/>
          <w:color w:val="000000"/>
        </w:rPr>
        <w:t xml:space="preserve"> Solid lines indicate direct regulation, and dotted lines depict indirect interactions. </w:t>
      </w:r>
      <w:r w:rsidR="00F01DF1" w:rsidRPr="00112F6F">
        <w:rPr>
          <w:rFonts w:ascii="Book Antiqua" w:eastAsia="Book Antiqua" w:hAnsi="Book Antiqua" w:cs="Book Antiqua"/>
          <w:color w:val="000000"/>
        </w:rPr>
        <w:t>CXCL</w:t>
      </w:r>
      <w:r w:rsidR="00F01DF1">
        <w:rPr>
          <w:rFonts w:ascii="Book Antiqua" w:eastAsia="Book Antiqua" w:hAnsi="Book Antiqua" w:cs="Book Antiqua"/>
          <w:color w:val="000000"/>
        </w:rPr>
        <w:t xml:space="preserve">: </w:t>
      </w:r>
      <w:r w:rsidR="00F01DF1" w:rsidRPr="00112F6F">
        <w:rPr>
          <w:rFonts w:ascii="Book Antiqua" w:eastAsia="Book Antiqua" w:hAnsi="Book Antiqua" w:cs="Book Antiqua"/>
          <w:color w:val="000000"/>
        </w:rPr>
        <w:t>C-X-C motif</w:t>
      </w:r>
      <w:r w:rsidR="00F01DF1">
        <w:rPr>
          <w:rFonts w:ascii="Book Antiqua" w:eastAsia="Book Antiqua" w:hAnsi="Book Antiqua" w:cs="Book Antiqua"/>
          <w:color w:val="000000"/>
        </w:rPr>
        <w:t xml:space="preserve"> </w:t>
      </w:r>
      <w:r w:rsidR="00F01DF1" w:rsidRPr="00112F6F">
        <w:rPr>
          <w:rFonts w:ascii="Book Antiqua" w:eastAsia="Book Antiqua" w:hAnsi="Book Antiqua" w:cs="Book Antiqua"/>
          <w:color w:val="000000"/>
        </w:rPr>
        <w:t>ligand</w:t>
      </w:r>
      <w:r w:rsidR="00F01DF1">
        <w:rPr>
          <w:rFonts w:ascii="Book Antiqua" w:eastAsia="Book Antiqua" w:hAnsi="Book Antiqua" w:cs="Book Antiqua"/>
          <w:color w:val="000000"/>
        </w:rPr>
        <w:t xml:space="preserve">; </w:t>
      </w:r>
      <w:r>
        <w:rPr>
          <w:rFonts w:ascii="Book Antiqua" w:eastAsia="Book Antiqua" w:hAnsi="Book Antiqua" w:cs="Book Antiqua"/>
          <w:color w:val="000000"/>
        </w:rPr>
        <w:t>MAFG</w:t>
      </w:r>
      <w:r w:rsidR="00112F6F">
        <w:rPr>
          <w:rFonts w:ascii="Book Antiqua" w:eastAsia="Book Antiqua" w:hAnsi="Book Antiqua" w:cs="Book Antiqua"/>
          <w:color w:val="000000"/>
        </w:rPr>
        <w:t>:</w:t>
      </w:r>
      <w:r>
        <w:rPr>
          <w:rFonts w:ascii="Book Antiqua" w:eastAsia="Book Antiqua" w:hAnsi="Book Antiqua" w:cs="Book Antiqua"/>
          <w:color w:val="000000"/>
        </w:rPr>
        <w:t xml:space="preserve"> MAF bZIP transcription factor G; MAX</w:t>
      </w:r>
      <w:r w:rsidR="00112F6F">
        <w:rPr>
          <w:rFonts w:ascii="Book Antiqua" w:eastAsia="Book Antiqua" w:hAnsi="Book Antiqua" w:cs="Book Antiqua"/>
          <w:color w:val="000000"/>
        </w:rPr>
        <w:t>:</w:t>
      </w:r>
      <w:r>
        <w:rPr>
          <w:rFonts w:ascii="Book Antiqua" w:eastAsia="Book Antiqua" w:hAnsi="Book Antiqua" w:cs="Book Antiqua"/>
          <w:color w:val="000000"/>
        </w:rPr>
        <w:t xml:space="preserve"> MYC-associated factor X; MNT</w:t>
      </w:r>
      <w:r w:rsidR="00112F6F">
        <w:rPr>
          <w:rFonts w:ascii="Book Antiqua" w:eastAsia="Book Antiqua" w:hAnsi="Book Antiqua" w:cs="Book Antiqua"/>
          <w:color w:val="000000"/>
        </w:rPr>
        <w:t>:</w:t>
      </w:r>
      <w:r>
        <w:rPr>
          <w:rFonts w:ascii="Book Antiqua" w:eastAsia="Book Antiqua" w:hAnsi="Book Antiqua" w:cs="Book Antiqua"/>
          <w:color w:val="000000"/>
        </w:rPr>
        <w:t xml:space="preserve"> MAX network transcriptional repressor;</w:t>
      </w:r>
      <w:r w:rsidR="00112F6F">
        <w:rPr>
          <w:rFonts w:ascii="Book Antiqua" w:eastAsia="Book Antiqua" w:hAnsi="Book Antiqua" w:cs="Book Antiqua"/>
          <w:color w:val="000000"/>
        </w:rPr>
        <w:t xml:space="preserve"> </w:t>
      </w:r>
      <w:r>
        <w:rPr>
          <w:rFonts w:ascii="Book Antiqua" w:eastAsia="Book Antiqua" w:hAnsi="Book Antiqua" w:cs="Book Antiqua"/>
          <w:color w:val="000000"/>
        </w:rPr>
        <w:t>MYC</w:t>
      </w:r>
      <w:r w:rsidR="00112F6F">
        <w:rPr>
          <w:rFonts w:ascii="Book Antiqua" w:eastAsia="Book Antiqua" w:hAnsi="Book Antiqua" w:cs="Book Antiqua"/>
          <w:color w:val="000000"/>
        </w:rPr>
        <w:t>:</w:t>
      </w:r>
      <w:r>
        <w:rPr>
          <w:rFonts w:ascii="Book Antiqua" w:eastAsia="Book Antiqua" w:hAnsi="Book Antiqua" w:cs="Book Antiqua"/>
          <w:color w:val="000000"/>
        </w:rPr>
        <w:t xml:space="preserve"> MYC proto-oncogene, bHLH transcription factor</w:t>
      </w:r>
      <w:r w:rsidR="00112F6F">
        <w:rPr>
          <w:rFonts w:ascii="Book Antiqua" w:eastAsia="Book Antiqua" w:hAnsi="Book Antiqua" w:cs="Book Antiqua"/>
          <w:color w:val="000000"/>
        </w:rPr>
        <w:t xml:space="preserve">; IFN: Interferon; IL: Interleukin; </w:t>
      </w:r>
      <w:r w:rsidR="00F01DF1">
        <w:rPr>
          <w:rFonts w:ascii="Book Antiqua" w:eastAsia="Book Antiqua" w:hAnsi="Book Antiqua" w:cs="Book Antiqua"/>
          <w:color w:val="000000"/>
        </w:rPr>
        <w:t xml:space="preserve">TGF-beta: Transforming growth factor beta; </w:t>
      </w:r>
      <w:r w:rsidR="00112F6F">
        <w:rPr>
          <w:rFonts w:ascii="Book Antiqua" w:eastAsia="Book Antiqua" w:hAnsi="Book Antiqua" w:cs="Book Antiqua"/>
          <w:color w:val="000000"/>
        </w:rPr>
        <w:t xml:space="preserve">TNF: Tumor necrosis factor; TNFRSF1A: TNF receptor superfamily member 1A; </w:t>
      </w:r>
      <w:r w:rsidR="00F01DF1">
        <w:rPr>
          <w:rFonts w:ascii="Book Antiqua" w:eastAsia="Book Antiqua" w:hAnsi="Book Antiqua" w:cs="Book Antiqua"/>
          <w:color w:val="000000"/>
        </w:rPr>
        <w:t>VCAM1: Vascular cell adhesion molecule 1</w:t>
      </w:r>
      <w:r w:rsidR="00112F6F">
        <w:rPr>
          <w:rFonts w:ascii="Book Antiqua" w:eastAsia="Book Antiqua" w:hAnsi="Book Antiqua" w:cs="Book Antiqua"/>
          <w:color w:val="000000"/>
        </w:rPr>
        <w:t>.</w:t>
      </w:r>
    </w:p>
    <w:p w14:paraId="74D12F74" w14:textId="59186B15" w:rsidR="00A77B3E" w:rsidRDefault="0067288E">
      <w:pPr>
        <w:spacing w:line="360" w:lineRule="auto"/>
        <w:jc w:val="both"/>
      </w:pPr>
      <w:r>
        <w:br w:type="page"/>
      </w:r>
      <w:r w:rsidR="00BF4D1B">
        <w:rPr>
          <w:noProof/>
          <w:lang w:eastAsia="zh-CN"/>
        </w:rPr>
        <w:drawing>
          <wp:inline distT="0" distB="0" distL="0" distR="0" wp14:anchorId="4BB78B7C" wp14:editId="481AADCD">
            <wp:extent cx="4813347" cy="354546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6056" cy="3547457"/>
                    </a:xfrm>
                    <a:prstGeom prst="rect">
                      <a:avLst/>
                    </a:prstGeom>
                    <a:noFill/>
                  </pic:spPr>
                </pic:pic>
              </a:graphicData>
            </a:graphic>
          </wp:inline>
        </w:drawing>
      </w:r>
    </w:p>
    <w:p w14:paraId="18167E7D" w14:textId="7B786EBF" w:rsidR="00327621" w:rsidRDefault="00266AB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w:t>
      </w:r>
      <w:r w:rsidR="0067288E" w:rsidRPr="00BF4D1B">
        <w:rPr>
          <w:rFonts w:ascii="Book Antiqua" w:eastAsia="Book Antiqua" w:hAnsi="Book Antiqua" w:cs="Book Antiqua"/>
          <w:b/>
          <w:bCs/>
          <w:color w:val="000000"/>
        </w:rPr>
        <w:t xml:space="preserve"> </w:t>
      </w:r>
      <w:r w:rsidRPr="00BF4D1B">
        <w:rPr>
          <w:rFonts w:ascii="Book Antiqua" w:eastAsia="Book Antiqua" w:hAnsi="Book Antiqua" w:cs="Book Antiqua"/>
          <w:b/>
          <w:bCs/>
          <w:color w:val="000000"/>
        </w:rPr>
        <w:t>Interplay between c</w:t>
      </w:r>
      <w:r w:rsidR="0067288E" w:rsidRPr="00BF4D1B">
        <w:rPr>
          <w:rFonts w:ascii="Book Antiqua" w:eastAsia="Book Antiqua" w:hAnsi="Book Antiqua" w:cs="Book Antiqua"/>
          <w:b/>
          <w:bCs/>
          <w:color w:val="000000"/>
        </w:rPr>
        <w:t>-</w:t>
      </w:r>
      <w:r w:rsidRPr="00BF4D1B">
        <w:rPr>
          <w:rFonts w:ascii="Book Antiqua" w:eastAsia="Book Antiqua" w:hAnsi="Book Antiqua" w:cs="Book Antiqua"/>
          <w:b/>
          <w:bCs/>
          <w:color w:val="000000"/>
        </w:rPr>
        <w:t xml:space="preserve">MYC, </w:t>
      </w:r>
      <w:r w:rsidR="00340265" w:rsidRPr="00995760">
        <w:rPr>
          <w:rFonts w:ascii="Book Antiqua" w:eastAsia="Book Antiqua" w:hAnsi="Book Antiqua" w:cs="Book Antiqua"/>
          <w:b/>
          <w:bCs/>
          <w:color w:val="000000"/>
        </w:rPr>
        <w:t>MAX network transcriptional repressor</w:t>
      </w:r>
      <w:r w:rsidRPr="00340265">
        <w:rPr>
          <w:rFonts w:ascii="Book Antiqua" w:eastAsia="Book Antiqua" w:hAnsi="Book Antiqua" w:cs="Book Antiqua"/>
          <w:b/>
          <w:bCs/>
          <w:color w:val="000000"/>
        </w:rPr>
        <w:t>,</w:t>
      </w:r>
      <w:r w:rsidRPr="00BF4D1B">
        <w:rPr>
          <w:rFonts w:ascii="Book Antiqua" w:eastAsia="Book Antiqua" w:hAnsi="Book Antiqua" w:cs="Book Antiqua"/>
          <w:b/>
          <w:bCs/>
          <w:color w:val="000000"/>
        </w:rPr>
        <w:t xml:space="preserve"> </w:t>
      </w:r>
      <w:r w:rsidR="00340265" w:rsidRPr="00995760">
        <w:rPr>
          <w:rFonts w:ascii="Book Antiqua" w:eastAsia="Book Antiqua" w:hAnsi="Book Antiqua" w:cs="Book Antiqua"/>
          <w:b/>
          <w:bCs/>
          <w:color w:val="000000"/>
        </w:rPr>
        <w:t>MAF bZIP transcription factor G</w:t>
      </w:r>
      <w:r w:rsidRPr="00BF4D1B">
        <w:rPr>
          <w:rFonts w:ascii="Book Antiqua" w:eastAsia="Book Antiqua" w:hAnsi="Book Antiqua" w:cs="Book Antiqua"/>
          <w:b/>
          <w:bCs/>
          <w:color w:val="000000"/>
        </w:rPr>
        <w:t xml:space="preserve">, and </w:t>
      </w:r>
      <w:r w:rsidR="00340265" w:rsidRPr="00AA0DA8">
        <w:rPr>
          <w:rFonts w:ascii="Book Antiqua" w:eastAsia="Book Antiqua" w:hAnsi="Book Antiqua" w:cs="Book Antiqua"/>
          <w:b/>
          <w:bCs/>
          <w:color w:val="000000"/>
        </w:rPr>
        <w:t>nuclear factor, erythroid 2-like 2</w:t>
      </w:r>
      <w:r w:rsidRPr="00BF4D1B">
        <w:rPr>
          <w:rFonts w:ascii="Book Antiqua" w:eastAsia="Book Antiqua" w:hAnsi="Book Antiqua" w:cs="Book Antiqua"/>
          <w:b/>
          <w:bCs/>
          <w:color w:val="000000"/>
        </w:rPr>
        <w:t xml:space="preserve"> proteins in viral infections.</w:t>
      </w:r>
      <w:r>
        <w:rPr>
          <w:rFonts w:ascii="Book Antiqua" w:eastAsia="Book Antiqua" w:hAnsi="Book Antiqua" w:cs="Book Antiqua"/>
          <w:color w:val="000000"/>
        </w:rPr>
        <w:t xml:space="preserve"> </w:t>
      </w:r>
      <w:r w:rsidR="00905CDA" w:rsidRPr="00995760">
        <w:rPr>
          <w:rFonts w:ascii="Book Antiqua" w:eastAsia="Book Antiqua" w:hAnsi="Book Antiqua" w:cs="Book Antiqua"/>
          <w:color w:val="000000"/>
        </w:rPr>
        <w:t>MAX network transcriptional repressor</w:t>
      </w:r>
      <w:r w:rsidR="00905CDA">
        <w:rPr>
          <w:rFonts w:ascii="Book Antiqua" w:eastAsia="Book Antiqua" w:hAnsi="Book Antiqua" w:cs="Book Antiqua"/>
          <w:color w:val="000000"/>
        </w:rPr>
        <w:t xml:space="preserve"> (</w:t>
      </w:r>
      <w:r>
        <w:rPr>
          <w:rFonts w:ascii="Book Antiqua" w:eastAsia="Book Antiqua" w:hAnsi="Book Antiqua" w:cs="Book Antiqua"/>
          <w:color w:val="000000"/>
        </w:rPr>
        <w:t>MAX</w:t>
      </w:r>
      <w:r w:rsidR="00905CDA">
        <w:rPr>
          <w:rFonts w:ascii="Book Antiqua" w:eastAsia="Book Antiqua" w:hAnsi="Book Antiqua" w:cs="Book Antiqua"/>
          <w:color w:val="000000"/>
        </w:rPr>
        <w:t>)</w:t>
      </w:r>
      <w:r>
        <w:rPr>
          <w:rFonts w:ascii="Book Antiqua" w:eastAsia="Book Antiqua" w:hAnsi="Book Antiqua" w:cs="Book Antiqua"/>
          <w:color w:val="000000"/>
        </w:rPr>
        <w:t xml:space="preserve"> directly interacts with c-MYC and </w:t>
      </w:r>
      <w:r w:rsidR="00905CDA">
        <w:rPr>
          <w:rFonts w:ascii="Book Antiqua" w:eastAsia="Book Antiqua" w:hAnsi="Book Antiqua" w:cs="Book Antiqua"/>
          <w:color w:val="000000"/>
        </w:rPr>
        <w:t xml:space="preserve">MAX network transcriptional repressor </w:t>
      </w:r>
      <w:r>
        <w:rPr>
          <w:rFonts w:ascii="Book Antiqua" w:eastAsia="Book Antiqua" w:hAnsi="Book Antiqua" w:cs="Book Antiqua"/>
          <w:color w:val="000000"/>
        </w:rPr>
        <w:t xml:space="preserve">proteins, while c-MYC and </w:t>
      </w:r>
      <w:r w:rsidR="00A65B9C">
        <w:rPr>
          <w:rFonts w:ascii="Book Antiqua" w:eastAsia="Book Antiqua" w:hAnsi="Book Antiqua" w:cs="Book Antiqua"/>
          <w:color w:val="000000"/>
        </w:rPr>
        <w:t>MAF bZIP transcription factor G (</w:t>
      </w:r>
      <w:r>
        <w:rPr>
          <w:rFonts w:ascii="Book Antiqua" w:eastAsia="Book Antiqua" w:hAnsi="Book Antiqua" w:cs="Book Antiqua"/>
          <w:color w:val="000000"/>
        </w:rPr>
        <w:t>MAFG</w:t>
      </w:r>
      <w:r w:rsidR="00A65B9C">
        <w:rPr>
          <w:rFonts w:ascii="Book Antiqua" w:eastAsia="Book Antiqua" w:hAnsi="Book Antiqua" w:cs="Book Antiqua"/>
          <w:color w:val="000000"/>
        </w:rPr>
        <w:t>)</w:t>
      </w:r>
      <w:r>
        <w:rPr>
          <w:rFonts w:ascii="Book Antiqua" w:eastAsia="Book Antiqua" w:hAnsi="Book Antiqua" w:cs="Book Antiqua"/>
          <w:color w:val="000000"/>
        </w:rPr>
        <w:t xml:space="preserve"> interact with </w:t>
      </w:r>
      <w:r w:rsidR="00A65B9C" w:rsidRPr="00995760">
        <w:rPr>
          <w:rFonts w:ascii="Book Antiqua" w:eastAsia="Book Antiqua" w:hAnsi="Book Antiqua" w:cs="Book Antiqua"/>
          <w:color w:val="000000"/>
        </w:rPr>
        <w:t>nuclear factor, erythroid 2-like 2</w:t>
      </w:r>
      <w:r w:rsidR="00A65B9C">
        <w:rPr>
          <w:rFonts w:ascii="Book Antiqua" w:eastAsia="Book Antiqua" w:hAnsi="Book Antiqua" w:cs="Book Antiqua"/>
          <w:color w:val="000000"/>
        </w:rPr>
        <w:t xml:space="preserve"> (</w:t>
      </w:r>
      <w:r>
        <w:rPr>
          <w:rFonts w:ascii="Book Antiqua" w:eastAsia="Book Antiqua" w:hAnsi="Book Antiqua" w:cs="Book Antiqua"/>
          <w:color w:val="000000"/>
        </w:rPr>
        <w:t>NRF2</w:t>
      </w:r>
      <w:r w:rsidR="00A65B9C">
        <w:rPr>
          <w:rFonts w:ascii="Book Antiqua" w:eastAsia="Book Antiqua" w:hAnsi="Book Antiqua" w:cs="Book Antiqua"/>
          <w:color w:val="000000"/>
        </w:rPr>
        <w:t>)</w:t>
      </w:r>
      <w:r>
        <w:rPr>
          <w:rFonts w:ascii="Book Antiqua" w:eastAsia="Book Antiqua" w:hAnsi="Book Antiqua" w:cs="Book Antiqua"/>
          <w:color w:val="000000"/>
        </w:rPr>
        <w:t>. These complexes bind to E</w:t>
      </w:r>
      <w:r w:rsidR="00BF4D1B">
        <w:rPr>
          <w:rFonts w:ascii="Book Antiqua" w:eastAsia="Book Antiqua" w:hAnsi="Book Antiqua" w:cs="Book Antiqua"/>
          <w:color w:val="000000"/>
        </w:rPr>
        <w:t>-</w:t>
      </w:r>
      <w:r>
        <w:rPr>
          <w:rFonts w:ascii="Book Antiqua" w:eastAsia="Book Antiqua" w:hAnsi="Book Antiqua" w:cs="Book Antiqua"/>
          <w:color w:val="000000"/>
        </w:rPr>
        <w:t>box elements in the promoters of c</w:t>
      </w:r>
      <w:r w:rsidR="00BF4D1B">
        <w:rPr>
          <w:rFonts w:ascii="Book Antiqua" w:eastAsia="Book Antiqua" w:hAnsi="Book Antiqua" w:cs="Book Antiqua"/>
          <w:color w:val="000000"/>
        </w:rPr>
        <w:t>-</w:t>
      </w:r>
      <w:r>
        <w:rPr>
          <w:rFonts w:ascii="Book Antiqua" w:eastAsia="Book Antiqua" w:hAnsi="Book Antiqua" w:cs="Book Antiqua"/>
          <w:color w:val="000000"/>
        </w:rPr>
        <w:t xml:space="preserve">MYC and </w:t>
      </w:r>
      <w:r w:rsidRPr="00BF4D1B">
        <w:rPr>
          <w:rFonts w:ascii="Book Antiqua" w:eastAsia="Book Antiqua" w:hAnsi="Book Antiqua" w:cs="Book Antiqua"/>
          <w:i/>
          <w:iCs/>
          <w:color w:val="000000"/>
        </w:rPr>
        <w:t>MAFG</w:t>
      </w:r>
      <w:r>
        <w:rPr>
          <w:rFonts w:ascii="Book Antiqua" w:eastAsia="Book Antiqua" w:hAnsi="Book Antiqua" w:cs="Book Antiqua"/>
          <w:color w:val="000000"/>
        </w:rPr>
        <w:t xml:space="preserve"> genes, regulating their activation. In addition, c-MYC and MAFG interact with NRF2, and their complexes bind to </w:t>
      </w:r>
      <w:r w:rsidR="00BF4D1B">
        <w:rPr>
          <w:rFonts w:ascii="Book Antiqua" w:eastAsia="Book Antiqua" w:hAnsi="Book Antiqua" w:cs="Book Antiqua"/>
          <w:color w:val="000000"/>
        </w:rPr>
        <w:t>antioxidant response element</w:t>
      </w:r>
      <w:r>
        <w:rPr>
          <w:rFonts w:ascii="Book Antiqua" w:eastAsia="Book Antiqua" w:hAnsi="Book Antiqua" w:cs="Book Antiqua"/>
          <w:color w:val="000000"/>
        </w:rPr>
        <w:t>s, regulating downstream gene expression.</w:t>
      </w:r>
      <w:r w:rsidR="00BF4D1B">
        <w:rPr>
          <w:rFonts w:ascii="Book Antiqua" w:eastAsia="Book Antiqua" w:hAnsi="Book Antiqua" w:cs="Book Antiqua"/>
          <w:color w:val="000000"/>
        </w:rPr>
        <w:t xml:space="preserve"> </w:t>
      </w:r>
      <w:r w:rsidR="00BF4D1B" w:rsidRPr="00BC682F">
        <w:rPr>
          <w:rFonts w:ascii="Book Antiqua" w:eastAsia="Book Antiqua" w:hAnsi="Book Antiqua" w:cs="Book Antiqua"/>
          <w:color w:val="000000"/>
        </w:rPr>
        <w:t>COVID-19</w:t>
      </w:r>
      <w:r w:rsidR="00BF4D1B">
        <w:rPr>
          <w:rFonts w:ascii="Book Antiqua" w:eastAsia="Book Antiqua" w:hAnsi="Book Antiqua" w:cs="Book Antiqua"/>
          <w:color w:val="000000"/>
        </w:rPr>
        <w:t xml:space="preserve">: </w:t>
      </w:r>
      <w:r w:rsidR="00BF4D1B" w:rsidRPr="00BC682F">
        <w:rPr>
          <w:rFonts w:ascii="Book Antiqua" w:eastAsia="Book Antiqua" w:hAnsi="Book Antiqua" w:cs="Book Antiqua"/>
          <w:color w:val="000000"/>
        </w:rPr>
        <w:t>Coronavirus disease 2019</w:t>
      </w:r>
      <w:r w:rsidR="00BF4D1B">
        <w:rPr>
          <w:rFonts w:ascii="Book Antiqua" w:eastAsia="Book Antiqua" w:hAnsi="Book Antiqua" w:cs="Book Antiqua"/>
          <w:color w:val="000000"/>
        </w:rPr>
        <w:t>.</w:t>
      </w:r>
    </w:p>
    <w:p w14:paraId="7B6FE03B" w14:textId="4816CC2C" w:rsidR="00A77B3E" w:rsidRDefault="00327621">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327621">
        <w:rPr>
          <w:rFonts w:ascii="Book Antiqua" w:eastAsia="Book Antiqua" w:hAnsi="Book Antiqua" w:cs="Book Antiqua" w:hint="eastAsia"/>
          <w:b/>
          <w:bCs/>
          <w:color w:val="000000"/>
        </w:rPr>
        <w:t>Table 1</w:t>
      </w:r>
      <w:r w:rsidRPr="00327621">
        <w:rPr>
          <w:rFonts w:ascii="Book Antiqua" w:eastAsia="Book Antiqua" w:hAnsi="Book Antiqua" w:cs="Book Antiqua"/>
          <w:b/>
          <w:bCs/>
          <w:color w:val="000000"/>
        </w:rPr>
        <w:t xml:space="preserve"> </w:t>
      </w:r>
      <w:r w:rsidRPr="00327621">
        <w:rPr>
          <w:rFonts w:ascii="Book Antiqua" w:eastAsia="Book Antiqua" w:hAnsi="Book Antiqua" w:cs="Book Antiqua" w:hint="eastAsia"/>
          <w:b/>
          <w:bCs/>
          <w:color w:val="000000"/>
        </w:rPr>
        <w:t xml:space="preserve">Characteristics of liver injury during </w:t>
      </w:r>
      <w:r w:rsidRPr="00327621">
        <w:rPr>
          <w:rFonts w:ascii="Book Antiqua" w:eastAsia="Book Antiqua" w:hAnsi="Book Antiqua" w:cs="Book Antiqua"/>
          <w:b/>
          <w:bCs/>
          <w:color w:val="000000"/>
        </w:rPr>
        <w:t>coronavirus disease</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8"/>
        <w:gridCol w:w="1091"/>
        <w:gridCol w:w="3007"/>
        <w:gridCol w:w="1287"/>
        <w:gridCol w:w="8"/>
        <w:gridCol w:w="2755"/>
      </w:tblGrid>
      <w:tr w:rsidR="00327621" w:rsidRPr="006F2647" w14:paraId="5BD425D6" w14:textId="77777777" w:rsidTr="00161DA3">
        <w:tc>
          <w:tcPr>
            <w:tcW w:w="1428" w:type="dxa"/>
            <w:tcBorders>
              <w:top w:val="single" w:sz="4" w:space="0" w:color="auto"/>
              <w:bottom w:val="single" w:sz="4" w:space="0" w:color="auto"/>
            </w:tcBorders>
          </w:tcPr>
          <w:p w14:paraId="221CCB2F" w14:textId="4938A5E2" w:rsidR="00327621" w:rsidRPr="00456DD9" w:rsidRDefault="00327621" w:rsidP="00327621">
            <w:pPr>
              <w:shd w:val="clear" w:color="auto" w:fill="FFFFFF"/>
              <w:spacing w:line="360" w:lineRule="auto"/>
              <w:jc w:val="both"/>
              <w:rPr>
                <w:rFonts w:ascii="Book Antiqua" w:eastAsia="宋体" w:hAnsi="Book Antiqua" w:cs="Arial"/>
                <w:b/>
                <w:color w:val="1C1D1E"/>
              </w:rPr>
            </w:pPr>
            <w:r w:rsidRPr="00456DD9">
              <w:rPr>
                <w:rFonts w:ascii="Book Antiqua" w:eastAsia="宋体" w:hAnsi="Book Antiqua" w:cs="Arial"/>
                <w:b/>
                <w:color w:val="1C1D1E"/>
              </w:rPr>
              <w:t>Ref.</w:t>
            </w:r>
          </w:p>
        </w:tc>
        <w:tc>
          <w:tcPr>
            <w:tcW w:w="1091" w:type="dxa"/>
            <w:tcBorders>
              <w:top w:val="single" w:sz="4" w:space="0" w:color="auto"/>
              <w:bottom w:val="single" w:sz="4" w:space="0" w:color="auto"/>
            </w:tcBorders>
          </w:tcPr>
          <w:p w14:paraId="45AB9C6C" w14:textId="77777777" w:rsidR="00327621" w:rsidRPr="00456DD9" w:rsidRDefault="00327621" w:rsidP="00327621">
            <w:pPr>
              <w:shd w:val="clear" w:color="auto" w:fill="FFFFFF"/>
              <w:spacing w:line="360" w:lineRule="auto"/>
              <w:jc w:val="both"/>
              <w:rPr>
                <w:rFonts w:ascii="Book Antiqua" w:eastAsia="宋体" w:hAnsi="Book Antiqua" w:cs="Arial"/>
                <w:b/>
                <w:color w:val="1C1D1E"/>
              </w:rPr>
            </w:pPr>
            <w:r w:rsidRPr="00456DD9">
              <w:rPr>
                <w:rFonts w:ascii="Book Antiqua" w:eastAsia="宋体" w:hAnsi="Book Antiqua" w:cs="Arial"/>
                <w:b/>
                <w:color w:val="1C1D1E"/>
              </w:rPr>
              <w:t>Total number of patients</w:t>
            </w:r>
          </w:p>
        </w:tc>
        <w:tc>
          <w:tcPr>
            <w:tcW w:w="3007" w:type="dxa"/>
            <w:tcBorders>
              <w:top w:val="single" w:sz="4" w:space="0" w:color="auto"/>
              <w:bottom w:val="single" w:sz="4" w:space="0" w:color="auto"/>
            </w:tcBorders>
          </w:tcPr>
          <w:p w14:paraId="639CA69C" w14:textId="56965106" w:rsidR="00327621" w:rsidRPr="00456DD9" w:rsidRDefault="00327621" w:rsidP="00327621">
            <w:pPr>
              <w:shd w:val="clear" w:color="auto" w:fill="FFFFFF"/>
              <w:spacing w:line="360" w:lineRule="auto"/>
              <w:jc w:val="both"/>
              <w:rPr>
                <w:rFonts w:ascii="Book Antiqua" w:eastAsia="宋体" w:hAnsi="Book Antiqua" w:cs="Arial"/>
                <w:b/>
                <w:color w:val="1C1D1E"/>
              </w:rPr>
            </w:pPr>
            <w:r w:rsidRPr="00456DD9">
              <w:rPr>
                <w:rFonts w:ascii="Book Antiqua" w:eastAsia="宋体" w:hAnsi="Book Antiqua" w:cs="Arial"/>
                <w:b/>
                <w:color w:val="1C1D1E"/>
              </w:rPr>
              <w:t>Proportion of liver injury, (%)</w:t>
            </w:r>
          </w:p>
        </w:tc>
        <w:tc>
          <w:tcPr>
            <w:tcW w:w="1295" w:type="dxa"/>
            <w:gridSpan w:val="2"/>
            <w:tcBorders>
              <w:top w:val="single" w:sz="4" w:space="0" w:color="auto"/>
              <w:bottom w:val="single" w:sz="4" w:space="0" w:color="auto"/>
            </w:tcBorders>
          </w:tcPr>
          <w:p w14:paraId="0BB0A48A" w14:textId="7C3A57ED" w:rsidR="00327621" w:rsidRPr="00456DD9" w:rsidRDefault="00327621" w:rsidP="00327621">
            <w:pPr>
              <w:shd w:val="clear" w:color="auto" w:fill="FFFFFF"/>
              <w:spacing w:line="360" w:lineRule="auto"/>
              <w:jc w:val="both"/>
              <w:rPr>
                <w:rFonts w:ascii="Book Antiqua" w:eastAsia="宋体" w:hAnsi="Book Antiqua" w:cs="Arial"/>
                <w:b/>
                <w:color w:val="1C1D1E"/>
              </w:rPr>
            </w:pPr>
            <w:r w:rsidRPr="00456DD9">
              <w:rPr>
                <w:rFonts w:ascii="Book Antiqua" w:eastAsia="宋体" w:hAnsi="Book Antiqua" w:cs="Arial"/>
                <w:b/>
                <w:color w:val="1C1D1E"/>
              </w:rPr>
              <w:t xml:space="preserve">Proportions of pre-existing liver diseases, </w:t>
            </w:r>
            <w:r w:rsidRPr="00456DD9">
              <w:rPr>
                <w:rFonts w:ascii="Book Antiqua" w:eastAsia="宋体" w:hAnsi="Book Antiqua" w:cs="Arial"/>
                <w:b/>
                <w:i/>
                <w:iCs/>
                <w:color w:val="1C1D1E"/>
              </w:rPr>
              <w:t>n</w:t>
            </w:r>
            <w:r w:rsidRPr="00456DD9">
              <w:rPr>
                <w:rFonts w:ascii="Book Antiqua" w:eastAsia="宋体" w:hAnsi="Book Antiqua" w:cs="Arial"/>
                <w:b/>
                <w:color w:val="1C1D1E"/>
              </w:rPr>
              <w:t xml:space="preserve"> (%)</w:t>
            </w:r>
          </w:p>
        </w:tc>
        <w:tc>
          <w:tcPr>
            <w:tcW w:w="2755" w:type="dxa"/>
            <w:tcBorders>
              <w:top w:val="single" w:sz="4" w:space="0" w:color="auto"/>
              <w:bottom w:val="single" w:sz="4" w:space="0" w:color="auto"/>
            </w:tcBorders>
          </w:tcPr>
          <w:p w14:paraId="12A4EAE6" w14:textId="755C96A4" w:rsidR="00327621" w:rsidRPr="00456DD9" w:rsidRDefault="00327621" w:rsidP="00327621">
            <w:pPr>
              <w:shd w:val="clear" w:color="auto" w:fill="FFFFFF"/>
              <w:spacing w:line="360" w:lineRule="auto"/>
              <w:jc w:val="both"/>
              <w:rPr>
                <w:rFonts w:ascii="Book Antiqua" w:eastAsia="宋体" w:hAnsi="Book Antiqua" w:cs="Arial"/>
                <w:b/>
                <w:color w:val="1C1D1E"/>
              </w:rPr>
            </w:pPr>
            <w:r w:rsidRPr="00456DD9">
              <w:rPr>
                <w:rFonts w:ascii="Book Antiqua" w:eastAsia="宋体" w:hAnsi="Book Antiqua" w:cs="Arial"/>
                <w:b/>
                <w:color w:val="1C1D1E"/>
              </w:rPr>
              <w:t>Others</w:t>
            </w:r>
          </w:p>
        </w:tc>
      </w:tr>
      <w:tr w:rsidR="00327621" w:rsidRPr="006F2647" w14:paraId="0072C425" w14:textId="77777777" w:rsidTr="00161DA3">
        <w:tc>
          <w:tcPr>
            <w:tcW w:w="1428" w:type="dxa"/>
            <w:tcBorders>
              <w:top w:val="single" w:sz="4" w:space="0" w:color="auto"/>
            </w:tcBorders>
          </w:tcPr>
          <w:p w14:paraId="74BC69FE" w14:textId="6A64F9EB" w:rsidR="00327621" w:rsidRPr="00456DD9" w:rsidRDefault="00327621" w:rsidP="00327621">
            <w:pPr>
              <w:shd w:val="clear" w:color="auto" w:fill="FFFFFF"/>
              <w:spacing w:line="360" w:lineRule="auto"/>
              <w:jc w:val="both"/>
              <w:rPr>
                <w:rFonts w:ascii="Book Antiqua" w:eastAsia="宋体" w:hAnsi="Book Antiqua" w:cs="Arial"/>
                <w:color w:val="1C1D1E"/>
              </w:rPr>
            </w:pPr>
            <w:r w:rsidRPr="00456DD9">
              <w:rPr>
                <w:rFonts w:ascii="Book Antiqua" w:eastAsia="宋体" w:hAnsi="Book Antiqua" w:cs="Arial"/>
                <w:color w:val="1C1D1E"/>
              </w:rPr>
              <w:t xml:space="preserve">Guan </w:t>
            </w:r>
            <w:r w:rsidRPr="00456DD9">
              <w:rPr>
                <w:rFonts w:ascii="Book Antiqua" w:eastAsia="宋体" w:hAnsi="Book Antiqua" w:cs="Arial"/>
                <w:i/>
                <w:iCs/>
                <w:color w:val="1C1D1E"/>
              </w:rPr>
              <w:t>et al</w:t>
            </w:r>
            <w:r w:rsidRPr="00456DD9">
              <w:rPr>
                <w:rFonts w:ascii="Book Antiqua" w:eastAsia="宋体" w:hAnsi="Book Antiqua" w:cs="Arial"/>
                <w:color w:val="1C1D1E"/>
                <w:vertAlign w:val="superscript"/>
              </w:rPr>
              <w:t>[87]</w:t>
            </w:r>
          </w:p>
        </w:tc>
        <w:tc>
          <w:tcPr>
            <w:tcW w:w="1091" w:type="dxa"/>
            <w:tcBorders>
              <w:top w:val="single" w:sz="4" w:space="0" w:color="auto"/>
            </w:tcBorders>
          </w:tcPr>
          <w:p w14:paraId="7B3B1AA6" w14:textId="77777777" w:rsidR="00327621" w:rsidRPr="00456DD9" w:rsidRDefault="00327621" w:rsidP="00327621">
            <w:pPr>
              <w:shd w:val="clear" w:color="auto" w:fill="FFFFFF"/>
              <w:spacing w:line="360" w:lineRule="auto"/>
              <w:jc w:val="both"/>
              <w:rPr>
                <w:rFonts w:ascii="Book Antiqua" w:eastAsia="宋体" w:hAnsi="Book Antiqua" w:cs="Arial"/>
                <w:color w:val="1C1D1E"/>
              </w:rPr>
            </w:pPr>
            <w:r w:rsidRPr="00456DD9">
              <w:rPr>
                <w:rFonts w:ascii="Book Antiqua" w:eastAsia="宋体" w:hAnsi="Book Antiqua" w:cs="Arial"/>
                <w:color w:val="1C1D1E"/>
              </w:rPr>
              <w:t>1099</w:t>
            </w:r>
          </w:p>
        </w:tc>
        <w:tc>
          <w:tcPr>
            <w:tcW w:w="3007" w:type="dxa"/>
            <w:tcBorders>
              <w:top w:val="single" w:sz="4" w:space="0" w:color="auto"/>
            </w:tcBorders>
          </w:tcPr>
          <w:p w14:paraId="1D3BB828" w14:textId="36ABC179" w:rsidR="00327621" w:rsidRPr="00456DD9" w:rsidRDefault="00327621" w:rsidP="00327621">
            <w:pPr>
              <w:shd w:val="clear" w:color="auto" w:fill="FFFFFF"/>
              <w:spacing w:line="360" w:lineRule="auto"/>
              <w:jc w:val="both"/>
              <w:rPr>
                <w:rFonts w:ascii="Book Antiqua" w:eastAsia="宋体" w:hAnsi="Book Antiqua" w:cs="Arial"/>
                <w:color w:val="1C1D1E"/>
              </w:rPr>
            </w:pPr>
            <w:r w:rsidRPr="00456DD9">
              <w:rPr>
                <w:rFonts w:ascii="Book Antiqua" w:eastAsia="宋体" w:hAnsi="Book Antiqua" w:cs="Arial"/>
                <w:color w:val="1C1D1E"/>
              </w:rPr>
              <w:t>Elevated AST 168/757 (22.2); Elevated ALT 158/741 (21.3); Elevated TB 76/722 (10.5)</w:t>
            </w:r>
          </w:p>
        </w:tc>
        <w:tc>
          <w:tcPr>
            <w:tcW w:w="1295" w:type="dxa"/>
            <w:gridSpan w:val="2"/>
            <w:tcBorders>
              <w:top w:val="single" w:sz="4" w:space="0" w:color="auto"/>
            </w:tcBorders>
          </w:tcPr>
          <w:p w14:paraId="1714994C" w14:textId="36414A34" w:rsidR="00327621" w:rsidRPr="00456DD9" w:rsidRDefault="00327621" w:rsidP="00327621">
            <w:pPr>
              <w:shd w:val="clear" w:color="auto" w:fill="FFFFFF"/>
              <w:spacing w:line="360" w:lineRule="auto"/>
              <w:jc w:val="both"/>
              <w:rPr>
                <w:rFonts w:ascii="Book Antiqua" w:eastAsia="宋体" w:hAnsi="Book Antiqua" w:cs="Arial"/>
                <w:color w:val="1C1D1E"/>
              </w:rPr>
            </w:pPr>
            <w:r w:rsidRPr="00456DD9">
              <w:rPr>
                <w:rFonts w:ascii="Book Antiqua" w:eastAsia="宋体" w:hAnsi="Book Antiqua" w:cs="Arial"/>
                <w:color w:val="1C1D1E"/>
              </w:rPr>
              <w:t>23 (2.1)</w:t>
            </w:r>
          </w:p>
        </w:tc>
        <w:tc>
          <w:tcPr>
            <w:tcW w:w="2755" w:type="dxa"/>
            <w:tcBorders>
              <w:top w:val="single" w:sz="4" w:space="0" w:color="auto"/>
            </w:tcBorders>
          </w:tcPr>
          <w:p w14:paraId="0C49A605" w14:textId="77777777" w:rsidR="00327621" w:rsidRPr="00456DD9" w:rsidRDefault="00327621" w:rsidP="00327621">
            <w:pPr>
              <w:shd w:val="clear" w:color="auto" w:fill="FFFFFF"/>
              <w:spacing w:line="360" w:lineRule="auto"/>
              <w:jc w:val="both"/>
              <w:rPr>
                <w:rFonts w:ascii="Book Antiqua" w:eastAsia="宋体" w:hAnsi="Book Antiqua" w:cs="Arial"/>
                <w:color w:val="1C1D1E"/>
              </w:rPr>
            </w:pPr>
          </w:p>
        </w:tc>
      </w:tr>
      <w:tr w:rsidR="00327621" w:rsidRPr="006F2647" w14:paraId="5002B781" w14:textId="77777777" w:rsidTr="00161DA3">
        <w:tc>
          <w:tcPr>
            <w:tcW w:w="1428" w:type="dxa"/>
          </w:tcPr>
          <w:p w14:paraId="4DDB6701" w14:textId="31148EF2" w:rsidR="00327621" w:rsidRPr="00456DD9" w:rsidRDefault="00327621" w:rsidP="00327621">
            <w:pPr>
              <w:shd w:val="clear" w:color="auto" w:fill="FFFFFF"/>
              <w:spacing w:line="360" w:lineRule="auto"/>
              <w:jc w:val="both"/>
              <w:rPr>
                <w:rFonts w:ascii="Book Antiqua" w:eastAsia="宋体" w:hAnsi="Book Antiqua" w:cs="Arial"/>
                <w:color w:val="1C1D1E"/>
              </w:rPr>
            </w:pPr>
            <w:r w:rsidRPr="00456DD9">
              <w:rPr>
                <w:rFonts w:ascii="Book Antiqua" w:eastAsia="宋体" w:hAnsi="Book Antiqua" w:cs="Arial"/>
                <w:color w:val="1C1D1E"/>
              </w:rPr>
              <w:t xml:space="preserve">Lian </w:t>
            </w:r>
            <w:r w:rsidRPr="00456DD9">
              <w:rPr>
                <w:rFonts w:ascii="Book Antiqua" w:eastAsia="宋体" w:hAnsi="Book Antiqua" w:cs="Arial"/>
                <w:i/>
                <w:iCs/>
                <w:color w:val="1C1D1E"/>
              </w:rPr>
              <w:t>et al</w:t>
            </w:r>
            <w:r w:rsidRPr="00456DD9">
              <w:rPr>
                <w:rFonts w:ascii="Book Antiqua" w:eastAsia="宋体" w:hAnsi="Book Antiqua" w:cs="Arial"/>
                <w:color w:val="1C1D1E"/>
                <w:vertAlign w:val="superscript"/>
              </w:rPr>
              <w:t>[56]</w:t>
            </w:r>
          </w:p>
        </w:tc>
        <w:tc>
          <w:tcPr>
            <w:tcW w:w="1091" w:type="dxa"/>
          </w:tcPr>
          <w:p w14:paraId="750B679B" w14:textId="77777777" w:rsidR="00327621" w:rsidRPr="00456DD9" w:rsidRDefault="00327621" w:rsidP="00327621">
            <w:pPr>
              <w:shd w:val="clear" w:color="auto" w:fill="FFFFFF"/>
              <w:spacing w:line="360" w:lineRule="auto"/>
              <w:jc w:val="both"/>
              <w:rPr>
                <w:rFonts w:ascii="Book Antiqua" w:eastAsia="宋体" w:hAnsi="Book Antiqua" w:cs="Arial"/>
                <w:color w:val="1C1D1E"/>
              </w:rPr>
            </w:pPr>
            <w:r w:rsidRPr="00456DD9">
              <w:rPr>
                <w:rFonts w:ascii="Book Antiqua" w:eastAsia="宋体" w:hAnsi="Book Antiqua" w:cs="Arial"/>
                <w:color w:val="1C1D1E"/>
              </w:rPr>
              <w:t>465</w:t>
            </w:r>
          </w:p>
        </w:tc>
        <w:tc>
          <w:tcPr>
            <w:tcW w:w="3007" w:type="dxa"/>
          </w:tcPr>
          <w:p w14:paraId="51928D3C" w14:textId="762A1306" w:rsidR="00327621" w:rsidRPr="00456DD9" w:rsidRDefault="00327621" w:rsidP="00327621">
            <w:pPr>
              <w:shd w:val="clear" w:color="auto" w:fill="FFFFFF"/>
              <w:spacing w:line="360" w:lineRule="auto"/>
              <w:jc w:val="both"/>
              <w:rPr>
                <w:rFonts w:ascii="Book Antiqua" w:eastAsia="宋体" w:hAnsi="Book Antiqua" w:cs="Arial"/>
                <w:color w:val="1C1D1E"/>
              </w:rPr>
            </w:pPr>
            <w:r w:rsidRPr="00456DD9">
              <w:rPr>
                <w:rFonts w:ascii="Book Antiqua" w:eastAsia="宋体" w:hAnsi="Book Antiqua" w:cs="Arial"/>
                <w:color w:val="1C1D1E"/>
              </w:rPr>
              <w:t>61 (13.1)</w:t>
            </w:r>
          </w:p>
        </w:tc>
        <w:tc>
          <w:tcPr>
            <w:tcW w:w="1295" w:type="dxa"/>
            <w:gridSpan w:val="2"/>
          </w:tcPr>
          <w:p w14:paraId="7E410E3C" w14:textId="01C875F3" w:rsidR="00327621" w:rsidRPr="00456DD9" w:rsidRDefault="00327621" w:rsidP="00327621">
            <w:pPr>
              <w:shd w:val="clear" w:color="auto" w:fill="FFFFFF"/>
              <w:spacing w:line="360" w:lineRule="auto"/>
              <w:jc w:val="both"/>
              <w:rPr>
                <w:rFonts w:ascii="Book Antiqua" w:eastAsia="宋体" w:hAnsi="Book Antiqua" w:cs="Arial"/>
                <w:color w:val="1C1D1E"/>
              </w:rPr>
            </w:pPr>
            <w:r w:rsidRPr="00456DD9">
              <w:rPr>
                <w:rFonts w:ascii="Book Antiqua" w:eastAsia="宋体" w:hAnsi="Book Antiqua" w:cs="Arial"/>
                <w:color w:val="1C1D1E"/>
              </w:rPr>
              <w:t>19 (4.1)</w:t>
            </w:r>
          </w:p>
        </w:tc>
        <w:tc>
          <w:tcPr>
            <w:tcW w:w="2755" w:type="dxa"/>
          </w:tcPr>
          <w:p w14:paraId="20CC1307" w14:textId="77777777" w:rsidR="00327621" w:rsidRPr="00456DD9" w:rsidRDefault="00327621" w:rsidP="00327621">
            <w:pPr>
              <w:shd w:val="clear" w:color="auto" w:fill="FFFFFF"/>
              <w:spacing w:line="360" w:lineRule="auto"/>
              <w:jc w:val="both"/>
              <w:rPr>
                <w:rFonts w:ascii="Book Antiqua" w:eastAsia="宋体" w:hAnsi="Book Antiqua" w:cs="Arial"/>
                <w:color w:val="1C1D1E"/>
              </w:rPr>
            </w:pPr>
            <w:r w:rsidRPr="00456DD9">
              <w:rPr>
                <w:rFonts w:ascii="Book Antiqua" w:eastAsia="宋体" w:hAnsi="Book Antiqua" w:cs="Arial"/>
                <w:color w:val="1C1D1E"/>
              </w:rPr>
              <w:t>Liver injury was the most common complication among these patients</w:t>
            </w:r>
          </w:p>
        </w:tc>
      </w:tr>
      <w:tr w:rsidR="00327621" w:rsidRPr="006F2647" w14:paraId="2B3789B7" w14:textId="77777777" w:rsidTr="00161DA3">
        <w:tc>
          <w:tcPr>
            <w:tcW w:w="1428" w:type="dxa"/>
          </w:tcPr>
          <w:p w14:paraId="1346A00A" w14:textId="2F3E6B6F" w:rsidR="00327621" w:rsidRPr="00456DD9" w:rsidRDefault="00327621" w:rsidP="00327621">
            <w:pPr>
              <w:shd w:val="clear" w:color="auto" w:fill="FFFFFF"/>
              <w:spacing w:line="360" w:lineRule="auto"/>
              <w:jc w:val="both"/>
              <w:rPr>
                <w:rFonts w:ascii="Book Antiqua" w:eastAsia="宋体" w:hAnsi="Book Antiqua" w:cs="Arial"/>
                <w:color w:val="1C1D1E"/>
              </w:rPr>
            </w:pPr>
            <w:r w:rsidRPr="00456DD9">
              <w:rPr>
                <w:rFonts w:ascii="Book Antiqua" w:eastAsia="宋体" w:hAnsi="Book Antiqua" w:cs="Arial"/>
                <w:color w:val="1C1D1E"/>
              </w:rPr>
              <w:t xml:space="preserve">Chen </w:t>
            </w:r>
            <w:r w:rsidRPr="00456DD9">
              <w:rPr>
                <w:rFonts w:ascii="Book Antiqua" w:eastAsia="宋体" w:hAnsi="Book Antiqua" w:cs="Arial"/>
                <w:i/>
                <w:iCs/>
                <w:color w:val="1C1D1E"/>
              </w:rPr>
              <w:t>et al</w:t>
            </w:r>
            <w:r w:rsidRPr="00456DD9">
              <w:rPr>
                <w:rFonts w:ascii="Book Antiqua" w:eastAsia="宋体" w:hAnsi="Book Antiqua" w:cs="Arial"/>
                <w:color w:val="1C1D1E"/>
                <w:vertAlign w:val="superscript"/>
              </w:rPr>
              <w:t>[88]</w:t>
            </w:r>
          </w:p>
        </w:tc>
        <w:tc>
          <w:tcPr>
            <w:tcW w:w="1091" w:type="dxa"/>
          </w:tcPr>
          <w:p w14:paraId="177660C0" w14:textId="77777777" w:rsidR="00327621" w:rsidRPr="00456DD9" w:rsidRDefault="00327621" w:rsidP="00327621">
            <w:pPr>
              <w:shd w:val="clear" w:color="auto" w:fill="FFFFFF"/>
              <w:spacing w:line="360" w:lineRule="auto"/>
              <w:jc w:val="both"/>
              <w:rPr>
                <w:rFonts w:ascii="Book Antiqua" w:eastAsia="宋体" w:hAnsi="Book Antiqua" w:cs="Arial"/>
                <w:color w:val="1C1D1E"/>
              </w:rPr>
            </w:pPr>
            <w:r w:rsidRPr="00456DD9">
              <w:rPr>
                <w:rFonts w:ascii="Book Antiqua" w:eastAsia="宋体" w:hAnsi="Book Antiqua" w:cs="Arial"/>
                <w:color w:val="1C1D1E"/>
              </w:rPr>
              <w:t>503</w:t>
            </w:r>
          </w:p>
        </w:tc>
        <w:tc>
          <w:tcPr>
            <w:tcW w:w="3007" w:type="dxa"/>
          </w:tcPr>
          <w:p w14:paraId="336A534F" w14:textId="4728C5BD" w:rsidR="00327621" w:rsidRPr="00456DD9" w:rsidRDefault="00327621" w:rsidP="00327621">
            <w:pPr>
              <w:shd w:val="clear" w:color="auto" w:fill="FFFFFF"/>
              <w:spacing w:line="360" w:lineRule="auto"/>
              <w:jc w:val="both"/>
              <w:rPr>
                <w:rFonts w:ascii="Book Antiqua" w:eastAsia="宋体" w:hAnsi="Book Antiqua" w:cs="Arial"/>
                <w:color w:val="1C1D1E"/>
              </w:rPr>
            </w:pPr>
            <w:r w:rsidRPr="00456DD9">
              <w:rPr>
                <w:rFonts w:ascii="Book Antiqua" w:eastAsia="宋体" w:hAnsi="Book Antiqua" w:cs="Arial"/>
                <w:color w:val="1C1D1E"/>
              </w:rPr>
              <w:t>301 (69.8)</w:t>
            </w:r>
          </w:p>
        </w:tc>
        <w:tc>
          <w:tcPr>
            <w:tcW w:w="1295" w:type="dxa"/>
            <w:gridSpan w:val="2"/>
          </w:tcPr>
          <w:p w14:paraId="110AC1F6" w14:textId="77777777" w:rsidR="00327621" w:rsidRPr="00456DD9" w:rsidRDefault="00327621" w:rsidP="00327621">
            <w:pPr>
              <w:shd w:val="clear" w:color="auto" w:fill="FFFFFF"/>
              <w:spacing w:line="360" w:lineRule="auto"/>
              <w:jc w:val="both"/>
              <w:rPr>
                <w:rFonts w:ascii="Book Antiqua" w:eastAsia="宋体" w:hAnsi="Book Antiqua" w:cs="Arial"/>
                <w:color w:val="1C1D1E"/>
              </w:rPr>
            </w:pPr>
            <w:r w:rsidRPr="00456DD9">
              <w:rPr>
                <w:rFonts w:ascii="Book Antiqua" w:eastAsia="宋体" w:hAnsi="Book Antiqua" w:cs="Arial"/>
                <w:color w:val="1C1D1E"/>
              </w:rPr>
              <w:t>NA</w:t>
            </w:r>
          </w:p>
        </w:tc>
        <w:tc>
          <w:tcPr>
            <w:tcW w:w="2755" w:type="dxa"/>
          </w:tcPr>
          <w:p w14:paraId="64BFC00C" w14:textId="53219ABF" w:rsidR="00327621" w:rsidRPr="00456DD9" w:rsidRDefault="00327621" w:rsidP="00327621">
            <w:pPr>
              <w:shd w:val="clear" w:color="auto" w:fill="FFFFFF"/>
              <w:spacing w:line="360" w:lineRule="auto"/>
              <w:jc w:val="both"/>
              <w:rPr>
                <w:rFonts w:ascii="Book Antiqua" w:eastAsia="宋体" w:hAnsi="Book Antiqua" w:cs="Arial"/>
                <w:color w:val="1C1D1E"/>
              </w:rPr>
            </w:pPr>
            <w:r w:rsidRPr="00456DD9">
              <w:rPr>
                <w:rFonts w:ascii="Book Antiqua" w:eastAsia="宋体" w:hAnsi="Book Antiqua" w:cs="Arial"/>
                <w:color w:val="1C1D1E"/>
              </w:rPr>
              <w:t>Liver damage is an independent prognostic factor of COVID-19</w:t>
            </w:r>
          </w:p>
        </w:tc>
      </w:tr>
      <w:tr w:rsidR="00327621" w:rsidRPr="006F2647" w14:paraId="08303C71" w14:textId="77777777" w:rsidTr="00161DA3">
        <w:tc>
          <w:tcPr>
            <w:tcW w:w="1428" w:type="dxa"/>
          </w:tcPr>
          <w:p w14:paraId="0CAB06E7" w14:textId="32D312B8" w:rsidR="00327621" w:rsidRPr="00456DD9" w:rsidRDefault="00327621" w:rsidP="00327621">
            <w:pPr>
              <w:shd w:val="clear" w:color="auto" w:fill="FFFFFF"/>
              <w:spacing w:line="360" w:lineRule="auto"/>
              <w:jc w:val="both"/>
              <w:rPr>
                <w:rFonts w:ascii="Book Antiqua" w:eastAsia="宋体" w:hAnsi="Book Antiqua" w:cs="Arial"/>
                <w:color w:val="1C1D1E"/>
              </w:rPr>
            </w:pPr>
            <w:r w:rsidRPr="00456DD9">
              <w:rPr>
                <w:rFonts w:ascii="Book Antiqua" w:eastAsia="宋体" w:hAnsi="Book Antiqua" w:cs="Arial"/>
                <w:color w:val="1C1D1E"/>
              </w:rPr>
              <w:t xml:space="preserve">Jin </w:t>
            </w:r>
            <w:r w:rsidRPr="00456DD9">
              <w:rPr>
                <w:rFonts w:ascii="Book Antiqua" w:eastAsia="宋体" w:hAnsi="Book Antiqua" w:cs="Arial"/>
                <w:i/>
                <w:iCs/>
                <w:color w:val="1C1D1E"/>
              </w:rPr>
              <w:t>et al</w:t>
            </w:r>
            <w:r w:rsidRPr="00456DD9">
              <w:rPr>
                <w:rFonts w:ascii="Book Antiqua" w:eastAsia="宋体" w:hAnsi="Book Antiqua" w:cs="Arial"/>
                <w:color w:val="1C1D1E"/>
                <w:vertAlign w:val="superscript"/>
              </w:rPr>
              <w:t>[55]</w:t>
            </w:r>
          </w:p>
        </w:tc>
        <w:tc>
          <w:tcPr>
            <w:tcW w:w="1091" w:type="dxa"/>
          </w:tcPr>
          <w:p w14:paraId="18348218" w14:textId="77777777" w:rsidR="00327621" w:rsidRPr="00456DD9" w:rsidRDefault="00327621" w:rsidP="00327621">
            <w:pPr>
              <w:shd w:val="clear" w:color="auto" w:fill="FFFFFF"/>
              <w:spacing w:line="360" w:lineRule="auto"/>
              <w:jc w:val="both"/>
              <w:rPr>
                <w:rFonts w:ascii="Book Antiqua" w:eastAsia="宋体" w:hAnsi="Book Antiqua" w:cs="Arial"/>
                <w:color w:val="1C1D1E"/>
              </w:rPr>
            </w:pPr>
            <w:r w:rsidRPr="00456DD9">
              <w:rPr>
                <w:rFonts w:ascii="Book Antiqua" w:eastAsia="宋体" w:hAnsi="Book Antiqua" w:cs="Arial"/>
                <w:color w:val="1C1D1E"/>
              </w:rPr>
              <w:t>651</w:t>
            </w:r>
          </w:p>
        </w:tc>
        <w:tc>
          <w:tcPr>
            <w:tcW w:w="3007" w:type="dxa"/>
          </w:tcPr>
          <w:p w14:paraId="316F92B5" w14:textId="0236C78B" w:rsidR="00327621" w:rsidRPr="00456DD9" w:rsidRDefault="00327621" w:rsidP="00327621">
            <w:pPr>
              <w:shd w:val="clear" w:color="auto" w:fill="FFFFFF"/>
              <w:spacing w:line="360" w:lineRule="auto"/>
              <w:jc w:val="both"/>
              <w:rPr>
                <w:rFonts w:ascii="Book Antiqua" w:eastAsia="宋体" w:hAnsi="Book Antiqua" w:cs="Arial"/>
                <w:color w:val="1C1D1E"/>
              </w:rPr>
            </w:pPr>
            <w:r w:rsidRPr="00456DD9">
              <w:rPr>
                <w:rFonts w:ascii="Book Antiqua" w:eastAsia="宋体" w:hAnsi="Book Antiqua" w:cs="Arial"/>
                <w:color w:val="1C1D1E"/>
              </w:rPr>
              <w:t>64 (9.8)</w:t>
            </w:r>
          </w:p>
        </w:tc>
        <w:tc>
          <w:tcPr>
            <w:tcW w:w="1295" w:type="dxa"/>
            <w:gridSpan w:val="2"/>
          </w:tcPr>
          <w:p w14:paraId="205C083E" w14:textId="0261A294" w:rsidR="00327621" w:rsidRPr="00456DD9" w:rsidRDefault="00327621" w:rsidP="00327621">
            <w:pPr>
              <w:shd w:val="clear" w:color="auto" w:fill="FFFFFF"/>
              <w:spacing w:line="360" w:lineRule="auto"/>
              <w:jc w:val="both"/>
              <w:rPr>
                <w:rFonts w:ascii="Book Antiqua" w:eastAsia="宋体" w:hAnsi="Book Antiqua" w:cs="Arial"/>
                <w:color w:val="1C1D1E"/>
              </w:rPr>
            </w:pPr>
            <w:r w:rsidRPr="00456DD9">
              <w:rPr>
                <w:rFonts w:ascii="Book Antiqua" w:eastAsia="宋体" w:hAnsi="Book Antiqua" w:cs="Arial"/>
                <w:color w:val="1C1D1E"/>
              </w:rPr>
              <w:t>25 (3.8)</w:t>
            </w:r>
          </w:p>
        </w:tc>
        <w:tc>
          <w:tcPr>
            <w:tcW w:w="2755" w:type="dxa"/>
          </w:tcPr>
          <w:p w14:paraId="05B4E7E0" w14:textId="77777777" w:rsidR="00327621" w:rsidRPr="00456DD9" w:rsidRDefault="00327621" w:rsidP="00327621">
            <w:pPr>
              <w:shd w:val="clear" w:color="auto" w:fill="FFFFFF"/>
              <w:spacing w:line="360" w:lineRule="auto"/>
              <w:jc w:val="both"/>
              <w:rPr>
                <w:rFonts w:ascii="Book Antiqua" w:eastAsia="宋体" w:hAnsi="Book Antiqua" w:cs="Arial"/>
                <w:color w:val="1C1D1E"/>
              </w:rPr>
            </w:pPr>
          </w:p>
        </w:tc>
      </w:tr>
      <w:tr w:rsidR="00327621" w:rsidRPr="006F2647" w14:paraId="45C5EAD7" w14:textId="77777777" w:rsidTr="00161DA3">
        <w:tc>
          <w:tcPr>
            <w:tcW w:w="1428" w:type="dxa"/>
          </w:tcPr>
          <w:p w14:paraId="3D8B7A24" w14:textId="3AA87264" w:rsidR="00327621" w:rsidRPr="00456DD9" w:rsidRDefault="00327621" w:rsidP="00327621">
            <w:pPr>
              <w:shd w:val="clear" w:color="auto" w:fill="FFFFFF"/>
              <w:spacing w:line="360" w:lineRule="auto"/>
              <w:jc w:val="both"/>
              <w:rPr>
                <w:rFonts w:ascii="Book Antiqua" w:eastAsia="宋体" w:hAnsi="Book Antiqua" w:cs="Arial"/>
                <w:color w:val="1C1D1E"/>
              </w:rPr>
            </w:pPr>
            <w:r w:rsidRPr="00456DD9">
              <w:rPr>
                <w:rFonts w:ascii="Book Antiqua" w:eastAsia="宋体" w:hAnsi="Book Antiqua" w:cs="Arial"/>
                <w:color w:val="1C1D1E"/>
              </w:rPr>
              <w:t xml:space="preserve">Xie </w:t>
            </w:r>
            <w:r w:rsidRPr="00456DD9">
              <w:rPr>
                <w:rFonts w:ascii="Book Antiqua" w:eastAsia="宋体" w:hAnsi="Book Antiqua" w:cs="Arial"/>
                <w:i/>
                <w:iCs/>
                <w:color w:val="1C1D1E"/>
              </w:rPr>
              <w:t>et al</w:t>
            </w:r>
            <w:r w:rsidRPr="00456DD9">
              <w:rPr>
                <w:rFonts w:ascii="Book Antiqua" w:eastAsia="宋体" w:hAnsi="Book Antiqua" w:cs="Arial"/>
                <w:color w:val="1C1D1E"/>
                <w:vertAlign w:val="superscript"/>
              </w:rPr>
              <w:t>[89]</w:t>
            </w:r>
          </w:p>
        </w:tc>
        <w:tc>
          <w:tcPr>
            <w:tcW w:w="1091" w:type="dxa"/>
          </w:tcPr>
          <w:p w14:paraId="2AD98EAC" w14:textId="77777777" w:rsidR="00327621" w:rsidRPr="00456DD9" w:rsidRDefault="00327621" w:rsidP="00327621">
            <w:pPr>
              <w:shd w:val="clear" w:color="auto" w:fill="FFFFFF"/>
              <w:spacing w:line="360" w:lineRule="auto"/>
              <w:jc w:val="both"/>
              <w:rPr>
                <w:rFonts w:ascii="Book Antiqua" w:eastAsia="宋体" w:hAnsi="Book Antiqua" w:cs="Arial"/>
                <w:color w:val="1C1D1E"/>
              </w:rPr>
            </w:pPr>
            <w:r w:rsidRPr="00456DD9">
              <w:rPr>
                <w:rFonts w:ascii="Book Antiqua" w:eastAsia="宋体" w:hAnsi="Book Antiqua" w:cs="Arial"/>
                <w:color w:val="1C1D1E"/>
              </w:rPr>
              <w:t>79</w:t>
            </w:r>
          </w:p>
        </w:tc>
        <w:tc>
          <w:tcPr>
            <w:tcW w:w="3007" w:type="dxa"/>
          </w:tcPr>
          <w:p w14:paraId="3864422F" w14:textId="0FBD0145" w:rsidR="00327621" w:rsidRPr="00456DD9" w:rsidRDefault="00327621" w:rsidP="00327621">
            <w:pPr>
              <w:shd w:val="clear" w:color="auto" w:fill="FFFFFF"/>
              <w:spacing w:line="360" w:lineRule="auto"/>
              <w:jc w:val="both"/>
              <w:rPr>
                <w:rFonts w:ascii="Book Antiqua" w:eastAsia="宋体" w:hAnsi="Book Antiqua" w:cs="Arial"/>
                <w:color w:val="1C1D1E"/>
              </w:rPr>
            </w:pPr>
            <w:r w:rsidRPr="00456DD9">
              <w:rPr>
                <w:rFonts w:ascii="Book Antiqua" w:eastAsia="宋体" w:hAnsi="Book Antiqua" w:cs="Arial"/>
                <w:color w:val="1C1D1E"/>
              </w:rPr>
              <w:t>Elevated ALT (31.6); Elevated AST (35.4); Elevated TB (5.1)</w:t>
            </w:r>
          </w:p>
        </w:tc>
        <w:tc>
          <w:tcPr>
            <w:tcW w:w="1295" w:type="dxa"/>
            <w:gridSpan w:val="2"/>
          </w:tcPr>
          <w:p w14:paraId="794BCE5A" w14:textId="77777777" w:rsidR="00327621" w:rsidRPr="00456DD9" w:rsidRDefault="00327621" w:rsidP="00327621">
            <w:pPr>
              <w:shd w:val="clear" w:color="auto" w:fill="FFFFFF"/>
              <w:spacing w:line="360" w:lineRule="auto"/>
              <w:jc w:val="both"/>
              <w:rPr>
                <w:rFonts w:ascii="Book Antiqua" w:eastAsia="宋体" w:hAnsi="Book Antiqua" w:cs="Arial"/>
                <w:color w:val="1C1D1E"/>
              </w:rPr>
            </w:pPr>
            <w:r w:rsidRPr="00456DD9">
              <w:rPr>
                <w:rFonts w:ascii="Book Antiqua" w:eastAsia="宋体" w:hAnsi="Book Antiqua" w:cs="Arial"/>
                <w:color w:val="1C1D1E"/>
              </w:rPr>
              <w:t>NA</w:t>
            </w:r>
          </w:p>
        </w:tc>
        <w:tc>
          <w:tcPr>
            <w:tcW w:w="2755" w:type="dxa"/>
          </w:tcPr>
          <w:p w14:paraId="6C384542" w14:textId="77777777" w:rsidR="00327621" w:rsidRPr="00456DD9" w:rsidRDefault="00327621" w:rsidP="00327621">
            <w:pPr>
              <w:shd w:val="clear" w:color="auto" w:fill="FFFFFF"/>
              <w:spacing w:line="360" w:lineRule="auto"/>
              <w:jc w:val="both"/>
              <w:rPr>
                <w:rFonts w:ascii="Book Antiqua" w:eastAsia="宋体" w:hAnsi="Book Antiqua" w:cs="Arial"/>
                <w:color w:val="1C1D1E"/>
              </w:rPr>
            </w:pPr>
            <w:r w:rsidRPr="00456DD9">
              <w:rPr>
                <w:rFonts w:ascii="Book Antiqua" w:eastAsia="宋体" w:hAnsi="Book Antiqua" w:cs="Arial"/>
                <w:color w:val="1C1D1E"/>
              </w:rPr>
              <w:t>COVID-19 with liver injury in non-ICU hospitalized patients was common</w:t>
            </w:r>
          </w:p>
        </w:tc>
      </w:tr>
      <w:tr w:rsidR="00327621" w:rsidRPr="006F2647" w14:paraId="4B7A0754" w14:textId="77777777" w:rsidTr="00161DA3">
        <w:tc>
          <w:tcPr>
            <w:tcW w:w="1428" w:type="dxa"/>
          </w:tcPr>
          <w:p w14:paraId="54CF094E" w14:textId="439ABD7F" w:rsidR="00327621" w:rsidRPr="00456DD9" w:rsidRDefault="00327621" w:rsidP="00327621">
            <w:pPr>
              <w:shd w:val="clear" w:color="auto" w:fill="FFFFFF"/>
              <w:spacing w:line="360" w:lineRule="auto"/>
              <w:jc w:val="both"/>
              <w:rPr>
                <w:rFonts w:ascii="Book Antiqua" w:eastAsia="宋体" w:hAnsi="Book Antiqua" w:cs="Arial"/>
                <w:color w:val="1C1D1E"/>
              </w:rPr>
            </w:pPr>
            <w:r w:rsidRPr="00456DD9">
              <w:rPr>
                <w:rFonts w:ascii="Book Antiqua" w:eastAsia="宋体" w:hAnsi="Book Antiqua" w:cs="Arial"/>
                <w:color w:val="1C1D1E"/>
              </w:rPr>
              <w:t xml:space="preserve">Wang </w:t>
            </w:r>
            <w:r w:rsidRPr="00456DD9">
              <w:rPr>
                <w:rFonts w:ascii="Book Antiqua" w:eastAsia="宋体" w:hAnsi="Book Antiqua" w:cs="Arial"/>
                <w:i/>
                <w:iCs/>
                <w:color w:val="1C1D1E"/>
              </w:rPr>
              <w:t>et al</w:t>
            </w:r>
            <w:r w:rsidRPr="00456DD9">
              <w:rPr>
                <w:rFonts w:ascii="Book Antiqua" w:eastAsia="宋体" w:hAnsi="Book Antiqua" w:cs="Arial"/>
                <w:color w:val="1C1D1E"/>
                <w:vertAlign w:val="superscript"/>
              </w:rPr>
              <w:t>[90]</w:t>
            </w:r>
          </w:p>
        </w:tc>
        <w:tc>
          <w:tcPr>
            <w:tcW w:w="1091" w:type="dxa"/>
          </w:tcPr>
          <w:p w14:paraId="25A4CEF4" w14:textId="77777777" w:rsidR="00327621" w:rsidRPr="00456DD9" w:rsidRDefault="00327621" w:rsidP="00327621">
            <w:pPr>
              <w:shd w:val="clear" w:color="auto" w:fill="FFFFFF"/>
              <w:spacing w:line="360" w:lineRule="auto"/>
              <w:jc w:val="both"/>
              <w:rPr>
                <w:rFonts w:ascii="Book Antiqua" w:eastAsia="宋体" w:hAnsi="Book Antiqua" w:cs="Arial"/>
                <w:color w:val="1C1D1E"/>
              </w:rPr>
            </w:pPr>
            <w:r w:rsidRPr="00456DD9">
              <w:rPr>
                <w:rFonts w:ascii="Book Antiqua" w:eastAsia="宋体" w:hAnsi="Book Antiqua" w:cs="Arial"/>
                <w:color w:val="1C1D1E"/>
              </w:rPr>
              <w:t>293</w:t>
            </w:r>
          </w:p>
        </w:tc>
        <w:tc>
          <w:tcPr>
            <w:tcW w:w="3007" w:type="dxa"/>
          </w:tcPr>
          <w:p w14:paraId="3EA42368" w14:textId="60E65BF7" w:rsidR="00327621" w:rsidRPr="00456DD9" w:rsidRDefault="00327621" w:rsidP="00327621">
            <w:pPr>
              <w:shd w:val="clear" w:color="auto" w:fill="FFFFFF"/>
              <w:spacing w:line="360" w:lineRule="auto"/>
              <w:jc w:val="both"/>
              <w:rPr>
                <w:rFonts w:ascii="Book Antiqua" w:eastAsia="宋体" w:hAnsi="Book Antiqua" w:cs="Arial"/>
                <w:color w:val="1C1D1E"/>
              </w:rPr>
            </w:pPr>
            <w:r w:rsidRPr="00456DD9">
              <w:rPr>
                <w:rFonts w:ascii="Book Antiqua" w:eastAsia="宋体" w:hAnsi="Book Antiqua" w:cs="Arial"/>
                <w:color w:val="1C1D1E"/>
              </w:rPr>
              <w:t>19 (6.5)</w:t>
            </w:r>
          </w:p>
        </w:tc>
        <w:tc>
          <w:tcPr>
            <w:tcW w:w="1295" w:type="dxa"/>
            <w:gridSpan w:val="2"/>
          </w:tcPr>
          <w:p w14:paraId="39EF3289" w14:textId="76A6BD30" w:rsidR="00327621" w:rsidRPr="00456DD9" w:rsidRDefault="00327621" w:rsidP="00327621">
            <w:pPr>
              <w:shd w:val="clear" w:color="auto" w:fill="FFFFFF"/>
              <w:spacing w:line="360" w:lineRule="auto"/>
              <w:jc w:val="both"/>
              <w:rPr>
                <w:rFonts w:ascii="Book Antiqua" w:eastAsia="宋体" w:hAnsi="Book Antiqua" w:cs="Arial"/>
                <w:color w:val="1C1D1E"/>
              </w:rPr>
            </w:pPr>
            <w:r w:rsidRPr="00456DD9">
              <w:rPr>
                <w:rFonts w:ascii="Book Antiqua" w:eastAsia="宋体" w:hAnsi="Book Antiqua" w:cs="Arial"/>
                <w:color w:val="1C1D1E"/>
              </w:rPr>
              <w:t>12 (4.1)</w:t>
            </w:r>
          </w:p>
        </w:tc>
        <w:tc>
          <w:tcPr>
            <w:tcW w:w="2755" w:type="dxa"/>
          </w:tcPr>
          <w:p w14:paraId="28727EDF" w14:textId="1E8540AE" w:rsidR="00327621" w:rsidRPr="00456DD9" w:rsidRDefault="00327621" w:rsidP="00327621">
            <w:pPr>
              <w:shd w:val="clear" w:color="auto" w:fill="FFFFFF"/>
              <w:spacing w:line="360" w:lineRule="auto"/>
              <w:jc w:val="both"/>
              <w:rPr>
                <w:rFonts w:ascii="Book Antiqua" w:eastAsia="宋体" w:hAnsi="Book Antiqua" w:cs="Arial"/>
                <w:color w:val="1C1D1E"/>
              </w:rPr>
            </w:pPr>
            <w:r w:rsidRPr="00456DD9">
              <w:rPr>
                <w:rFonts w:ascii="Book Antiqua" w:eastAsia="宋体" w:hAnsi="Book Antiqua" w:cs="Arial"/>
                <w:color w:val="1C1D1E"/>
              </w:rPr>
              <w:t>Compared with the survival group, the non-survival group was more prone to complications of acute liver injury</w:t>
            </w:r>
          </w:p>
        </w:tc>
      </w:tr>
      <w:tr w:rsidR="00327621" w:rsidRPr="006F2647" w14:paraId="7601F046" w14:textId="77777777" w:rsidTr="00161DA3">
        <w:tblPrEx>
          <w:tblLook w:val="0000" w:firstRow="0" w:lastRow="0" w:firstColumn="0" w:lastColumn="0" w:noHBand="0" w:noVBand="0"/>
        </w:tblPrEx>
        <w:tc>
          <w:tcPr>
            <w:tcW w:w="1428" w:type="dxa"/>
          </w:tcPr>
          <w:p w14:paraId="237804F3" w14:textId="79BC942B" w:rsidR="00327621" w:rsidRPr="00456DD9" w:rsidRDefault="00327621" w:rsidP="00327621">
            <w:pPr>
              <w:shd w:val="clear" w:color="auto" w:fill="FFFFFF"/>
              <w:spacing w:line="360" w:lineRule="auto"/>
              <w:jc w:val="both"/>
              <w:rPr>
                <w:rFonts w:ascii="Book Antiqua" w:eastAsia="宋体" w:hAnsi="Book Antiqua" w:cs="Arial"/>
                <w:color w:val="1C1D1E"/>
              </w:rPr>
            </w:pPr>
            <w:r w:rsidRPr="00456DD9">
              <w:rPr>
                <w:rFonts w:ascii="Book Antiqua" w:eastAsia="宋体" w:hAnsi="Book Antiqua" w:cs="Arial"/>
                <w:color w:val="1C1D1E"/>
              </w:rPr>
              <w:t xml:space="preserve">Chen </w:t>
            </w:r>
            <w:r w:rsidRPr="00456DD9">
              <w:rPr>
                <w:rFonts w:ascii="Book Antiqua" w:eastAsia="宋体" w:hAnsi="Book Antiqua" w:cs="Arial"/>
                <w:i/>
                <w:iCs/>
                <w:color w:val="1C1D1E"/>
              </w:rPr>
              <w:t>et al</w:t>
            </w:r>
            <w:r w:rsidRPr="00456DD9">
              <w:rPr>
                <w:rFonts w:ascii="Book Antiqua" w:eastAsia="宋体" w:hAnsi="Book Antiqua" w:cs="Arial"/>
                <w:color w:val="1C1D1E"/>
                <w:vertAlign w:val="superscript"/>
              </w:rPr>
              <w:t>[91]</w:t>
            </w:r>
          </w:p>
        </w:tc>
        <w:tc>
          <w:tcPr>
            <w:tcW w:w="1091" w:type="dxa"/>
          </w:tcPr>
          <w:p w14:paraId="4E62932D" w14:textId="77777777" w:rsidR="00327621" w:rsidRPr="00456DD9" w:rsidRDefault="00327621" w:rsidP="00327621">
            <w:pPr>
              <w:shd w:val="clear" w:color="auto" w:fill="FFFFFF"/>
              <w:spacing w:line="360" w:lineRule="auto"/>
              <w:jc w:val="both"/>
              <w:rPr>
                <w:rFonts w:ascii="Book Antiqua" w:eastAsia="宋体" w:hAnsi="Book Antiqua" w:cs="Arial"/>
                <w:color w:val="1C1D1E"/>
              </w:rPr>
            </w:pPr>
            <w:r w:rsidRPr="00456DD9">
              <w:rPr>
                <w:rFonts w:ascii="Book Antiqua" w:eastAsia="宋体" w:hAnsi="Book Antiqua" w:cs="Arial"/>
                <w:color w:val="1C1D1E"/>
              </w:rPr>
              <w:t>274</w:t>
            </w:r>
          </w:p>
        </w:tc>
        <w:tc>
          <w:tcPr>
            <w:tcW w:w="3007" w:type="dxa"/>
          </w:tcPr>
          <w:p w14:paraId="36B50854" w14:textId="0062F527" w:rsidR="00327621" w:rsidRPr="00456DD9" w:rsidRDefault="00327621" w:rsidP="00327621">
            <w:pPr>
              <w:shd w:val="clear" w:color="auto" w:fill="FFFFFF"/>
              <w:spacing w:line="360" w:lineRule="auto"/>
              <w:jc w:val="both"/>
              <w:rPr>
                <w:rFonts w:ascii="Book Antiqua" w:eastAsia="宋体" w:hAnsi="Book Antiqua" w:cs="Arial"/>
                <w:color w:val="1C1D1E"/>
              </w:rPr>
            </w:pPr>
            <w:r w:rsidRPr="00456DD9">
              <w:rPr>
                <w:rFonts w:ascii="Book Antiqua" w:eastAsia="宋体" w:hAnsi="Book Antiqua" w:cs="Arial"/>
                <w:color w:val="1C1D1E"/>
              </w:rPr>
              <w:t>Elevated AST 84 (31)</w:t>
            </w:r>
          </w:p>
        </w:tc>
        <w:tc>
          <w:tcPr>
            <w:tcW w:w="1287" w:type="dxa"/>
          </w:tcPr>
          <w:p w14:paraId="5A0D5655" w14:textId="75B4DED4" w:rsidR="00327621" w:rsidRPr="00456DD9" w:rsidRDefault="00327621" w:rsidP="00327621">
            <w:pPr>
              <w:shd w:val="clear" w:color="auto" w:fill="FFFFFF"/>
              <w:spacing w:line="360" w:lineRule="auto"/>
              <w:jc w:val="both"/>
              <w:rPr>
                <w:rFonts w:ascii="Book Antiqua" w:eastAsia="宋体" w:hAnsi="Book Antiqua" w:cs="Arial"/>
                <w:color w:val="1C1D1E"/>
              </w:rPr>
            </w:pPr>
            <w:r w:rsidRPr="00456DD9">
              <w:rPr>
                <w:rFonts w:ascii="Book Antiqua" w:eastAsia="宋体" w:hAnsi="Book Antiqua" w:cs="Arial"/>
                <w:color w:val="1C1D1E"/>
              </w:rPr>
              <w:t>11 (4)</w:t>
            </w:r>
          </w:p>
        </w:tc>
        <w:tc>
          <w:tcPr>
            <w:tcW w:w="2763" w:type="dxa"/>
            <w:gridSpan w:val="2"/>
          </w:tcPr>
          <w:p w14:paraId="4CB5D039" w14:textId="77777777" w:rsidR="00327621" w:rsidRPr="00456DD9" w:rsidRDefault="00327621" w:rsidP="00327621">
            <w:pPr>
              <w:shd w:val="clear" w:color="auto" w:fill="FFFFFF"/>
              <w:spacing w:line="360" w:lineRule="auto"/>
              <w:jc w:val="both"/>
              <w:rPr>
                <w:rFonts w:ascii="Book Antiqua" w:eastAsia="宋体" w:hAnsi="Book Antiqua" w:cs="Arial"/>
                <w:color w:val="1C1D1E"/>
              </w:rPr>
            </w:pPr>
            <w:r w:rsidRPr="00456DD9">
              <w:rPr>
                <w:rFonts w:ascii="Book Antiqua" w:eastAsia="宋体" w:hAnsi="Book Antiqua" w:cs="Arial"/>
                <w:color w:val="1C1D1E"/>
              </w:rPr>
              <w:t>The frequency of liver injury in the deceased patients was significantly higher than that in the recovered patients</w:t>
            </w:r>
          </w:p>
        </w:tc>
      </w:tr>
      <w:tr w:rsidR="00327621" w:rsidRPr="006F2647" w14:paraId="6679332E" w14:textId="77777777" w:rsidTr="00161DA3">
        <w:tblPrEx>
          <w:tblLook w:val="0000" w:firstRow="0" w:lastRow="0" w:firstColumn="0" w:lastColumn="0" w:noHBand="0" w:noVBand="0"/>
        </w:tblPrEx>
        <w:tc>
          <w:tcPr>
            <w:tcW w:w="1428" w:type="dxa"/>
            <w:tcBorders>
              <w:bottom w:val="single" w:sz="4" w:space="0" w:color="auto"/>
            </w:tcBorders>
          </w:tcPr>
          <w:p w14:paraId="436B97E7" w14:textId="5B71DB90" w:rsidR="00327621" w:rsidRPr="00456DD9" w:rsidRDefault="00327621" w:rsidP="00327621">
            <w:pPr>
              <w:shd w:val="clear" w:color="auto" w:fill="FFFFFF"/>
              <w:spacing w:line="360" w:lineRule="auto"/>
              <w:jc w:val="both"/>
              <w:rPr>
                <w:rFonts w:ascii="Book Antiqua" w:eastAsia="宋体" w:hAnsi="Book Antiqua" w:cs="Arial"/>
                <w:color w:val="1C1D1E"/>
              </w:rPr>
            </w:pPr>
            <w:r w:rsidRPr="00456DD9">
              <w:rPr>
                <w:rFonts w:ascii="Book Antiqua" w:eastAsia="宋体" w:hAnsi="Book Antiqua" w:cs="Arial"/>
                <w:color w:val="1C1D1E"/>
              </w:rPr>
              <w:t xml:space="preserve">Yu </w:t>
            </w:r>
            <w:r w:rsidRPr="00456DD9">
              <w:rPr>
                <w:rFonts w:ascii="Book Antiqua" w:eastAsia="宋体" w:hAnsi="Book Antiqua" w:cs="Arial"/>
                <w:i/>
                <w:iCs/>
                <w:color w:val="1C1D1E"/>
              </w:rPr>
              <w:t>et al</w:t>
            </w:r>
            <w:r w:rsidRPr="00456DD9">
              <w:rPr>
                <w:rFonts w:ascii="Book Antiqua" w:eastAsia="宋体" w:hAnsi="Book Antiqua" w:cs="Arial"/>
                <w:color w:val="1C1D1E"/>
                <w:vertAlign w:val="superscript"/>
              </w:rPr>
              <w:t>[54]</w:t>
            </w:r>
          </w:p>
        </w:tc>
        <w:tc>
          <w:tcPr>
            <w:tcW w:w="1091" w:type="dxa"/>
            <w:tcBorders>
              <w:bottom w:val="single" w:sz="4" w:space="0" w:color="auto"/>
            </w:tcBorders>
          </w:tcPr>
          <w:p w14:paraId="11AF571B" w14:textId="77777777" w:rsidR="00327621" w:rsidRPr="00456DD9" w:rsidRDefault="00327621" w:rsidP="00327621">
            <w:pPr>
              <w:shd w:val="clear" w:color="auto" w:fill="FFFFFF"/>
              <w:spacing w:line="360" w:lineRule="auto"/>
              <w:jc w:val="both"/>
              <w:rPr>
                <w:rFonts w:ascii="Book Antiqua" w:eastAsia="宋体" w:hAnsi="Book Antiqua" w:cs="Arial"/>
                <w:color w:val="1C1D1E"/>
              </w:rPr>
            </w:pPr>
            <w:r w:rsidRPr="00456DD9">
              <w:rPr>
                <w:rFonts w:ascii="Book Antiqua" w:eastAsia="宋体" w:hAnsi="Book Antiqua" w:cs="Arial"/>
                <w:color w:val="1C1D1E"/>
              </w:rPr>
              <w:t>1633</w:t>
            </w:r>
          </w:p>
        </w:tc>
        <w:tc>
          <w:tcPr>
            <w:tcW w:w="3007" w:type="dxa"/>
            <w:tcBorders>
              <w:bottom w:val="single" w:sz="4" w:space="0" w:color="auto"/>
            </w:tcBorders>
          </w:tcPr>
          <w:p w14:paraId="2D47BEDB" w14:textId="5993020D" w:rsidR="00327621" w:rsidRPr="00456DD9" w:rsidRDefault="00327621" w:rsidP="00327621">
            <w:pPr>
              <w:shd w:val="clear" w:color="auto" w:fill="FFFFFF"/>
              <w:spacing w:line="360" w:lineRule="auto"/>
              <w:jc w:val="both"/>
              <w:rPr>
                <w:rFonts w:ascii="Book Antiqua" w:eastAsia="宋体" w:hAnsi="Book Antiqua" w:cs="Arial"/>
                <w:color w:val="1C1D1E"/>
              </w:rPr>
            </w:pPr>
            <w:r w:rsidRPr="00456DD9">
              <w:rPr>
                <w:rFonts w:ascii="Book Antiqua" w:eastAsia="宋体" w:hAnsi="Book Antiqua" w:cs="Arial"/>
                <w:color w:val="1C1D1E"/>
              </w:rPr>
              <w:t>Elevated ALT 298/1445 (20.6); Elevated AST 303/1445 (21.0)</w:t>
            </w:r>
          </w:p>
        </w:tc>
        <w:tc>
          <w:tcPr>
            <w:tcW w:w="1287" w:type="dxa"/>
            <w:tcBorders>
              <w:bottom w:val="single" w:sz="4" w:space="0" w:color="auto"/>
            </w:tcBorders>
          </w:tcPr>
          <w:p w14:paraId="34719527" w14:textId="36D56214" w:rsidR="00327621" w:rsidRPr="00456DD9" w:rsidRDefault="00327621" w:rsidP="00327621">
            <w:pPr>
              <w:shd w:val="clear" w:color="auto" w:fill="FFFFFF"/>
              <w:spacing w:line="360" w:lineRule="auto"/>
              <w:jc w:val="both"/>
              <w:rPr>
                <w:rFonts w:ascii="Book Antiqua" w:eastAsia="宋体" w:hAnsi="Book Antiqua" w:cs="Arial"/>
                <w:color w:val="1C1D1E"/>
              </w:rPr>
            </w:pPr>
            <w:r w:rsidRPr="00456DD9">
              <w:rPr>
                <w:rFonts w:ascii="Book Antiqua" w:eastAsia="宋体" w:hAnsi="Book Antiqua" w:cs="Arial"/>
                <w:color w:val="1C1D1E"/>
              </w:rPr>
              <w:t>38 (2.3)</w:t>
            </w:r>
          </w:p>
        </w:tc>
        <w:tc>
          <w:tcPr>
            <w:tcW w:w="2763" w:type="dxa"/>
            <w:gridSpan w:val="2"/>
            <w:tcBorders>
              <w:bottom w:val="single" w:sz="4" w:space="0" w:color="auto"/>
            </w:tcBorders>
          </w:tcPr>
          <w:p w14:paraId="0473B87D" w14:textId="7C0C13CD" w:rsidR="00327621" w:rsidRPr="00456DD9" w:rsidRDefault="00327621" w:rsidP="00327621">
            <w:pPr>
              <w:shd w:val="clear" w:color="auto" w:fill="FFFFFF"/>
              <w:spacing w:line="360" w:lineRule="auto"/>
              <w:jc w:val="both"/>
              <w:rPr>
                <w:rFonts w:ascii="Book Antiqua" w:eastAsia="宋体" w:hAnsi="Book Antiqua" w:cs="Arial"/>
                <w:color w:val="1C1D1E"/>
              </w:rPr>
            </w:pPr>
            <w:r w:rsidRPr="00456DD9">
              <w:rPr>
                <w:rFonts w:ascii="Book Antiqua" w:eastAsia="宋体" w:hAnsi="Book Antiqua" w:cs="Arial"/>
                <w:color w:val="1C1D1E"/>
              </w:rPr>
              <w:t>Severe patients are more likely to have liver injury than</w:t>
            </w:r>
            <w:r w:rsidR="00611E5E" w:rsidRPr="00456DD9">
              <w:rPr>
                <w:rFonts w:ascii="Book Antiqua" w:eastAsia="宋体" w:hAnsi="Book Antiqua" w:cs="Arial"/>
                <w:color w:val="1C1D1E"/>
                <w:sz w:val="18"/>
                <w:szCs w:val="18"/>
              </w:rPr>
              <w:t xml:space="preserve"> </w:t>
            </w:r>
            <w:r w:rsidR="006F2647">
              <w:rPr>
                <w:rFonts w:ascii="Book Antiqua" w:eastAsia="宋体" w:hAnsi="Book Antiqua" w:cs="Arial"/>
                <w:color w:val="1C1D1E"/>
                <w:sz w:val="18"/>
                <w:szCs w:val="18"/>
              </w:rPr>
              <w:t>mild patients</w:t>
            </w:r>
          </w:p>
        </w:tc>
      </w:tr>
    </w:tbl>
    <w:p w14:paraId="5175D1C0" w14:textId="14868942" w:rsidR="00161DA3" w:rsidRDefault="00327621" w:rsidP="00327621">
      <w:pPr>
        <w:spacing w:line="360" w:lineRule="auto"/>
        <w:jc w:val="both"/>
        <w:rPr>
          <w:rFonts w:ascii="Book Antiqua" w:hAnsi="Book Antiqua"/>
        </w:rPr>
      </w:pPr>
      <w:r w:rsidRPr="00456DD9">
        <w:rPr>
          <w:rFonts w:ascii="Book Antiqua" w:hAnsi="Book Antiqua"/>
        </w:rPr>
        <w:t xml:space="preserve">ALT: Alanine transaminase; AST: Aspartate aminotransferase; ICU: Intensive care unit; </w:t>
      </w:r>
      <w:r w:rsidR="008039CB" w:rsidRPr="00456DD9">
        <w:rPr>
          <w:rFonts w:ascii="Book Antiqua" w:hAnsi="Book Antiqua"/>
        </w:rPr>
        <w:t>NA: Not applicable</w:t>
      </w:r>
      <w:r w:rsidR="008039CB">
        <w:rPr>
          <w:rFonts w:ascii="Book Antiqua" w:hAnsi="Book Antiqua"/>
        </w:rPr>
        <w:t xml:space="preserve">; </w:t>
      </w:r>
      <w:r w:rsidRPr="00456DD9">
        <w:rPr>
          <w:rFonts w:ascii="Book Antiqua" w:hAnsi="Book Antiqua"/>
        </w:rPr>
        <w:t>TB: Total bilirubin</w:t>
      </w:r>
      <w:r w:rsidR="008039CB">
        <w:rPr>
          <w:rFonts w:ascii="Book Antiqua" w:hAnsi="Book Antiqua"/>
        </w:rPr>
        <w:t>.</w:t>
      </w:r>
      <w:r w:rsidRPr="00456DD9">
        <w:rPr>
          <w:rFonts w:ascii="Book Antiqua" w:hAnsi="Book Antiqua"/>
        </w:rPr>
        <w:t xml:space="preserve"> </w:t>
      </w:r>
    </w:p>
    <w:p w14:paraId="2CB314B6" w14:textId="59C83BE1" w:rsidR="00327621" w:rsidRDefault="00161DA3" w:rsidP="00327621">
      <w:pPr>
        <w:spacing w:line="360" w:lineRule="auto"/>
        <w:jc w:val="both"/>
        <w:rPr>
          <w:rFonts w:ascii="Book Antiqua" w:hAnsi="Book Antiqua"/>
          <w:b/>
          <w:bCs/>
        </w:rPr>
      </w:pPr>
      <w:r>
        <w:rPr>
          <w:rFonts w:ascii="Book Antiqua" w:hAnsi="Book Antiqua"/>
        </w:rPr>
        <w:br w:type="page"/>
      </w:r>
      <w:r w:rsidRPr="00161DA3">
        <w:rPr>
          <w:rFonts w:ascii="Book Antiqua" w:hAnsi="Book Antiqua"/>
          <w:b/>
          <w:bCs/>
        </w:rPr>
        <w:t xml:space="preserve">Table 2 Classification of the severity of liver injury in terms of the adverse outcome of </w:t>
      </w:r>
      <w:r w:rsidRPr="00327621">
        <w:rPr>
          <w:rFonts w:ascii="Book Antiqua" w:eastAsia="Book Antiqua" w:hAnsi="Book Antiqua" w:cs="Book Antiqua"/>
          <w:b/>
          <w:bCs/>
          <w:color w:val="000000"/>
        </w:rPr>
        <w:t>coronavirus disease</w:t>
      </w:r>
    </w:p>
    <w:tbl>
      <w:tblPr>
        <w:tblW w:w="5228" w:type="pct"/>
        <w:tblInd w:w="-426" w:type="dxa"/>
        <w:tblLayout w:type="fixed"/>
        <w:tblLook w:val="04A0" w:firstRow="1" w:lastRow="0" w:firstColumn="1" w:lastColumn="0" w:noHBand="0" w:noVBand="1"/>
      </w:tblPr>
      <w:tblGrid>
        <w:gridCol w:w="1372"/>
        <w:gridCol w:w="1318"/>
        <w:gridCol w:w="1100"/>
        <w:gridCol w:w="1282"/>
        <w:gridCol w:w="1282"/>
        <w:gridCol w:w="1290"/>
        <w:gridCol w:w="2369"/>
      </w:tblGrid>
      <w:tr w:rsidR="006F2647" w:rsidRPr="006F2647" w14:paraId="699198E6" w14:textId="77777777" w:rsidTr="00DA4A99">
        <w:tc>
          <w:tcPr>
            <w:tcW w:w="1341" w:type="dxa"/>
            <w:vMerge w:val="restart"/>
            <w:tcBorders>
              <w:top w:val="single" w:sz="4" w:space="0" w:color="auto"/>
              <w:bottom w:val="single" w:sz="4" w:space="0" w:color="auto"/>
            </w:tcBorders>
            <w:shd w:val="clear" w:color="auto" w:fill="auto"/>
          </w:tcPr>
          <w:p w14:paraId="5169C030" w14:textId="2A969FAE" w:rsidR="00161DA3" w:rsidRPr="004E64A3" w:rsidRDefault="00161DA3" w:rsidP="00161DA3">
            <w:pPr>
              <w:spacing w:line="360" w:lineRule="auto"/>
              <w:jc w:val="both"/>
              <w:rPr>
                <w:rFonts w:ascii="Book Antiqua" w:hAnsi="Book Antiqua" w:cs="Arial"/>
                <w:b/>
                <w:bCs/>
              </w:rPr>
            </w:pPr>
            <w:bookmarkStart w:id="2" w:name="_Hlk65179040"/>
            <w:r w:rsidRPr="004E64A3">
              <w:rPr>
                <w:rFonts w:ascii="Book Antiqua" w:hAnsi="Book Antiqua" w:cs="Arial"/>
                <w:b/>
                <w:bCs/>
              </w:rPr>
              <w:t>Ref</w:t>
            </w:r>
            <w:r w:rsidR="00EE7A2E" w:rsidRPr="004E64A3">
              <w:rPr>
                <w:rFonts w:ascii="Book Antiqua" w:hAnsi="Book Antiqua" w:cs="Arial"/>
                <w:b/>
                <w:bCs/>
              </w:rPr>
              <w:t>.</w:t>
            </w:r>
          </w:p>
        </w:tc>
        <w:tc>
          <w:tcPr>
            <w:tcW w:w="1288" w:type="dxa"/>
            <w:vMerge w:val="restart"/>
            <w:tcBorders>
              <w:top w:val="single" w:sz="4" w:space="0" w:color="auto"/>
              <w:bottom w:val="single" w:sz="4" w:space="0" w:color="auto"/>
            </w:tcBorders>
            <w:shd w:val="clear" w:color="auto" w:fill="auto"/>
          </w:tcPr>
          <w:p w14:paraId="60FEE0A1" w14:textId="77777777" w:rsidR="00161DA3" w:rsidRPr="004E64A3" w:rsidRDefault="00161DA3" w:rsidP="00161DA3">
            <w:pPr>
              <w:spacing w:line="360" w:lineRule="auto"/>
              <w:jc w:val="both"/>
              <w:rPr>
                <w:rFonts w:ascii="Book Antiqua" w:hAnsi="Book Antiqua" w:cs="Arial"/>
                <w:b/>
                <w:bCs/>
              </w:rPr>
            </w:pPr>
            <w:r w:rsidRPr="004E64A3">
              <w:rPr>
                <w:rFonts w:ascii="Book Antiqua" w:hAnsi="Book Antiqua" w:cs="Arial"/>
                <w:b/>
                <w:bCs/>
              </w:rPr>
              <w:t>Date</w:t>
            </w:r>
          </w:p>
        </w:tc>
        <w:tc>
          <w:tcPr>
            <w:tcW w:w="1075" w:type="dxa"/>
            <w:vMerge w:val="restart"/>
            <w:tcBorders>
              <w:top w:val="single" w:sz="4" w:space="0" w:color="auto"/>
              <w:bottom w:val="single" w:sz="4" w:space="0" w:color="auto"/>
            </w:tcBorders>
            <w:shd w:val="clear" w:color="auto" w:fill="auto"/>
          </w:tcPr>
          <w:p w14:paraId="2CFC6F9C" w14:textId="77777777" w:rsidR="00161DA3" w:rsidRPr="004E64A3" w:rsidRDefault="00161DA3" w:rsidP="00161DA3">
            <w:pPr>
              <w:spacing w:line="360" w:lineRule="auto"/>
              <w:jc w:val="both"/>
              <w:rPr>
                <w:rFonts w:ascii="Book Antiqua" w:hAnsi="Book Antiqua" w:cs="Arial"/>
                <w:b/>
                <w:bCs/>
              </w:rPr>
            </w:pPr>
            <w:r w:rsidRPr="004E64A3">
              <w:rPr>
                <w:rFonts w:ascii="Book Antiqua" w:hAnsi="Book Antiqua" w:cs="Arial"/>
                <w:b/>
                <w:bCs/>
              </w:rPr>
              <w:t>Cohort</w:t>
            </w:r>
          </w:p>
        </w:tc>
        <w:tc>
          <w:tcPr>
            <w:tcW w:w="3767" w:type="dxa"/>
            <w:gridSpan w:val="3"/>
            <w:tcBorders>
              <w:top w:val="single" w:sz="4" w:space="0" w:color="auto"/>
              <w:bottom w:val="single" w:sz="4" w:space="0" w:color="auto"/>
            </w:tcBorders>
            <w:shd w:val="clear" w:color="auto" w:fill="auto"/>
          </w:tcPr>
          <w:p w14:paraId="6B527575" w14:textId="77777777" w:rsidR="00161DA3" w:rsidRPr="004E64A3" w:rsidRDefault="00161DA3" w:rsidP="00161DA3">
            <w:pPr>
              <w:spacing w:line="360" w:lineRule="auto"/>
              <w:jc w:val="both"/>
              <w:rPr>
                <w:rFonts w:ascii="Book Antiqua" w:hAnsi="Book Antiqua" w:cs="Arial"/>
                <w:b/>
                <w:bCs/>
              </w:rPr>
            </w:pPr>
            <w:r w:rsidRPr="004E64A3">
              <w:rPr>
                <w:rFonts w:ascii="Book Antiqua" w:hAnsi="Book Antiqua" w:cs="Arial"/>
                <w:b/>
                <w:bCs/>
              </w:rPr>
              <w:t>The severity of liver injury</w:t>
            </w:r>
          </w:p>
        </w:tc>
        <w:tc>
          <w:tcPr>
            <w:tcW w:w="2315" w:type="dxa"/>
            <w:vMerge w:val="restart"/>
            <w:tcBorders>
              <w:top w:val="single" w:sz="4" w:space="0" w:color="auto"/>
              <w:bottom w:val="single" w:sz="4" w:space="0" w:color="auto"/>
            </w:tcBorders>
            <w:shd w:val="clear" w:color="auto" w:fill="auto"/>
          </w:tcPr>
          <w:p w14:paraId="5570F5C6" w14:textId="77777777" w:rsidR="00161DA3" w:rsidRPr="004E64A3" w:rsidRDefault="00161DA3" w:rsidP="00161DA3">
            <w:pPr>
              <w:spacing w:line="360" w:lineRule="auto"/>
              <w:jc w:val="both"/>
              <w:rPr>
                <w:rFonts w:ascii="Book Antiqua" w:hAnsi="Book Antiqua" w:cs="Arial"/>
                <w:b/>
                <w:bCs/>
              </w:rPr>
            </w:pPr>
            <w:r w:rsidRPr="004E64A3">
              <w:rPr>
                <w:rFonts w:ascii="Book Antiqua" w:hAnsi="Book Antiqua" w:cs="Arial"/>
                <w:b/>
                <w:bCs/>
              </w:rPr>
              <w:t>How the ULN was defined</w:t>
            </w:r>
          </w:p>
        </w:tc>
      </w:tr>
      <w:tr w:rsidR="006F2647" w:rsidRPr="006F2647" w14:paraId="5994F964" w14:textId="77777777" w:rsidTr="00DA4A99">
        <w:tc>
          <w:tcPr>
            <w:tcW w:w="1341" w:type="dxa"/>
            <w:vMerge/>
            <w:tcBorders>
              <w:top w:val="single" w:sz="4" w:space="0" w:color="auto"/>
              <w:bottom w:val="single" w:sz="4" w:space="0" w:color="auto"/>
            </w:tcBorders>
            <w:shd w:val="clear" w:color="auto" w:fill="auto"/>
          </w:tcPr>
          <w:p w14:paraId="11A3A5F2" w14:textId="77777777" w:rsidR="00161DA3" w:rsidRPr="004E64A3" w:rsidRDefault="00161DA3" w:rsidP="00161DA3">
            <w:pPr>
              <w:spacing w:line="360" w:lineRule="auto"/>
              <w:rPr>
                <w:rFonts w:ascii="Book Antiqua" w:hAnsi="Book Antiqua" w:cs="Arial"/>
              </w:rPr>
            </w:pPr>
          </w:p>
        </w:tc>
        <w:tc>
          <w:tcPr>
            <w:tcW w:w="1288" w:type="dxa"/>
            <w:vMerge/>
            <w:tcBorders>
              <w:top w:val="single" w:sz="4" w:space="0" w:color="auto"/>
              <w:bottom w:val="single" w:sz="4" w:space="0" w:color="auto"/>
            </w:tcBorders>
            <w:shd w:val="clear" w:color="auto" w:fill="auto"/>
          </w:tcPr>
          <w:p w14:paraId="4E21E817" w14:textId="77777777" w:rsidR="00161DA3" w:rsidRPr="004E64A3" w:rsidRDefault="00161DA3" w:rsidP="00161DA3">
            <w:pPr>
              <w:spacing w:line="360" w:lineRule="auto"/>
              <w:rPr>
                <w:rFonts w:ascii="Book Antiqua" w:hAnsi="Book Antiqua" w:cs="Arial"/>
              </w:rPr>
            </w:pPr>
          </w:p>
        </w:tc>
        <w:tc>
          <w:tcPr>
            <w:tcW w:w="1075" w:type="dxa"/>
            <w:vMerge/>
            <w:tcBorders>
              <w:top w:val="single" w:sz="4" w:space="0" w:color="auto"/>
              <w:bottom w:val="single" w:sz="4" w:space="0" w:color="auto"/>
            </w:tcBorders>
            <w:shd w:val="clear" w:color="auto" w:fill="auto"/>
          </w:tcPr>
          <w:p w14:paraId="05D19685" w14:textId="77777777" w:rsidR="00161DA3" w:rsidRPr="004E64A3" w:rsidRDefault="00161DA3" w:rsidP="00161DA3">
            <w:pPr>
              <w:spacing w:line="360" w:lineRule="auto"/>
              <w:rPr>
                <w:rFonts w:ascii="Book Antiqua" w:hAnsi="Book Antiqua" w:cs="Arial"/>
              </w:rPr>
            </w:pPr>
          </w:p>
        </w:tc>
        <w:tc>
          <w:tcPr>
            <w:tcW w:w="1253" w:type="dxa"/>
            <w:tcBorders>
              <w:top w:val="single" w:sz="4" w:space="0" w:color="auto"/>
              <w:bottom w:val="single" w:sz="4" w:space="0" w:color="auto"/>
            </w:tcBorders>
            <w:shd w:val="clear" w:color="auto" w:fill="auto"/>
          </w:tcPr>
          <w:p w14:paraId="54882FD3" w14:textId="23F57E16" w:rsidR="00161DA3" w:rsidRPr="004E64A3" w:rsidRDefault="00161DA3" w:rsidP="00161DA3">
            <w:pPr>
              <w:spacing w:line="360" w:lineRule="auto"/>
              <w:jc w:val="both"/>
              <w:rPr>
                <w:rFonts w:ascii="Book Antiqua" w:hAnsi="Book Antiqua" w:cs="Arial"/>
                <w:b/>
                <w:bCs/>
              </w:rPr>
            </w:pPr>
            <w:r w:rsidRPr="004E64A3">
              <w:rPr>
                <w:rFonts w:ascii="Book Antiqua" w:hAnsi="Book Antiqua" w:cs="Arial"/>
                <w:b/>
                <w:bCs/>
                <w:color w:val="2E2E2E"/>
              </w:rPr>
              <w:t>Normal/mild (&lt; 2 times ULN)</w:t>
            </w:r>
          </w:p>
        </w:tc>
        <w:tc>
          <w:tcPr>
            <w:tcW w:w="1253" w:type="dxa"/>
            <w:tcBorders>
              <w:top w:val="single" w:sz="4" w:space="0" w:color="auto"/>
              <w:bottom w:val="single" w:sz="4" w:space="0" w:color="auto"/>
            </w:tcBorders>
            <w:shd w:val="clear" w:color="auto" w:fill="auto"/>
          </w:tcPr>
          <w:p w14:paraId="079FA4BF" w14:textId="79646D5F" w:rsidR="00161DA3" w:rsidRPr="004E64A3" w:rsidRDefault="00161DA3" w:rsidP="00161DA3">
            <w:pPr>
              <w:spacing w:line="360" w:lineRule="auto"/>
              <w:jc w:val="both"/>
              <w:rPr>
                <w:rFonts w:ascii="Book Antiqua" w:hAnsi="Book Antiqua" w:cs="Arial"/>
                <w:b/>
                <w:bCs/>
              </w:rPr>
            </w:pPr>
            <w:r w:rsidRPr="004E64A3">
              <w:rPr>
                <w:rFonts w:ascii="Book Antiqua" w:hAnsi="Book Antiqua" w:cs="Arial"/>
                <w:b/>
                <w:bCs/>
              </w:rPr>
              <w:t>moderate (2-5 times ULN)</w:t>
            </w:r>
          </w:p>
        </w:tc>
        <w:tc>
          <w:tcPr>
            <w:tcW w:w="1261" w:type="dxa"/>
            <w:tcBorders>
              <w:top w:val="single" w:sz="4" w:space="0" w:color="auto"/>
              <w:bottom w:val="single" w:sz="4" w:space="0" w:color="auto"/>
            </w:tcBorders>
            <w:shd w:val="clear" w:color="auto" w:fill="auto"/>
          </w:tcPr>
          <w:p w14:paraId="127FE6DE" w14:textId="6FE79D57" w:rsidR="00161DA3" w:rsidRPr="004E64A3" w:rsidRDefault="00EE7A2E" w:rsidP="00161DA3">
            <w:pPr>
              <w:spacing w:line="360" w:lineRule="auto"/>
              <w:jc w:val="both"/>
              <w:rPr>
                <w:rFonts w:ascii="Book Antiqua" w:hAnsi="Book Antiqua" w:cs="Arial"/>
                <w:b/>
                <w:bCs/>
              </w:rPr>
            </w:pPr>
            <w:r w:rsidRPr="004E64A3">
              <w:rPr>
                <w:rFonts w:ascii="Book Antiqua" w:hAnsi="Book Antiqua" w:cs="Arial"/>
                <w:b/>
                <w:bCs/>
                <w:color w:val="2E2E2E"/>
              </w:rPr>
              <w:t>S</w:t>
            </w:r>
            <w:r w:rsidR="00161DA3" w:rsidRPr="004E64A3">
              <w:rPr>
                <w:rFonts w:ascii="Book Antiqua" w:hAnsi="Book Antiqua" w:cs="Arial"/>
                <w:b/>
                <w:bCs/>
                <w:color w:val="2E2E2E"/>
              </w:rPr>
              <w:t>evere (&gt;</w:t>
            </w:r>
            <w:r w:rsidRPr="004E64A3">
              <w:rPr>
                <w:rFonts w:ascii="Book Antiqua" w:hAnsi="Book Antiqua" w:cs="Arial"/>
                <w:b/>
                <w:bCs/>
                <w:color w:val="2E2E2E"/>
              </w:rPr>
              <w:t xml:space="preserve"> </w:t>
            </w:r>
            <w:r w:rsidR="00161DA3" w:rsidRPr="004E64A3">
              <w:rPr>
                <w:rFonts w:ascii="Book Antiqua" w:hAnsi="Book Antiqua" w:cs="Arial"/>
                <w:b/>
                <w:bCs/>
                <w:color w:val="2E2E2E"/>
              </w:rPr>
              <w:t>5 times ULN)</w:t>
            </w:r>
          </w:p>
        </w:tc>
        <w:tc>
          <w:tcPr>
            <w:tcW w:w="2315" w:type="dxa"/>
            <w:vMerge/>
            <w:tcBorders>
              <w:top w:val="single" w:sz="4" w:space="0" w:color="auto"/>
              <w:bottom w:val="single" w:sz="4" w:space="0" w:color="auto"/>
            </w:tcBorders>
            <w:shd w:val="clear" w:color="auto" w:fill="auto"/>
          </w:tcPr>
          <w:p w14:paraId="4FC87DF5" w14:textId="77777777" w:rsidR="00161DA3" w:rsidRPr="004E64A3" w:rsidRDefault="00161DA3" w:rsidP="00161DA3">
            <w:pPr>
              <w:spacing w:line="360" w:lineRule="auto"/>
              <w:rPr>
                <w:rFonts w:ascii="Book Antiqua" w:hAnsi="Book Antiqua" w:cs="Arial"/>
              </w:rPr>
            </w:pPr>
          </w:p>
        </w:tc>
      </w:tr>
      <w:tr w:rsidR="006F2647" w:rsidRPr="006F2647" w14:paraId="5B077C93" w14:textId="77777777" w:rsidTr="00DA4A99">
        <w:tc>
          <w:tcPr>
            <w:tcW w:w="1341" w:type="dxa"/>
            <w:tcBorders>
              <w:top w:val="single" w:sz="4" w:space="0" w:color="auto"/>
            </w:tcBorders>
            <w:shd w:val="clear" w:color="auto" w:fill="auto"/>
          </w:tcPr>
          <w:p w14:paraId="433065EB" w14:textId="037F9A7A" w:rsidR="00161DA3" w:rsidRPr="004E64A3" w:rsidRDefault="00161DA3" w:rsidP="00161DA3">
            <w:pPr>
              <w:spacing w:line="360" w:lineRule="auto"/>
              <w:rPr>
                <w:rFonts w:ascii="Book Antiqua" w:hAnsi="Book Antiqua" w:cs="Arial"/>
                <w:color w:val="2E2E2E"/>
              </w:rPr>
            </w:pPr>
            <w:r w:rsidRPr="004E64A3">
              <w:rPr>
                <w:rFonts w:ascii="Book Antiqua" w:hAnsi="Book Antiqua" w:cs="Arial"/>
                <w:color w:val="2E2E2E"/>
              </w:rPr>
              <w:t>Phipps</w:t>
            </w:r>
            <w:r w:rsidR="00EE7A2E" w:rsidRPr="004E64A3">
              <w:rPr>
                <w:rFonts w:ascii="Book Antiqua" w:hAnsi="Book Antiqua" w:cs="Arial"/>
                <w:color w:val="2E2E2E"/>
              </w:rPr>
              <w:t xml:space="preserve"> </w:t>
            </w:r>
            <w:r w:rsidRPr="004E64A3">
              <w:rPr>
                <w:rFonts w:ascii="Book Antiqua" w:hAnsi="Book Antiqua" w:cs="Arial"/>
                <w:i/>
                <w:iCs/>
                <w:color w:val="2E2E2E"/>
              </w:rPr>
              <w:t>et al</w:t>
            </w:r>
            <w:r w:rsidRPr="004E64A3">
              <w:rPr>
                <w:rFonts w:ascii="Book Antiqua" w:hAnsi="Book Antiqua" w:cs="Arial"/>
                <w:color w:val="2E2E2E"/>
                <w:vertAlign w:val="superscript"/>
              </w:rPr>
              <w:t>[129]</w:t>
            </w:r>
          </w:p>
        </w:tc>
        <w:tc>
          <w:tcPr>
            <w:tcW w:w="1288" w:type="dxa"/>
            <w:tcBorders>
              <w:top w:val="single" w:sz="4" w:space="0" w:color="auto"/>
            </w:tcBorders>
            <w:shd w:val="clear" w:color="auto" w:fill="auto"/>
          </w:tcPr>
          <w:p w14:paraId="32C2B420" w14:textId="4A78A88E" w:rsidR="00161DA3" w:rsidRPr="00524640" w:rsidRDefault="00F93B8C" w:rsidP="00161DA3">
            <w:pPr>
              <w:spacing w:line="360" w:lineRule="auto"/>
              <w:rPr>
                <w:rFonts w:ascii="Book Antiqua" w:eastAsia="等线 Light" w:hAnsi="Book Antiqua" w:cs="Arial" w:hint="eastAsia"/>
                <w:lang w:eastAsia="zh-CN"/>
              </w:rPr>
            </w:pPr>
            <w:r w:rsidRPr="00F93B8C">
              <w:rPr>
                <w:rFonts w:ascii="Book Antiqua" w:eastAsia="等线 Light" w:hAnsi="Book Antiqua" w:cs="Arial"/>
                <w:lang w:eastAsia="zh-CN"/>
              </w:rPr>
              <w:t>March</w:t>
            </w:r>
            <w:r>
              <w:rPr>
                <w:rFonts w:ascii="Book Antiqua" w:eastAsia="等线 Light" w:hAnsi="Book Antiqua" w:cs="Arial" w:hint="eastAsia"/>
                <w:lang w:eastAsia="zh-CN"/>
              </w:rPr>
              <w:t xml:space="preserve"> 8, 2020-</w:t>
            </w:r>
            <w:r w:rsidRPr="00F93B8C">
              <w:rPr>
                <w:rFonts w:ascii="Book Antiqua" w:eastAsia="等线 Light" w:hAnsi="Book Antiqua" w:cs="Arial"/>
                <w:lang w:eastAsia="zh-CN"/>
              </w:rPr>
              <w:t>April</w:t>
            </w:r>
            <w:r>
              <w:rPr>
                <w:rFonts w:ascii="Book Antiqua" w:eastAsia="等线 Light" w:hAnsi="Book Antiqua" w:cs="Arial" w:hint="eastAsia"/>
                <w:lang w:eastAsia="zh-CN"/>
              </w:rPr>
              <w:t xml:space="preserve"> 14, 2020</w:t>
            </w:r>
          </w:p>
        </w:tc>
        <w:tc>
          <w:tcPr>
            <w:tcW w:w="1075" w:type="dxa"/>
            <w:tcBorders>
              <w:top w:val="single" w:sz="4" w:space="0" w:color="auto"/>
            </w:tcBorders>
            <w:shd w:val="clear" w:color="auto" w:fill="auto"/>
          </w:tcPr>
          <w:p w14:paraId="7284FB99" w14:textId="77777777" w:rsidR="00161DA3" w:rsidRPr="004E64A3" w:rsidRDefault="00161DA3" w:rsidP="00161DA3">
            <w:pPr>
              <w:spacing w:line="360" w:lineRule="auto"/>
              <w:rPr>
                <w:rFonts w:ascii="Book Antiqua" w:hAnsi="Book Antiqua" w:cs="Arial"/>
              </w:rPr>
            </w:pPr>
            <w:r w:rsidRPr="004E64A3">
              <w:rPr>
                <w:rFonts w:ascii="Book Antiqua" w:hAnsi="Book Antiqua" w:cs="Arial"/>
              </w:rPr>
              <w:t>2273</w:t>
            </w:r>
          </w:p>
        </w:tc>
        <w:tc>
          <w:tcPr>
            <w:tcW w:w="1253" w:type="dxa"/>
            <w:tcBorders>
              <w:top w:val="single" w:sz="4" w:space="0" w:color="auto"/>
            </w:tcBorders>
            <w:shd w:val="clear" w:color="auto" w:fill="auto"/>
          </w:tcPr>
          <w:p w14:paraId="72B523D3" w14:textId="58C679E7" w:rsidR="00161DA3" w:rsidRPr="004E64A3" w:rsidRDefault="00161DA3" w:rsidP="00161DA3">
            <w:pPr>
              <w:spacing w:line="360" w:lineRule="auto"/>
              <w:rPr>
                <w:rFonts w:ascii="Book Antiqua" w:hAnsi="Book Antiqua" w:cs="Arial"/>
              </w:rPr>
            </w:pPr>
            <w:r w:rsidRPr="004E64A3">
              <w:rPr>
                <w:rFonts w:ascii="Book Antiqua" w:hAnsi="Book Antiqua" w:cs="Arial"/>
              </w:rPr>
              <w:t>1784</w:t>
            </w:r>
            <w:r w:rsidR="00EE7A2E" w:rsidRPr="004E64A3">
              <w:rPr>
                <w:rFonts w:ascii="Book Antiqua" w:hAnsi="Book Antiqua" w:cs="Arial"/>
              </w:rPr>
              <w:t xml:space="preserve"> </w:t>
            </w:r>
            <w:r w:rsidRPr="004E64A3">
              <w:rPr>
                <w:rFonts w:ascii="Book Antiqua" w:hAnsi="Book Antiqua" w:cs="Arial"/>
              </w:rPr>
              <w:t>(78.5)</w:t>
            </w:r>
          </w:p>
        </w:tc>
        <w:tc>
          <w:tcPr>
            <w:tcW w:w="1253" w:type="dxa"/>
            <w:tcBorders>
              <w:top w:val="single" w:sz="4" w:space="0" w:color="auto"/>
            </w:tcBorders>
            <w:shd w:val="clear" w:color="auto" w:fill="auto"/>
          </w:tcPr>
          <w:p w14:paraId="2A2C509D" w14:textId="513F7838" w:rsidR="00161DA3" w:rsidRPr="004E64A3" w:rsidRDefault="00161DA3" w:rsidP="00161DA3">
            <w:pPr>
              <w:spacing w:line="360" w:lineRule="auto"/>
              <w:rPr>
                <w:rFonts w:ascii="Book Antiqua" w:hAnsi="Book Antiqua" w:cs="Arial"/>
              </w:rPr>
            </w:pPr>
            <w:r w:rsidRPr="004E64A3">
              <w:rPr>
                <w:rFonts w:ascii="Book Antiqua" w:hAnsi="Book Antiqua" w:cs="Arial"/>
              </w:rPr>
              <w:t>344</w:t>
            </w:r>
            <w:r w:rsidR="00EE7A2E" w:rsidRPr="004E64A3">
              <w:rPr>
                <w:rFonts w:ascii="Book Antiqua" w:hAnsi="Book Antiqua" w:cs="Arial"/>
              </w:rPr>
              <w:t xml:space="preserve"> </w:t>
            </w:r>
            <w:r w:rsidRPr="004E64A3">
              <w:rPr>
                <w:rFonts w:ascii="Book Antiqua" w:hAnsi="Book Antiqua" w:cs="Arial"/>
              </w:rPr>
              <w:t>(15.1)</w:t>
            </w:r>
          </w:p>
        </w:tc>
        <w:tc>
          <w:tcPr>
            <w:tcW w:w="1261" w:type="dxa"/>
            <w:tcBorders>
              <w:top w:val="single" w:sz="4" w:space="0" w:color="auto"/>
            </w:tcBorders>
            <w:shd w:val="clear" w:color="auto" w:fill="auto"/>
          </w:tcPr>
          <w:p w14:paraId="011D4D5D" w14:textId="4B931ED3" w:rsidR="00161DA3" w:rsidRPr="004E64A3" w:rsidRDefault="00161DA3" w:rsidP="00161DA3">
            <w:pPr>
              <w:spacing w:line="360" w:lineRule="auto"/>
              <w:rPr>
                <w:rFonts w:ascii="Book Antiqua" w:hAnsi="Book Antiqua" w:cs="Arial"/>
              </w:rPr>
            </w:pPr>
            <w:r w:rsidRPr="004E64A3">
              <w:rPr>
                <w:rFonts w:ascii="Book Antiqua" w:hAnsi="Book Antiqua" w:cs="Arial"/>
              </w:rPr>
              <w:t>145</w:t>
            </w:r>
            <w:r w:rsidR="00EE7A2E" w:rsidRPr="004E64A3">
              <w:rPr>
                <w:rFonts w:ascii="Book Antiqua" w:hAnsi="Book Antiqua" w:cs="Arial"/>
                <w:lang w:eastAsia="zh-CN"/>
              </w:rPr>
              <w:t xml:space="preserve"> (</w:t>
            </w:r>
            <w:r w:rsidRPr="004E64A3">
              <w:rPr>
                <w:rFonts w:ascii="Book Antiqua" w:hAnsi="Book Antiqua" w:cs="Arial"/>
              </w:rPr>
              <w:t>6.4</w:t>
            </w:r>
            <w:r w:rsidR="00EE7A2E" w:rsidRPr="004E64A3">
              <w:rPr>
                <w:rFonts w:ascii="Book Antiqua" w:hAnsi="Book Antiqua" w:cs="Arial"/>
              </w:rPr>
              <w:t>)</w:t>
            </w:r>
          </w:p>
        </w:tc>
        <w:tc>
          <w:tcPr>
            <w:tcW w:w="2315" w:type="dxa"/>
            <w:tcBorders>
              <w:top w:val="single" w:sz="4" w:space="0" w:color="auto"/>
            </w:tcBorders>
            <w:shd w:val="clear" w:color="auto" w:fill="auto"/>
          </w:tcPr>
          <w:p w14:paraId="5C2D9059" w14:textId="12C33E59" w:rsidR="00161DA3" w:rsidRPr="004E64A3" w:rsidRDefault="00161DA3" w:rsidP="00161DA3">
            <w:pPr>
              <w:spacing w:line="360" w:lineRule="auto"/>
              <w:rPr>
                <w:rFonts w:ascii="Book Antiqua" w:hAnsi="Book Antiqua" w:cs="Arial"/>
              </w:rPr>
            </w:pPr>
            <w:r w:rsidRPr="004E64A3">
              <w:rPr>
                <w:rFonts w:ascii="Book Antiqua" w:hAnsi="Book Antiqua" w:cs="Arial"/>
              </w:rPr>
              <w:t>ALT</w:t>
            </w:r>
            <w:r w:rsidR="00EE7A2E" w:rsidRPr="004E64A3">
              <w:rPr>
                <w:rFonts w:ascii="Book Antiqua" w:hAnsi="Book Antiqua" w:cs="Arial"/>
              </w:rPr>
              <w:t xml:space="preserve"> </w:t>
            </w:r>
            <w:r w:rsidRPr="004E64A3">
              <w:rPr>
                <w:rFonts w:ascii="Book Antiqua" w:hAnsi="Book Antiqua" w:cs="Arial"/>
              </w:rPr>
              <w:t>=</w:t>
            </w:r>
            <w:r w:rsidR="00EE7A2E" w:rsidRPr="004E64A3">
              <w:rPr>
                <w:rFonts w:ascii="Book Antiqua" w:hAnsi="Book Antiqua" w:cs="Arial"/>
              </w:rPr>
              <w:t xml:space="preserve"> </w:t>
            </w:r>
            <w:r w:rsidRPr="004E64A3">
              <w:rPr>
                <w:rFonts w:ascii="Book Antiqua" w:hAnsi="Book Antiqua" w:cs="Arial"/>
              </w:rPr>
              <w:t>50 U/L</w:t>
            </w:r>
          </w:p>
        </w:tc>
      </w:tr>
      <w:tr w:rsidR="006F2647" w:rsidRPr="006F2647" w14:paraId="1E6D2D14" w14:textId="77777777" w:rsidTr="00DA4A99">
        <w:tc>
          <w:tcPr>
            <w:tcW w:w="1341" w:type="dxa"/>
            <w:shd w:val="clear" w:color="auto" w:fill="auto"/>
          </w:tcPr>
          <w:p w14:paraId="4942FB54" w14:textId="0786FF04" w:rsidR="00161DA3" w:rsidRPr="004E64A3" w:rsidRDefault="00161DA3" w:rsidP="00EE7A2E">
            <w:pPr>
              <w:spacing w:line="360" w:lineRule="auto"/>
              <w:jc w:val="both"/>
              <w:rPr>
                <w:rFonts w:ascii="Book Antiqua" w:hAnsi="Book Antiqua" w:cs="Arial"/>
                <w:color w:val="2E2E2E"/>
              </w:rPr>
            </w:pPr>
            <w:r w:rsidRPr="004E64A3">
              <w:rPr>
                <w:rFonts w:ascii="Book Antiqua" w:hAnsi="Book Antiqua" w:cs="Arial"/>
                <w:color w:val="2E2E2E"/>
              </w:rPr>
              <w:t>Mendizabal</w:t>
            </w:r>
            <w:r w:rsidR="00EE7A2E" w:rsidRPr="004E64A3">
              <w:rPr>
                <w:rFonts w:ascii="Book Antiqua" w:hAnsi="Book Antiqua" w:cs="Arial"/>
                <w:color w:val="2E2E2E"/>
              </w:rPr>
              <w:t xml:space="preserve"> </w:t>
            </w:r>
            <w:r w:rsidRPr="004E64A3">
              <w:rPr>
                <w:rFonts w:ascii="Book Antiqua" w:hAnsi="Book Antiqua" w:cs="Arial"/>
                <w:i/>
                <w:iCs/>
                <w:color w:val="2E2E2E"/>
              </w:rPr>
              <w:t>et al</w:t>
            </w:r>
            <w:r w:rsidRPr="004E64A3">
              <w:rPr>
                <w:rFonts w:ascii="Book Antiqua" w:hAnsi="Book Antiqua" w:cs="Arial"/>
                <w:color w:val="2E2E2E"/>
                <w:vertAlign w:val="superscript"/>
              </w:rPr>
              <w:t>[130]</w:t>
            </w:r>
          </w:p>
        </w:tc>
        <w:tc>
          <w:tcPr>
            <w:tcW w:w="1288" w:type="dxa"/>
            <w:shd w:val="clear" w:color="auto" w:fill="auto"/>
          </w:tcPr>
          <w:p w14:paraId="29B09CE2" w14:textId="66A4FD5F" w:rsidR="00161DA3" w:rsidRPr="00B21766" w:rsidRDefault="00524640" w:rsidP="00EE7A2E">
            <w:pPr>
              <w:spacing w:line="360" w:lineRule="auto"/>
              <w:jc w:val="both"/>
              <w:rPr>
                <w:rFonts w:ascii="Book Antiqua" w:eastAsia="等线 Light" w:hAnsi="Book Antiqua" w:cs="Arial" w:hint="eastAsia"/>
                <w:lang w:eastAsia="zh-CN"/>
              </w:rPr>
            </w:pPr>
            <w:r w:rsidRPr="00F93B8C">
              <w:rPr>
                <w:rFonts w:ascii="Book Antiqua" w:eastAsia="等线 Light" w:hAnsi="Book Antiqua" w:cs="Arial"/>
                <w:lang w:eastAsia="zh-CN"/>
              </w:rPr>
              <w:t>April</w:t>
            </w:r>
            <w:r>
              <w:rPr>
                <w:rFonts w:ascii="Book Antiqua" w:eastAsia="等线 Light" w:hAnsi="Book Antiqua" w:cs="Arial" w:hint="eastAsia"/>
                <w:lang w:eastAsia="zh-CN"/>
              </w:rPr>
              <w:t xml:space="preserve"> 1</w:t>
            </w:r>
            <w:r>
              <w:rPr>
                <w:rFonts w:ascii="Book Antiqua" w:eastAsia="等线 Light" w:hAnsi="Book Antiqua" w:cs="Arial" w:hint="eastAsia"/>
                <w:lang w:eastAsia="zh-CN"/>
              </w:rPr>
              <w:t>5</w:t>
            </w:r>
            <w:r>
              <w:rPr>
                <w:rFonts w:ascii="Book Antiqua" w:eastAsia="等线 Light" w:hAnsi="Book Antiqua" w:cs="Arial" w:hint="eastAsia"/>
                <w:lang w:eastAsia="zh-CN"/>
              </w:rPr>
              <w:t>, 2020</w:t>
            </w:r>
            <w:r>
              <w:rPr>
                <w:rFonts w:ascii="Book Antiqua" w:eastAsia="等线 Light" w:hAnsi="Book Antiqua" w:cs="Arial" w:hint="eastAsia"/>
                <w:lang w:eastAsia="zh-CN"/>
              </w:rPr>
              <w:t>-</w:t>
            </w:r>
            <w:r w:rsidRPr="00524640">
              <w:rPr>
                <w:rFonts w:ascii="Book Antiqua" w:eastAsia="等线 Light" w:hAnsi="Book Antiqua" w:cs="Arial"/>
                <w:lang w:eastAsia="zh-CN"/>
              </w:rPr>
              <w:t>July</w:t>
            </w:r>
            <w:r>
              <w:rPr>
                <w:rFonts w:ascii="Book Antiqua" w:eastAsia="等线 Light" w:hAnsi="Book Antiqua" w:cs="Arial" w:hint="eastAsia"/>
                <w:lang w:eastAsia="zh-CN"/>
              </w:rPr>
              <w:t xml:space="preserve"> 31, </w:t>
            </w:r>
            <w:r w:rsidRPr="004E64A3">
              <w:rPr>
                <w:rFonts w:ascii="Book Antiqua" w:eastAsia="等线 Light" w:hAnsi="Book Antiqua" w:cs="Arial"/>
              </w:rPr>
              <w:t>2020</w:t>
            </w:r>
          </w:p>
        </w:tc>
        <w:tc>
          <w:tcPr>
            <w:tcW w:w="1075" w:type="dxa"/>
            <w:shd w:val="clear" w:color="auto" w:fill="auto"/>
          </w:tcPr>
          <w:p w14:paraId="777F5BFF" w14:textId="77777777" w:rsidR="00161DA3" w:rsidRPr="004E64A3" w:rsidRDefault="00161DA3" w:rsidP="00EE7A2E">
            <w:pPr>
              <w:spacing w:line="360" w:lineRule="auto"/>
              <w:jc w:val="both"/>
              <w:rPr>
                <w:rFonts w:ascii="Book Antiqua" w:hAnsi="Book Antiqua" w:cs="Arial"/>
              </w:rPr>
            </w:pPr>
            <w:r w:rsidRPr="004E64A3">
              <w:rPr>
                <w:rFonts w:ascii="Book Antiqua" w:hAnsi="Book Antiqua" w:cs="Arial"/>
              </w:rPr>
              <w:t>1611</w:t>
            </w:r>
          </w:p>
        </w:tc>
        <w:tc>
          <w:tcPr>
            <w:tcW w:w="1253" w:type="dxa"/>
            <w:shd w:val="clear" w:color="auto" w:fill="auto"/>
          </w:tcPr>
          <w:p w14:paraId="6BF933EE" w14:textId="4657AE90" w:rsidR="00161DA3" w:rsidRPr="004E64A3" w:rsidRDefault="00161DA3" w:rsidP="00EE7A2E">
            <w:pPr>
              <w:spacing w:line="360" w:lineRule="auto"/>
              <w:jc w:val="both"/>
              <w:rPr>
                <w:rFonts w:ascii="Book Antiqua" w:hAnsi="Book Antiqua" w:cs="Arial"/>
              </w:rPr>
            </w:pPr>
            <w:r w:rsidRPr="004E64A3">
              <w:rPr>
                <w:rFonts w:ascii="Book Antiqua" w:hAnsi="Book Antiqua" w:cs="Arial"/>
              </w:rPr>
              <w:t>322</w:t>
            </w:r>
            <w:r w:rsidR="00EE7A2E" w:rsidRPr="004E64A3">
              <w:rPr>
                <w:rFonts w:ascii="Book Antiqua" w:hAnsi="Book Antiqua" w:cs="Arial"/>
              </w:rPr>
              <w:t xml:space="preserve"> </w:t>
            </w:r>
            <w:r w:rsidRPr="004E64A3">
              <w:rPr>
                <w:rFonts w:ascii="Book Antiqua" w:hAnsi="Book Antiqua" w:cs="Arial"/>
              </w:rPr>
              <w:t>(84.7)</w:t>
            </w:r>
          </w:p>
        </w:tc>
        <w:tc>
          <w:tcPr>
            <w:tcW w:w="1253" w:type="dxa"/>
            <w:shd w:val="clear" w:color="auto" w:fill="auto"/>
          </w:tcPr>
          <w:p w14:paraId="524A19AF" w14:textId="0AF3EC5D" w:rsidR="00161DA3" w:rsidRPr="004E64A3" w:rsidRDefault="00161DA3" w:rsidP="00EE7A2E">
            <w:pPr>
              <w:spacing w:line="360" w:lineRule="auto"/>
              <w:jc w:val="both"/>
              <w:rPr>
                <w:rFonts w:ascii="Book Antiqua" w:hAnsi="Book Antiqua" w:cs="Arial"/>
              </w:rPr>
            </w:pPr>
            <w:r w:rsidRPr="004E64A3">
              <w:rPr>
                <w:rFonts w:ascii="Book Antiqua" w:hAnsi="Book Antiqua" w:cs="Arial"/>
              </w:rPr>
              <w:t>185</w:t>
            </w:r>
            <w:r w:rsidR="00EE7A2E" w:rsidRPr="004E64A3">
              <w:rPr>
                <w:rFonts w:ascii="Book Antiqua" w:hAnsi="Book Antiqua" w:cs="Arial"/>
              </w:rPr>
              <w:t xml:space="preserve"> </w:t>
            </w:r>
            <w:r w:rsidRPr="004E64A3">
              <w:rPr>
                <w:rFonts w:ascii="Book Antiqua" w:hAnsi="Book Antiqua" w:cs="Arial"/>
              </w:rPr>
              <w:t>(11.5)</w:t>
            </w:r>
          </w:p>
        </w:tc>
        <w:tc>
          <w:tcPr>
            <w:tcW w:w="1261" w:type="dxa"/>
            <w:shd w:val="clear" w:color="auto" w:fill="auto"/>
          </w:tcPr>
          <w:p w14:paraId="7FC841E3" w14:textId="673BAAEE" w:rsidR="00161DA3" w:rsidRPr="004E64A3" w:rsidRDefault="00161DA3" w:rsidP="00EE7A2E">
            <w:pPr>
              <w:spacing w:line="360" w:lineRule="auto"/>
              <w:jc w:val="both"/>
              <w:rPr>
                <w:rFonts w:ascii="Book Antiqua" w:hAnsi="Book Antiqua" w:cs="Arial"/>
              </w:rPr>
            </w:pPr>
            <w:r w:rsidRPr="004E64A3">
              <w:rPr>
                <w:rFonts w:ascii="Book Antiqua" w:hAnsi="Book Antiqua" w:cs="Arial"/>
              </w:rPr>
              <w:t>61</w:t>
            </w:r>
            <w:r w:rsidR="00EE7A2E" w:rsidRPr="004E64A3">
              <w:rPr>
                <w:rFonts w:ascii="Book Antiqua" w:hAnsi="Book Antiqua" w:cs="Arial"/>
              </w:rPr>
              <w:t xml:space="preserve"> </w:t>
            </w:r>
            <w:r w:rsidRPr="004E64A3">
              <w:rPr>
                <w:rFonts w:ascii="Book Antiqua" w:hAnsi="Book Antiqua" w:cs="Arial"/>
              </w:rPr>
              <w:t>(3.8)</w:t>
            </w:r>
          </w:p>
        </w:tc>
        <w:tc>
          <w:tcPr>
            <w:tcW w:w="2315" w:type="dxa"/>
            <w:shd w:val="clear" w:color="auto" w:fill="auto"/>
          </w:tcPr>
          <w:p w14:paraId="40949036" w14:textId="77777777" w:rsidR="00161DA3" w:rsidRPr="004E64A3" w:rsidRDefault="00161DA3" w:rsidP="00EE7A2E">
            <w:pPr>
              <w:spacing w:line="360" w:lineRule="auto"/>
              <w:jc w:val="both"/>
              <w:rPr>
                <w:rFonts w:ascii="Book Antiqua" w:hAnsi="Book Antiqua" w:cs="Arial"/>
              </w:rPr>
            </w:pPr>
            <w:r w:rsidRPr="004E64A3">
              <w:rPr>
                <w:rFonts w:ascii="Book Antiqua" w:hAnsi="Book Antiqua" w:cs="Arial"/>
              </w:rPr>
              <w:t>ALT (the reference value of different institutions)</w:t>
            </w:r>
          </w:p>
        </w:tc>
      </w:tr>
      <w:tr w:rsidR="006F2647" w:rsidRPr="006F2647" w14:paraId="49F47DFF" w14:textId="77777777" w:rsidTr="00DA4A99">
        <w:tc>
          <w:tcPr>
            <w:tcW w:w="1341" w:type="dxa"/>
            <w:shd w:val="clear" w:color="auto" w:fill="auto"/>
          </w:tcPr>
          <w:p w14:paraId="5D671A5A" w14:textId="532D7D17" w:rsidR="00161DA3" w:rsidRPr="004E64A3" w:rsidRDefault="00161DA3" w:rsidP="00161DA3">
            <w:pPr>
              <w:spacing w:line="360" w:lineRule="auto"/>
              <w:rPr>
                <w:rFonts w:ascii="Book Antiqua" w:hAnsi="Book Antiqua" w:cs="Arial"/>
                <w:color w:val="2E2E2E"/>
              </w:rPr>
            </w:pPr>
            <w:r w:rsidRPr="004E64A3">
              <w:rPr>
                <w:rFonts w:ascii="Book Antiqua" w:hAnsi="Book Antiqua" w:cs="Arial"/>
                <w:color w:val="2E2E2E"/>
              </w:rPr>
              <w:t xml:space="preserve">Hundt </w:t>
            </w:r>
            <w:r w:rsidRPr="004E64A3">
              <w:rPr>
                <w:rFonts w:ascii="Book Antiqua" w:hAnsi="Book Antiqua" w:cs="Arial"/>
                <w:i/>
                <w:iCs/>
                <w:color w:val="2E2E2E"/>
              </w:rPr>
              <w:t>et al</w:t>
            </w:r>
            <w:r w:rsidRPr="004E64A3">
              <w:rPr>
                <w:rFonts w:ascii="Book Antiqua" w:hAnsi="Book Antiqua" w:cs="Arial"/>
                <w:color w:val="2E2E2E"/>
                <w:vertAlign w:val="superscript"/>
              </w:rPr>
              <w:t>[131]</w:t>
            </w:r>
          </w:p>
        </w:tc>
        <w:tc>
          <w:tcPr>
            <w:tcW w:w="1288" w:type="dxa"/>
            <w:shd w:val="clear" w:color="auto" w:fill="auto"/>
          </w:tcPr>
          <w:p w14:paraId="576AD07A" w14:textId="109A1710" w:rsidR="00161DA3" w:rsidRPr="00E856D1" w:rsidRDefault="00B21766" w:rsidP="00161DA3">
            <w:pPr>
              <w:spacing w:line="360" w:lineRule="auto"/>
              <w:rPr>
                <w:rFonts w:ascii="Book Antiqua" w:eastAsia="等线 Light" w:hAnsi="Book Antiqua" w:cs="Arial" w:hint="eastAsia"/>
                <w:lang w:eastAsia="zh-CN"/>
              </w:rPr>
            </w:pPr>
            <w:r w:rsidRPr="00F93B8C">
              <w:rPr>
                <w:rFonts w:ascii="Book Antiqua" w:eastAsia="等线 Light" w:hAnsi="Book Antiqua" w:cs="Arial"/>
                <w:lang w:eastAsia="zh-CN"/>
              </w:rPr>
              <w:t>March</w:t>
            </w:r>
            <w:r>
              <w:rPr>
                <w:rFonts w:ascii="Book Antiqua" w:eastAsia="等线 Light" w:hAnsi="Book Antiqua" w:cs="Arial" w:hint="eastAsia"/>
                <w:lang w:eastAsia="zh-CN"/>
              </w:rPr>
              <w:t xml:space="preserve"> </w:t>
            </w:r>
            <w:r>
              <w:rPr>
                <w:rFonts w:ascii="Book Antiqua" w:eastAsia="等线 Light" w:hAnsi="Book Antiqua" w:cs="Arial" w:hint="eastAsia"/>
                <w:lang w:eastAsia="zh-CN"/>
              </w:rPr>
              <w:t>14</w:t>
            </w:r>
            <w:r>
              <w:rPr>
                <w:rFonts w:ascii="Book Antiqua" w:eastAsia="等线 Light" w:hAnsi="Book Antiqua" w:cs="Arial" w:hint="eastAsia"/>
                <w:lang w:eastAsia="zh-CN"/>
              </w:rPr>
              <w:t>, 2020-</w:t>
            </w:r>
            <w:r w:rsidRPr="00F93B8C">
              <w:rPr>
                <w:rFonts w:ascii="Book Antiqua" w:eastAsia="等线 Light" w:hAnsi="Book Antiqua" w:cs="Arial"/>
                <w:lang w:eastAsia="zh-CN"/>
              </w:rPr>
              <w:t>April</w:t>
            </w:r>
            <w:r>
              <w:rPr>
                <w:rFonts w:ascii="Book Antiqua" w:eastAsia="等线 Light" w:hAnsi="Book Antiqua" w:cs="Arial" w:hint="eastAsia"/>
                <w:lang w:eastAsia="zh-CN"/>
              </w:rPr>
              <w:t>, 2020</w:t>
            </w:r>
          </w:p>
        </w:tc>
        <w:tc>
          <w:tcPr>
            <w:tcW w:w="1075" w:type="dxa"/>
            <w:shd w:val="clear" w:color="auto" w:fill="auto"/>
          </w:tcPr>
          <w:p w14:paraId="37CCB3BC" w14:textId="77777777" w:rsidR="00161DA3" w:rsidRPr="004E64A3" w:rsidRDefault="00161DA3" w:rsidP="00161DA3">
            <w:pPr>
              <w:spacing w:line="360" w:lineRule="auto"/>
              <w:rPr>
                <w:rFonts w:ascii="Book Antiqua" w:hAnsi="Book Antiqua" w:cs="Arial"/>
              </w:rPr>
            </w:pPr>
            <w:r w:rsidRPr="004E64A3">
              <w:rPr>
                <w:rFonts w:ascii="Book Antiqua" w:hAnsi="Book Antiqua" w:cs="Arial"/>
              </w:rPr>
              <w:t>1753</w:t>
            </w:r>
          </w:p>
        </w:tc>
        <w:tc>
          <w:tcPr>
            <w:tcW w:w="1253" w:type="dxa"/>
            <w:shd w:val="clear" w:color="auto" w:fill="auto"/>
          </w:tcPr>
          <w:p w14:paraId="4317FDDA" w14:textId="77777777" w:rsidR="00161DA3" w:rsidRPr="004E64A3" w:rsidRDefault="00161DA3" w:rsidP="00161DA3">
            <w:pPr>
              <w:spacing w:line="360" w:lineRule="auto"/>
              <w:rPr>
                <w:rFonts w:ascii="Book Antiqua" w:hAnsi="Book Antiqua" w:cs="Arial"/>
              </w:rPr>
            </w:pPr>
            <w:r w:rsidRPr="004E64A3">
              <w:rPr>
                <w:rFonts w:ascii="Book Antiqua" w:hAnsi="Book Antiqua" w:cs="Arial"/>
              </w:rPr>
              <w:t>1123 (64.1)</w:t>
            </w:r>
          </w:p>
        </w:tc>
        <w:tc>
          <w:tcPr>
            <w:tcW w:w="1253" w:type="dxa"/>
            <w:shd w:val="clear" w:color="auto" w:fill="auto"/>
          </w:tcPr>
          <w:p w14:paraId="0A7263C6" w14:textId="77777777" w:rsidR="00161DA3" w:rsidRPr="004E64A3" w:rsidRDefault="00161DA3" w:rsidP="00161DA3">
            <w:pPr>
              <w:spacing w:line="360" w:lineRule="auto"/>
              <w:rPr>
                <w:rFonts w:ascii="Book Antiqua" w:hAnsi="Book Antiqua" w:cs="Arial"/>
              </w:rPr>
            </w:pPr>
            <w:r w:rsidRPr="004E64A3">
              <w:rPr>
                <w:rFonts w:ascii="Book Antiqua" w:hAnsi="Book Antiqua" w:cs="Arial"/>
              </w:rPr>
              <w:t>408 (23.3)</w:t>
            </w:r>
          </w:p>
        </w:tc>
        <w:tc>
          <w:tcPr>
            <w:tcW w:w="1261" w:type="dxa"/>
            <w:shd w:val="clear" w:color="auto" w:fill="auto"/>
          </w:tcPr>
          <w:p w14:paraId="616A52A8" w14:textId="77777777" w:rsidR="00161DA3" w:rsidRPr="004E64A3" w:rsidRDefault="00161DA3" w:rsidP="00161DA3">
            <w:pPr>
              <w:spacing w:line="360" w:lineRule="auto"/>
              <w:rPr>
                <w:rFonts w:ascii="Book Antiqua" w:hAnsi="Book Antiqua" w:cs="Arial"/>
              </w:rPr>
            </w:pPr>
            <w:r w:rsidRPr="004E64A3">
              <w:rPr>
                <w:rFonts w:ascii="Book Antiqua" w:hAnsi="Book Antiqua" w:cs="Arial"/>
              </w:rPr>
              <w:t>222 (12.7)</w:t>
            </w:r>
          </w:p>
        </w:tc>
        <w:tc>
          <w:tcPr>
            <w:tcW w:w="2315" w:type="dxa"/>
            <w:shd w:val="clear" w:color="auto" w:fill="auto"/>
          </w:tcPr>
          <w:p w14:paraId="46F1EBEB" w14:textId="653652C7" w:rsidR="00161DA3" w:rsidRPr="004E64A3" w:rsidRDefault="00161DA3" w:rsidP="00161DA3">
            <w:pPr>
              <w:spacing w:line="360" w:lineRule="auto"/>
              <w:rPr>
                <w:rFonts w:ascii="Book Antiqua" w:hAnsi="Book Antiqua" w:cs="Arial"/>
              </w:rPr>
            </w:pPr>
            <w:r w:rsidRPr="004E64A3">
              <w:rPr>
                <w:rFonts w:ascii="Book Antiqua" w:hAnsi="Book Antiqua" w:cs="Arial"/>
              </w:rPr>
              <w:t>ALT</w:t>
            </w:r>
            <w:r w:rsidR="00EE7A2E" w:rsidRPr="004E64A3">
              <w:rPr>
                <w:rFonts w:ascii="Book Antiqua" w:hAnsi="Book Antiqua" w:cs="Arial"/>
              </w:rPr>
              <w:t xml:space="preserve"> </w:t>
            </w:r>
            <w:r w:rsidRPr="004E64A3">
              <w:rPr>
                <w:rFonts w:ascii="Book Antiqua" w:hAnsi="Book Antiqua" w:cs="Arial"/>
              </w:rPr>
              <w:t>=</w:t>
            </w:r>
            <w:r w:rsidR="00EE7A2E" w:rsidRPr="004E64A3">
              <w:rPr>
                <w:rFonts w:ascii="Book Antiqua" w:hAnsi="Book Antiqua" w:cs="Arial"/>
              </w:rPr>
              <w:t xml:space="preserve"> </w:t>
            </w:r>
            <w:r w:rsidRPr="004E64A3">
              <w:rPr>
                <w:rFonts w:ascii="Book Antiqua" w:hAnsi="Book Antiqua" w:cs="Arial"/>
              </w:rPr>
              <w:t>34 U / L</w:t>
            </w:r>
          </w:p>
        </w:tc>
      </w:tr>
      <w:tr w:rsidR="006F2647" w:rsidRPr="006F2647" w14:paraId="3EFE1130" w14:textId="77777777" w:rsidTr="00DA4A99">
        <w:tc>
          <w:tcPr>
            <w:tcW w:w="1341" w:type="dxa"/>
            <w:tcBorders>
              <w:bottom w:val="single" w:sz="4" w:space="0" w:color="auto"/>
            </w:tcBorders>
            <w:shd w:val="clear" w:color="auto" w:fill="auto"/>
          </w:tcPr>
          <w:p w14:paraId="4392817E" w14:textId="1324BBA4" w:rsidR="00161DA3" w:rsidRPr="004E64A3" w:rsidRDefault="00161DA3" w:rsidP="00161DA3">
            <w:pPr>
              <w:spacing w:line="360" w:lineRule="auto"/>
              <w:rPr>
                <w:rFonts w:ascii="Book Antiqua" w:hAnsi="Book Antiqua" w:cs="Arial"/>
                <w:color w:val="2E2E2E"/>
              </w:rPr>
            </w:pPr>
            <w:r w:rsidRPr="004E64A3">
              <w:rPr>
                <w:rFonts w:ascii="Book Antiqua" w:hAnsi="Book Antiqua" w:cs="Arial"/>
                <w:color w:val="2E2E2E"/>
              </w:rPr>
              <w:t xml:space="preserve">Yip </w:t>
            </w:r>
            <w:r w:rsidRPr="004E64A3">
              <w:rPr>
                <w:rFonts w:ascii="Book Antiqua" w:hAnsi="Book Antiqua" w:cs="Arial"/>
                <w:i/>
                <w:iCs/>
                <w:color w:val="2E2E2E"/>
              </w:rPr>
              <w:t>et al</w:t>
            </w:r>
            <w:r w:rsidRPr="004E64A3">
              <w:rPr>
                <w:rFonts w:ascii="Book Antiqua" w:hAnsi="Book Antiqua" w:cs="Arial"/>
                <w:color w:val="2E2E2E"/>
                <w:vertAlign w:val="superscript"/>
              </w:rPr>
              <w:t>[132]</w:t>
            </w:r>
          </w:p>
        </w:tc>
        <w:tc>
          <w:tcPr>
            <w:tcW w:w="1288" w:type="dxa"/>
            <w:tcBorders>
              <w:bottom w:val="single" w:sz="4" w:space="0" w:color="auto"/>
            </w:tcBorders>
            <w:shd w:val="clear" w:color="auto" w:fill="auto"/>
          </w:tcPr>
          <w:p w14:paraId="667EA127" w14:textId="0EE2A112" w:rsidR="00161DA3" w:rsidRPr="005B21B2" w:rsidRDefault="00E856D1" w:rsidP="00161DA3">
            <w:pPr>
              <w:spacing w:line="360" w:lineRule="auto"/>
              <w:rPr>
                <w:rFonts w:ascii="Book Antiqua" w:hAnsi="Book Antiqua" w:cs="Arial" w:hint="eastAsia"/>
                <w:lang w:eastAsia="zh-CN"/>
              </w:rPr>
            </w:pPr>
            <w:r w:rsidRPr="00E856D1">
              <w:rPr>
                <w:rFonts w:ascii="Book Antiqua" w:eastAsia="等线 Light" w:hAnsi="Book Antiqua" w:cs="Arial"/>
                <w:lang w:eastAsia="zh-CN"/>
              </w:rPr>
              <w:t>January</w:t>
            </w:r>
            <w:r>
              <w:rPr>
                <w:rFonts w:ascii="Book Antiqua" w:eastAsia="等线 Light" w:hAnsi="Book Antiqua" w:cs="Arial" w:hint="eastAsia"/>
                <w:lang w:eastAsia="zh-CN"/>
              </w:rPr>
              <w:t xml:space="preserve"> 23</w:t>
            </w:r>
            <w:r>
              <w:rPr>
                <w:rFonts w:ascii="Book Antiqua" w:eastAsia="等线 Light" w:hAnsi="Book Antiqua" w:cs="Arial" w:hint="eastAsia"/>
                <w:lang w:eastAsia="zh-CN"/>
              </w:rPr>
              <w:t>, 2020-</w:t>
            </w:r>
            <w:bookmarkStart w:id="3" w:name="_GoBack"/>
            <w:bookmarkEnd w:id="3"/>
            <w:r w:rsidR="005B21B2" w:rsidRPr="005B21B2">
              <w:rPr>
                <w:rFonts w:ascii="Book Antiqua" w:eastAsia="等线 Light" w:hAnsi="Book Antiqua" w:cs="Arial"/>
                <w:lang w:eastAsia="zh-CN"/>
              </w:rPr>
              <w:t>May</w:t>
            </w:r>
            <w:r w:rsidR="005B21B2">
              <w:rPr>
                <w:rFonts w:ascii="Book Antiqua" w:eastAsia="等线 Light" w:hAnsi="Book Antiqua" w:cs="Arial" w:hint="eastAsia"/>
                <w:lang w:eastAsia="zh-CN"/>
              </w:rPr>
              <w:t xml:space="preserve"> </w:t>
            </w:r>
            <w:r>
              <w:rPr>
                <w:rFonts w:ascii="Book Antiqua" w:eastAsia="等线 Light" w:hAnsi="Book Antiqua" w:cs="Arial" w:hint="eastAsia"/>
                <w:lang w:eastAsia="zh-CN"/>
              </w:rPr>
              <w:t xml:space="preserve">1, </w:t>
            </w:r>
            <w:r w:rsidRPr="004E64A3">
              <w:rPr>
                <w:rFonts w:ascii="Book Antiqua" w:eastAsia="等线 Light" w:hAnsi="Book Antiqua" w:cs="Arial"/>
              </w:rPr>
              <w:t>2020</w:t>
            </w:r>
          </w:p>
        </w:tc>
        <w:tc>
          <w:tcPr>
            <w:tcW w:w="1075" w:type="dxa"/>
            <w:tcBorders>
              <w:bottom w:val="single" w:sz="4" w:space="0" w:color="auto"/>
            </w:tcBorders>
            <w:shd w:val="clear" w:color="auto" w:fill="auto"/>
          </w:tcPr>
          <w:p w14:paraId="22F941F7" w14:textId="77777777" w:rsidR="00161DA3" w:rsidRPr="004E64A3" w:rsidRDefault="00161DA3" w:rsidP="00161DA3">
            <w:pPr>
              <w:spacing w:line="360" w:lineRule="auto"/>
              <w:rPr>
                <w:rFonts w:ascii="Book Antiqua" w:hAnsi="Book Antiqua" w:cs="Arial"/>
              </w:rPr>
            </w:pPr>
            <w:r w:rsidRPr="004E64A3">
              <w:rPr>
                <w:rFonts w:ascii="Book Antiqua" w:hAnsi="Book Antiqua" w:cs="Arial"/>
              </w:rPr>
              <w:t>816</w:t>
            </w:r>
          </w:p>
        </w:tc>
        <w:tc>
          <w:tcPr>
            <w:tcW w:w="1253" w:type="dxa"/>
            <w:tcBorders>
              <w:bottom w:val="single" w:sz="4" w:space="0" w:color="auto"/>
            </w:tcBorders>
            <w:shd w:val="clear" w:color="auto" w:fill="auto"/>
          </w:tcPr>
          <w:p w14:paraId="4F6470AE" w14:textId="685D0248" w:rsidR="00161DA3" w:rsidRPr="004E64A3" w:rsidRDefault="00161DA3" w:rsidP="00161DA3">
            <w:pPr>
              <w:spacing w:line="360" w:lineRule="auto"/>
              <w:rPr>
                <w:rFonts w:ascii="Book Antiqua" w:hAnsi="Book Antiqua" w:cs="Arial"/>
                <w:lang w:eastAsia="zh-CN"/>
              </w:rPr>
            </w:pPr>
            <w:r w:rsidRPr="004E64A3">
              <w:rPr>
                <w:rFonts w:ascii="Book Antiqua" w:hAnsi="Book Antiqua" w:cs="Arial"/>
              </w:rPr>
              <w:t>635</w:t>
            </w:r>
            <w:r w:rsidR="00EE7A2E" w:rsidRPr="004E64A3">
              <w:rPr>
                <w:rFonts w:ascii="Book Antiqua" w:hAnsi="Book Antiqua" w:cs="Arial"/>
              </w:rPr>
              <w:t xml:space="preserve"> </w:t>
            </w:r>
            <w:r w:rsidRPr="004E64A3">
              <w:rPr>
                <w:rFonts w:ascii="Book Antiqua" w:hAnsi="Book Antiqua" w:cs="Arial"/>
              </w:rPr>
              <w:t>(77.8</w:t>
            </w:r>
            <w:r w:rsidR="00EE7A2E" w:rsidRPr="004E64A3">
              <w:rPr>
                <w:rFonts w:ascii="Book Antiqua" w:hAnsi="Book Antiqua" w:cs="Arial"/>
                <w:lang w:eastAsia="zh-CN"/>
              </w:rPr>
              <w:t>)</w:t>
            </w:r>
          </w:p>
        </w:tc>
        <w:tc>
          <w:tcPr>
            <w:tcW w:w="1253" w:type="dxa"/>
            <w:tcBorders>
              <w:bottom w:val="single" w:sz="4" w:space="0" w:color="auto"/>
            </w:tcBorders>
            <w:shd w:val="clear" w:color="auto" w:fill="auto"/>
          </w:tcPr>
          <w:p w14:paraId="5B4395C8" w14:textId="3E74C69D" w:rsidR="00161DA3" w:rsidRPr="004E64A3" w:rsidRDefault="00161DA3" w:rsidP="00161DA3">
            <w:pPr>
              <w:spacing w:line="360" w:lineRule="auto"/>
              <w:rPr>
                <w:rFonts w:ascii="Book Antiqua" w:hAnsi="Book Antiqua" w:cs="Arial"/>
              </w:rPr>
            </w:pPr>
            <w:r w:rsidRPr="004E64A3">
              <w:rPr>
                <w:rFonts w:ascii="Book Antiqua" w:hAnsi="Book Antiqua" w:cs="Arial"/>
              </w:rPr>
              <w:t>141</w:t>
            </w:r>
            <w:r w:rsidR="00EE7A2E" w:rsidRPr="004E64A3">
              <w:rPr>
                <w:rFonts w:ascii="Book Antiqua" w:hAnsi="Book Antiqua" w:cs="Arial"/>
              </w:rPr>
              <w:t xml:space="preserve"> </w:t>
            </w:r>
            <w:r w:rsidRPr="004E64A3">
              <w:rPr>
                <w:rFonts w:ascii="Book Antiqua" w:hAnsi="Book Antiqua" w:cs="Arial"/>
              </w:rPr>
              <w:t>(17.3)</w:t>
            </w:r>
          </w:p>
        </w:tc>
        <w:tc>
          <w:tcPr>
            <w:tcW w:w="1261" w:type="dxa"/>
            <w:tcBorders>
              <w:bottom w:val="single" w:sz="4" w:space="0" w:color="auto"/>
            </w:tcBorders>
            <w:shd w:val="clear" w:color="auto" w:fill="auto"/>
          </w:tcPr>
          <w:p w14:paraId="4AD5F9F0" w14:textId="076B67AB" w:rsidR="00161DA3" w:rsidRPr="004E64A3" w:rsidRDefault="00161DA3" w:rsidP="00161DA3">
            <w:pPr>
              <w:spacing w:line="360" w:lineRule="auto"/>
              <w:rPr>
                <w:rFonts w:ascii="Book Antiqua" w:hAnsi="Book Antiqua" w:cs="Arial"/>
              </w:rPr>
            </w:pPr>
            <w:r w:rsidRPr="004E64A3">
              <w:rPr>
                <w:rFonts w:ascii="Book Antiqua" w:hAnsi="Book Antiqua" w:cs="Arial"/>
              </w:rPr>
              <w:t>40</w:t>
            </w:r>
            <w:r w:rsidR="00EE7A2E" w:rsidRPr="004E64A3">
              <w:rPr>
                <w:rFonts w:ascii="Book Antiqua" w:hAnsi="Book Antiqua" w:cs="Arial"/>
              </w:rPr>
              <w:t xml:space="preserve"> </w:t>
            </w:r>
            <w:r w:rsidRPr="004E64A3">
              <w:rPr>
                <w:rFonts w:ascii="Book Antiqua" w:hAnsi="Book Antiqua" w:cs="Arial"/>
              </w:rPr>
              <w:t>(4.9)</w:t>
            </w:r>
          </w:p>
        </w:tc>
        <w:tc>
          <w:tcPr>
            <w:tcW w:w="2315" w:type="dxa"/>
            <w:tcBorders>
              <w:bottom w:val="single" w:sz="4" w:space="0" w:color="auto"/>
            </w:tcBorders>
            <w:shd w:val="clear" w:color="auto" w:fill="auto"/>
          </w:tcPr>
          <w:p w14:paraId="0DE255B1" w14:textId="11C32B93" w:rsidR="00161DA3" w:rsidRPr="004E64A3" w:rsidRDefault="00161DA3" w:rsidP="00161DA3">
            <w:pPr>
              <w:spacing w:line="360" w:lineRule="auto"/>
              <w:rPr>
                <w:rFonts w:ascii="Book Antiqua" w:hAnsi="Book Antiqua" w:cs="Arial"/>
              </w:rPr>
            </w:pPr>
            <w:r w:rsidRPr="004E64A3">
              <w:rPr>
                <w:rFonts w:ascii="Book Antiqua" w:hAnsi="Book Antiqua" w:cs="Arial"/>
              </w:rPr>
              <w:t>ALT</w:t>
            </w:r>
            <w:r w:rsidR="00EE7A2E" w:rsidRPr="004E64A3">
              <w:rPr>
                <w:rFonts w:ascii="Book Antiqua" w:hAnsi="Book Antiqua" w:cs="Arial"/>
              </w:rPr>
              <w:t xml:space="preserve"> </w:t>
            </w:r>
            <w:r w:rsidRPr="004E64A3">
              <w:rPr>
                <w:rFonts w:ascii="Book Antiqua" w:hAnsi="Book Antiqua" w:cs="Arial"/>
              </w:rPr>
              <w:t>=</w:t>
            </w:r>
            <w:r w:rsidR="00EE7A2E" w:rsidRPr="004E64A3">
              <w:rPr>
                <w:rFonts w:ascii="Book Antiqua" w:hAnsi="Book Antiqua" w:cs="Arial"/>
              </w:rPr>
              <w:t xml:space="preserve"> </w:t>
            </w:r>
            <w:r w:rsidRPr="004E64A3">
              <w:rPr>
                <w:rFonts w:ascii="Book Antiqua" w:hAnsi="Book Antiqua" w:cs="Arial"/>
              </w:rPr>
              <w:t>40 U / L</w:t>
            </w:r>
          </w:p>
        </w:tc>
      </w:tr>
    </w:tbl>
    <w:bookmarkEnd w:id="2"/>
    <w:p w14:paraId="254ACDB4" w14:textId="03BFEAAC" w:rsidR="00B4631A" w:rsidRDefault="00EE7A2E" w:rsidP="00EE7A2E">
      <w:pPr>
        <w:spacing w:line="360" w:lineRule="auto"/>
        <w:jc w:val="both"/>
        <w:rPr>
          <w:rFonts w:ascii="Book Antiqua" w:hAnsi="Book Antiqua"/>
        </w:rPr>
      </w:pPr>
      <w:r w:rsidRPr="004E64A3">
        <w:rPr>
          <w:rFonts w:ascii="Book Antiqua" w:hAnsi="Book Antiqua"/>
        </w:rPr>
        <w:t xml:space="preserve">Data </w:t>
      </w:r>
      <w:r w:rsidR="008039CB">
        <w:rPr>
          <w:rFonts w:ascii="Book Antiqua" w:hAnsi="Book Antiqua"/>
        </w:rPr>
        <w:t>a</w:t>
      </w:r>
      <w:r w:rsidR="008039CB" w:rsidRPr="004E64A3">
        <w:rPr>
          <w:rFonts w:ascii="Book Antiqua" w:hAnsi="Book Antiqua"/>
        </w:rPr>
        <w:t xml:space="preserve">re </w:t>
      </w:r>
      <w:r w:rsidRPr="004E64A3">
        <w:rPr>
          <w:rFonts w:ascii="Book Antiqua" w:hAnsi="Book Antiqua"/>
        </w:rPr>
        <w:t xml:space="preserve">expressed as </w:t>
      </w:r>
      <w:r w:rsidRPr="004E64A3">
        <w:rPr>
          <w:rFonts w:ascii="Book Antiqua" w:hAnsi="Book Antiqua"/>
          <w:i/>
          <w:iCs/>
        </w:rPr>
        <w:t>n</w:t>
      </w:r>
      <w:r w:rsidRPr="004E64A3">
        <w:rPr>
          <w:rFonts w:ascii="Book Antiqua" w:hAnsi="Book Antiqua"/>
        </w:rPr>
        <w:t xml:space="preserve"> (%). ALT: Alanine aminotransferase; ULN: </w:t>
      </w:r>
      <w:r w:rsidR="008039CB">
        <w:rPr>
          <w:rFonts w:ascii="Book Antiqua" w:hAnsi="Book Antiqua"/>
        </w:rPr>
        <w:t>U</w:t>
      </w:r>
      <w:r w:rsidRPr="004E64A3">
        <w:rPr>
          <w:rFonts w:ascii="Book Antiqua" w:hAnsi="Book Antiqua"/>
        </w:rPr>
        <w:t>pper limit of normal.</w:t>
      </w:r>
    </w:p>
    <w:p w14:paraId="749A7B82" w14:textId="77777777" w:rsidR="00B4631A" w:rsidRDefault="00B4631A">
      <w:pPr>
        <w:rPr>
          <w:rFonts w:ascii="Book Antiqua" w:hAnsi="Book Antiqua"/>
        </w:rPr>
      </w:pPr>
      <w:r>
        <w:rPr>
          <w:rFonts w:ascii="Book Antiqua" w:hAnsi="Book Antiqua"/>
        </w:rPr>
        <w:br w:type="page"/>
      </w:r>
    </w:p>
    <w:p w14:paraId="1BAF215F" w14:textId="77777777" w:rsidR="00B4631A" w:rsidRDefault="00B4631A" w:rsidP="00B4631A">
      <w:pPr>
        <w:jc w:val="center"/>
        <w:rPr>
          <w:rFonts w:ascii="Book Antiqua" w:hAnsi="Book Antiqua"/>
          <w:lang w:eastAsia="zh-CN"/>
        </w:rPr>
      </w:pPr>
      <w:bookmarkStart w:id="4" w:name="OLE_LINK1"/>
      <w:bookmarkStart w:id="5" w:name="OLE_LINK2"/>
    </w:p>
    <w:p w14:paraId="289FECFD" w14:textId="77777777" w:rsidR="00B4631A" w:rsidRDefault="00B4631A" w:rsidP="00B4631A">
      <w:pPr>
        <w:jc w:val="center"/>
        <w:rPr>
          <w:rFonts w:ascii="Book Antiqua" w:hAnsi="Book Antiqua"/>
          <w:lang w:eastAsia="zh-CN"/>
        </w:rPr>
      </w:pPr>
    </w:p>
    <w:p w14:paraId="1A537796" w14:textId="77777777" w:rsidR="00B4631A" w:rsidRDefault="00B4631A" w:rsidP="00B4631A">
      <w:pPr>
        <w:jc w:val="center"/>
        <w:rPr>
          <w:rFonts w:ascii="Book Antiqua" w:hAnsi="Book Antiqua"/>
          <w:lang w:eastAsia="zh-CN"/>
        </w:rPr>
      </w:pPr>
    </w:p>
    <w:p w14:paraId="0F1F6886" w14:textId="77777777" w:rsidR="00B4631A" w:rsidRDefault="00B4631A" w:rsidP="00B4631A">
      <w:pPr>
        <w:jc w:val="center"/>
        <w:rPr>
          <w:rFonts w:ascii="Book Antiqua" w:hAnsi="Book Antiqua"/>
          <w:lang w:eastAsia="zh-CN"/>
        </w:rPr>
      </w:pPr>
    </w:p>
    <w:p w14:paraId="42F9848B" w14:textId="77777777" w:rsidR="00B4631A" w:rsidRDefault="00B4631A" w:rsidP="00B4631A">
      <w:pPr>
        <w:jc w:val="center"/>
        <w:rPr>
          <w:rFonts w:ascii="Book Antiqua" w:hAnsi="Book Antiqua"/>
          <w:lang w:eastAsia="zh-CN"/>
        </w:rPr>
      </w:pPr>
    </w:p>
    <w:p w14:paraId="795E943F" w14:textId="77777777" w:rsidR="00B4631A" w:rsidRDefault="00B4631A" w:rsidP="00B4631A">
      <w:pPr>
        <w:jc w:val="center"/>
        <w:rPr>
          <w:rFonts w:ascii="Book Antiqua" w:hAnsi="Book Antiqua"/>
          <w:lang w:eastAsia="zh-CN"/>
        </w:rPr>
      </w:pPr>
      <w:r>
        <w:rPr>
          <w:rFonts w:ascii="Book Antiqua" w:hAnsi="Book Antiqua"/>
          <w:noProof/>
          <w:lang w:eastAsia="zh-CN"/>
        </w:rPr>
        <w:drawing>
          <wp:inline distT="0" distB="0" distL="0" distR="0" wp14:anchorId="4C6A791E" wp14:editId="2BB56305">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C6A273A" w14:textId="77777777" w:rsidR="00B4631A" w:rsidRDefault="00B4631A" w:rsidP="00B4631A">
      <w:pPr>
        <w:jc w:val="center"/>
        <w:rPr>
          <w:rFonts w:ascii="Book Antiqua" w:hAnsi="Book Antiqua"/>
          <w:lang w:eastAsia="zh-CN"/>
        </w:rPr>
      </w:pPr>
    </w:p>
    <w:p w14:paraId="4F6FBCF4" w14:textId="77777777" w:rsidR="00B4631A" w:rsidRPr="00763D22" w:rsidRDefault="00B4631A" w:rsidP="00B4631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CB0B12A" w14:textId="77777777" w:rsidR="00B4631A" w:rsidRPr="00763D22" w:rsidRDefault="00B4631A" w:rsidP="00B4631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1894789" w14:textId="77777777" w:rsidR="00B4631A" w:rsidRPr="00763D22" w:rsidRDefault="00B4631A" w:rsidP="00B4631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A8A4436" w14:textId="77777777" w:rsidR="00B4631A" w:rsidRPr="00763D22" w:rsidRDefault="00B4631A" w:rsidP="00B4631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567A59B" w14:textId="77777777" w:rsidR="00B4631A" w:rsidRPr="00763D22" w:rsidRDefault="00B4631A" w:rsidP="00B4631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4490AEB" w14:textId="77777777" w:rsidR="00B4631A" w:rsidRPr="00763D22" w:rsidRDefault="00B4631A" w:rsidP="00B4631A">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134AA86" w14:textId="77777777" w:rsidR="00B4631A" w:rsidRDefault="00B4631A" w:rsidP="00B4631A">
      <w:pPr>
        <w:jc w:val="center"/>
        <w:rPr>
          <w:rFonts w:ascii="Book Antiqua" w:hAnsi="Book Antiqua"/>
          <w:lang w:eastAsia="zh-CN"/>
        </w:rPr>
      </w:pPr>
    </w:p>
    <w:p w14:paraId="2C7E7F4B" w14:textId="77777777" w:rsidR="00B4631A" w:rsidRDefault="00B4631A" w:rsidP="00B4631A">
      <w:pPr>
        <w:jc w:val="center"/>
        <w:rPr>
          <w:rFonts w:ascii="Book Antiqua" w:hAnsi="Book Antiqua"/>
          <w:lang w:eastAsia="zh-CN"/>
        </w:rPr>
      </w:pPr>
    </w:p>
    <w:p w14:paraId="0BE624F5" w14:textId="77777777" w:rsidR="00B4631A" w:rsidRDefault="00B4631A" w:rsidP="00B4631A">
      <w:pPr>
        <w:jc w:val="center"/>
        <w:rPr>
          <w:rFonts w:ascii="Book Antiqua" w:hAnsi="Book Antiqua"/>
          <w:lang w:eastAsia="zh-CN"/>
        </w:rPr>
      </w:pPr>
    </w:p>
    <w:p w14:paraId="17249423" w14:textId="77777777" w:rsidR="00B4631A" w:rsidRDefault="00B4631A" w:rsidP="00B4631A">
      <w:pPr>
        <w:jc w:val="center"/>
        <w:rPr>
          <w:rFonts w:ascii="Book Antiqua" w:hAnsi="Book Antiqua"/>
          <w:lang w:eastAsia="zh-CN"/>
        </w:rPr>
      </w:pPr>
      <w:r>
        <w:rPr>
          <w:rFonts w:ascii="Book Antiqua" w:hAnsi="Book Antiqua"/>
          <w:noProof/>
          <w:lang w:eastAsia="zh-CN"/>
        </w:rPr>
        <w:drawing>
          <wp:inline distT="0" distB="0" distL="0" distR="0" wp14:anchorId="68A4789A" wp14:editId="08B3983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153C0FA" w14:textId="77777777" w:rsidR="00B4631A" w:rsidRDefault="00B4631A" w:rsidP="00B4631A">
      <w:pPr>
        <w:jc w:val="center"/>
        <w:rPr>
          <w:rFonts w:ascii="Book Antiqua" w:hAnsi="Book Antiqua"/>
          <w:lang w:eastAsia="zh-CN"/>
        </w:rPr>
      </w:pPr>
    </w:p>
    <w:p w14:paraId="351F34DA" w14:textId="77777777" w:rsidR="00B4631A" w:rsidRDefault="00B4631A" w:rsidP="00B4631A">
      <w:pPr>
        <w:jc w:val="center"/>
        <w:rPr>
          <w:rFonts w:ascii="Book Antiqua" w:hAnsi="Book Antiqua"/>
          <w:lang w:eastAsia="zh-CN"/>
        </w:rPr>
      </w:pPr>
    </w:p>
    <w:p w14:paraId="093B569B" w14:textId="77777777" w:rsidR="00B4631A" w:rsidRDefault="00B4631A" w:rsidP="00B4631A">
      <w:pPr>
        <w:jc w:val="center"/>
        <w:rPr>
          <w:rFonts w:ascii="Book Antiqua" w:hAnsi="Book Antiqua"/>
          <w:lang w:eastAsia="zh-CN"/>
        </w:rPr>
      </w:pPr>
    </w:p>
    <w:p w14:paraId="44762FC1" w14:textId="77777777" w:rsidR="00B4631A" w:rsidRDefault="00B4631A" w:rsidP="00B4631A">
      <w:pPr>
        <w:jc w:val="center"/>
        <w:rPr>
          <w:rFonts w:ascii="Book Antiqua" w:hAnsi="Book Antiqua"/>
          <w:lang w:eastAsia="zh-CN"/>
        </w:rPr>
      </w:pPr>
    </w:p>
    <w:p w14:paraId="0512E8D7" w14:textId="77777777" w:rsidR="00B4631A" w:rsidRDefault="00B4631A" w:rsidP="00B4631A">
      <w:pPr>
        <w:jc w:val="center"/>
        <w:rPr>
          <w:rFonts w:ascii="Book Antiqua" w:hAnsi="Book Antiqua"/>
          <w:lang w:eastAsia="zh-CN"/>
        </w:rPr>
      </w:pPr>
    </w:p>
    <w:p w14:paraId="417B3EE5" w14:textId="77777777" w:rsidR="00B4631A" w:rsidRDefault="00B4631A" w:rsidP="00B4631A">
      <w:pPr>
        <w:jc w:val="center"/>
        <w:rPr>
          <w:rFonts w:ascii="Book Antiqua" w:hAnsi="Book Antiqua"/>
          <w:lang w:eastAsia="zh-CN"/>
        </w:rPr>
      </w:pPr>
    </w:p>
    <w:p w14:paraId="3028B946" w14:textId="77777777" w:rsidR="00B4631A" w:rsidRDefault="00B4631A" w:rsidP="00B4631A">
      <w:pPr>
        <w:jc w:val="center"/>
        <w:rPr>
          <w:rFonts w:ascii="Book Antiqua" w:hAnsi="Book Antiqua"/>
          <w:lang w:eastAsia="zh-CN"/>
        </w:rPr>
      </w:pPr>
    </w:p>
    <w:p w14:paraId="2558835B" w14:textId="77777777" w:rsidR="00B4631A" w:rsidRDefault="00B4631A" w:rsidP="00B4631A">
      <w:pPr>
        <w:jc w:val="center"/>
        <w:rPr>
          <w:rFonts w:ascii="Book Antiqua" w:hAnsi="Book Antiqua"/>
          <w:lang w:eastAsia="zh-CN"/>
        </w:rPr>
      </w:pPr>
    </w:p>
    <w:p w14:paraId="4FB3F421" w14:textId="77777777" w:rsidR="00B4631A" w:rsidRDefault="00B4631A" w:rsidP="00B4631A">
      <w:pPr>
        <w:jc w:val="center"/>
        <w:rPr>
          <w:rFonts w:ascii="Book Antiqua" w:hAnsi="Book Antiqua"/>
          <w:lang w:eastAsia="zh-CN"/>
        </w:rPr>
      </w:pPr>
    </w:p>
    <w:p w14:paraId="45A96710" w14:textId="77777777" w:rsidR="00B4631A" w:rsidRPr="00763D22" w:rsidRDefault="00B4631A" w:rsidP="00B4631A">
      <w:pPr>
        <w:jc w:val="right"/>
        <w:rPr>
          <w:rFonts w:ascii="Book Antiqua" w:hAnsi="Book Antiqua"/>
          <w:color w:val="000000" w:themeColor="text1"/>
          <w:lang w:eastAsia="zh-CN"/>
        </w:rPr>
      </w:pPr>
    </w:p>
    <w:p w14:paraId="0EE398D2" w14:textId="77777777" w:rsidR="00B4631A" w:rsidRPr="00763D22" w:rsidRDefault="00B4631A" w:rsidP="00B4631A">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4"/>
      <w:bookmarkEnd w:id="5"/>
    </w:p>
    <w:p w14:paraId="751A0F0A" w14:textId="77777777" w:rsidR="004F436B" w:rsidRPr="004E64A3" w:rsidRDefault="004F436B" w:rsidP="00EE7A2E">
      <w:pPr>
        <w:spacing w:line="360" w:lineRule="auto"/>
        <w:jc w:val="both"/>
        <w:rPr>
          <w:rFonts w:ascii="Book Antiqua" w:hAnsi="Book Antiqua"/>
        </w:rPr>
      </w:pPr>
    </w:p>
    <w:sectPr w:rsidR="004F436B" w:rsidRPr="004E64A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F2C7F2" w14:textId="77777777" w:rsidR="004950A5" w:rsidRDefault="004950A5" w:rsidP="00BC682F">
      <w:r>
        <w:separator/>
      </w:r>
    </w:p>
  </w:endnote>
  <w:endnote w:type="continuationSeparator" w:id="0">
    <w:p w14:paraId="59FE3B1F" w14:textId="77777777" w:rsidR="004950A5" w:rsidRDefault="004950A5" w:rsidP="00BC6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730729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8F4F2FF" w14:textId="72045E3B" w:rsidR="00562DA3" w:rsidRPr="00562DA3" w:rsidRDefault="00562DA3" w:rsidP="00562DA3">
            <w:pPr>
              <w:pStyle w:val="a4"/>
              <w:jc w:val="right"/>
              <w:rPr>
                <w:rFonts w:ascii="Book Antiqua" w:hAnsi="Book Antiqua"/>
                <w:sz w:val="24"/>
                <w:szCs w:val="24"/>
              </w:rPr>
            </w:pPr>
            <w:r w:rsidRPr="00562DA3">
              <w:rPr>
                <w:rFonts w:ascii="Book Antiqua" w:hAnsi="Book Antiqua"/>
                <w:sz w:val="24"/>
                <w:szCs w:val="24"/>
                <w:lang w:val="zh-CN" w:eastAsia="zh-CN"/>
              </w:rPr>
              <w:t xml:space="preserve"> </w:t>
            </w:r>
            <w:r w:rsidRPr="00562DA3">
              <w:rPr>
                <w:rFonts w:ascii="Book Antiqua" w:hAnsi="Book Antiqua"/>
                <w:sz w:val="24"/>
                <w:szCs w:val="24"/>
              </w:rPr>
              <w:fldChar w:fldCharType="begin"/>
            </w:r>
            <w:r w:rsidRPr="00562DA3">
              <w:rPr>
                <w:rFonts w:ascii="Book Antiqua" w:hAnsi="Book Antiqua"/>
                <w:sz w:val="24"/>
                <w:szCs w:val="24"/>
              </w:rPr>
              <w:instrText>PAGE</w:instrText>
            </w:r>
            <w:r w:rsidRPr="00562DA3">
              <w:rPr>
                <w:rFonts w:ascii="Book Antiqua" w:hAnsi="Book Antiqua"/>
                <w:sz w:val="24"/>
                <w:szCs w:val="24"/>
              </w:rPr>
              <w:fldChar w:fldCharType="separate"/>
            </w:r>
            <w:r w:rsidR="004950A5">
              <w:rPr>
                <w:rFonts w:ascii="Book Antiqua" w:hAnsi="Book Antiqua"/>
                <w:noProof/>
                <w:sz w:val="24"/>
                <w:szCs w:val="24"/>
              </w:rPr>
              <w:t>1</w:t>
            </w:r>
            <w:r w:rsidRPr="00562DA3">
              <w:rPr>
                <w:rFonts w:ascii="Book Antiqua" w:hAnsi="Book Antiqua"/>
                <w:sz w:val="24"/>
                <w:szCs w:val="24"/>
              </w:rPr>
              <w:fldChar w:fldCharType="end"/>
            </w:r>
            <w:r w:rsidRPr="00562DA3">
              <w:rPr>
                <w:rFonts w:ascii="Book Antiqua" w:hAnsi="Book Antiqua"/>
                <w:sz w:val="24"/>
                <w:szCs w:val="24"/>
                <w:lang w:val="zh-CN" w:eastAsia="zh-CN"/>
              </w:rPr>
              <w:t xml:space="preserve"> / </w:t>
            </w:r>
            <w:r w:rsidRPr="00562DA3">
              <w:rPr>
                <w:rFonts w:ascii="Book Antiqua" w:hAnsi="Book Antiqua"/>
                <w:sz w:val="24"/>
                <w:szCs w:val="24"/>
              </w:rPr>
              <w:fldChar w:fldCharType="begin"/>
            </w:r>
            <w:r w:rsidRPr="00562DA3">
              <w:rPr>
                <w:rFonts w:ascii="Book Antiqua" w:hAnsi="Book Antiqua"/>
                <w:sz w:val="24"/>
                <w:szCs w:val="24"/>
              </w:rPr>
              <w:instrText>NUMPAGES</w:instrText>
            </w:r>
            <w:r w:rsidRPr="00562DA3">
              <w:rPr>
                <w:rFonts w:ascii="Book Antiqua" w:hAnsi="Book Antiqua"/>
                <w:sz w:val="24"/>
                <w:szCs w:val="24"/>
              </w:rPr>
              <w:fldChar w:fldCharType="separate"/>
            </w:r>
            <w:r w:rsidR="004950A5">
              <w:rPr>
                <w:rFonts w:ascii="Book Antiqua" w:hAnsi="Book Antiqua"/>
                <w:noProof/>
                <w:sz w:val="24"/>
                <w:szCs w:val="24"/>
              </w:rPr>
              <w:t>1</w:t>
            </w:r>
            <w:r w:rsidRPr="00562DA3">
              <w:rPr>
                <w:rFonts w:ascii="Book Antiqua" w:hAnsi="Book Antiqua"/>
                <w:sz w:val="24"/>
                <w:szCs w:val="24"/>
              </w:rPr>
              <w:fldChar w:fldCharType="end"/>
            </w:r>
          </w:p>
        </w:sdtContent>
      </w:sdt>
    </w:sdtContent>
  </w:sdt>
  <w:p w14:paraId="01544738" w14:textId="77777777" w:rsidR="00562DA3" w:rsidRPr="00562DA3" w:rsidRDefault="00562DA3" w:rsidP="00562DA3">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8B2459" w14:textId="77777777" w:rsidR="004950A5" w:rsidRDefault="004950A5" w:rsidP="00BC682F">
      <w:r>
        <w:separator/>
      </w:r>
    </w:p>
  </w:footnote>
  <w:footnote w:type="continuationSeparator" w:id="0">
    <w:p w14:paraId="77850BF4" w14:textId="77777777" w:rsidR="004950A5" w:rsidRDefault="004950A5" w:rsidP="00BC68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318"/>
    <w:rsid w:val="0000762A"/>
    <w:rsid w:val="00014472"/>
    <w:rsid w:val="00050AD9"/>
    <w:rsid w:val="0005557D"/>
    <w:rsid w:val="000571AA"/>
    <w:rsid w:val="000D1D95"/>
    <w:rsid w:val="000F4D15"/>
    <w:rsid w:val="00112F6F"/>
    <w:rsid w:val="0011328F"/>
    <w:rsid w:val="001539C5"/>
    <w:rsid w:val="00161DA3"/>
    <w:rsid w:val="00161DCD"/>
    <w:rsid w:val="00163B48"/>
    <w:rsid w:val="001815E7"/>
    <w:rsid w:val="00183625"/>
    <w:rsid w:val="00194B6C"/>
    <w:rsid w:val="001961B7"/>
    <w:rsid w:val="001B0D30"/>
    <w:rsid w:val="001E2D0D"/>
    <w:rsid w:val="001E7702"/>
    <w:rsid w:val="0020389F"/>
    <w:rsid w:val="00222E28"/>
    <w:rsid w:val="0022754A"/>
    <w:rsid w:val="00264327"/>
    <w:rsid w:val="00266ABC"/>
    <w:rsid w:val="00274989"/>
    <w:rsid w:val="002918D3"/>
    <w:rsid w:val="002A1A00"/>
    <w:rsid w:val="002A4480"/>
    <w:rsid w:val="002C4A81"/>
    <w:rsid w:val="002C5591"/>
    <w:rsid w:val="002D65D9"/>
    <w:rsid w:val="002F39EF"/>
    <w:rsid w:val="002F48C1"/>
    <w:rsid w:val="00327621"/>
    <w:rsid w:val="00327E1D"/>
    <w:rsid w:val="00340265"/>
    <w:rsid w:val="00367420"/>
    <w:rsid w:val="00373B62"/>
    <w:rsid w:val="003C734D"/>
    <w:rsid w:val="003F55F5"/>
    <w:rsid w:val="00427128"/>
    <w:rsid w:val="00427AA6"/>
    <w:rsid w:val="00456DD9"/>
    <w:rsid w:val="004950A5"/>
    <w:rsid w:val="004B77C4"/>
    <w:rsid w:val="004C77F4"/>
    <w:rsid w:val="004D19C9"/>
    <w:rsid w:val="004E64A3"/>
    <w:rsid w:val="004F436B"/>
    <w:rsid w:val="00522833"/>
    <w:rsid w:val="00524640"/>
    <w:rsid w:val="00542917"/>
    <w:rsid w:val="00547242"/>
    <w:rsid w:val="00562DA3"/>
    <w:rsid w:val="005A061E"/>
    <w:rsid w:val="005B21B2"/>
    <w:rsid w:val="005B360B"/>
    <w:rsid w:val="005D372F"/>
    <w:rsid w:val="005D5969"/>
    <w:rsid w:val="005D7B6B"/>
    <w:rsid w:val="006062BD"/>
    <w:rsid w:val="00611E5E"/>
    <w:rsid w:val="006251A9"/>
    <w:rsid w:val="0063721F"/>
    <w:rsid w:val="00671243"/>
    <w:rsid w:val="0067288E"/>
    <w:rsid w:val="006B3E93"/>
    <w:rsid w:val="006D21C6"/>
    <w:rsid w:val="006D4753"/>
    <w:rsid w:val="006F2647"/>
    <w:rsid w:val="00730228"/>
    <w:rsid w:val="007517DB"/>
    <w:rsid w:val="00756D31"/>
    <w:rsid w:val="007837BC"/>
    <w:rsid w:val="007B1DE3"/>
    <w:rsid w:val="007D076D"/>
    <w:rsid w:val="007D2C3F"/>
    <w:rsid w:val="007E0338"/>
    <w:rsid w:val="007E1BB4"/>
    <w:rsid w:val="008039CB"/>
    <w:rsid w:val="00804404"/>
    <w:rsid w:val="008079AF"/>
    <w:rsid w:val="008342C3"/>
    <w:rsid w:val="00841502"/>
    <w:rsid w:val="00847139"/>
    <w:rsid w:val="00861056"/>
    <w:rsid w:val="008C3A9E"/>
    <w:rsid w:val="008C66CC"/>
    <w:rsid w:val="008D4049"/>
    <w:rsid w:val="008F3CBE"/>
    <w:rsid w:val="00905CDA"/>
    <w:rsid w:val="00915B31"/>
    <w:rsid w:val="00915C58"/>
    <w:rsid w:val="00952296"/>
    <w:rsid w:val="00985800"/>
    <w:rsid w:val="00990905"/>
    <w:rsid w:val="00995760"/>
    <w:rsid w:val="00997B26"/>
    <w:rsid w:val="009A6480"/>
    <w:rsid w:val="00A46A2E"/>
    <w:rsid w:val="00A57C7B"/>
    <w:rsid w:val="00A65B9C"/>
    <w:rsid w:val="00A77B3E"/>
    <w:rsid w:val="00A83AB6"/>
    <w:rsid w:val="00A90B4D"/>
    <w:rsid w:val="00AA5213"/>
    <w:rsid w:val="00AE28C8"/>
    <w:rsid w:val="00AE55CA"/>
    <w:rsid w:val="00AF4950"/>
    <w:rsid w:val="00B105B9"/>
    <w:rsid w:val="00B21766"/>
    <w:rsid w:val="00B439D7"/>
    <w:rsid w:val="00B4631A"/>
    <w:rsid w:val="00B73A69"/>
    <w:rsid w:val="00B742A9"/>
    <w:rsid w:val="00B80AF8"/>
    <w:rsid w:val="00BA60FC"/>
    <w:rsid w:val="00BC6293"/>
    <w:rsid w:val="00BC682F"/>
    <w:rsid w:val="00BC7F2A"/>
    <w:rsid w:val="00BE079F"/>
    <w:rsid w:val="00BE2A2A"/>
    <w:rsid w:val="00BF007E"/>
    <w:rsid w:val="00BF4D1B"/>
    <w:rsid w:val="00C17CA0"/>
    <w:rsid w:val="00C222E5"/>
    <w:rsid w:val="00C31319"/>
    <w:rsid w:val="00C31ACB"/>
    <w:rsid w:val="00C45111"/>
    <w:rsid w:val="00C52D48"/>
    <w:rsid w:val="00C81489"/>
    <w:rsid w:val="00C81C25"/>
    <w:rsid w:val="00CA2A55"/>
    <w:rsid w:val="00CC538A"/>
    <w:rsid w:val="00CD5BC3"/>
    <w:rsid w:val="00D435B7"/>
    <w:rsid w:val="00D44393"/>
    <w:rsid w:val="00D72F68"/>
    <w:rsid w:val="00DA4A99"/>
    <w:rsid w:val="00DC15B0"/>
    <w:rsid w:val="00E0718B"/>
    <w:rsid w:val="00E4266D"/>
    <w:rsid w:val="00E45BFF"/>
    <w:rsid w:val="00E53C86"/>
    <w:rsid w:val="00E82863"/>
    <w:rsid w:val="00E856D1"/>
    <w:rsid w:val="00E9367E"/>
    <w:rsid w:val="00EC6733"/>
    <w:rsid w:val="00EE5B80"/>
    <w:rsid w:val="00EE7A2E"/>
    <w:rsid w:val="00EF2A23"/>
    <w:rsid w:val="00F01DF1"/>
    <w:rsid w:val="00F526C0"/>
    <w:rsid w:val="00F658B7"/>
    <w:rsid w:val="00F80974"/>
    <w:rsid w:val="00F93B8C"/>
    <w:rsid w:val="00FA3F04"/>
    <w:rsid w:val="00FB2D46"/>
    <w:rsid w:val="00FB6E4A"/>
    <w:rsid w:val="00FD6B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51F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C682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C682F"/>
    <w:rPr>
      <w:sz w:val="18"/>
      <w:szCs w:val="18"/>
    </w:rPr>
  </w:style>
  <w:style w:type="paragraph" w:styleId="a4">
    <w:name w:val="footer"/>
    <w:basedOn w:val="a"/>
    <w:link w:val="Char0"/>
    <w:uiPriority w:val="99"/>
    <w:unhideWhenUsed/>
    <w:rsid w:val="00BC682F"/>
    <w:pPr>
      <w:tabs>
        <w:tab w:val="center" w:pos="4153"/>
        <w:tab w:val="right" w:pos="8306"/>
      </w:tabs>
      <w:snapToGrid w:val="0"/>
    </w:pPr>
    <w:rPr>
      <w:sz w:val="18"/>
      <w:szCs w:val="18"/>
    </w:rPr>
  </w:style>
  <w:style w:type="character" w:customStyle="1" w:styleId="Char0">
    <w:name w:val="页脚 Char"/>
    <w:basedOn w:val="a0"/>
    <w:link w:val="a4"/>
    <w:uiPriority w:val="99"/>
    <w:rsid w:val="00BC682F"/>
    <w:rPr>
      <w:sz w:val="18"/>
      <w:szCs w:val="18"/>
    </w:rPr>
  </w:style>
  <w:style w:type="character" w:styleId="a5">
    <w:name w:val="annotation reference"/>
    <w:basedOn w:val="a0"/>
    <w:semiHidden/>
    <w:unhideWhenUsed/>
    <w:rsid w:val="00327621"/>
    <w:rPr>
      <w:sz w:val="21"/>
      <w:szCs w:val="21"/>
    </w:rPr>
  </w:style>
  <w:style w:type="paragraph" w:styleId="a6">
    <w:name w:val="annotation text"/>
    <w:basedOn w:val="a"/>
    <w:link w:val="Char1"/>
    <w:semiHidden/>
    <w:unhideWhenUsed/>
    <w:rsid w:val="00327621"/>
  </w:style>
  <w:style w:type="character" w:customStyle="1" w:styleId="Char1">
    <w:name w:val="批注文字 Char"/>
    <w:basedOn w:val="a0"/>
    <w:link w:val="a6"/>
    <w:semiHidden/>
    <w:rsid w:val="00327621"/>
    <w:rPr>
      <w:sz w:val="24"/>
      <w:szCs w:val="24"/>
    </w:rPr>
  </w:style>
  <w:style w:type="paragraph" w:styleId="a7">
    <w:name w:val="annotation subject"/>
    <w:basedOn w:val="a6"/>
    <w:next w:val="a6"/>
    <w:link w:val="Char2"/>
    <w:semiHidden/>
    <w:unhideWhenUsed/>
    <w:rsid w:val="00327621"/>
    <w:rPr>
      <w:b/>
      <w:bCs/>
    </w:rPr>
  </w:style>
  <w:style w:type="character" w:customStyle="1" w:styleId="Char2">
    <w:name w:val="批注主题 Char"/>
    <w:basedOn w:val="Char1"/>
    <w:link w:val="a7"/>
    <w:semiHidden/>
    <w:rsid w:val="00327621"/>
    <w:rPr>
      <w:b/>
      <w:bCs/>
      <w:sz w:val="24"/>
      <w:szCs w:val="24"/>
    </w:rPr>
  </w:style>
  <w:style w:type="table" w:styleId="a8">
    <w:name w:val="Table Grid"/>
    <w:basedOn w:val="a1"/>
    <w:uiPriority w:val="59"/>
    <w:rsid w:val="00327621"/>
    <w:rPr>
      <w:rFonts w:ascii="等线" w:eastAsia="等线" w:hAnsi="等线"/>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Char3"/>
    <w:rsid w:val="00542917"/>
    <w:rPr>
      <w:rFonts w:ascii="Segoe UI" w:hAnsi="Segoe UI" w:cs="Segoe UI"/>
      <w:sz w:val="18"/>
      <w:szCs w:val="18"/>
    </w:rPr>
  </w:style>
  <w:style w:type="character" w:customStyle="1" w:styleId="Char3">
    <w:name w:val="批注框文本 Char"/>
    <w:basedOn w:val="a0"/>
    <w:link w:val="a9"/>
    <w:rsid w:val="00542917"/>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C682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C682F"/>
    <w:rPr>
      <w:sz w:val="18"/>
      <w:szCs w:val="18"/>
    </w:rPr>
  </w:style>
  <w:style w:type="paragraph" w:styleId="a4">
    <w:name w:val="footer"/>
    <w:basedOn w:val="a"/>
    <w:link w:val="Char0"/>
    <w:uiPriority w:val="99"/>
    <w:unhideWhenUsed/>
    <w:rsid w:val="00BC682F"/>
    <w:pPr>
      <w:tabs>
        <w:tab w:val="center" w:pos="4153"/>
        <w:tab w:val="right" w:pos="8306"/>
      </w:tabs>
      <w:snapToGrid w:val="0"/>
    </w:pPr>
    <w:rPr>
      <w:sz w:val="18"/>
      <w:szCs w:val="18"/>
    </w:rPr>
  </w:style>
  <w:style w:type="character" w:customStyle="1" w:styleId="Char0">
    <w:name w:val="页脚 Char"/>
    <w:basedOn w:val="a0"/>
    <w:link w:val="a4"/>
    <w:uiPriority w:val="99"/>
    <w:rsid w:val="00BC682F"/>
    <w:rPr>
      <w:sz w:val="18"/>
      <w:szCs w:val="18"/>
    </w:rPr>
  </w:style>
  <w:style w:type="character" w:styleId="a5">
    <w:name w:val="annotation reference"/>
    <w:basedOn w:val="a0"/>
    <w:semiHidden/>
    <w:unhideWhenUsed/>
    <w:rsid w:val="00327621"/>
    <w:rPr>
      <w:sz w:val="21"/>
      <w:szCs w:val="21"/>
    </w:rPr>
  </w:style>
  <w:style w:type="paragraph" w:styleId="a6">
    <w:name w:val="annotation text"/>
    <w:basedOn w:val="a"/>
    <w:link w:val="Char1"/>
    <w:semiHidden/>
    <w:unhideWhenUsed/>
    <w:rsid w:val="00327621"/>
  </w:style>
  <w:style w:type="character" w:customStyle="1" w:styleId="Char1">
    <w:name w:val="批注文字 Char"/>
    <w:basedOn w:val="a0"/>
    <w:link w:val="a6"/>
    <w:semiHidden/>
    <w:rsid w:val="00327621"/>
    <w:rPr>
      <w:sz w:val="24"/>
      <w:szCs w:val="24"/>
    </w:rPr>
  </w:style>
  <w:style w:type="paragraph" w:styleId="a7">
    <w:name w:val="annotation subject"/>
    <w:basedOn w:val="a6"/>
    <w:next w:val="a6"/>
    <w:link w:val="Char2"/>
    <w:semiHidden/>
    <w:unhideWhenUsed/>
    <w:rsid w:val="00327621"/>
    <w:rPr>
      <w:b/>
      <w:bCs/>
    </w:rPr>
  </w:style>
  <w:style w:type="character" w:customStyle="1" w:styleId="Char2">
    <w:name w:val="批注主题 Char"/>
    <w:basedOn w:val="Char1"/>
    <w:link w:val="a7"/>
    <w:semiHidden/>
    <w:rsid w:val="00327621"/>
    <w:rPr>
      <w:b/>
      <w:bCs/>
      <w:sz w:val="24"/>
      <w:szCs w:val="24"/>
    </w:rPr>
  </w:style>
  <w:style w:type="table" w:styleId="a8">
    <w:name w:val="Table Grid"/>
    <w:basedOn w:val="a1"/>
    <w:uiPriority w:val="59"/>
    <w:rsid w:val="00327621"/>
    <w:rPr>
      <w:rFonts w:ascii="等线" w:eastAsia="等线" w:hAnsi="等线"/>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Char3"/>
    <w:rsid w:val="00542917"/>
    <w:rPr>
      <w:rFonts w:ascii="Segoe UI" w:hAnsi="Segoe UI" w:cs="Segoe UI"/>
      <w:sz w:val="18"/>
      <w:szCs w:val="18"/>
    </w:rPr>
  </w:style>
  <w:style w:type="character" w:customStyle="1" w:styleId="Char3">
    <w:name w:val="批注框文本 Char"/>
    <w:basedOn w:val="a0"/>
    <w:link w:val="a9"/>
    <w:rsid w:val="005429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EFE05-0F93-49A9-ADA8-49E96836A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49</Pages>
  <Words>13293</Words>
  <Characters>75772</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c:creator>
  <cp:lastModifiedBy>liujihong2008@qq.con</cp:lastModifiedBy>
  <cp:revision>20</cp:revision>
  <dcterms:created xsi:type="dcterms:W3CDTF">2021-05-10T04:23:00Z</dcterms:created>
  <dcterms:modified xsi:type="dcterms:W3CDTF">2021-06-07T06:31:00Z</dcterms:modified>
</cp:coreProperties>
</file>