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06823" w14:textId="77777777" w:rsidR="007714B0" w:rsidRPr="00E407F8" w:rsidRDefault="00861EF4" w:rsidP="0044219D">
      <w:pPr>
        <w:spacing w:line="360" w:lineRule="auto"/>
        <w:jc w:val="both"/>
        <w:rPr>
          <w:rFonts w:ascii="Book Antiqua" w:hAnsi="Book Antiqua"/>
        </w:rPr>
      </w:pPr>
      <w:r w:rsidRPr="00E407F8">
        <w:rPr>
          <w:rFonts w:ascii="Book Antiqua" w:eastAsia="Book Antiqua" w:hAnsi="Book Antiqua" w:cs="Book Antiqua"/>
          <w:b/>
          <w:color w:val="000000"/>
        </w:rPr>
        <w:t xml:space="preserve">Name of Journal: </w:t>
      </w:r>
      <w:r w:rsidRPr="00E407F8">
        <w:rPr>
          <w:rFonts w:ascii="Book Antiqua" w:eastAsia="Book Antiqua" w:hAnsi="Book Antiqua" w:cs="Book Antiqua"/>
          <w:i/>
          <w:color w:val="000000"/>
        </w:rPr>
        <w:t>World Journal of Transplantation</w:t>
      </w:r>
    </w:p>
    <w:p w14:paraId="5678147A" w14:textId="77777777" w:rsidR="007714B0" w:rsidRPr="00E407F8" w:rsidRDefault="00861EF4" w:rsidP="0044219D">
      <w:pPr>
        <w:spacing w:line="360" w:lineRule="auto"/>
        <w:jc w:val="both"/>
        <w:rPr>
          <w:rFonts w:ascii="Book Antiqua" w:hAnsi="Book Antiqua"/>
        </w:rPr>
      </w:pPr>
      <w:r w:rsidRPr="00E407F8">
        <w:rPr>
          <w:rFonts w:ascii="Book Antiqua" w:eastAsia="Book Antiqua" w:hAnsi="Book Antiqua" w:cs="Book Antiqua"/>
          <w:b/>
          <w:color w:val="000000"/>
        </w:rPr>
        <w:t xml:space="preserve">Manuscript NO: </w:t>
      </w:r>
      <w:r w:rsidRPr="00E407F8">
        <w:rPr>
          <w:rFonts w:ascii="Book Antiqua" w:eastAsia="Book Antiqua" w:hAnsi="Book Antiqua" w:cs="Book Antiqua"/>
          <w:color w:val="000000"/>
        </w:rPr>
        <w:t>63511</w:t>
      </w:r>
    </w:p>
    <w:p w14:paraId="57B67FA2" w14:textId="77777777" w:rsidR="007714B0" w:rsidRPr="00E407F8" w:rsidRDefault="00861EF4" w:rsidP="0044219D">
      <w:pPr>
        <w:spacing w:line="360" w:lineRule="auto"/>
        <w:jc w:val="both"/>
        <w:rPr>
          <w:rFonts w:ascii="Book Antiqua" w:hAnsi="Book Antiqua"/>
        </w:rPr>
      </w:pPr>
      <w:r w:rsidRPr="00E407F8">
        <w:rPr>
          <w:rFonts w:ascii="Book Antiqua" w:eastAsia="Book Antiqua" w:hAnsi="Book Antiqua" w:cs="Book Antiqua"/>
          <w:b/>
          <w:color w:val="000000"/>
        </w:rPr>
        <w:t xml:space="preserve">Manuscript Type: </w:t>
      </w:r>
      <w:r w:rsidRPr="00E407F8">
        <w:rPr>
          <w:rFonts w:ascii="Book Antiqua" w:eastAsia="Book Antiqua" w:hAnsi="Book Antiqua" w:cs="Book Antiqua"/>
          <w:color w:val="000000"/>
        </w:rPr>
        <w:t>OPINION REVIEW</w:t>
      </w:r>
    </w:p>
    <w:p w14:paraId="0F4B5899" w14:textId="77777777" w:rsidR="007714B0" w:rsidRPr="00E407F8" w:rsidRDefault="007714B0" w:rsidP="0044219D">
      <w:pPr>
        <w:spacing w:line="360" w:lineRule="auto"/>
        <w:jc w:val="both"/>
        <w:rPr>
          <w:rFonts w:ascii="Book Antiqua" w:hAnsi="Book Antiqua"/>
        </w:rPr>
      </w:pPr>
    </w:p>
    <w:p w14:paraId="5892AAE4" w14:textId="77777777" w:rsidR="007714B0" w:rsidRPr="00E407F8" w:rsidRDefault="00861EF4" w:rsidP="0044219D">
      <w:pPr>
        <w:spacing w:line="360" w:lineRule="auto"/>
        <w:jc w:val="both"/>
        <w:rPr>
          <w:rFonts w:ascii="Book Antiqua" w:hAnsi="Book Antiqua"/>
        </w:rPr>
      </w:pPr>
      <w:r w:rsidRPr="00E407F8">
        <w:rPr>
          <w:rFonts w:ascii="Book Antiqua" w:eastAsia="Book Antiqua" w:hAnsi="Book Antiqua" w:cs="Book Antiqua"/>
          <w:b/>
          <w:bCs/>
          <w:color w:val="000000"/>
        </w:rPr>
        <w:t>Human pegivirus infection after transplant: Is there an impact?</w:t>
      </w:r>
    </w:p>
    <w:p w14:paraId="0DB2C758" w14:textId="77777777" w:rsidR="007714B0" w:rsidRPr="00E407F8" w:rsidRDefault="007714B0" w:rsidP="0044219D">
      <w:pPr>
        <w:spacing w:line="360" w:lineRule="auto"/>
        <w:jc w:val="both"/>
        <w:rPr>
          <w:rFonts w:ascii="Book Antiqua" w:hAnsi="Book Antiqua"/>
        </w:rPr>
      </w:pPr>
    </w:p>
    <w:p w14:paraId="1E963EA2" w14:textId="77777777" w:rsidR="007714B0" w:rsidRPr="00E407F8" w:rsidRDefault="00861EF4" w:rsidP="0044219D">
      <w:pPr>
        <w:spacing w:line="360" w:lineRule="auto"/>
        <w:jc w:val="both"/>
        <w:rPr>
          <w:rFonts w:ascii="Book Antiqua" w:hAnsi="Book Antiqua"/>
        </w:rPr>
      </w:pPr>
      <w:r w:rsidRPr="00E407F8">
        <w:rPr>
          <w:rFonts w:ascii="Book Antiqua" w:eastAsia="Book Antiqua" w:hAnsi="Book Antiqua" w:cs="Book Antiqua"/>
          <w:color w:val="000000"/>
        </w:rPr>
        <w:t xml:space="preserve">Mrzljak A </w:t>
      </w:r>
      <w:r w:rsidRPr="00E407F8">
        <w:rPr>
          <w:rFonts w:ascii="Book Antiqua" w:eastAsia="Book Antiqua" w:hAnsi="Book Antiqua" w:cs="Book Antiqua"/>
          <w:i/>
          <w:iCs/>
          <w:color w:val="000000"/>
        </w:rPr>
        <w:t>et al</w:t>
      </w:r>
      <w:r w:rsidRPr="00E407F8">
        <w:rPr>
          <w:rFonts w:ascii="Book Antiqua" w:eastAsia="Book Antiqua" w:hAnsi="Book Antiqua" w:cs="Book Antiqua"/>
          <w:color w:val="000000"/>
        </w:rPr>
        <w:t>. Human pegivirus infection after transplant</w:t>
      </w:r>
    </w:p>
    <w:p w14:paraId="04ED8128" w14:textId="77777777" w:rsidR="007714B0" w:rsidRPr="00E407F8" w:rsidRDefault="007714B0" w:rsidP="0044219D">
      <w:pPr>
        <w:spacing w:line="360" w:lineRule="auto"/>
        <w:jc w:val="both"/>
        <w:rPr>
          <w:rFonts w:ascii="Book Antiqua" w:hAnsi="Book Antiqua"/>
        </w:rPr>
      </w:pPr>
    </w:p>
    <w:p w14:paraId="268086C4" w14:textId="77777777" w:rsidR="007714B0" w:rsidRPr="00E407F8" w:rsidRDefault="00861EF4" w:rsidP="0044219D">
      <w:pPr>
        <w:spacing w:line="360" w:lineRule="auto"/>
        <w:jc w:val="both"/>
        <w:rPr>
          <w:rFonts w:ascii="Book Antiqua" w:hAnsi="Book Antiqua"/>
        </w:rPr>
      </w:pPr>
      <w:r w:rsidRPr="00E407F8">
        <w:rPr>
          <w:rFonts w:ascii="Book Antiqua" w:eastAsia="Book Antiqua" w:hAnsi="Book Antiqua" w:cs="Book Antiqua"/>
          <w:color w:val="000000"/>
        </w:rPr>
        <w:t>Anna Mrzljak, Bojana Simunov, Ivan Balen, Zeljka Jurekovic, Tatjana Vilibic-Cavlek</w:t>
      </w:r>
    </w:p>
    <w:p w14:paraId="2BBEDFA0" w14:textId="77777777" w:rsidR="007714B0" w:rsidRPr="00E407F8" w:rsidRDefault="007714B0" w:rsidP="0044219D">
      <w:pPr>
        <w:spacing w:line="360" w:lineRule="auto"/>
        <w:jc w:val="both"/>
        <w:rPr>
          <w:rFonts w:ascii="Book Antiqua" w:hAnsi="Book Antiqua"/>
        </w:rPr>
      </w:pPr>
    </w:p>
    <w:p w14:paraId="5495CF78" w14:textId="48150844" w:rsidR="007714B0" w:rsidRPr="00E407F8" w:rsidRDefault="00861EF4" w:rsidP="0044219D">
      <w:pPr>
        <w:spacing w:line="360" w:lineRule="auto"/>
        <w:jc w:val="both"/>
        <w:rPr>
          <w:rFonts w:ascii="Book Antiqua" w:eastAsia="Book Antiqua" w:hAnsi="Book Antiqua" w:cs="Book Antiqua"/>
          <w:color w:val="000000"/>
        </w:rPr>
      </w:pPr>
      <w:r w:rsidRPr="00E407F8">
        <w:rPr>
          <w:rFonts w:ascii="Book Antiqua" w:eastAsia="Book Antiqua" w:hAnsi="Book Antiqua" w:cs="Book Antiqua"/>
          <w:b/>
          <w:bCs/>
          <w:color w:val="000000"/>
        </w:rPr>
        <w:t xml:space="preserve">Anna Mrzljak, </w:t>
      </w:r>
      <w:r w:rsidRPr="00E407F8">
        <w:rPr>
          <w:rFonts w:ascii="Book Antiqua" w:eastAsia="Book Antiqua" w:hAnsi="Book Antiqua" w:cs="Book Antiqua"/>
          <w:color w:val="000000"/>
        </w:rPr>
        <w:t xml:space="preserve">Department of Gastroenterology and Hepatology, University Hospital Center Zagreb, </w:t>
      </w:r>
      <w:r w:rsidR="000C39D8" w:rsidRPr="00E407F8">
        <w:rPr>
          <w:rFonts w:ascii="Book Antiqua" w:hAnsi="Book Antiqua"/>
        </w:rPr>
        <w:t xml:space="preserve">School of Medicine, University of Zagreb, </w:t>
      </w:r>
      <w:r w:rsidRPr="00E407F8">
        <w:rPr>
          <w:rFonts w:ascii="Book Antiqua" w:eastAsia="Book Antiqua" w:hAnsi="Book Antiqua" w:cs="Book Antiqua"/>
          <w:color w:val="000000"/>
        </w:rPr>
        <w:t>Zagreb 10000, Croatia</w:t>
      </w:r>
    </w:p>
    <w:p w14:paraId="12452057" w14:textId="77777777" w:rsidR="007714B0" w:rsidRPr="00E407F8" w:rsidRDefault="007714B0" w:rsidP="0044219D">
      <w:pPr>
        <w:spacing w:line="360" w:lineRule="auto"/>
        <w:jc w:val="both"/>
        <w:rPr>
          <w:rFonts w:ascii="Book Antiqua" w:hAnsi="Book Antiqua"/>
        </w:rPr>
      </w:pPr>
    </w:p>
    <w:p w14:paraId="00F652BF" w14:textId="77777777" w:rsidR="007714B0" w:rsidRPr="00E407F8" w:rsidRDefault="00861EF4" w:rsidP="0044219D">
      <w:pPr>
        <w:spacing w:line="360" w:lineRule="auto"/>
        <w:jc w:val="both"/>
        <w:rPr>
          <w:rFonts w:ascii="Book Antiqua" w:hAnsi="Book Antiqua"/>
        </w:rPr>
      </w:pPr>
      <w:r w:rsidRPr="00E407F8">
        <w:rPr>
          <w:rFonts w:ascii="Book Antiqua" w:eastAsia="Book Antiqua" w:hAnsi="Book Antiqua" w:cs="Book Antiqua"/>
          <w:b/>
          <w:bCs/>
          <w:color w:val="000000"/>
        </w:rPr>
        <w:t xml:space="preserve">Bojana Simunov, Zeljka Jurekovic, </w:t>
      </w:r>
      <w:r w:rsidRPr="00E407F8">
        <w:rPr>
          <w:rFonts w:ascii="Book Antiqua" w:eastAsia="Book Antiqua" w:hAnsi="Book Antiqua" w:cs="Book Antiqua"/>
          <w:color w:val="000000"/>
        </w:rPr>
        <w:t>Department of Medicine, Merkur University Hospital, Zagreb 10000, Croatia</w:t>
      </w:r>
    </w:p>
    <w:p w14:paraId="04D11227" w14:textId="77777777" w:rsidR="007714B0" w:rsidRPr="00E407F8" w:rsidRDefault="007714B0" w:rsidP="0044219D">
      <w:pPr>
        <w:spacing w:line="360" w:lineRule="auto"/>
        <w:jc w:val="both"/>
        <w:rPr>
          <w:rFonts w:ascii="Book Antiqua" w:hAnsi="Book Antiqua"/>
        </w:rPr>
      </w:pPr>
    </w:p>
    <w:p w14:paraId="63B20E73" w14:textId="77777777" w:rsidR="007714B0" w:rsidRPr="00E407F8" w:rsidRDefault="00861EF4" w:rsidP="0044219D">
      <w:pPr>
        <w:spacing w:line="360" w:lineRule="auto"/>
        <w:jc w:val="both"/>
        <w:rPr>
          <w:rFonts w:ascii="Book Antiqua" w:hAnsi="Book Antiqua"/>
        </w:rPr>
      </w:pPr>
      <w:r w:rsidRPr="00E407F8">
        <w:rPr>
          <w:rFonts w:ascii="Book Antiqua" w:eastAsia="Book Antiqua" w:hAnsi="Book Antiqua" w:cs="Book Antiqua"/>
          <w:b/>
          <w:bCs/>
          <w:color w:val="000000"/>
        </w:rPr>
        <w:t xml:space="preserve">Ivan Balen, </w:t>
      </w:r>
      <w:r w:rsidRPr="00E407F8">
        <w:rPr>
          <w:rFonts w:ascii="Book Antiqua" w:eastAsia="Book Antiqua" w:hAnsi="Book Antiqua" w:cs="Book Antiqua"/>
          <w:color w:val="000000"/>
        </w:rPr>
        <w:t>Department of Gastroenterology and Endocrinology, General Hospital “Dr. Josip Bencevic”, Slavonski Brod 35000, Croatia</w:t>
      </w:r>
    </w:p>
    <w:p w14:paraId="40E14487" w14:textId="77777777" w:rsidR="007714B0" w:rsidRPr="00E407F8" w:rsidRDefault="007714B0" w:rsidP="0044219D">
      <w:pPr>
        <w:spacing w:line="360" w:lineRule="auto"/>
        <w:jc w:val="both"/>
        <w:rPr>
          <w:rFonts w:ascii="Book Antiqua" w:hAnsi="Book Antiqua"/>
        </w:rPr>
      </w:pPr>
    </w:p>
    <w:p w14:paraId="1D0EB51A" w14:textId="7E701A49" w:rsidR="007714B0" w:rsidRPr="00E407F8" w:rsidRDefault="00861EF4" w:rsidP="0044219D">
      <w:pPr>
        <w:spacing w:line="360" w:lineRule="auto"/>
        <w:jc w:val="both"/>
        <w:rPr>
          <w:rFonts w:ascii="Book Antiqua" w:hAnsi="Book Antiqua"/>
        </w:rPr>
      </w:pPr>
      <w:r w:rsidRPr="00E407F8">
        <w:rPr>
          <w:rFonts w:ascii="Book Antiqua" w:eastAsia="Book Antiqua" w:hAnsi="Book Antiqua" w:cs="Book Antiqua"/>
          <w:b/>
          <w:bCs/>
          <w:color w:val="000000"/>
        </w:rPr>
        <w:t xml:space="preserve">Tatjana Vilibic-Cavlek, </w:t>
      </w:r>
      <w:r w:rsidRPr="00E407F8">
        <w:rPr>
          <w:rFonts w:ascii="Book Antiqua" w:eastAsia="Book Antiqua" w:hAnsi="Book Antiqua" w:cs="Book Antiqua"/>
          <w:color w:val="000000"/>
        </w:rPr>
        <w:t xml:space="preserve">Department of Virology, Croatian Institute of Public Health, </w:t>
      </w:r>
      <w:r w:rsidR="000C39D8" w:rsidRPr="00E407F8">
        <w:rPr>
          <w:rFonts w:ascii="Book Antiqua" w:hAnsi="Book Antiqua"/>
        </w:rPr>
        <w:t xml:space="preserve">School of Medicine, University of Zagreb, </w:t>
      </w:r>
      <w:r w:rsidRPr="00E407F8">
        <w:rPr>
          <w:rFonts w:ascii="Book Antiqua" w:eastAsia="Book Antiqua" w:hAnsi="Book Antiqua" w:cs="Book Antiqua"/>
          <w:color w:val="000000"/>
        </w:rPr>
        <w:t>Zagreb 10000, Croatia</w:t>
      </w:r>
    </w:p>
    <w:p w14:paraId="7DB5C99A" w14:textId="77777777" w:rsidR="00E2799C" w:rsidRPr="00E407F8" w:rsidRDefault="00E2799C" w:rsidP="0044219D">
      <w:pPr>
        <w:spacing w:line="360" w:lineRule="auto"/>
        <w:jc w:val="both"/>
        <w:rPr>
          <w:rFonts w:ascii="Book Antiqua" w:eastAsia="Book Antiqua" w:hAnsi="Book Antiqua" w:cs="Book Antiqua"/>
          <w:b/>
          <w:bCs/>
          <w:color w:val="000000"/>
        </w:rPr>
      </w:pPr>
    </w:p>
    <w:p w14:paraId="22BFED30" w14:textId="74C4E9EE" w:rsidR="007714B0" w:rsidRPr="00E407F8" w:rsidRDefault="00861EF4" w:rsidP="0044219D">
      <w:pPr>
        <w:spacing w:line="360" w:lineRule="auto"/>
        <w:jc w:val="both"/>
        <w:rPr>
          <w:rFonts w:ascii="Book Antiqua" w:hAnsi="Book Antiqua"/>
        </w:rPr>
      </w:pPr>
      <w:r w:rsidRPr="00E407F8">
        <w:rPr>
          <w:rFonts w:ascii="Book Antiqua" w:eastAsia="Book Antiqua" w:hAnsi="Book Antiqua" w:cs="Book Antiqua"/>
          <w:b/>
          <w:bCs/>
          <w:color w:val="000000"/>
        </w:rPr>
        <w:t xml:space="preserve">Author contributions: </w:t>
      </w:r>
      <w:r w:rsidRPr="00E407F8">
        <w:rPr>
          <w:rFonts w:ascii="Book Antiqua" w:eastAsia="Book Antiqua" w:hAnsi="Book Antiqua" w:cs="Book Antiqua"/>
          <w:color w:val="000000"/>
        </w:rPr>
        <w:t>Mrzljak A made contributions to the concept</w:t>
      </w:r>
      <w:r w:rsidR="00E11C2C" w:rsidRPr="00E407F8">
        <w:rPr>
          <w:rFonts w:ascii="Book Antiqua" w:eastAsia="Book Antiqua" w:hAnsi="Book Antiqua" w:cs="Book Antiqua"/>
          <w:color w:val="000000"/>
        </w:rPr>
        <w:t xml:space="preserve"> and</w:t>
      </w:r>
      <w:r w:rsidRPr="00E407F8">
        <w:rPr>
          <w:rFonts w:ascii="Book Antiqua" w:eastAsia="Book Antiqua" w:hAnsi="Book Antiqua" w:cs="Book Antiqua"/>
          <w:color w:val="000000"/>
        </w:rPr>
        <w:t xml:space="preserve"> design the manuscript; </w:t>
      </w:r>
      <w:r w:rsidR="00E11C2C" w:rsidRPr="00E407F8">
        <w:rPr>
          <w:rFonts w:ascii="Book Antiqua" w:eastAsia="Book Antiqua" w:hAnsi="Book Antiqua" w:cs="Book Antiqua"/>
          <w:color w:val="000000"/>
        </w:rPr>
        <w:t xml:space="preserve">Mrzljak A, </w:t>
      </w:r>
      <w:r w:rsidRPr="00E407F8">
        <w:rPr>
          <w:rFonts w:ascii="Book Antiqua" w:eastAsia="Book Antiqua" w:hAnsi="Book Antiqua" w:cs="Book Antiqua"/>
          <w:color w:val="000000"/>
        </w:rPr>
        <w:t>Simunov B, Balen I, and Vilibic-Cavlek T were involved in writing the manuscript; Jurekovic Z critically revised the manuscript; and all authors approved the final manuscript.</w:t>
      </w:r>
    </w:p>
    <w:p w14:paraId="37FB027C" w14:textId="77777777" w:rsidR="007714B0" w:rsidRPr="00E407F8" w:rsidRDefault="007714B0" w:rsidP="0044219D">
      <w:pPr>
        <w:spacing w:line="360" w:lineRule="auto"/>
        <w:jc w:val="both"/>
        <w:rPr>
          <w:rFonts w:ascii="Book Antiqua" w:hAnsi="Book Antiqua"/>
        </w:rPr>
      </w:pPr>
    </w:p>
    <w:p w14:paraId="339B23CB" w14:textId="77777777" w:rsidR="007714B0" w:rsidRPr="00E407F8" w:rsidRDefault="00861EF4" w:rsidP="0044219D">
      <w:pPr>
        <w:spacing w:line="360" w:lineRule="auto"/>
        <w:jc w:val="both"/>
        <w:rPr>
          <w:rFonts w:ascii="Book Antiqua" w:hAnsi="Book Antiqua"/>
        </w:rPr>
      </w:pPr>
      <w:r w:rsidRPr="00E407F8">
        <w:rPr>
          <w:rFonts w:ascii="Book Antiqua" w:eastAsia="Book Antiqua" w:hAnsi="Book Antiqua" w:cs="Book Antiqua"/>
          <w:b/>
          <w:bCs/>
          <w:color w:val="000000"/>
        </w:rPr>
        <w:lastRenderedPageBreak/>
        <w:t xml:space="preserve">Supported by </w:t>
      </w:r>
      <w:r w:rsidRPr="00E407F8">
        <w:rPr>
          <w:rFonts w:ascii="Book Antiqua" w:eastAsia="Book Antiqua" w:hAnsi="Book Antiqua" w:cs="Book Antiqua"/>
          <w:color w:val="000000"/>
        </w:rPr>
        <w:t>the Croatian Science Foundation, Emerging and Neglected Hepatotropic Viruses after Solid Organ and Hematopoietic Stem Cell Transplantation, No. IP-2020-02-7407.</w:t>
      </w:r>
    </w:p>
    <w:p w14:paraId="61B8E6EE" w14:textId="77777777" w:rsidR="007714B0" w:rsidRPr="00E407F8" w:rsidRDefault="007714B0" w:rsidP="0044219D">
      <w:pPr>
        <w:spacing w:line="360" w:lineRule="auto"/>
        <w:jc w:val="both"/>
        <w:rPr>
          <w:rFonts w:ascii="Book Antiqua" w:hAnsi="Book Antiqua"/>
        </w:rPr>
      </w:pPr>
    </w:p>
    <w:p w14:paraId="0D801D8B" w14:textId="074C5716" w:rsidR="007714B0" w:rsidRPr="00E407F8" w:rsidRDefault="00861EF4" w:rsidP="0044219D">
      <w:pPr>
        <w:spacing w:line="360" w:lineRule="auto"/>
        <w:jc w:val="both"/>
        <w:rPr>
          <w:rFonts w:ascii="Book Antiqua" w:hAnsi="Book Antiqua"/>
        </w:rPr>
      </w:pPr>
      <w:r w:rsidRPr="00E407F8">
        <w:rPr>
          <w:rFonts w:ascii="Book Antiqua" w:eastAsia="Book Antiqua" w:hAnsi="Book Antiqua" w:cs="Book Antiqua"/>
          <w:b/>
          <w:bCs/>
          <w:color w:val="000000"/>
        </w:rPr>
        <w:t xml:space="preserve">Corresponding author: Anna Mrzljak, FEBG, PhD, Associate Professor, </w:t>
      </w:r>
      <w:r w:rsidR="00650564" w:rsidRPr="00E407F8">
        <w:rPr>
          <w:rFonts w:ascii="Book Antiqua" w:eastAsia="Book Antiqua" w:hAnsi="Book Antiqua" w:cs="Book Antiqua"/>
          <w:color w:val="000000"/>
        </w:rPr>
        <w:t xml:space="preserve">Department of Gastroenterology and Hepatology, University Hospital Center Zagreb, </w:t>
      </w:r>
      <w:r w:rsidR="00650564" w:rsidRPr="00E407F8">
        <w:rPr>
          <w:rFonts w:ascii="Book Antiqua" w:hAnsi="Book Antiqua"/>
        </w:rPr>
        <w:t>School of Medicine, University of Zagreb,</w:t>
      </w:r>
      <w:r w:rsidRPr="00E407F8">
        <w:rPr>
          <w:rFonts w:ascii="Book Antiqua" w:eastAsia="Book Antiqua" w:hAnsi="Book Antiqua" w:cs="Book Antiqua"/>
          <w:color w:val="000000"/>
        </w:rPr>
        <w:t xml:space="preserve"> Kispaticeva ulica 12, Zagreb 10000, Croatia. anna.mrzljak@gmail.com</w:t>
      </w:r>
    </w:p>
    <w:p w14:paraId="06FA1240" w14:textId="77777777" w:rsidR="007714B0" w:rsidRPr="00E407F8" w:rsidRDefault="007714B0" w:rsidP="0044219D">
      <w:pPr>
        <w:spacing w:line="360" w:lineRule="auto"/>
        <w:jc w:val="both"/>
        <w:rPr>
          <w:rFonts w:ascii="Book Antiqua" w:hAnsi="Book Antiqua"/>
        </w:rPr>
      </w:pPr>
    </w:p>
    <w:p w14:paraId="429ACFEE" w14:textId="77777777" w:rsidR="007714B0" w:rsidRPr="00E407F8" w:rsidRDefault="00861EF4" w:rsidP="0044219D">
      <w:pPr>
        <w:spacing w:line="360" w:lineRule="auto"/>
        <w:jc w:val="both"/>
        <w:rPr>
          <w:rFonts w:ascii="Book Antiqua" w:hAnsi="Book Antiqua"/>
        </w:rPr>
      </w:pPr>
      <w:r w:rsidRPr="00E407F8">
        <w:rPr>
          <w:rFonts w:ascii="Book Antiqua" w:eastAsia="Book Antiqua" w:hAnsi="Book Antiqua" w:cs="Book Antiqua"/>
          <w:b/>
          <w:bCs/>
          <w:color w:val="000000"/>
        </w:rPr>
        <w:t xml:space="preserve">Received: </w:t>
      </w:r>
      <w:r w:rsidRPr="00E407F8">
        <w:rPr>
          <w:rFonts w:ascii="Book Antiqua" w:eastAsia="Book Antiqua" w:hAnsi="Book Antiqua" w:cs="Book Antiqua"/>
          <w:color w:val="000000"/>
        </w:rPr>
        <w:t>January 31, 2021</w:t>
      </w:r>
    </w:p>
    <w:p w14:paraId="4827BD85" w14:textId="77777777" w:rsidR="007714B0" w:rsidRPr="00E407F8" w:rsidRDefault="00861EF4" w:rsidP="0044219D">
      <w:pPr>
        <w:spacing w:line="360" w:lineRule="auto"/>
        <w:jc w:val="both"/>
        <w:rPr>
          <w:rFonts w:ascii="Book Antiqua" w:hAnsi="Book Antiqua"/>
        </w:rPr>
      </w:pPr>
      <w:r w:rsidRPr="00E407F8">
        <w:rPr>
          <w:rFonts w:ascii="Book Antiqua" w:eastAsia="Book Antiqua" w:hAnsi="Book Antiqua" w:cs="Book Antiqua"/>
          <w:b/>
          <w:bCs/>
          <w:color w:val="000000"/>
        </w:rPr>
        <w:t xml:space="preserve">Revised: </w:t>
      </w:r>
      <w:r w:rsidRPr="00E407F8">
        <w:rPr>
          <w:rFonts w:ascii="Book Antiqua" w:eastAsia="Book Antiqua" w:hAnsi="Book Antiqua" w:cs="Book Antiqua"/>
          <w:color w:val="000000"/>
        </w:rPr>
        <w:t>October 25, 2021</w:t>
      </w:r>
    </w:p>
    <w:p w14:paraId="379E6BE9" w14:textId="559CD4AB" w:rsidR="007714B0" w:rsidRPr="00E407F8" w:rsidRDefault="00861EF4" w:rsidP="0044219D">
      <w:pPr>
        <w:spacing w:line="360" w:lineRule="auto"/>
        <w:jc w:val="both"/>
        <w:rPr>
          <w:rFonts w:ascii="Book Antiqua" w:hAnsi="Book Antiqua"/>
        </w:rPr>
      </w:pPr>
      <w:r w:rsidRPr="00E407F8">
        <w:rPr>
          <w:rFonts w:ascii="Book Antiqua" w:eastAsia="Book Antiqua" w:hAnsi="Book Antiqua" w:cs="Book Antiqua"/>
          <w:b/>
          <w:bCs/>
          <w:color w:val="000000"/>
        </w:rPr>
        <w:t>Accepted:</w:t>
      </w:r>
      <w:r w:rsidR="0056030F" w:rsidRPr="00E407F8">
        <w:t xml:space="preserve"> </w:t>
      </w:r>
      <w:r w:rsidR="0056030F" w:rsidRPr="00E407F8">
        <w:rPr>
          <w:rFonts w:ascii="Book Antiqua" w:eastAsia="Book Antiqua" w:hAnsi="Book Antiqua" w:cs="Book Antiqua"/>
          <w:color w:val="000000"/>
        </w:rPr>
        <w:t>January 6, 2022</w:t>
      </w:r>
    </w:p>
    <w:p w14:paraId="539EA641" w14:textId="79838BD8" w:rsidR="007714B0" w:rsidRPr="00E407F8" w:rsidRDefault="00861EF4" w:rsidP="0044219D">
      <w:pPr>
        <w:spacing w:line="360" w:lineRule="auto"/>
        <w:jc w:val="both"/>
        <w:rPr>
          <w:rFonts w:ascii="Book Antiqua" w:hAnsi="Book Antiqua"/>
        </w:rPr>
      </w:pPr>
      <w:r w:rsidRPr="00E407F8">
        <w:rPr>
          <w:rFonts w:ascii="Book Antiqua" w:eastAsia="Book Antiqua" w:hAnsi="Book Antiqua" w:cs="Book Antiqua"/>
          <w:b/>
          <w:bCs/>
          <w:color w:val="000000"/>
        </w:rPr>
        <w:t xml:space="preserve">Published online: </w:t>
      </w:r>
      <w:r w:rsidR="00E079F0">
        <w:rPr>
          <w:rFonts w:ascii="Book Antiqua" w:eastAsia="Book Antiqua" w:hAnsi="Book Antiqua" w:cs="Book Antiqua"/>
          <w:color w:val="000000"/>
        </w:rPr>
        <w:t xml:space="preserve">January </w:t>
      </w:r>
      <w:r w:rsidR="00506E44" w:rsidRPr="00E407F8">
        <w:rPr>
          <w:rFonts w:ascii="Book Antiqua" w:eastAsia="Book Antiqua" w:hAnsi="Book Antiqua" w:cs="Book Antiqua"/>
          <w:color w:val="000000"/>
        </w:rPr>
        <w:t>18, 2022</w:t>
      </w:r>
    </w:p>
    <w:p w14:paraId="085CF8F0" w14:textId="77777777" w:rsidR="007714B0" w:rsidRPr="00E407F8" w:rsidRDefault="007714B0" w:rsidP="0044219D">
      <w:pPr>
        <w:spacing w:line="360" w:lineRule="auto"/>
        <w:jc w:val="both"/>
        <w:rPr>
          <w:rFonts w:ascii="Book Antiqua" w:eastAsia="Book Antiqua" w:hAnsi="Book Antiqua" w:cs="Book Antiqua"/>
          <w:b/>
          <w:color w:val="000000"/>
        </w:rPr>
      </w:pPr>
    </w:p>
    <w:p w14:paraId="71C6C32F" w14:textId="77777777" w:rsidR="007714B0" w:rsidRPr="00E407F8" w:rsidRDefault="007714B0" w:rsidP="0044219D">
      <w:pPr>
        <w:spacing w:line="360" w:lineRule="auto"/>
        <w:jc w:val="both"/>
        <w:rPr>
          <w:rFonts w:ascii="Book Antiqua" w:eastAsia="Book Antiqua" w:hAnsi="Book Antiqua" w:cs="Book Antiqua"/>
          <w:b/>
          <w:color w:val="000000"/>
        </w:rPr>
      </w:pPr>
    </w:p>
    <w:p w14:paraId="713AE486" w14:textId="77777777" w:rsidR="007714B0" w:rsidRPr="00E407F8" w:rsidRDefault="00861EF4" w:rsidP="0044219D">
      <w:pPr>
        <w:spacing w:line="360" w:lineRule="auto"/>
        <w:jc w:val="both"/>
        <w:rPr>
          <w:rFonts w:ascii="Book Antiqua" w:hAnsi="Book Antiqua"/>
        </w:rPr>
      </w:pPr>
      <w:r w:rsidRPr="00E407F8">
        <w:rPr>
          <w:rFonts w:ascii="Book Antiqua" w:eastAsia="Book Antiqua" w:hAnsi="Book Antiqua" w:cs="Book Antiqua"/>
          <w:b/>
          <w:color w:val="000000"/>
        </w:rPr>
        <w:t>Abstract</w:t>
      </w:r>
    </w:p>
    <w:p w14:paraId="7B5DCBA8" w14:textId="277F358F" w:rsidR="007714B0" w:rsidRPr="00E407F8" w:rsidRDefault="00861EF4" w:rsidP="0044219D">
      <w:pPr>
        <w:spacing w:line="360" w:lineRule="auto"/>
        <w:jc w:val="both"/>
        <w:rPr>
          <w:rFonts w:ascii="Book Antiqua" w:hAnsi="Book Antiqua"/>
        </w:rPr>
      </w:pPr>
      <w:r w:rsidRPr="00E407F8">
        <w:rPr>
          <w:rFonts w:ascii="Book Antiqua" w:eastAsia="Book Antiqua" w:hAnsi="Book Antiqua" w:cs="Book Antiqua"/>
          <w:color w:val="000000"/>
        </w:rPr>
        <w:t>The microbiome</w:t>
      </w:r>
      <w:r w:rsidR="00796EF8" w:rsidRPr="00E407F8">
        <w:rPr>
          <w:rFonts w:ascii="Book Antiqua" w:eastAsia="Book Antiqua" w:hAnsi="Book Antiqua" w:cs="Book Antiqua"/>
          <w:color w:val="000000"/>
        </w:rPr>
        <w:t>’</w:t>
      </w:r>
      <w:r w:rsidRPr="00E407F8">
        <w:rPr>
          <w:rFonts w:ascii="Book Antiqua" w:eastAsia="Book Antiqua" w:hAnsi="Book Antiqua" w:cs="Book Antiqua"/>
          <w:color w:val="000000"/>
        </w:rPr>
        <w:t>s role in transplantation has received growing interest, but the role of virome remains understudied. Pegiviruses are single-stranded positive-sense RNA viruses, historically associated with liver disease, but their pathogenicity is controversial. In the transplantation setting, pegivirus infection does not seem to have a negative impact on the outcomes of solid-organ and hematopoietic stem cell transplant recipients. However, the role of pegiviruses as proxies in immunosuppression monitoring brings novelty to the field of virome research in immunocompromised individuals. The possible immunomodulatory effect of pegivirus infections remains to be elucidated in further trials.</w:t>
      </w:r>
    </w:p>
    <w:p w14:paraId="585AEA49" w14:textId="77777777" w:rsidR="007714B0" w:rsidRPr="00E407F8" w:rsidRDefault="007714B0" w:rsidP="0044219D">
      <w:pPr>
        <w:spacing w:line="360" w:lineRule="auto"/>
        <w:jc w:val="both"/>
        <w:rPr>
          <w:rFonts w:ascii="Book Antiqua" w:hAnsi="Book Antiqua"/>
        </w:rPr>
      </w:pPr>
    </w:p>
    <w:p w14:paraId="32DACEE8" w14:textId="77777777" w:rsidR="007714B0" w:rsidRPr="00E407F8" w:rsidRDefault="00861EF4" w:rsidP="0044219D">
      <w:pPr>
        <w:spacing w:line="360" w:lineRule="auto"/>
        <w:jc w:val="both"/>
        <w:rPr>
          <w:rFonts w:ascii="Book Antiqua" w:hAnsi="Book Antiqua"/>
        </w:rPr>
      </w:pPr>
      <w:r w:rsidRPr="00E407F8">
        <w:rPr>
          <w:rFonts w:ascii="Book Antiqua" w:eastAsia="Book Antiqua" w:hAnsi="Book Antiqua" w:cs="Book Antiqua"/>
          <w:b/>
          <w:bCs/>
          <w:color w:val="000000"/>
        </w:rPr>
        <w:t xml:space="preserve">Key Words: </w:t>
      </w:r>
      <w:r w:rsidRPr="00E407F8">
        <w:rPr>
          <w:rFonts w:ascii="Book Antiqua" w:eastAsia="Book Antiqua" w:hAnsi="Book Antiqua" w:cs="Book Antiqua"/>
          <w:color w:val="000000"/>
        </w:rPr>
        <w:t>Virome;</w:t>
      </w:r>
      <w:r w:rsidRPr="00E407F8">
        <w:rPr>
          <w:rFonts w:ascii="Book Antiqua" w:eastAsia="Book Antiqua" w:hAnsi="Book Antiqua" w:cs="Book Antiqua"/>
          <w:b/>
          <w:bCs/>
          <w:color w:val="000000"/>
        </w:rPr>
        <w:t xml:space="preserve"> </w:t>
      </w:r>
      <w:r w:rsidRPr="00E407F8">
        <w:rPr>
          <w:rFonts w:ascii="Book Antiqua" w:eastAsia="Book Antiqua" w:hAnsi="Book Antiqua" w:cs="Book Antiqua"/>
          <w:color w:val="000000"/>
        </w:rPr>
        <w:t>Human pegivirus; Epidemiology; Solid-organ transplant; Hematopoietic stem cell transplantation</w:t>
      </w:r>
    </w:p>
    <w:p w14:paraId="0F4072B3" w14:textId="77777777" w:rsidR="007714B0" w:rsidRPr="00E407F8" w:rsidRDefault="007714B0" w:rsidP="0044219D">
      <w:pPr>
        <w:spacing w:line="360" w:lineRule="auto"/>
        <w:jc w:val="both"/>
        <w:rPr>
          <w:rFonts w:ascii="Book Antiqua" w:hAnsi="Book Antiqua"/>
        </w:rPr>
      </w:pPr>
    </w:p>
    <w:p w14:paraId="4C5207B4" w14:textId="77777777" w:rsidR="00B055D4" w:rsidRPr="00E407F8" w:rsidRDefault="00B055D4" w:rsidP="00B055D4">
      <w:pPr>
        <w:spacing w:line="360" w:lineRule="auto"/>
        <w:rPr>
          <w:rFonts w:ascii="Book Antiqua" w:eastAsia="Book Antiqua" w:hAnsi="Book Antiqua" w:cs="Book Antiqua"/>
          <w:color w:val="000000"/>
        </w:rPr>
      </w:pPr>
      <w:bookmarkStart w:id="0" w:name="_Hlk85017019"/>
      <w:bookmarkStart w:id="1" w:name="_Hlk85017027"/>
      <w:r w:rsidRPr="00E407F8">
        <w:rPr>
          <w:rFonts w:ascii="Book Antiqua" w:eastAsia="Book Antiqua" w:hAnsi="Book Antiqua" w:cs="Book Antiqua"/>
          <w:b/>
          <w:color w:val="000000"/>
        </w:rPr>
        <w:lastRenderedPageBreak/>
        <w:t>©The</w:t>
      </w:r>
      <w:r w:rsidRPr="00E407F8">
        <w:rPr>
          <w:rFonts w:ascii="Book Antiqua" w:eastAsia="Book Antiqua" w:hAnsi="Book Antiqua" w:cs="Book Antiqua"/>
          <w:color w:val="000000"/>
        </w:rPr>
        <w:t xml:space="preserve"> </w:t>
      </w:r>
      <w:r w:rsidRPr="00E407F8">
        <w:rPr>
          <w:rFonts w:ascii="Book Antiqua" w:eastAsia="Book Antiqua" w:hAnsi="Book Antiqua" w:cs="Book Antiqua"/>
          <w:b/>
          <w:color w:val="000000"/>
        </w:rPr>
        <w:t xml:space="preserve">Author(s) 2022. </w:t>
      </w:r>
      <w:r w:rsidRPr="00E407F8">
        <w:rPr>
          <w:rFonts w:ascii="Book Antiqua" w:eastAsia="Book Antiqua" w:hAnsi="Book Antiqua" w:cs="Book Antiqua"/>
          <w:color w:val="000000"/>
        </w:rPr>
        <w:t xml:space="preserve">Published by Baishideng Publishing Group Inc. All rights reserved. </w:t>
      </w:r>
    </w:p>
    <w:p w14:paraId="01FE620E" w14:textId="77777777" w:rsidR="00B055D4" w:rsidRPr="00E407F8" w:rsidRDefault="00B055D4" w:rsidP="00B055D4">
      <w:pPr>
        <w:adjustRightInd w:val="0"/>
        <w:snapToGrid w:val="0"/>
        <w:spacing w:line="360" w:lineRule="auto"/>
        <w:rPr>
          <w:rFonts w:ascii="Book Antiqua" w:hAnsi="Book Antiqua"/>
        </w:rPr>
      </w:pPr>
    </w:p>
    <w:p w14:paraId="49D75C29" w14:textId="17046883" w:rsidR="00B055D4" w:rsidRPr="00E407F8" w:rsidRDefault="00B055D4" w:rsidP="00B055D4">
      <w:pPr>
        <w:spacing w:line="360" w:lineRule="auto"/>
        <w:rPr>
          <w:rFonts w:ascii="Book Antiqua" w:eastAsia="等线" w:hAnsi="Book Antiqua"/>
          <w:color w:val="000000"/>
        </w:rPr>
      </w:pPr>
      <w:r w:rsidRPr="00E407F8">
        <w:rPr>
          <w:rFonts w:ascii="Book Antiqua" w:hAnsi="Book Antiqua"/>
          <w:b/>
          <w:bCs/>
        </w:rPr>
        <w:t>Citation:</w:t>
      </w:r>
      <w:bookmarkEnd w:id="0"/>
      <w:r w:rsidRPr="00E407F8">
        <w:rPr>
          <w:rFonts w:ascii="Book Antiqua" w:hAnsi="Book Antiqua"/>
          <w:b/>
          <w:bCs/>
        </w:rPr>
        <w:t xml:space="preserve"> </w:t>
      </w:r>
      <w:bookmarkEnd w:id="1"/>
      <w:r w:rsidR="00861EF4" w:rsidRPr="00E407F8">
        <w:rPr>
          <w:rFonts w:ascii="Book Antiqua" w:eastAsia="Book Antiqua" w:hAnsi="Book Antiqua" w:cs="Book Antiqua"/>
          <w:color w:val="000000"/>
        </w:rPr>
        <w:t xml:space="preserve">Mrzljak A, Simunov B, Balen I, Jurekovic Z, Vilibic-Cavlek T. Human pegivirus infection after transplant: Is there an impact? </w:t>
      </w:r>
      <w:r w:rsidR="00861EF4" w:rsidRPr="00E407F8">
        <w:rPr>
          <w:rFonts w:ascii="Book Antiqua" w:eastAsia="Book Antiqua" w:hAnsi="Book Antiqua" w:cs="Book Antiqua"/>
          <w:i/>
          <w:iCs/>
          <w:color w:val="000000"/>
        </w:rPr>
        <w:t>World J Transplant</w:t>
      </w:r>
      <w:r w:rsidR="00861EF4" w:rsidRPr="00E407F8">
        <w:rPr>
          <w:rFonts w:ascii="Book Antiqua" w:eastAsia="Book Antiqua" w:hAnsi="Book Antiqua" w:cs="Book Antiqua"/>
          <w:color w:val="000000"/>
        </w:rPr>
        <w:t xml:space="preserve"> </w:t>
      </w:r>
      <w:r w:rsidR="00E32C4D" w:rsidRPr="00E407F8">
        <w:rPr>
          <w:rFonts w:ascii="Book Antiqua" w:eastAsia="Book Antiqua" w:hAnsi="Book Antiqua" w:cs="Book Antiqua"/>
          <w:lang w:val="pt-BR"/>
        </w:rPr>
        <w:t xml:space="preserve">2022; 12(1): </w:t>
      </w:r>
      <w:bookmarkStart w:id="2" w:name="RANGE!A8"/>
      <w:r w:rsidR="00421772" w:rsidRPr="00E407F8">
        <w:rPr>
          <w:rFonts w:ascii="Book Antiqua" w:eastAsia="等线" w:hAnsi="Book Antiqua"/>
          <w:color w:val="000000"/>
        </w:rPr>
        <w:t>1</w:t>
      </w:r>
      <w:bookmarkEnd w:id="2"/>
      <w:r w:rsidR="00E32C4D" w:rsidRPr="00E407F8">
        <w:rPr>
          <w:rFonts w:ascii="Book Antiqua" w:eastAsia="Book Antiqua" w:hAnsi="Book Antiqua" w:cs="Book Antiqua"/>
          <w:lang w:val="pt-BR"/>
        </w:rPr>
        <w:t>-</w:t>
      </w:r>
      <w:r w:rsidR="00421772" w:rsidRPr="00E407F8">
        <w:rPr>
          <w:rFonts w:ascii="Book Antiqua" w:eastAsia="等线" w:hAnsi="Book Antiqua"/>
          <w:color w:val="000000"/>
        </w:rPr>
        <w:t xml:space="preserve">7 </w:t>
      </w:r>
    </w:p>
    <w:p w14:paraId="60BDCBD9" w14:textId="77777777" w:rsidR="00B055D4" w:rsidRPr="00E407F8" w:rsidRDefault="00E32C4D" w:rsidP="00E32C4D">
      <w:pPr>
        <w:spacing w:line="360" w:lineRule="auto"/>
        <w:rPr>
          <w:rFonts w:ascii="Book Antiqua" w:eastAsia="Book Antiqua" w:hAnsi="Book Antiqua" w:cs="Book Antiqua"/>
          <w:lang w:val="pt-BR"/>
        </w:rPr>
      </w:pPr>
      <w:r w:rsidRPr="00E407F8">
        <w:rPr>
          <w:rFonts w:ascii="Book Antiqua" w:eastAsia="Book Antiqua" w:hAnsi="Book Antiqua" w:cs="Book Antiqua"/>
          <w:b/>
          <w:bCs/>
          <w:lang w:val="pt-BR"/>
        </w:rPr>
        <w:t>URL:</w:t>
      </w:r>
      <w:r w:rsidRPr="00E407F8">
        <w:rPr>
          <w:rFonts w:ascii="Book Antiqua" w:eastAsia="Book Antiqua" w:hAnsi="Book Antiqua" w:cs="Book Antiqua"/>
          <w:lang w:val="pt-BR"/>
        </w:rPr>
        <w:t xml:space="preserve"> https://www.wjgnet.com/2220-3230/full/v12/i1/</w:t>
      </w:r>
      <w:r w:rsidR="00421772" w:rsidRPr="00E407F8">
        <w:rPr>
          <w:rFonts w:ascii="Book Antiqua" w:eastAsia="等线" w:hAnsi="Book Antiqua"/>
          <w:color w:val="000000"/>
        </w:rPr>
        <w:t>1</w:t>
      </w:r>
      <w:r w:rsidRPr="00E407F8">
        <w:rPr>
          <w:rFonts w:ascii="Book Antiqua" w:eastAsia="Book Antiqua" w:hAnsi="Book Antiqua" w:cs="Book Antiqua"/>
          <w:lang w:val="pt-BR"/>
        </w:rPr>
        <w:t xml:space="preserve">.htm  </w:t>
      </w:r>
    </w:p>
    <w:p w14:paraId="124A6B60" w14:textId="65F7712E" w:rsidR="00E32C4D" w:rsidRPr="00E407F8" w:rsidRDefault="00E32C4D" w:rsidP="00E32C4D">
      <w:pPr>
        <w:spacing w:line="360" w:lineRule="auto"/>
        <w:rPr>
          <w:rFonts w:ascii="Book Antiqua" w:eastAsia="Book Antiqua" w:hAnsi="Book Antiqua" w:cs="Book Antiqua"/>
          <w:kern w:val="2"/>
          <w:lang w:val="pt-BR"/>
        </w:rPr>
      </w:pPr>
      <w:r w:rsidRPr="00E407F8">
        <w:rPr>
          <w:rFonts w:ascii="Book Antiqua" w:eastAsia="Book Antiqua" w:hAnsi="Book Antiqua" w:cs="Book Antiqua"/>
          <w:b/>
          <w:bCs/>
          <w:lang w:val="pt-BR"/>
        </w:rPr>
        <w:t>DOI:</w:t>
      </w:r>
      <w:r w:rsidRPr="00E407F8">
        <w:rPr>
          <w:rFonts w:ascii="Book Antiqua" w:eastAsia="Book Antiqua" w:hAnsi="Book Antiqua" w:cs="Book Antiqua"/>
          <w:lang w:val="pt-BR"/>
        </w:rPr>
        <w:t xml:space="preserve"> https://dx.doi.org/</w:t>
      </w:r>
      <w:r w:rsidRPr="00E407F8">
        <w:rPr>
          <w:rFonts w:ascii="Book Antiqua" w:eastAsia="Book Antiqua" w:hAnsi="Book Antiqua" w:cs="Book Antiqua"/>
          <w:kern w:val="2"/>
          <w:lang w:val="pt-BR"/>
        </w:rPr>
        <w:t>10.5500</w:t>
      </w:r>
      <w:r w:rsidRPr="00E407F8">
        <w:rPr>
          <w:rFonts w:ascii="Book Antiqua" w:eastAsia="Book Antiqua" w:hAnsi="Book Antiqua" w:cs="Book Antiqua"/>
          <w:lang w:val="pt-BR"/>
        </w:rPr>
        <w:t>/wjt.v12.i1.</w:t>
      </w:r>
      <w:r w:rsidR="00421772" w:rsidRPr="00E407F8">
        <w:rPr>
          <w:rFonts w:ascii="Book Antiqua" w:eastAsia="等线" w:hAnsi="Book Antiqua"/>
          <w:color w:val="000000"/>
        </w:rPr>
        <w:t>1</w:t>
      </w:r>
    </w:p>
    <w:p w14:paraId="7411C04A" w14:textId="4C05F653" w:rsidR="007714B0" w:rsidRPr="00E407F8" w:rsidRDefault="007714B0" w:rsidP="0044219D">
      <w:pPr>
        <w:spacing w:line="360" w:lineRule="auto"/>
        <w:jc w:val="both"/>
        <w:rPr>
          <w:rFonts w:ascii="Book Antiqua" w:hAnsi="Book Antiqua"/>
          <w:lang w:val="pt-BR"/>
        </w:rPr>
      </w:pPr>
    </w:p>
    <w:p w14:paraId="680AC45A" w14:textId="77777777" w:rsidR="007714B0" w:rsidRPr="00E407F8" w:rsidRDefault="00861EF4" w:rsidP="0044219D">
      <w:pPr>
        <w:spacing w:line="360" w:lineRule="auto"/>
        <w:jc w:val="both"/>
        <w:rPr>
          <w:rFonts w:ascii="Book Antiqua" w:hAnsi="Book Antiqua"/>
        </w:rPr>
      </w:pPr>
      <w:r w:rsidRPr="00E407F8">
        <w:rPr>
          <w:rFonts w:ascii="Book Antiqua" w:eastAsia="Book Antiqua" w:hAnsi="Book Antiqua" w:cs="Book Antiqua"/>
          <w:b/>
          <w:bCs/>
          <w:color w:val="000000"/>
        </w:rPr>
        <w:t xml:space="preserve">Core Tip: </w:t>
      </w:r>
      <w:r w:rsidRPr="00E407F8">
        <w:rPr>
          <w:rFonts w:ascii="Book Antiqua" w:eastAsia="Book Antiqua" w:hAnsi="Book Antiqua" w:cs="Book Antiqua"/>
          <w:color w:val="000000"/>
        </w:rPr>
        <w:t xml:space="preserve">Pegiviruses are single-stranded positive-sense RNA viruses, historically associated with liver disease, but their pathogenicity is controversial. Pegivirus infection does not seem to have a negative impact on the outcome of solid-organ and hematopoietic stem cell transplant recipients. However, the role of pegiviruses as proxies in immunosuppression monitoring brings novelty to the field of virome research in immunocompromised individuals. </w:t>
      </w:r>
    </w:p>
    <w:p w14:paraId="001B9913" w14:textId="77777777" w:rsidR="007714B0" w:rsidRPr="00E407F8" w:rsidRDefault="007714B0" w:rsidP="0044219D">
      <w:pPr>
        <w:spacing w:line="360" w:lineRule="auto"/>
        <w:jc w:val="both"/>
        <w:rPr>
          <w:rFonts w:ascii="Book Antiqua" w:hAnsi="Book Antiqua"/>
        </w:rPr>
      </w:pPr>
    </w:p>
    <w:p w14:paraId="3DCC225A" w14:textId="77777777" w:rsidR="007714B0" w:rsidRPr="00E407F8" w:rsidRDefault="00861EF4" w:rsidP="0044219D">
      <w:pPr>
        <w:spacing w:line="360" w:lineRule="auto"/>
        <w:jc w:val="both"/>
        <w:rPr>
          <w:rFonts w:ascii="Book Antiqua" w:hAnsi="Book Antiqua"/>
        </w:rPr>
      </w:pPr>
      <w:r w:rsidRPr="00E407F8">
        <w:rPr>
          <w:rFonts w:ascii="Book Antiqua" w:eastAsia="Book Antiqua" w:hAnsi="Book Antiqua" w:cs="Book Antiqua"/>
          <w:b/>
          <w:caps/>
          <w:color w:val="000000"/>
          <w:u w:val="single"/>
        </w:rPr>
        <w:t>INTRODUCTION</w:t>
      </w:r>
    </w:p>
    <w:p w14:paraId="5B4EB63B" w14:textId="5636650C" w:rsidR="007714B0" w:rsidRPr="00E407F8" w:rsidRDefault="00861EF4" w:rsidP="0044219D">
      <w:pPr>
        <w:spacing w:line="360" w:lineRule="auto"/>
        <w:jc w:val="both"/>
        <w:rPr>
          <w:rFonts w:ascii="Book Antiqua" w:hAnsi="Book Antiqua"/>
        </w:rPr>
      </w:pPr>
      <w:r w:rsidRPr="00E407F8">
        <w:rPr>
          <w:rFonts w:ascii="Book Antiqua" w:eastAsia="Book Antiqua" w:hAnsi="Book Antiqua" w:cs="Book Antiqua"/>
          <w:color w:val="000000"/>
        </w:rPr>
        <w:t>The microbiome</w:t>
      </w:r>
      <w:r w:rsidR="00796EF8" w:rsidRPr="00E407F8">
        <w:rPr>
          <w:rFonts w:ascii="Book Antiqua" w:eastAsia="Book Antiqua" w:hAnsi="Book Antiqua" w:cs="Book Antiqua"/>
          <w:color w:val="000000"/>
        </w:rPr>
        <w:t>’</w:t>
      </w:r>
      <w:r w:rsidRPr="00E407F8">
        <w:rPr>
          <w:rFonts w:ascii="Book Antiqua" w:eastAsia="Book Antiqua" w:hAnsi="Book Antiqua" w:cs="Book Antiqua"/>
          <w:color w:val="000000"/>
        </w:rPr>
        <w:t>s role in transplantation has received growing interest, but the role of virome remains understudied. Several studies have shown that the virome changes upon immunosuppression initiation</w:t>
      </w:r>
      <w:r w:rsidRPr="00E407F8">
        <w:rPr>
          <w:rFonts w:ascii="Book Antiqua" w:eastAsia="Book Antiqua" w:hAnsi="Book Antiqua" w:cs="Book Antiqua"/>
          <w:color w:val="000000"/>
          <w:vertAlign w:val="superscript"/>
        </w:rPr>
        <w:t>[1,2]</w:t>
      </w:r>
      <w:r w:rsidRPr="00E407F8">
        <w:rPr>
          <w:rFonts w:ascii="Book Antiqua" w:eastAsia="Book Antiqua" w:hAnsi="Book Antiqua" w:cs="Book Antiqua"/>
          <w:color w:val="000000"/>
        </w:rPr>
        <w:t>. Most notable is the increase in the anelloviruses but also in pegiviruses.</w:t>
      </w:r>
    </w:p>
    <w:p w14:paraId="75B1CDFF" w14:textId="61CF3F24" w:rsidR="007714B0" w:rsidRPr="00E407F8" w:rsidRDefault="00861EF4" w:rsidP="0044219D">
      <w:pPr>
        <w:spacing w:line="360" w:lineRule="auto"/>
        <w:ind w:firstLineChars="100" w:firstLine="240"/>
        <w:jc w:val="both"/>
        <w:rPr>
          <w:rFonts w:ascii="Book Antiqua" w:hAnsi="Book Antiqua"/>
        </w:rPr>
      </w:pPr>
      <w:r w:rsidRPr="00E407F8">
        <w:rPr>
          <w:rFonts w:ascii="Book Antiqua" w:eastAsia="Book Antiqua" w:hAnsi="Book Antiqua" w:cs="Book Antiqua"/>
          <w:color w:val="000000"/>
        </w:rPr>
        <w:t>Pegiviruses are single-stranded positive-sense RNA viruses, most closely related to hepatitis C virus (HCV) in terms of genome organization with structural genes located at the 5</w:t>
      </w:r>
      <w:r w:rsidR="00D46064" w:rsidRPr="00E407F8">
        <w:rPr>
          <w:rFonts w:ascii="Book Antiqua" w:eastAsia="Book Antiqua" w:hAnsi="Book Antiqua" w:cs="Book Antiqua"/>
          <w:color w:val="000000"/>
        </w:rPr>
        <w:t>’</w:t>
      </w:r>
      <w:r w:rsidRPr="00E407F8">
        <w:rPr>
          <w:rFonts w:ascii="Book Antiqua" w:eastAsia="Book Antiqua" w:hAnsi="Book Antiqua" w:cs="Book Antiqua"/>
          <w:color w:val="000000"/>
        </w:rPr>
        <w:t xml:space="preserve"> genomic region and non-structural genes at the 3</w:t>
      </w:r>
      <w:r w:rsidR="00796EF8" w:rsidRPr="00E407F8">
        <w:rPr>
          <w:rFonts w:ascii="Book Antiqua" w:eastAsia="Book Antiqua" w:hAnsi="Book Antiqua" w:cs="Book Antiqua"/>
          <w:color w:val="000000"/>
        </w:rPr>
        <w:t>’</w:t>
      </w:r>
      <w:r w:rsidRPr="00E407F8">
        <w:rPr>
          <w:rFonts w:ascii="Book Antiqua" w:eastAsia="Book Antiqua" w:hAnsi="Book Antiqua" w:cs="Book Antiqua"/>
          <w:color w:val="000000"/>
        </w:rPr>
        <w:t xml:space="preserve"> end</w:t>
      </w:r>
      <w:r w:rsidRPr="00E407F8">
        <w:rPr>
          <w:rFonts w:ascii="Book Antiqua" w:eastAsia="Book Antiqua" w:hAnsi="Book Antiqua" w:cs="Book Antiqua"/>
          <w:color w:val="000000"/>
          <w:vertAlign w:val="superscript"/>
        </w:rPr>
        <w:t>[3]</w:t>
      </w:r>
      <w:r w:rsidRPr="00E407F8">
        <w:rPr>
          <w:rFonts w:ascii="Book Antiqua" w:eastAsia="Book Antiqua" w:hAnsi="Book Antiqua" w:cs="Book Antiqua"/>
          <w:color w:val="000000"/>
        </w:rPr>
        <w:t>. The genome encodes a polyprotein that is co- and post-translationally cleaved into individual viral proteins. Structural proteins common to all pegiviruses are the envelope glycoproteins (E1 and E2), and non-structural proteins are NS2-NS5B</w:t>
      </w:r>
      <w:r w:rsidRPr="00E407F8">
        <w:rPr>
          <w:rFonts w:ascii="Book Antiqua" w:eastAsia="Book Antiqua" w:hAnsi="Book Antiqua" w:cs="Book Antiqua"/>
          <w:color w:val="000000"/>
          <w:vertAlign w:val="superscript"/>
        </w:rPr>
        <w:t>[4]</w:t>
      </w:r>
      <w:r w:rsidRPr="00E407F8">
        <w:rPr>
          <w:rFonts w:ascii="Book Antiqua" w:eastAsia="Book Antiqua" w:hAnsi="Book Antiqua" w:cs="Book Antiqua"/>
          <w:color w:val="000000"/>
        </w:rPr>
        <w:t xml:space="preserve">. Pegiviruses are classified into eleven species (pegivirus A-K) within the genus </w:t>
      </w:r>
      <w:r w:rsidRPr="00E407F8">
        <w:rPr>
          <w:rFonts w:ascii="Book Antiqua" w:eastAsia="Book Antiqua" w:hAnsi="Book Antiqua" w:cs="Book Antiqua"/>
          <w:i/>
          <w:iCs/>
          <w:color w:val="000000"/>
        </w:rPr>
        <w:t xml:space="preserve">Pegivirus </w:t>
      </w:r>
      <w:r w:rsidRPr="00E407F8">
        <w:rPr>
          <w:rFonts w:ascii="Book Antiqua" w:eastAsia="Book Antiqua" w:hAnsi="Book Antiqua" w:cs="Book Antiqua"/>
          <w:color w:val="000000"/>
        </w:rPr>
        <w:t xml:space="preserve">in the </w:t>
      </w:r>
      <w:r w:rsidRPr="00E407F8">
        <w:rPr>
          <w:rFonts w:ascii="Book Antiqua" w:eastAsia="Book Antiqua" w:hAnsi="Book Antiqua" w:cs="Book Antiqua"/>
          <w:i/>
          <w:iCs/>
          <w:color w:val="000000"/>
        </w:rPr>
        <w:t>Flaviviridae</w:t>
      </w:r>
      <w:r w:rsidRPr="00E407F8">
        <w:rPr>
          <w:rFonts w:ascii="Book Antiqua" w:eastAsia="Book Antiqua" w:hAnsi="Book Antiqua" w:cs="Book Antiqua"/>
          <w:color w:val="000000"/>
        </w:rPr>
        <w:t xml:space="preserve"> family. Two pegiviruses are known to infect humans, the human pegivirus (HPgV) and the HPgV-2, but their </w:t>
      </w:r>
      <w:r w:rsidRPr="00E407F8">
        <w:rPr>
          <w:rFonts w:ascii="Book Antiqua" w:eastAsia="Book Antiqua" w:hAnsi="Book Antiqua" w:cs="Book Antiqua"/>
          <w:color w:val="000000"/>
        </w:rPr>
        <w:lastRenderedPageBreak/>
        <w:t>pathogenicity is limited and no clear association with any human disease has been established</w:t>
      </w:r>
      <w:r w:rsidRPr="00E407F8">
        <w:rPr>
          <w:rFonts w:ascii="Book Antiqua" w:eastAsia="Book Antiqua" w:hAnsi="Book Antiqua" w:cs="Book Antiqua"/>
          <w:color w:val="000000"/>
          <w:vertAlign w:val="superscript"/>
        </w:rPr>
        <w:t>[5]</w:t>
      </w:r>
      <w:r w:rsidRPr="00E407F8">
        <w:rPr>
          <w:rFonts w:ascii="Book Antiqua" w:eastAsia="Book Antiqua" w:hAnsi="Book Antiqua" w:cs="Book Antiqua"/>
          <w:color w:val="000000"/>
        </w:rPr>
        <w:t>.</w:t>
      </w:r>
    </w:p>
    <w:p w14:paraId="4138A44D" w14:textId="7FCF5CBD" w:rsidR="007714B0" w:rsidRPr="00E407F8" w:rsidRDefault="00861EF4" w:rsidP="0044219D">
      <w:pPr>
        <w:spacing w:line="360" w:lineRule="auto"/>
        <w:ind w:firstLineChars="100" w:firstLine="240"/>
        <w:jc w:val="both"/>
        <w:rPr>
          <w:rFonts w:ascii="Book Antiqua" w:hAnsi="Book Antiqua"/>
        </w:rPr>
      </w:pPr>
      <w:r w:rsidRPr="00E407F8">
        <w:rPr>
          <w:rFonts w:ascii="Book Antiqua" w:eastAsia="Book Antiqua" w:hAnsi="Book Antiqua" w:cs="Book Antiqua"/>
          <w:color w:val="000000"/>
        </w:rPr>
        <w:t>HPgV was discovered in 1995 from the sera of patients with hepatitis by two independent investigator groups, who named it GB virus C and hepatitis G virus (HGV), respectively. The HPgV</w:t>
      </w:r>
      <w:r w:rsidR="00796EF8" w:rsidRPr="00E407F8">
        <w:rPr>
          <w:rFonts w:ascii="Book Antiqua" w:eastAsia="Book Antiqua" w:hAnsi="Book Antiqua" w:cs="Book Antiqua"/>
          <w:color w:val="000000"/>
        </w:rPr>
        <w:t>’</w:t>
      </w:r>
      <w:r w:rsidRPr="00E407F8">
        <w:rPr>
          <w:rFonts w:ascii="Book Antiqua" w:eastAsia="Book Antiqua" w:hAnsi="Book Antiqua" w:cs="Book Antiqua"/>
          <w:color w:val="000000"/>
        </w:rPr>
        <w:t>s E2 glycoprotein, involved in the adhesion and fusion with the host cells, targets the production of anti-HPgV antibodies, which appear after the viral clearance and provide partial protection against reinfection</w:t>
      </w:r>
      <w:r w:rsidRPr="00E407F8">
        <w:rPr>
          <w:rFonts w:ascii="Book Antiqua" w:eastAsia="Book Antiqua" w:hAnsi="Book Antiqua" w:cs="Book Antiqua"/>
          <w:color w:val="000000"/>
          <w:vertAlign w:val="superscript"/>
        </w:rPr>
        <w:t>[6]</w:t>
      </w:r>
      <w:r w:rsidRPr="00E407F8">
        <w:rPr>
          <w:rFonts w:ascii="Book Antiqua" w:eastAsia="Book Antiqua" w:hAnsi="Book Antiqua" w:cs="Book Antiqua"/>
          <w:color w:val="000000"/>
        </w:rPr>
        <w:t>. The virus is efficiently transmitted through sexual contact and intravenous substance use, vertically from mother to child, and through exposure to infected blood and blood components</w:t>
      </w:r>
      <w:r w:rsidRPr="00E407F8">
        <w:rPr>
          <w:rFonts w:ascii="Book Antiqua" w:eastAsia="Book Antiqua" w:hAnsi="Book Antiqua" w:cs="Book Antiqua"/>
          <w:color w:val="000000"/>
          <w:vertAlign w:val="superscript"/>
        </w:rPr>
        <w:t>[7]</w:t>
      </w:r>
      <w:r w:rsidRPr="00E407F8">
        <w:rPr>
          <w:rFonts w:ascii="Book Antiqua" w:eastAsia="Book Antiqua" w:hAnsi="Book Antiqua" w:cs="Book Antiqua"/>
          <w:color w:val="000000"/>
        </w:rPr>
        <w:t>.</w:t>
      </w:r>
    </w:p>
    <w:p w14:paraId="3503F0C5" w14:textId="77777777" w:rsidR="007714B0" w:rsidRPr="00E407F8" w:rsidRDefault="00861EF4" w:rsidP="0044219D">
      <w:pPr>
        <w:spacing w:line="360" w:lineRule="auto"/>
        <w:ind w:firstLineChars="100" w:firstLine="240"/>
        <w:jc w:val="both"/>
        <w:rPr>
          <w:rFonts w:ascii="Book Antiqua" w:hAnsi="Book Antiqua"/>
        </w:rPr>
      </w:pPr>
      <w:r w:rsidRPr="00E407F8">
        <w:rPr>
          <w:rFonts w:ascii="Book Antiqua" w:eastAsia="Book Antiqua" w:hAnsi="Book Antiqua" w:cs="Book Antiqua"/>
          <w:color w:val="000000"/>
        </w:rPr>
        <w:t>Available data suggest a high prevalence of HpgV viremia (&gt; 40%) in populations with parenteral exposure risk</w:t>
      </w:r>
      <w:r w:rsidRPr="00E407F8">
        <w:rPr>
          <w:rFonts w:ascii="Book Antiqua" w:eastAsia="Book Antiqua" w:hAnsi="Book Antiqua" w:cs="Book Antiqua"/>
          <w:color w:val="000000"/>
          <w:vertAlign w:val="superscript"/>
        </w:rPr>
        <w:t>[8]</w:t>
      </w:r>
      <w:r w:rsidRPr="00E407F8">
        <w:rPr>
          <w:rFonts w:ascii="Book Antiqua" w:eastAsia="Book Antiqua" w:hAnsi="Book Antiqua" w:cs="Book Antiqua"/>
          <w:color w:val="000000"/>
        </w:rPr>
        <w:t>. Although early studies indicated that the HPgV is hepatotropic, numerous subsequent studies have shown that HPgV is rarely detectable in infected individuals’ liver tissue. In addition, no evidence of a liver disease potentially linked to HPgV was observed during the follow-up of different patient categories</w:t>
      </w:r>
      <w:r w:rsidRPr="00E407F8">
        <w:rPr>
          <w:rFonts w:ascii="Book Antiqua" w:eastAsia="Book Antiqua" w:hAnsi="Book Antiqua" w:cs="Book Antiqua"/>
          <w:color w:val="000000"/>
          <w:vertAlign w:val="superscript"/>
        </w:rPr>
        <w:t>[7]</w:t>
      </w:r>
      <w:r w:rsidRPr="00E407F8">
        <w:rPr>
          <w:rFonts w:ascii="Book Antiqua" w:eastAsia="Book Antiqua" w:hAnsi="Book Antiqua" w:cs="Book Antiqua"/>
          <w:color w:val="000000"/>
        </w:rPr>
        <w:t>.</w:t>
      </w:r>
    </w:p>
    <w:p w14:paraId="73388463" w14:textId="77777777" w:rsidR="007714B0" w:rsidRPr="00E407F8" w:rsidRDefault="00861EF4" w:rsidP="0044219D">
      <w:pPr>
        <w:spacing w:line="360" w:lineRule="auto"/>
        <w:ind w:firstLineChars="100" w:firstLine="240"/>
        <w:jc w:val="both"/>
        <w:rPr>
          <w:rFonts w:ascii="Book Antiqua" w:hAnsi="Book Antiqua"/>
        </w:rPr>
      </w:pPr>
      <w:r w:rsidRPr="00E407F8">
        <w:rPr>
          <w:rFonts w:ascii="Book Antiqua" w:eastAsia="Book Antiqua" w:hAnsi="Book Antiqua" w:cs="Book Antiqua"/>
          <w:color w:val="000000"/>
        </w:rPr>
        <w:t>HPgV-2 was isolated in 2015 from the plasma of HCV-infected patients with multiple blood-borne exposures in the United States</w:t>
      </w:r>
      <w:r w:rsidRPr="00E407F8">
        <w:rPr>
          <w:rFonts w:ascii="Book Antiqua" w:eastAsia="Book Antiqua" w:hAnsi="Book Antiqua" w:cs="Book Antiqua"/>
          <w:color w:val="000000"/>
          <w:vertAlign w:val="superscript"/>
        </w:rPr>
        <w:t>[8]</w:t>
      </w:r>
      <w:r w:rsidRPr="00E407F8">
        <w:rPr>
          <w:rFonts w:ascii="Book Antiqua" w:eastAsia="Book Antiqua" w:hAnsi="Book Antiqua" w:cs="Book Antiqua"/>
          <w:color w:val="000000"/>
        </w:rPr>
        <w:t>. A low prevalence of HPgV-2 viremia has been noted in the general population, but there is an increase in patients with HCV infection and injecting drug users co-infected with HCV</w:t>
      </w:r>
      <w:r w:rsidRPr="00E407F8">
        <w:rPr>
          <w:rFonts w:ascii="Book Antiqua" w:eastAsia="Book Antiqua" w:hAnsi="Book Antiqua" w:cs="Book Antiqua"/>
          <w:color w:val="000000"/>
          <w:vertAlign w:val="superscript"/>
        </w:rPr>
        <w:t>[9]</w:t>
      </w:r>
      <w:r w:rsidRPr="00E407F8">
        <w:rPr>
          <w:rFonts w:ascii="Book Antiqua" w:eastAsia="Book Antiqua" w:hAnsi="Book Antiqua" w:cs="Book Antiqua"/>
          <w:color w:val="000000"/>
        </w:rPr>
        <w:t>. Further studies indicated that HPgV-2 is a lymphotropic but not a hepatotropic virus, which may explain the lack of association with liver disease</w:t>
      </w:r>
      <w:r w:rsidRPr="00E407F8">
        <w:rPr>
          <w:rFonts w:ascii="Book Antiqua" w:eastAsia="Book Antiqua" w:hAnsi="Book Antiqua" w:cs="Book Antiqua"/>
          <w:color w:val="000000"/>
          <w:vertAlign w:val="superscript"/>
        </w:rPr>
        <w:t>[10]</w:t>
      </w:r>
      <w:r w:rsidRPr="00E407F8">
        <w:rPr>
          <w:rFonts w:ascii="Book Antiqua" w:eastAsia="Book Antiqua" w:hAnsi="Book Antiqua" w:cs="Book Antiqua"/>
          <w:color w:val="000000"/>
        </w:rPr>
        <w:t>.</w:t>
      </w:r>
    </w:p>
    <w:p w14:paraId="5A3BCD76" w14:textId="77777777" w:rsidR="007714B0" w:rsidRPr="00E407F8" w:rsidRDefault="00861EF4" w:rsidP="0044219D">
      <w:pPr>
        <w:spacing w:line="360" w:lineRule="auto"/>
        <w:ind w:firstLineChars="100" w:firstLine="240"/>
        <w:jc w:val="both"/>
        <w:rPr>
          <w:rFonts w:ascii="Book Antiqua" w:hAnsi="Book Antiqua"/>
        </w:rPr>
      </w:pPr>
      <w:r w:rsidRPr="00E407F8">
        <w:rPr>
          <w:rFonts w:ascii="Book Antiqua" w:eastAsia="Book Antiqua" w:hAnsi="Book Antiqua" w:cs="Book Antiqua"/>
          <w:color w:val="000000"/>
        </w:rPr>
        <w:t>HPgVs are distributed globally, and viral RNA is present in roughly 750 million people</w:t>
      </w:r>
      <w:r w:rsidRPr="00E407F8">
        <w:rPr>
          <w:rFonts w:ascii="Book Antiqua" w:eastAsia="Book Antiqua" w:hAnsi="Book Antiqua" w:cs="Book Antiqua"/>
          <w:color w:val="000000"/>
          <w:vertAlign w:val="superscript"/>
        </w:rPr>
        <w:t>[6]</w:t>
      </w:r>
      <w:r w:rsidRPr="00E407F8">
        <w:rPr>
          <w:rFonts w:ascii="Book Antiqua" w:eastAsia="Book Antiqua" w:hAnsi="Book Antiqua" w:cs="Book Antiqua"/>
          <w:color w:val="000000"/>
        </w:rPr>
        <w:t>, making it ubiquitous in human populations. The prevalence of HPgV viremia from cross-sectional studies of healthy blood donors in developed countries ranges between</w:t>
      </w:r>
      <w:r w:rsidRPr="00E407F8">
        <w:rPr>
          <w:rFonts w:ascii="Book Antiqua" w:hAnsi="Book Antiqua" w:cs="Book Antiqua"/>
          <w:color w:val="000000"/>
          <w:lang w:eastAsia="zh-CN"/>
        </w:rPr>
        <w:t xml:space="preserve"> </w:t>
      </w:r>
      <w:r w:rsidRPr="00E407F8">
        <w:rPr>
          <w:rFonts w:ascii="Book Antiqua" w:eastAsia="Book Antiqua" w:hAnsi="Book Antiqua" w:cs="Book Antiqua"/>
          <w:color w:val="000000"/>
        </w:rPr>
        <w:t>1% and 5%. Nearly 200000 units of HPgVs-contaminated blood products are transfused each year in the United States</w:t>
      </w:r>
      <w:r w:rsidRPr="00E407F8">
        <w:rPr>
          <w:rFonts w:ascii="Book Antiqua" w:eastAsia="Book Antiqua" w:hAnsi="Book Antiqua" w:cs="Book Antiqua"/>
          <w:color w:val="000000"/>
          <w:vertAlign w:val="superscript"/>
        </w:rPr>
        <w:t>[11]</w:t>
      </w:r>
      <w:r w:rsidRPr="00E407F8">
        <w:rPr>
          <w:rFonts w:ascii="Book Antiqua" w:eastAsia="Book Antiqua" w:hAnsi="Book Antiqua" w:cs="Book Antiqua"/>
          <w:color w:val="000000"/>
        </w:rPr>
        <w:t>. In comparison, in developing countries, up to 20% of blood donors have an active infection</w:t>
      </w:r>
      <w:r w:rsidRPr="00E407F8">
        <w:rPr>
          <w:rFonts w:ascii="Book Antiqua" w:eastAsia="Book Antiqua" w:hAnsi="Book Antiqua" w:cs="Book Antiqua"/>
          <w:color w:val="000000"/>
          <w:vertAlign w:val="superscript"/>
        </w:rPr>
        <w:t>[12]</w:t>
      </w:r>
      <w:r w:rsidRPr="00E407F8">
        <w:rPr>
          <w:rFonts w:ascii="Book Antiqua" w:eastAsia="Book Antiqua" w:hAnsi="Book Antiqua" w:cs="Book Antiqua"/>
          <w:color w:val="000000"/>
        </w:rPr>
        <w:t>. Data suggest that approximately 1.5-2.5 billion people are currently infected or have evidence of prior HPgV infection</w:t>
      </w:r>
      <w:r w:rsidRPr="00E407F8">
        <w:rPr>
          <w:rFonts w:ascii="Book Antiqua" w:eastAsia="Book Antiqua" w:hAnsi="Book Antiqua" w:cs="Book Antiqua"/>
          <w:color w:val="000000"/>
          <w:vertAlign w:val="superscript"/>
        </w:rPr>
        <w:t>[6]</w:t>
      </w:r>
      <w:r w:rsidRPr="00E407F8">
        <w:rPr>
          <w:rFonts w:ascii="Book Antiqua" w:eastAsia="Book Antiqua" w:hAnsi="Book Antiqua" w:cs="Book Antiqua"/>
          <w:color w:val="000000"/>
        </w:rPr>
        <w:t>.</w:t>
      </w:r>
    </w:p>
    <w:p w14:paraId="43461FAD" w14:textId="77777777" w:rsidR="007714B0" w:rsidRPr="00E407F8" w:rsidRDefault="00861EF4" w:rsidP="0044219D">
      <w:pPr>
        <w:spacing w:line="360" w:lineRule="auto"/>
        <w:ind w:firstLineChars="100" w:firstLine="240"/>
        <w:jc w:val="both"/>
        <w:rPr>
          <w:rFonts w:ascii="Book Antiqua" w:hAnsi="Book Antiqua"/>
        </w:rPr>
      </w:pPr>
      <w:r w:rsidRPr="00E407F8">
        <w:rPr>
          <w:rFonts w:ascii="Book Antiqua" w:eastAsia="Book Antiqua" w:hAnsi="Book Antiqua" w:cs="Book Antiqua"/>
          <w:color w:val="000000"/>
        </w:rPr>
        <w:t xml:space="preserve">Numerous studies examined the presence of HPgV in several countries. Generally, a high HPgV prevalence is observed among subjects with parenteral exposure, including </w:t>
      </w:r>
      <w:r w:rsidRPr="00E407F8">
        <w:rPr>
          <w:rFonts w:ascii="Book Antiqua" w:eastAsia="Book Antiqua" w:hAnsi="Book Antiqua" w:cs="Book Antiqua"/>
          <w:color w:val="000000"/>
        </w:rPr>
        <w:lastRenderedPageBreak/>
        <w:t>those exposed to blood and blood products, those on hemodialysis, those with a history of intravenous substance use, and patients with chronic hepatitis C or human immunodeficiency virus (HIV) infection</w:t>
      </w:r>
      <w:r w:rsidRPr="00E407F8">
        <w:rPr>
          <w:rFonts w:ascii="Book Antiqua" w:eastAsia="Book Antiqua" w:hAnsi="Book Antiqua" w:cs="Book Antiqua"/>
          <w:color w:val="000000"/>
          <w:vertAlign w:val="superscript"/>
        </w:rPr>
        <w:t>[13]</w:t>
      </w:r>
      <w:r w:rsidRPr="00E407F8">
        <w:rPr>
          <w:rFonts w:ascii="Book Antiqua" w:eastAsia="Book Antiqua" w:hAnsi="Book Antiqua" w:cs="Book Antiqua"/>
          <w:color w:val="000000"/>
        </w:rPr>
        <w:t>.</w:t>
      </w:r>
    </w:p>
    <w:p w14:paraId="743A1AB1" w14:textId="77777777" w:rsidR="007714B0" w:rsidRPr="00E407F8" w:rsidRDefault="007714B0" w:rsidP="0044219D">
      <w:pPr>
        <w:spacing w:line="360" w:lineRule="auto"/>
        <w:jc w:val="both"/>
        <w:rPr>
          <w:rFonts w:ascii="Book Antiqua" w:hAnsi="Book Antiqua"/>
        </w:rPr>
      </w:pPr>
    </w:p>
    <w:p w14:paraId="741EF940" w14:textId="77777777" w:rsidR="007714B0" w:rsidRPr="00E407F8" w:rsidRDefault="00861EF4" w:rsidP="0044219D">
      <w:pPr>
        <w:spacing w:line="360" w:lineRule="auto"/>
        <w:jc w:val="both"/>
        <w:rPr>
          <w:rFonts w:ascii="Book Antiqua" w:hAnsi="Book Antiqua"/>
        </w:rPr>
      </w:pPr>
      <w:r w:rsidRPr="00E407F8">
        <w:rPr>
          <w:rFonts w:ascii="Book Antiqua" w:eastAsia="Book Antiqua" w:hAnsi="Book Antiqua" w:cs="Book Antiqua"/>
          <w:b/>
          <w:bCs/>
          <w:caps/>
          <w:color w:val="000000"/>
          <w:u w:val="single"/>
        </w:rPr>
        <w:t>HPGV AFTER TRANSPLANTATION OF SOLID ORGANS AND NON-SOLID ORGANS</w:t>
      </w:r>
    </w:p>
    <w:p w14:paraId="634CFD51" w14:textId="77777777" w:rsidR="007714B0" w:rsidRPr="00E407F8" w:rsidRDefault="00861EF4" w:rsidP="0044219D">
      <w:pPr>
        <w:spacing w:line="360" w:lineRule="auto"/>
        <w:jc w:val="both"/>
        <w:rPr>
          <w:rFonts w:ascii="Book Antiqua" w:hAnsi="Book Antiqua"/>
        </w:rPr>
      </w:pPr>
      <w:r w:rsidRPr="00E407F8">
        <w:rPr>
          <w:rFonts w:ascii="Book Antiqua" w:eastAsia="Book Antiqua" w:hAnsi="Book Antiqua" w:cs="Book Antiqua"/>
          <w:color w:val="000000"/>
        </w:rPr>
        <w:t>HPgVs have received much attention due to the possible beneficial immunomodulatory effects by reducing immune activation in patients with other viral diseases such as HIV infection, hepatitis B, and Ebola virus disease</w:t>
      </w:r>
      <w:r w:rsidRPr="00E407F8">
        <w:rPr>
          <w:rFonts w:ascii="Book Antiqua" w:eastAsia="Book Antiqua" w:hAnsi="Book Antiqua" w:cs="Book Antiqua"/>
          <w:color w:val="000000"/>
          <w:vertAlign w:val="superscript"/>
        </w:rPr>
        <w:t>[14-17]</w:t>
      </w:r>
      <w:r w:rsidRPr="00E407F8">
        <w:rPr>
          <w:rFonts w:ascii="Book Antiqua" w:eastAsia="Book Antiqua" w:hAnsi="Book Antiqua" w:cs="Book Antiqua"/>
          <w:color w:val="000000"/>
        </w:rPr>
        <w:t>. On the other hand, HPgV viremia has also been associated with the development of non-Hodgkin lymphoma (NHL). HPgV is a lymphotropic virus that may cause persistent infection in T and B lymphocytes, reduced Fas-mediated apoptosis, and impaired T cell and interleukin-2 receptor signaling</w:t>
      </w:r>
      <w:r w:rsidRPr="00E407F8">
        <w:rPr>
          <w:rFonts w:ascii="Book Antiqua" w:eastAsia="Book Antiqua" w:hAnsi="Book Antiqua" w:cs="Book Antiqua"/>
          <w:color w:val="000000"/>
          <w:vertAlign w:val="superscript"/>
        </w:rPr>
        <w:t>[18]</w:t>
      </w:r>
      <w:r w:rsidRPr="00E407F8">
        <w:rPr>
          <w:rFonts w:ascii="Book Antiqua" w:eastAsia="Book Antiqua" w:hAnsi="Book Antiqua" w:cs="Book Antiqua"/>
          <w:color w:val="000000"/>
        </w:rPr>
        <w:t>. HPgV infection anticipates the development of NHL by several years and resolved infection was not associated with NHL risk</w:t>
      </w:r>
      <w:r w:rsidRPr="00E407F8">
        <w:rPr>
          <w:rFonts w:ascii="Book Antiqua" w:eastAsia="Book Antiqua" w:hAnsi="Book Antiqua" w:cs="Book Antiqua"/>
          <w:color w:val="000000"/>
          <w:vertAlign w:val="superscript"/>
        </w:rPr>
        <w:t>[19]</w:t>
      </w:r>
      <w:r w:rsidRPr="00E407F8">
        <w:rPr>
          <w:rFonts w:ascii="Book Antiqua" w:eastAsia="Book Antiqua" w:hAnsi="Book Antiqua" w:cs="Book Antiqua"/>
          <w:color w:val="000000"/>
        </w:rPr>
        <w:t>. Pegiviruses have been studied both in hematopoietic stem cell transplantation (HSCT) and solid-organ transplant (SOT) recipients (Table 1).</w:t>
      </w:r>
    </w:p>
    <w:p w14:paraId="1B9EEA04" w14:textId="77777777" w:rsidR="007714B0" w:rsidRPr="00E407F8" w:rsidRDefault="00861EF4" w:rsidP="0044219D">
      <w:pPr>
        <w:spacing w:line="360" w:lineRule="auto"/>
        <w:ind w:firstLineChars="100" w:firstLine="240"/>
        <w:jc w:val="both"/>
        <w:rPr>
          <w:rFonts w:ascii="Book Antiqua" w:hAnsi="Book Antiqua"/>
        </w:rPr>
      </w:pPr>
      <w:r w:rsidRPr="00E407F8">
        <w:rPr>
          <w:rFonts w:ascii="Book Antiqua" w:eastAsia="Book Antiqua" w:hAnsi="Book Antiqua" w:cs="Book Antiqua"/>
          <w:color w:val="000000"/>
        </w:rPr>
        <w:t>Studies in HSCT recipients are limited. The prevalence of HPgV in HSCT patients ranges from 18.6%, as described in the study from Switzerland</w:t>
      </w:r>
      <w:r w:rsidRPr="00E407F8">
        <w:rPr>
          <w:rFonts w:ascii="Book Antiqua" w:eastAsia="Book Antiqua" w:hAnsi="Book Antiqua" w:cs="Book Antiqua"/>
          <w:color w:val="000000"/>
          <w:vertAlign w:val="superscript"/>
        </w:rPr>
        <w:t>[20]</w:t>
      </w:r>
      <w:r w:rsidRPr="00E407F8">
        <w:rPr>
          <w:rFonts w:ascii="Book Antiqua" w:eastAsia="Book Antiqua" w:hAnsi="Book Antiqua" w:cs="Book Antiqua"/>
          <w:color w:val="000000"/>
        </w:rPr>
        <w:t>, to almost 30% in an earlier French study</w:t>
      </w:r>
      <w:r w:rsidRPr="00E407F8">
        <w:rPr>
          <w:rFonts w:ascii="Book Antiqua" w:eastAsia="Book Antiqua" w:hAnsi="Book Antiqua" w:cs="Book Antiqua"/>
          <w:color w:val="000000"/>
          <w:vertAlign w:val="superscript"/>
        </w:rPr>
        <w:t>[21]</w:t>
      </w:r>
      <w:r w:rsidRPr="00E407F8">
        <w:rPr>
          <w:rFonts w:ascii="Book Antiqua" w:eastAsia="Book Antiqua" w:hAnsi="Book Antiqua" w:cs="Book Antiqua"/>
          <w:color w:val="000000"/>
        </w:rPr>
        <w:t>. As in the general population, the risk of viremia rises with the number of received blood products</w:t>
      </w:r>
      <w:r w:rsidRPr="00E407F8">
        <w:rPr>
          <w:rFonts w:ascii="Book Antiqua" w:eastAsia="Book Antiqua" w:hAnsi="Book Antiqua" w:cs="Book Antiqua"/>
          <w:color w:val="000000"/>
          <w:vertAlign w:val="superscript"/>
        </w:rPr>
        <w:t>[20,22]</w:t>
      </w:r>
      <w:r w:rsidRPr="00E407F8">
        <w:rPr>
          <w:rFonts w:ascii="Book Antiqua" w:eastAsia="Book Antiqua" w:hAnsi="Book Antiqua" w:cs="Book Antiqua"/>
          <w:color w:val="000000"/>
        </w:rPr>
        <w:t>. No significant influence of pegiviruses on HSCT patient outcomes was found. On the other hand, no beneficial effect of pegivirus infections is currently proven; therefore, some studies warrant HPgV donor screening for blood products used in HSCT recipients until more conclusive studies are performed</w:t>
      </w:r>
      <w:r w:rsidRPr="00E407F8">
        <w:rPr>
          <w:rFonts w:ascii="Book Antiqua" w:eastAsia="Book Antiqua" w:hAnsi="Book Antiqua" w:cs="Book Antiqua"/>
          <w:color w:val="000000"/>
          <w:vertAlign w:val="superscript"/>
        </w:rPr>
        <w:t>[22]</w:t>
      </w:r>
      <w:r w:rsidRPr="00E407F8">
        <w:rPr>
          <w:rFonts w:ascii="Book Antiqua" w:eastAsia="Book Antiqua" w:hAnsi="Book Antiqua" w:cs="Book Antiqua"/>
          <w:color w:val="000000"/>
        </w:rPr>
        <w:t>.</w:t>
      </w:r>
    </w:p>
    <w:p w14:paraId="3A8449E9" w14:textId="77777777" w:rsidR="007714B0" w:rsidRPr="00E407F8" w:rsidRDefault="00861EF4" w:rsidP="0044219D">
      <w:pPr>
        <w:spacing w:line="360" w:lineRule="auto"/>
        <w:ind w:firstLineChars="100" w:firstLine="240"/>
        <w:jc w:val="both"/>
        <w:rPr>
          <w:rFonts w:ascii="Book Antiqua" w:hAnsi="Book Antiqua"/>
        </w:rPr>
      </w:pPr>
      <w:r w:rsidRPr="00E407F8">
        <w:rPr>
          <w:rFonts w:ascii="Book Antiqua" w:eastAsia="Book Antiqua" w:hAnsi="Book Antiqua" w:cs="Book Antiqua"/>
          <w:color w:val="000000"/>
        </w:rPr>
        <w:t xml:space="preserve">Early studies in SOT recipients were done mostly in liver </w:t>
      </w:r>
      <w:r w:rsidRPr="00E407F8">
        <w:rPr>
          <w:rFonts w:ascii="Book Antiqua" w:eastAsia="Book Antiqua" w:hAnsi="Book Antiqua" w:cs="Book Antiqua"/>
          <w:color w:val="000000" w:themeColor="text1"/>
        </w:rPr>
        <w:t>transplant</w:t>
      </w:r>
      <w:r w:rsidRPr="00E407F8">
        <w:rPr>
          <w:rFonts w:ascii="Book Antiqua" w:eastAsia="Book Antiqua" w:hAnsi="Book Antiqua" w:cs="Book Antiqua"/>
          <w:color w:val="000000"/>
        </w:rPr>
        <w:t xml:space="preserve"> (LT) recipients, due to the presumed hepatotropic nature of the virus, all showing a high prevalence but no significant influence on patient outcomes</w:t>
      </w:r>
      <w:r w:rsidRPr="00E407F8">
        <w:rPr>
          <w:rFonts w:ascii="Book Antiqua" w:eastAsia="Book Antiqua" w:hAnsi="Book Antiqua" w:cs="Book Antiqua"/>
          <w:color w:val="000000"/>
          <w:vertAlign w:val="superscript"/>
        </w:rPr>
        <w:t>[23-26]</w:t>
      </w:r>
      <w:r w:rsidRPr="00E407F8">
        <w:rPr>
          <w:rFonts w:ascii="Book Antiqua" w:eastAsia="Book Antiqua" w:hAnsi="Book Antiqua" w:cs="Book Antiqua"/>
          <w:color w:val="000000"/>
        </w:rPr>
        <w:t>. The largest of the studies included in this review is the recent Japanese study on 313 LT recipients. This monocentric study showed an increased prevalence of HPgV in LT recipients compared to hepatectomy controls</w:t>
      </w:r>
      <w:r w:rsidRPr="00E407F8">
        <w:rPr>
          <w:rFonts w:ascii="Book Antiqua" w:eastAsia="Book Antiqua" w:hAnsi="Book Antiqua" w:cs="Book Antiqua"/>
          <w:color w:val="000000"/>
          <w:vertAlign w:val="superscript"/>
        </w:rPr>
        <w:t>[27]</w:t>
      </w:r>
      <w:r w:rsidRPr="00E407F8">
        <w:rPr>
          <w:rFonts w:ascii="Book Antiqua" w:eastAsia="Book Antiqua" w:hAnsi="Book Antiqua" w:cs="Book Antiqua"/>
          <w:color w:val="000000"/>
        </w:rPr>
        <w:t xml:space="preserve">. As in the earlier studies, there was no significant association between HPgV </w:t>
      </w:r>
      <w:r w:rsidRPr="00E407F8">
        <w:rPr>
          <w:rFonts w:ascii="Book Antiqua" w:eastAsia="Book Antiqua" w:hAnsi="Book Antiqua" w:cs="Book Antiqua"/>
          <w:color w:val="000000"/>
        </w:rPr>
        <w:lastRenderedPageBreak/>
        <w:t>infection and LT outcomes. The study showed that HPgV infection induced the up-regulation of interferon-stimulated gene (ISG) expression in peripheral blood mononuclear cells</w:t>
      </w:r>
      <w:r w:rsidRPr="00E407F8">
        <w:rPr>
          <w:rFonts w:ascii="Book Antiqua" w:eastAsia="Book Antiqua" w:hAnsi="Book Antiqua" w:cs="Book Antiqua"/>
          <w:color w:val="000000"/>
          <w:vertAlign w:val="superscript"/>
        </w:rPr>
        <w:t>[27]</w:t>
      </w:r>
      <w:r w:rsidRPr="00E407F8">
        <w:rPr>
          <w:rFonts w:ascii="Book Antiqua" w:eastAsia="Book Antiqua" w:hAnsi="Book Antiqua" w:cs="Book Antiqua"/>
          <w:color w:val="000000"/>
        </w:rPr>
        <w:t xml:space="preserve">. </w:t>
      </w:r>
    </w:p>
    <w:p w14:paraId="00143ACD" w14:textId="77777777" w:rsidR="007714B0" w:rsidRPr="00E407F8" w:rsidRDefault="00861EF4" w:rsidP="0044219D">
      <w:pPr>
        <w:spacing w:line="360" w:lineRule="auto"/>
        <w:ind w:firstLineChars="100" w:firstLine="240"/>
        <w:jc w:val="both"/>
        <w:rPr>
          <w:rFonts w:ascii="Book Antiqua" w:hAnsi="Book Antiqua"/>
        </w:rPr>
      </w:pPr>
      <w:r w:rsidRPr="00E407F8">
        <w:rPr>
          <w:rFonts w:ascii="Book Antiqua" w:eastAsia="Book Antiqua" w:hAnsi="Book Antiqua" w:cs="Book Antiqua"/>
          <w:color w:val="000000"/>
        </w:rPr>
        <w:t>HPgV is transmitted through parenteral, sexual, and perinatal routes</w:t>
      </w:r>
      <w:r w:rsidRPr="00E407F8">
        <w:rPr>
          <w:rFonts w:ascii="Book Antiqua" w:eastAsia="Book Antiqua" w:hAnsi="Book Antiqua" w:cs="Book Antiqua"/>
          <w:color w:val="000000"/>
          <w:vertAlign w:val="superscript"/>
        </w:rPr>
        <w:t>[28]</w:t>
      </w:r>
      <w:r w:rsidRPr="00E407F8">
        <w:rPr>
          <w:rFonts w:ascii="Book Antiqua" w:eastAsia="Book Antiqua" w:hAnsi="Book Antiqua" w:cs="Book Antiqua"/>
          <w:color w:val="000000"/>
        </w:rPr>
        <w:t>. Parenterally exposed individuals such as hemodialysis patients, therefore, have a higher risk of infection. An Indian study using univariate analysis showed that the prevalence of GB virus C/HGV RNA was significantly associated with ≥ 20 hemodialysis sessions</w:t>
      </w:r>
      <w:r w:rsidRPr="00E407F8">
        <w:rPr>
          <w:rFonts w:ascii="Book Antiqua" w:eastAsia="Book Antiqua" w:hAnsi="Book Antiqua" w:cs="Book Antiqua"/>
          <w:color w:val="000000"/>
          <w:vertAlign w:val="superscript"/>
        </w:rPr>
        <w:t>[29]</w:t>
      </w:r>
      <w:r w:rsidRPr="00E407F8">
        <w:rPr>
          <w:rFonts w:ascii="Book Antiqua" w:eastAsia="Book Antiqua" w:hAnsi="Book Antiqua" w:cs="Book Antiqua"/>
          <w:color w:val="000000"/>
        </w:rPr>
        <w:t>. After the transition from dialysis, the prevalence remains high in kidney transplant (KT) recipients, ranging from 12% to 47% in different countries</w:t>
      </w:r>
      <w:r w:rsidRPr="00E407F8">
        <w:rPr>
          <w:rFonts w:ascii="Book Antiqua" w:eastAsia="Book Antiqua" w:hAnsi="Book Antiqua" w:cs="Book Antiqua"/>
          <w:color w:val="000000"/>
          <w:vertAlign w:val="superscript"/>
        </w:rPr>
        <w:t>[30-33]</w:t>
      </w:r>
      <w:r w:rsidRPr="00E407F8">
        <w:rPr>
          <w:rFonts w:ascii="Book Antiqua" w:eastAsia="Book Antiqua" w:hAnsi="Book Antiqua" w:cs="Book Antiqua"/>
          <w:color w:val="000000"/>
        </w:rPr>
        <w:t>. A large Italian study in KT recipients (</w:t>
      </w:r>
      <w:r w:rsidRPr="00E407F8">
        <w:rPr>
          <w:rFonts w:ascii="Book Antiqua" w:eastAsia="Book Antiqua" w:hAnsi="Book Antiqua" w:cs="Book Antiqua"/>
          <w:i/>
          <w:iCs/>
          <w:color w:val="000000"/>
        </w:rPr>
        <w:t>n</w:t>
      </w:r>
      <w:r w:rsidRPr="00E407F8">
        <w:rPr>
          <w:rFonts w:ascii="Book Antiqua" w:eastAsia="Book Antiqua" w:hAnsi="Book Antiqua" w:cs="Book Antiqua"/>
          <w:color w:val="000000"/>
        </w:rPr>
        <w:t xml:space="preserve"> = 155) showed an HGV RNA and anti-HGV prevalence of 24% and 17%, respectively</w:t>
      </w:r>
      <w:r w:rsidRPr="00E407F8">
        <w:rPr>
          <w:rFonts w:ascii="Book Antiqua" w:eastAsia="Book Antiqua" w:hAnsi="Book Antiqua" w:cs="Book Antiqua"/>
          <w:color w:val="000000"/>
          <w:vertAlign w:val="superscript"/>
        </w:rPr>
        <w:t>[34]</w:t>
      </w:r>
      <w:r w:rsidRPr="00E407F8">
        <w:rPr>
          <w:rFonts w:ascii="Book Antiqua" w:eastAsia="Book Antiqua" w:hAnsi="Book Antiqua" w:cs="Book Antiqua"/>
          <w:color w:val="000000"/>
        </w:rPr>
        <w:t xml:space="preserve">. None of the studies above, found any influence on patient outcomes, including kidney or liver function. On the other hand, the largest study in KT recipients (Germany, </w:t>
      </w:r>
      <w:r w:rsidRPr="00E407F8">
        <w:rPr>
          <w:rFonts w:ascii="Book Antiqua" w:eastAsia="Book Antiqua" w:hAnsi="Book Antiqua" w:cs="Book Antiqua"/>
          <w:i/>
          <w:iCs/>
          <w:color w:val="000000"/>
        </w:rPr>
        <w:t>n</w:t>
      </w:r>
      <w:r w:rsidRPr="00E407F8">
        <w:rPr>
          <w:rFonts w:ascii="Book Antiqua" w:eastAsia="Book Antiqua" w:hAnsi="Book Antiqua" w:cs="Book Antiqua"/>
          <w:color w:val="000000"/>
        </w:rPr>
        <w:t xml:space="preserve"> = 221)</w:t>
      </w:r>
      <w:r w:rsidRPr="00E407F8">
        <w:rPr>
          <w:rFonts w:ascii="Book Antiqua" w:eastAsia="Book Antiqua" w:hAnsi="Book Antiqua" w:cs="Book Antiqua"/>
          <w:color w:val="000000"/>
          <w:vertAlign w:val="superscript"/>
        </w:rPr>
        <w:t>[33]</w:t>
      </w:r>
      <w:r w:rsidRPr="00E407F8">
        <w:rPr>
          <w:rFonts w:ascii="Book Antiqua" w:eastAsia="Book Antiqua" w:hAnsi="Book Antiqua" w:cs="Book Antiqua"/>
          <w:color w:val="000000"/>
        </w:rPr>
        <w:t xml:space="preserve"> showed that a much higher proportion of KT recipients were exposed to HGV, than that suggested by HGV RNA detection alone. The prevalence of HGV RNA and anti-HGV in the study was 14% and 40%, respectively. Most infected individuals eliminate the virus over time. Unfortunately, the majority of other studies did not include serological analyses. Most of the studies on HPgV were done immediately after the discovery of the virus, focusing mostly on hepatic function or the function of the transplanted organ. Only the most recent study</w:t>
      </w:r>
      <w:r w:rsidRPr="00E407F8">
        <w:rPr>
          <w:rFonts w:ascii="Book Antiqua" w:eastAsia="Book Antiqua" w:hAnsi="Book Antiqua" w:cs="Book Antiqua"/>
          <w:color w:val="000000"/>
          <w:vertAlign w:val="superscript"/>
        </w:rPr>
        <w:t>[1]</w:t>
      </w:r>
      <w:r w:rsidRPr="00E407F8">
        <w:rPr>
          <w:rFonts w:ascii="Book Antiqua" w:eastAsia="Book Antiqua" w:hAnsi="Book Antiqua" w:cs="Book Antiqua"/>
          <w:color w:val="000000"/>
        </w:rPr>
        <w:t xml:space="preserve"> tried to include other post-transplant complications in the analysis, </w:t>
      </w:r>
      <w:r w:rsidRPr="00E407F8">
        <w:rPr>
          <w:rFonts w:ascii="Book Antiqua" w:eastAsia="Book Antiqua" w:hAnsi="Book Antiqua" w:cs="Book Antiqua"/>
          <w:i/>
          <w:iCs/>
          <w:color w:val="000000"/>
        </w:rPr>
        <w:t>e.g.</w:t>
      </w:r>
      <w:r w:rsidRPr="00E407F8">
        <w:rPr>
          <w:rFonts w:ascii="Book Antiqua" w:eastAsia="Book Antiqua" w:hAnsi="Book Antiqua" w:cs="Book Antiqua"/>
          <w:color w:val="000000"/>
        </w:rPr>
        <w:t>, new-onset diabetes after transplantation or nephrotoxicity in LT recipients. The study highlighted a potential use of anellovirus infection as a proxy for determining the immunological status. At the moment there is no standard way to measure total immunosuppression, besides the widely available through levels of immunosuppressant drugs. In the same study, all of the HPgV positive participants were still alive 5 years after LT, indicating a protective role of HPgV in post-transplantation survival</w:t>
      </w:r>
      <w:r w:rsidRPr="00E407F8">
        <w:rPr>
          <w:rFonts w:ascii="Book Antiqua" w:eastAsia="Book Antiqua" w:hAnsi="Book Antiqua" w:cs="Book Antiqua"/>
          <w:color w:val="000000"/>
          <w:vertAlign w:val="superscript"/>
        </w:rPr>
        <w:t>[1]</w:t>
      </w:r>
      <w:r w:rsidRPr="00E407F8">
        <w:rPr>
          <w:rFonts w:ascii="Book Antiqua" w:eastAsia="Book Antiqua" w:hAnsi="Book Antiqua" w:cs="Book Antiqua"/>
          <w:color w:val="000000"/>
        </w:rPr>
        <w:t>.</w:t>
      </w:r>
    </w:p>
    <w:p w14:paraId="23208512" w14:textId="77777777" w:rsidR="007714B0" w:rsidRPr="00E407F8" w:rsidRDefault="00861EF4" w:rsidP="0044219D">
      <w:pPr>
        <w:spacing w:line="360" w:lineRule="auto"/>
        <w:ind w:firstLineChars="100" w:firstLine="240"/>
        <w:jc w:val="both"/>
        <w:rPr>
          <w:rFonts w:ascii="Book Antiqua" w:hAnsi="Book Antiqua"/>
        </w:rPr>
      </w:pPr>
      <w:r w:rsidRPr="00E407F8">
        <w:rPr>
          <w:rFonts w:ascii="Book Antiqua" w:eastAsia="Book Antiqua" w:hAnsi="Book Antiqua" w:cs="Book Antiqua"/>
          <w:color w:val="000000"/>
        </w:rPr>
        <w:t xml:space="preserve">The paucity of other SOT recipient studies probably reflects the proportionately lower number of those transplants performed. We found no studies evaluating HPgV in simultaneous pancreas-kidney transplantations or lung transplant recipients. The studies </w:t>
      </w:r>
      <w:r w:rsidRPr="00E407F8">
        <w:rPr>
          <w:rFonts w:ascii="Book Antiqua" w:eastAsia="Book Antiqua" w:hAnsi="Book Antiqua" w:cs="Book Antiqua"/>
          <w:color w:val="000000"/>
        </w:rPr>
        <w:lastRenderedPageBreak/>
        <w:t>in heart transplant recipients are concordant to those in other SOT, showing no adverse outcome but a high HPgV prevalence, up to 36%</w:t>
      </w:r>
      <w:r w:rsidRPr="00E407F8">
        <w:rPr>
          <w:rFonts w:ascii="Book Antiqua" w:eastAsia="Book Antiqua" w:hAnsi="Book Antiqua" w:cs="Book Antiqua"/>
          <w:color w:val="000000"/>
          <w:vertAlign w:val="superscript"/>
        </w:rPr>
        <w:t>[35-42]</w:t>
      </w:r>
      <w:r w:rsidRPr="00E407F8">
        <w:rPr>
          <w:rFonts w:ascii="Book Antiqua" w:eastAsia="Book Antiqua" w:hAnsi="Book Antiqua" w:cs="Book Antiqua"/>
          <w:color w:val="000000"/>
        </w:rPr>
        <w:t>.</w:t>
      </w:r>
    </w:p>
    <w:p w14:paraId="319DB8AA" w14:textId="77777777" w:rsidR="007714B0" w:rsidRPr="00E407F8" w:rsidRDefault="007714B0" w:rsidP="0044219D">
      <w:pPr>
        <w:spacing w:line="360" w:lineRule="auto"/>
        <w:jc w:val="both"/>
        <w:rPr>
          <w:rFonts w:ascii="Book Antiqua" w:hAnsi="Book Antiqua"/>
        </w:rPr>
      </w:pPr>
    </w:p>
    <w:p w14:paraId="0AC230EC" w14:textId="77777777" w:rsidR="007714B0" w:rsidRPr="00E407F8" w:rsidRDefault="00861EF4" w:rsidP="0044219D">
      <w:pPr>
        <w:spacing w:line="360" w:lineRule="auto"/>
        <w:jc w:val="both"/>
        <w:rPr>
          <w:rFonts w:ascii="Book Antiqua" w:hAnsi="Book Antiqua"/>
        </w:rPr>
      </w:pPr>
      <w:r w:rsidRPr="00E407F8">
        <w:rPr>
          <w:rFonts w:ascii="Book Antiqua" w:eastAsia="Book Antiqua" w:hAnsi="Book Antiqua" w:cs="Book Antiqua"/>
          <w:b/>
          <w:caps/>
          <w:color w:val="000000"/>
          <w:u w:val="single"/>
        </w:rPr>
        <w:t>CONCLUSION</w:t>
      </w:r>
    </w:p>
    <w:p w14:paraId="56DB7512" w14:textId="77777777" w:rsidR="007714B0" w:rsidRPr="00E407F8" w:rsidRDefault="00861EF4" w:rsidP="0044219D">
      <w:pPr>
        <w:spacing w:line="360" w:lineRule="auto"/>
        <w:jc w:val="both"/>
        <w:rPr>
          <w:rFonts w:ascii="Book Antiqua" w:hAnsi="Book Antiqua"/>
        </w:rPr>
      </w:pPr>
      <w:r w:rsidRPr="00E407F8">
        <w:rPr>
          <w:rFonts w:ascii="Book Antiqua" w:eastAsia="Book Antiqua" w:hAnsi="Book Antiqua" w:cs="Book Antiqua"/>
          <w:color w:val="000000"/>
        </w:rPr>
        <w:t>To conclude, pegivirus infection does not seem to have a negative impact on the outcome of transplant recipients. Nevertheless, studies are limited and lacking prospective data. What remains to be elucidated is the possible immunomodulatory effect of pegivirus infections. Also, the role of pegiviruses as proxies in immunosuppression monitoring brings novelty to the field of virome research in immunocompromised individuals. The subject deserves further research and evaluation.</w:t>
      </w:r>
    </w:p>
    <w:p w14:paraId="3C271B3E" w14:textId="77777777" w:rsidR="007714B0" w:rsidRPr="00E407F8" w:rsidRDefault="007714B0" w:rsidP="0044219D">
      <w:pPr>
        <w:spacing w:line="360" w:lineRule="auto"/>
        <w:jc w:val="both"/>
        <w:rPr>
          <w:rFonts w:ascii="Book Antiqua" w:hAnsi="Book Antiqua"/>
          <w:lang w:eastAsia="zh-CN"/>
        </w:rPr>
      </w:pPr>
    </w:p>
    <w:p w14:paraId="434CDBFC" w14:textId="77777777" w:rsidR="007714B0" w:rsidRPr="00E407F8" w:rsidRDefault="00861EF4" w:rsidP="0044219D">
      <w:pPr>
        <w:spacing w:line="360" w:lineRule="auto"/>
        <w:jc w:val="both"/>
        <w:rPr>
          <w:rFonts w:ascii="Book Antiqua" w:hAnsi="Book Antiqua"/>
        </w:rPr>
      </w:pPr>
      <w:r w:rsidRPr="00E407F8">
        <w:rPr>
          <w:rFonts w:ascii="Book Antiqua" w:eastAsia="Book Antiqua" w:hAnsi="Book Antiqua" w:cs="Book Antiqua"/>
          <w:b/>
          <w:color w:val="000000"/>
        </w:rPr>
        <w:t>REFERENCES</w:t>
      </w:r>
    </w:p>
    <w:p w14:paraId="76A030CE" w14:textId="77777777" w:rsidR="007714B0" w:rsidRPr="00E407F8" w:rsidRDefault="00861EF4" w:rsidP="0044219D">
      <w:pPr>
        <w:spacing w:line="360" w:lineRule="auto"/>
        <w:jc w:val="both"/>
        <w:rPr>
          <w:rFonts w:ascii="Book Antiqua" w:hAnsi="Book Antiqua"/>
        </w:rPr>
      </w:pPr>
      <w:r w:rsidRPr="00E407F8">
        <w:rPr>
          <w:rFonts w:ascii="Book Antiqua" w:hAnsi="Book Antiqua"/>
        </w:rPr>
        <w:t xml:space="preserve">1 </w:t>
      </w:r>
      <w:r w:rsidRPr="00E407F8">
        <w:rPr>
          <w:rFonts w:ascii="Book Antiqua" w:hAnsi="Book Antiqua"/>
          <w:b/>
          <w:bCs/>
        </w:rPr>
        <w:t>Thijssen M</w:t>
      </w:r>
      <w:r w:rsidRPr="00E407F8">
        <w:rPr>
          <w:rFonts w:ascii="Book Antiqua" w:hAnsi="Book Antiqua"/>
        </w:rPr>
        <w:t xml:space="preserve">, Tacke F, Beller L, Deboutte W, Yinda KC, Nevens F, Laleman W, Van Ranst M, Pourkarim MR. Clinical relevance of plasma virome dynamics in liver transplant recipients. </w:t>
      </w:r>
      <w:r w:rsidRPr="00E407F8">
        <w:rPr>
          <w:rFonts w:ascii="Book Antiqua" w:hAnsi="Book Antiqua"/>
          <w:i/>
          <w:iCs/>
        </w:rPr>
        <w:t>EBioMedicine</w:t>
      </w:r>
      <w:r w:rsidRPr="00E407F8">
        <w:rPr>
          <w:rFonts w:ascii="Book Antiqua" w:hAnsi="Book Antiqua"/>
        </w:rPr>
        <w:t xml:space="preserve"> 2020; </w:t>
      </w:r>
      <w:r w:rsidRPr="00E407F8">
        <w:rPr>
          <w:rFonts w:ascii="Book Antiqua" w:hAnsi="Book Antiqua"/>
          <w:b/>
          <w:bCs/>
        </w:rPr>
        <w:t>60</w:t>
      </w:r>
      <w:r w:rsidRPr="00E407F8">
        <w:rPr>
          <w:rFonts w:ascii="Book Antiqua" w:hAnsi="Book Antiqua"/>
        </w:rPr>
        <w:t>: 103009 [PMID: 32979836 DOI: 10.1016/j.ebiom.2020.103009]</w:t>
      </w:r>
    </w:p>
    <w:p w14:paraId="7A7D3C01" w14:textId="77777777" w:rsidR="007714B0" w:rsidRPr="00E407F8" w:rsidRDefault="00861EF4" w:rsidP="0044219D">
      <w:pPr>
        <w:spacing w:line="360" w:lineRule="auto"/>
        <w:jc w:val="both"/>
        <w:rPr>
          <w:rFonts w:ascii="Book Antiqua" w:hAnsi="Book Antiqua"/>
        </w:rPr>
      </w:pPr>
      <w:r w:rsidRPr="00E407F8">
        <w:rPr>
          <w:rFonts w:ascii="Book Antiqua" w:hAnsi="Book Antiqua"/>
        </w:rPr>
        <w:t xml:space="preserve">2 </w:t>
      </w:r>
      <w:r w:rsidRPr="00E407F8">
        <w:rPr>
          <w:rFonts w:ascii="Book Antiqua" w:hAnsi="Book Antiqua"/>
          <w:b/>
          <w:bCs/>
        </w:rPr>
        <w:t>Legoff J</w:t>
      </w:r>
      <w:r w:rsidRPr="00E407F8">
        <w:rPr>
          <w:rFonts w:ascii="Book Antiqua" w:hAnsi="Book Antiqua"/>
        </w:rPr>
        <w:t xml:space="preserve">, Michonneau D, Socie G. The virome in hematology-Stem cell transplantation and beyond. </w:t>
      </w:r>
      <w:r w:rsidRPr="00E407F8">
        <w:rPr>
          <w:rFonts w:ascii="Book Antiqua" w:hAnsi="Book Antiqua"/>
          <w:i/>
          <w:iCs/>
        </w:rPr>
        <w:t>Semin Hematol</w:t>
      </w:r>
      <w:r w:rsidRPr="00E407F8">
        <w:rPr>
          <w:rFonts w:ascii="Book Antiqua" w:hAnsi="Book Antiqua"/>
        </w:rPr>
        <w:t xml:space="preserve"> 2020; </w:t>
      </w:r>
      <w:r w:rsidRPr="00E407F8">
        <w:rPr>
          <w:rFonts w:ascii="Book Antiqua" w:hAnsi="Book Antiqua"/>
          <w:b/>
          <w:bCs/>
        </w:rPr>
        <w:t>57</w:t>
      </w:r>
      <w:r w:rsidRPr="00E407F8">
        <w:rPr>
          <w:rFonts w:ascii="Book Antiqua" w:hAnsi="Book Antiqua"/>
        </w:rPr>
        <w:t>: 19-25 [PMID: 32690140 DOI: 10.1053/j.seminhematol.2020.05.001]</w:t>
      </w:r>
    </w:p>
    <w:p w14:paraId="3173E53B" w14:textId="77777777" w:rsidR="007714B0" w:rsidRPr="00E407F8" w:rsidRDefault="00861EF4" w:rsidP="0044219D">
      <w:pPr>
        <w:spacing w:line="360" w:lineRule="auto"/>
        <w:jc w:val="both"/>
        <w:rPr>
          <w:rFonts w:ascii="Book Antiqua" w:hAnsi="Book Antiqua"/>
        </w:rPr>
      </w:pPr>
      <w:r w:rsidRPr="00E407F8">
        <w:rPr>
          <w:rFonts w:ascii="Book Antiqua" w:hAnsi="Book Antiqua"/>
        </w:rPr>
        <w:t xml:space="preserve">3 </w:t>
      </w:r>
      <w:r w:rsidRPr="00E407F8">
        <w:rPr>
          <w:rFonts w:ascii="Book Antiqua" w:hAnsi="Book Antiqua"/>
          <w:b/>
          <w:bCs/>
        </w:rPr>
        <w:t>Thézé J</w:t>
      </w:r>
      <w:r w:rsidRPr="00E407F8">
        <w:rPr>
          <w:rFonts w:ascii="Book Antiqua" w:hAnsi="Book Antiqua"/>
        </w:rPr>
        <w:t xml:space="preserve">, Lowes S, Parker J, Pybus OG. Evolutionary and Phylogenetic Analysis of the Hepaciviruses and Pegiviruses. </w:t>
      </w:r>
      <w:r w:rsidRPr="00E407F8">
        <w:rPr>
          <w:rFonts w:ascii="Book Antiqua" w:hAnsi="Book Antiqua"/>
          <w:i/>
          <w:iCs/>
        </w:rPr>
        <w:t>Genome Biol Evol</w:t>
      </w:r>
      <w:r w:rsidRPr="00E407F8">
        <w:rPr>
          <w:rFonts w:ascii="Book Antiqua" w:hAnsi="Book Antiqua"/>
        </w:rPr>
        <w:t xml:space="preserve"> 2015; </w:t>
      </w:r>
      <w:r w:rsidRPr="00E407F8">
        <w:rPr>
          <w:rFonts w:ascii="Book Antiqua" w:hAnsi="Book Antiqua"/>
          <w:b/>
          <w:bCs/>
        </w:rPr>
        <w:t>7</w:t>
      </w:r>
      <w:r w:rsidRPr="00E407F8">
        <w:rPr>
          <w:rFonts w:ascii="Book Antiqua" w:hAnsi="Book Antiqua"/>
        </w:rPr>
        <w:t>: 2996-3008 [PMID: 26494702 DOI: 10.1093/gbe/evv202]</w:t>
      </w:r>
    </w:p>
    <w:p w14:paraId="462DCD71" w14:textId="77777777" w:rsidR="007714B0" w:rsidRPr="00E407F8" w:rsidRDefault="00861EF4" w:rsidP="0044219D">
      <w:pPr>
        <w:spacing w:line="360" w:lineRule="auto"/>
        <w:jc w:val="both"/>
        <w:rPr>
          <w:rFonts w:ascii="Book Antiqua" w:hAnsi="Book Antiqua"/>
        </w:rPr>
      </w:pPr>
      <w:r w:rsidRPr="00E407F8">
        <w:rPr>
          <w:rFonts w:ascii="Book Antiqua" w:hAnsi="Book Antiqua"/>
        </w:rPr>
        <w:t xml:space="preserve">4 </w:t>
      </w:r>
      <w:r w:rsidRPr="00E407F8">
        <w:rPr>
          <w:rFonts w:ascii="Book Antiqua" w:hAnsi="Book Antiqua"/>
          <w:b/>
          <w:bCs/>
        </w:rPr>
        <w:t>International Committee on Taxonomy of Viruses.</w:t>
      </w:r>
      <w:r w:rsidRPr="00E407F8">
        <w:rPr>
          <w:rFonts w:ascii="Book Antiqua" w:hAnsi="Book Antiqua"/>
        </w:rPr>
        <w:t xml:space="preserve"> Genus: Pegivirus. [cited 24 October 2020]. Available from: </w:t>
      </w:r>
      <w:hyperlink r:id="rId8" w:history="1">
        <w:r w:rsidRPr="00E407F8">
          <w:rPr>
            <w:rStyle w:val="ab"/>
            <w:rFonts w:ascii="Book Antiqua" w:hAnsi="Book Antiqua"/>
            <w:color w:val="000000" w:themeColor="text1"/>
            <w:u w:val="none"/>
          </w:rPr>
          <w:t>https://talk.ictvonline.org/ictv-reports/ictv_online_report/positive-sense-rna-viruses/w/flaviviridae/363/genus-pegivirus</w:t>
        </w:r>
      </w:hyperlink>
    </w:p>
    <w:p w14:paraId="662F4D0D" w14:textId="77777777" w:rsidR="007714B0" w:rsidRPr="00E407F8" w:rsidRDefault="00861EF4" w:rsidP="0044219D">
      <w:pPr>
        <w:spacing w:line="360" w:lineRule="auto"/>
        <w:jc w:val="both"/>
        <w:rPr>
          <w:rFonts w:ascii="Book Antiqua" w:hAnsi="Book Antiqua"/>
        </w:rPr>
      </w:pPr>
      <w:r w:rsidRPr="00E407F8">
        <w:rPr>
          <w:rFonts w:ascii="Book Antiqua" w:hAnsi="Book Antiqua"/>
        </w:rPr>
        <w:t xml:space="preserve">5 </w:t>
      </w:r>
      <w:r w:rsidRPr="00E407F8">
        <w:rPr>
          <w:rFonts w:ascii="Book Antiqua" w:hAnsi="Book Antiqua"/>
          <w:b/>
          <w:bCs/>
        </w:rPr>
        <w:t>Kapoor A</w:t>
      </w:r>
      <w:r w:rsidRPr="00E407F8">
        <w:rPr>
          <w:rFonts w:ascii="Book Antiqua" w:hAnsi="Book Antiqua"/>
        </w:rPr>
        <w:t xml:space="preserve">, Kumar A, Simmonds P, Bhuva N, Singh Chauhan L, Lee B, Sall AA, Jin Z, Morse SS, Shaz B, Burbelo PD, Lipkin WI. Virome Analysis of Transfusion Recipients </w:t>
      </w:r>
      <w:r w:rsidRPr="00E407F8">
        <w:rPr>
          <w:rFonts w:ascii="Book Antiqua" w:hAnsi="Book Antiqua"/>
        </w:rPr>
        <w:lastRenderedPageBreak/>
        <w:t xml:space="preserve">Reveals a Novel Human Virus That Shares Genomic Features with Hepaciviruses and Pegiviruses. </w:t>
      </w:r>
      <w:r w:rsidRPr="00E407F8">
        <w:rPr>
          <w:rFonts w:ascii="Book Antiqua" w:hAnsi="Book Antiqua"/>
          <w:i/>
          <w:iCs/>
        </w:rPr>
        <w:t>mBio</w:t>
      </w:r>
      <w:r w:rsidRPr="00E407F8">
        <w:rPr>
          <w:rFonts w:ascii="Book Antiqua" w:hAnsi="Book Antiqua"/>
        </w:rPr>
        <w:t xml:space="preserve"> 2015; </w:t>
      </w:r>
      <w:r w:rsidRPr="00E407F8">
        <w:rPr>
          <w:rFonts w:ascii="Book Antiqua" w:hAnsi="Book Antiqua"/>
          <w:b/>
          <w:bCs/>
        </w:rPr>
        <w:t>6</w:t>
      </w:r>
      <w:r w:rsidRPr="00E407F8">
        <w:rPr>
          <w:rFonts w:ascii="Book Antiqua" w:hAnsi="Book Antiqua"/>
        </w:rPr>
        <w:t>: e01466-e01415 [PMID: 26396247 DOI: 10.1128/mBio.01466-15]</w:t>
      </w:r>
    </w:p>
    <w:p w14:paraId="3FABE63B" w14:textId="77777777" w:rsidR="007714B0" w:rsidRPr="00E407F8" w:rsidRDefault="00861EF4" w:rsidP="0044219D">
      <w:pPr>
        <w:spacing w:line="360" w:lineRule="auto"/>
        <w:jc w:val="both"/>
        <w:rPr>
          <w:rFonts w:ascii="Book Antiqua" w:hAnsi="Book Antiqua"/>
        </w:rPr>
      </w:pPr>
      <w:r w:rsidRPr="00E407F8">
        <w:rPr>
          <w:rFonts w:ascii="Book Antiqua" w:hAnsi="Book Antiqua"/>
        </w:rPr>
        <w:t xml:space="preserve">6 </w:t>
      </w:r>
      <w:r w:rsidRPr="00E407F8">
        <w:rPr>
          <w:rFonts w:ascii="Book Antiqua" w:hAnsi="Book Antiqua"/>
          <w:b/>
          <w:bCs/>
        </w:rPr>
        <w:t>Chivero ET</w:t>
      </w:r>
      <w:r w:rsidRPr="00E407F8">
        <w:rPr>
          <w:rFonts w:ascii="Book Antiqua" w:hAnsi="Book Antiqua"/>
        </w:rPr>
        <w:t xml:space="preserve">, Stapleton JT. Tropism of human pegivirus (formerly known as GB virus C/hepatitis G virus) and host immunomodulation: insights into a highly successful viral infection. </w:t>
      </w:r>
      <w:r w:rsidRPr="00E407F8">
        <w:rPr>
          <w:rFonts w:ascii="Book Antiqua" w:hAnsi="Book Antiqua"/>
          <w:i/>
          <w:iCs/>
        </w:rPr>
        <w:t>J Gen Virol</w:t>
      </w:r>
      <w:r w:rsidRPr="00E407F8">
        <w:rPr>
          <w:rFonts w:ascii="Book Antiqua" w:hAnsi="Book Antiqua"/>
        </w:rPr>
        <w:t xml:space="preserve"> 2015; </w:t>
      </w:r>
      <w:r w:rsidRPr="00E407F8">
        <w:rPr>
          <w:rFonts w:ascii="Book Antiqua" w:hAnsi="Book Antiqua"/>
          <w:b/>
          <w:bCs/>
        </w:rPr>
        <w:t>96</w:t>
      </w:r>
      <w:r w:rsidRPr="00E407F8">
        <w:rPr>
          <w:rFonts w:ascii="Book Antiqua" w:hAnsi="Book Antiqua"/>
        </w:rPr>
        <w:t>: 1521-1532 [PMID: 25667328 DOI: 10.1099/vir.0.000086]</w:t>
      </w:r>
    </w:p>
    <w:p w14:paraId="40AC3E99" w14:textId="316846D4" w:rsidR="007714B0" w:rsidRPr="00E407F8" w:rsidRDefault="00861EF4" w:rsidP="0044219D">
      <w:pPr>
        <w:spacing w:line="360" w:lineRule="auto"/>
        <w:jc w:val="both"/>
        <w:rPr>
          <w:rFonts w:ascii="Book Antiqua" w:hAnsi="Book Antiqua"/>
        </w:rPr>
      </w:pPr>
      <w:r w:rsidRPr="00E407F8">
        <w:rPr>
          <w:rFonts w:ascii="Book Antiqua" w:hAnsi="Book Antiqua"/>
        </w:rPr>
        <w:t xml:space="preserve">7 </w:t>
      </w:r>
      <w:r w:rsidRPr="00E407F8">
        <w:rPr>
          <w:rFonts w:ascii="Book Antiqua" w:hAnsi="Book Antiqua"/>
          <w:b/>
          <w:bCs/>
        </w:rPr>
        <w:t>Marano G</w:t>
      </w:r>
      <w:r w:rsidRPr="00E407F8">
        <w:rPr>
          <w:rFonts w:ascii="Book Antiqua" w:hAnsi="Book Antiqua"/>
        </w:rPr>
        <w:t xml:space="preserve">, Franchini M, Farina B, Piccinini V, Pupella S, Vaglio S, Grazzini G, Liumbruno GM. The human pegivirus: A new name for an </w:t>
      </w:r>
      <w:r w:rsidR="00796EF8" w:rsidRPr="00E407F8">
        <w:rPr>
          <w:rFonts w:ascii="Book Antiqua" w:hAnsi="Book Antiqua"/>
        </w:rPr>
        <w:t>“</w:t>
      </w:r>
      <w:r w:rsidRPr="00E407F8">
        <w:rPr>
          <w:rFonts w:ascii="Book Antiqua" w:hAnsi="Book Antiqua"/>
        </w:rPr>
        <w:t>ancient</w:t>
      </w:r>
      <w:r w:rsidR="00796EF8" w:rsidRPr="00E407F8">
        <w:rPr>
          <w:rFonts w:ascii="Book Antiqua" w:hAnsi="Book Antiqua"/>
        </w:rPr>
        <w:t>”</w:t>
      </w:r>
      <w:r w:rsidRPr="00E407F8">
        <w:rPr>
          <w:rFonts w:ascii="Book Antiqua" w:hAnsi="Book Antiqua"/>
        </w:rPr>
        <w:t xml:space="preserve"> virus. Can transfusion medicine come up with something new? </w:t>
      </w:r>
      <w:r w:rsidRPr="00E407F8">
        <w:rPr>
          <w:rFonts w:ascii="Book Antiqua" w:hAnsi="Book Antiqua"/>
          <w:i/>
          <w:iCs/>
        </w:rPr>
        <w:t>Acta Virol</w:t>
      </w:r>
      <w:r w:rsidRPr="00E407F8">
        <w:rPr>
          <w:rFonts w:ascii="Book Antiqua" w:hAnsi="Book Antiqua"/>
        </w:rPr>
        <w:t xml:space="preserve"> 2017; </w:t>
      </w:r>
      <w:r w:rsidRPr="00E407F8">
        <w:rPr>
          <w:rFonts w:ascii="Book Antiqua" w:hAnsi="Book Antiqua"/>
          <w:b/>
          <w:bCs/>
        </w:rPr>
        <w:t>61</w:t>
      </w:r>
      <w:r w:rsidRPr="00E407F8">
        <w:rPr>
          <w:rFonts w:ascii="Book Antiqua" w:hAnsi="Book Antiqua"/>
        </w:rPr>
        <w:t>: 401-412 [PMID: 29186957 DOI: 10.4149/av_2017_402]</w:t>
      </w:r>
    </w:p>
    <w:p w14:paraId="2AEA5344" w14:textId="537C2D40" w:rsidR="007714B0" w:rsidRPr="00E407F8" w:rsidRDefault="00861EF4" w:rsidP="0044219D">
      <w:pPr>
        <w:spacing w:line="360" w:lineRule="auto"/>
        <w:jc w:val="both"/>
        <w:rPr>
          <w:rFonts w:ascii="Book Antiqua" w:hAnsi="Book Antiqua"/>
        </w:rPr>
      </w:pPr>
      <w:r w:rsidRPr="00E407F8">
        <w:rPr>
          <w:rFonts w:ascii="Book Antiqua" w:hAnsi="Book Antiqua"/>
        </w:rPr>
        <w:t xml:space="preserve">8 </w:t>
      </w:r>
      <w:r w:rsidRPr="00E407F8">
        <w:rPr>
          <w:rFonts w:ascii="Book Antiqua" w:hAnsi="Book Antiqua"/>
          <w:b/>
          <w:bCs/>
        </w:rPr>
        <w:t>Berg MG</w:t>
      </w:r>
      <w:r w:rsidRPr="00E407F8">
        <w:rPr>
          <w:rFonts w:ascii="Book Antiqua" w:hAnsi="Book Antiqua"/>
        </w:rPr>
        <w:t xml:space="preserve">, Lee D, Coller K, Frankel M, Aronsohn A, Cheng K, Forberg K, Marcinkus M, Naccache SN, Dawson G, Brennan C, Jensen DM, Hackett J Jr, Chiu CY. Discovery of a Novel Human Pegivirus in Blood Associated with Hepatitis C Virus Co-Infection. </w:t>
      </w:r>
      <w:r w:rsidRPr="00E407F8">
        <w:rPr>
          <w:rFonts w:ascii="Book Antiqua" w:hAnsi="Book Antiqua"/>
          <w:i/>
          <w:iCs/>
        </w:rPr>
        <w:t>P</w:t>
      </w:r>
      <w:r w:rsidR="00796EF8" w:rsidRPr="00E407F8">
        <w:rPr>
          <w:rFonts w:ascii="Book Antiqua" w:hAnsi="Book Antiqua"/>
          <w:i/>
          <w:iCs/>
        </w:rPr>
        <w:t>l</w:t>
      </w:r>
      <w:r w:rsidRPr="00E407F8">
        <w:rPr>
          <w:rFonts w:ascii="Book Antiqua" w:hAnsi="Book Antiqua"/>
          <w:i/>
          <w:iCs/>
        </w:rPr>
        <w:t>oS Pathog</w:t>
      </w:r>
      <w:r w:rsidRPr="00E407F8">
        <w:rPr>
          <w:rFonts w:ascii="Book Antiqua" w:hAnsi="Book Antiqua"/>
        </w:rPr>
        <w:t xml:space="preserve"> 2015; </w:t>
      </w:r>
      <w:r w:rsidRPr="00E407F8">
        <w:rPr>
          <w:rFonts w:ascii="Book Antiqua" w:hAnsi="Book Antiqua"/>
          <w:b/>
          <w:bCs/>
        </w:rPr>
        <w:t>11</w:t>
      </w:r>
      <w:r w:rsidRPr="00E407F8">
        <w:rPr>
          <w:rFonts w:ascii="Book Antiqua" w:hAnsi="Book Antiqua"/>
        </w:rPr>
        <w:t>: e1005325 [PMID: 26658760 DOI: 10.1371/journal.ppat.1005325]</w:t>
      </w:r>
    </w:p>
    <w:p w14:paraId="7A892FD1" w14:textId="77777777" w:rsidR="007714B0" w:rsidRPr="00E407F8" w:rsidRDefault="00861EF4" w:rsidP="0044219D">
      <w:pPr>
        <w:spacing w:line="360" w:lineRule="auto"/>
        <w:jc w:val="both"/>
        <w:rPr>
          <w:rFonts w:ascii="Book Antiqua" w:hAnsi="Book Antiqua"/>
        </w:rPr>
      </w:pPr>
      <w:r w:rsidRPr="00E407F8">
        <w:rPr>
          <w:rFonts w:ascii="Book Antiqua" w:hAnsi="Book Antiqua"/>
        </w:rPr>
        <w:t xml:space="preserve">9 </w:t>
      </w:r>
      <w:r w:rsidRPr="00E407F8">
        <w:rPr>
          <w:rFonts w:ascii="Book Antiqua" w:hAnsi="Book Antiqua"/>
          <w:b/>
          <w:bCs/>
        </w:rPr>
        <w:t>Wang H</w:t>
      </w:r>
      <w:r w:rsidRPr="00E407F8">
        <w:rPr>
          <w:rFonts w:ascii="Book Antiqua" w:hAnsi="Book Antiqua"/>
        </w:rPr>
        <w:t xml:space="preserve">, Wan Z, Sun Q, Zhu N, Li T, Ren X, An X, Deng S, Wu Y, Li X, Li L, Li J, Tong Y, Tang S. Second Human Pegivirus in Hepatitis C Virus-Infected and Hepatitis C Virus/HIV-1-Co-infected Persons Who Inject Drugs, China. </w:t>
      </w:r>
      <w:r w:rsidRPr="00E407F8">
        <w:rPr>
          <w:rFonts w:ascii="Book Antiqua" w:hAnsi="Book Antiqua"/>
          <w:i/>
          <w:iCs/>
        </w:rPr>
        <w:t>Emerg Infect Dis</w:t>
      </w:r>
      <w:r w:rsidRPr="00E407F8">
        <w:rPr>
          <w:rFonts w:ascii="Book Antiqua" w:hAnsi="Book Antiqua"/>
        </w:rPr>
        <w:t xml:space="preserve"> 2018; </w:t>
      </w:r>
      <w:r w:rsidRPr="00E407F8">
        <w:rPr>
          <w:rFonts w:ascii="Book Antiqua" w:hAnsi="Book Antiqua"/>
          <w:b/>
          <w:bCs/>
        </w:rPr>
        <w:t>24</w:t>
      </w:r>
      <w:r w:rsidRPr="00E407F8">
        <w:rPr>
          <w:rFonts w:ascii="Book Antiqua" w:hAnsi="Book Antiqua"/>
        </w:rPr>
        <w:t>: 908-911 [PMID: 29664364 DOI: 10.3201/eid2405.161162]</w:t>
      </w:r>
    </w:p>
    <w:p w14:paraId="7BFC5624" w14:textId="77777777" w:rsidR="007714B0" w:rsidRPr="00E407F8" w:rsidRDefault="00861EF4" w:rsidP="0044219D">
      <w:pPr>
        <w:spacing w:line="360" w:lineRule="auto"/>
        <w:jc w:val="both"/>
        <w:rPr>
          <w:rFonts w:ascii="Book Antiqua" w:hAnsi="Book Antiqua"/>
        </w:rPr>
      </w:pPr>
      <w:r w:rsidRPr="00E407F8">
        <w:rPr>
          <w:rFonts w:ascii="Book Antiqua" w:hAnsi="Book Antiqua"/>
        </w:rPr>
        <w:t xml:space="preserve">10 </w:t>
      </w:r>
      <w:r w:rsidRPr="00E407F8">
        <w:rPr>
          <w:rFonts w:ascii="Book Antiqua" w:hAnsi="Book Antiqua"/>
          <w:b/>
          <w:bCs/>
        </w:rPr>
        <w:t>Wan Z</w:t>
      </w:r>
      <w:r w:rsidRPr="00E407F8">
        <w:rPr>
          <w:rFonts w:ascii="Book Antiqua" w:hAnsi="Book Antiqua"/>
        </w:rPr>
        <w:t xml:space="preserve">, Liu J, Hu F, Shui J, Li L, Wang H, Tang X, Hu C, Liang Y, Zhou Y, Cai W, Tang S. Evidence that the second human pegivirus (HPgV-2) is primarily a lymphotropic virus and can replicate independent of HCV replication. </w:t>
      </w:r>
      <w:r w:rsidRPr="00E407F8">
        <w:rPr>
          <w:rFonts w:ascii="Book Antiqua" w:hAnsi="Book Antiqua"/>
          <w:i/>
          <w:iCs/>
        </w:rPr>
        <w:t>Emerg Microbes Infect</w:t>
      </w:r>
      <w:r w:rsidRPr="00E407F8">
        <w:rPr>
          <w:rFonts w:ascii="Book Antiqua" w:hAnsi="Book Antiqua"/>
        </w:rPr>
        <w:t xml:space="preserve"> 2020; </w:t>
      </w:r>
      <w:r w:rsidRPr="00E407F8">
        <w:rPr>
          <w:rFonts w:ascii="Book Antiqua" w:hAnsi="Book Antiqua"/>
          <w:b/>
          <w:bCs/>
        </w:rPr>
        <w:t>9</w:t>
      </w:r>
      <w:r w:rsidRPr="00E407F8">
        <w:rPr>
          <w:rFonts w:ascii="Book Antiqua" w:hAnsi="Book Antiqua"/>
        </w:rPr>
        <w:t>: 485-495 [PMID: 32100631 DOI: 10.1080/22221751.2020.1730247]</w:t>
      </w:r>
    </w:p>
    <w:p w14:paraId="1A818E9A" w14:textId="77777777" w:rsidR="007714B0" w:rsidRPr="00E407F8" w:rsidRDefault="00861EF4" w:rsidP="0044219D">
      <w:pPr>
        <w:spacing w:line="360" w:lineRule="auto"/>
        <w:jc w:val="both"/>
        <w:rPr>
          <w:rFonts w:ascii="Book Antiqua" w:hAnsi="Book Antiqua"/>
        </w:rPr>
      </w:pPr>
      <w:r w:rsidRPr="00E407F8">
        <w:rPr>
          <w:rFonts w:ascii="Book Antiqua" w:hAnsi="Book Antiqua"/>
        </w:rPr>
        <w:t xml:space="preserve">11 </w:t>
      </w:r>
      <w:r w:rsidRPr="00E407F8">
        <w:rPr>
          <w:rFonts w:ascii="Book Antiqua" w:hAnsi="Book Antiqua"/>
          <w:b/>
          <w:bCs/>
        </w:rPr>
        <w:t>Carson JL</w:t>
      </w:r>
      <w:r w:rsidRPr="00E407F8">
        <w:rPr>
          <w:rFonts w:ascii="Book Antiqua" w:hAnsi="Book Antiqua"/>
        </w:rPr>
        <w:t xml:space="preserve">, Triulzi DJ, Ness PM. Indications for and Adverse Effects of Red-Cell Transfusion. </w:t>
      </w:r>
      <w:r w:rsidRPr="00E407F8">
        <w:rPr>
          <w:rFonts w:ascii="Book Antiqua" w:hAnsi="Book Antiqua"/>
          <w:i/>
          <w:iCs/>
        </w:rPr>
        <w:t>N Engl J Med</w:t>
      </w:r>
      <w:r w:rsidRPr="00E407F8">
        <w:rPr>
          <w:rFonts w:ascii="Book Antiqua" w:hAnsi="Book Antiqua"/>
        </w:rPr>
        <w:t xml:space="preserve"> 2017; </w:t>
      </w:r>
      <w:r w:rsidRPr="00E407F8">
        <w:rPr>
          <w:rFonts w:ascii="Book Antiqua" w:hAnsi="Book Antiqua"/>
          <w:b/>
          <w:bCs/>
        </w:rPr>
        <w:t>377</w:t>
      </w:r>
      <w:r w:rsidRPr="00E407F8">
        <w:rPr>
          <w:rFonts w:ascii="Book Antiqua" w:hAnsi="Book Antiqua"/>
        </w:rPr>
        <w:t>: 1261-1272 [PMID: 28953438 DOI: 10.1056/NEJMra1612789]</w:t>
      </w:r>
    </w:p>
    <w:p w14:paraId="77487698" w14:textId="77777777" w:rsidR="007714B0" w:rsidRPr="00E407F8" w:rsidRDefault="00861EF4" w:rsidP="0044219D">
      <w:pPr>
        <w:spacing w:line="360" w:lineRule="auto"/>
        <w:jc w:val="both"/>
        <w:rPr>
          <w:rFonts w:ascii="Book Antiqua" w:hAnsi="Book Antiqua"/>
        </w:rPr>
      </w:pPr>
      <w:r w:rsidRPr="00E407F8">
        <w:rPr>
          <w:rFonts w:ascii="Book Antiqua" w:hAnsi="Book Antiqua"/>
        </w:rPr>
        <w:t xml:space="preserve">12 </w:t>
      </w:r>
      <w:r w:rsidRPr="00E407F8">
        <w:rPr>
          <w:rFonts w:ascii="Book Antiqua" w:hAnsi="Book Antiqua"/>
          <w:b/>
          <w:bCs/>
        </w:rPr>
        <w:t>Mohr EL</w:t>
      </w:r>
      <w:r w:rsidRPr="00E407F8">
        <w:rPr>
          <w:rFonts w:ascii="Book Antiqua" w:hAnsi="Book Antiqua"/>
        </w:rPr>
        <w:t xml:space="preserve">, Stapleton JT. GB virus type C interactions with HIV: the role of envelope glycoproteins. </w:t>
      </w:r>
      <w:r w:rsidRPr="00E407F8">
        <w:rPr>
          <w:rFonts w:ascii="Book Antiqua" w:hAnsi="Book Antiqua"/>
          <w:i/>
          <w:iCs/>
        </w:rPr>
        <w:t>J Viral Hepat</w:t>
      </w:r>
      <w:r w:rsidRPr="00E407F8">
        <w:rPr>
          <w:rFonts w:ascii="Book Antiqua" w:hAnsi="Book Antiqua"/>
        </w:rPr>
        <w:t xml:space="preserve"> 2009; </w:t>
      </w:r>
      <w:r w:rsidRPr="00E407F8">
        <w:rPr>
          <w:rFonts w:ascii="Book Antiqua" w:hAnsi="Book Antiqua"/>
          <w:b/>
          <w:bCs/>
        </w:rPr>
        <w:t>16</w:t>
      </w:r>
      <w:r w:rsidRPr="00E407F8">
        <w:rPr>
          <w:rFonts w:ascii="Book Antiqua" w:hAnsi="Book Antiqua"/>
        </w:rPr>
        <w:t>: 757-768 [PMID: 19758271 DOI: 10.1111/j.1365-2893.2009.01194.x]</w:t>
      </w:r>
    </w:p>
    <w:p w14:paraId="31FA9E74" w14:textId="77777777" w:rsidR="007714B0" w:rsidRPr="00E407F8" w:rsidRDefault="00861EF4" w:rsidP="0044219D">
      <w:pPr>
        <w:spacing w:line="360" w:lineRule="auto"/>
        <w:jc w:val="both"/>
        <w:rPr>
          <w:rFonts w:ascii="Book Antiqua" w:hAnsi="Book Antiqua"/>
        </w:rPr>
      </w:pPr>
      <w:r w:rsidRPr="00E407F8">
        <w:rPr>
          <w:rFonts w:ascii="Book Antiqua" w:hAnsi="Book Antiqua"/>
        </w:rPr>
        <w:t xml:space="preserve">13 </w:t>
      </w:r>
      <w:r w:rsidRPr="00E407F8">
        <w:rPr>
          <w:rFonts w:ascii="Book Antiqua" w:hAnsi="Book Antiqua"/>
          <w:b/>
          <w:bCs/>
        </w:rPr>
        <w:t>Bhattarai N</w:t>
      </w:r>
      <w:r w:rsidRPr="00E407F8">
        <w:rPr>
          <w:rFonts w:ascii="Book Antiqua" w:hAnsi="Book Antiqua"/>
        </w:rPr>
        <w:t xml:space="preserve">, Stapleton JT. GB virus C: the good boy virus? </w:t>
      </w:r>
      <w:r w:rsidRPr="00E407F8">
        <w:rPr>
          <w:rFonts w:ascii="Book Antiqua" w:hAnsi="Book Antiqua"/>
          <w:i/>
          <w:iCs/>
        </w:rPr>
        <w:t>Trends Microbiol</w:t>
      </w:r>
      <w:r w:rsidRPr="00E407F8">
        <w:rPr>
          <w:rFonts w:ascii="Book Antiqua" w:hAnsi="Book Antiqua"/>
        </w:rPr>
        <w:t xml:space="preserve"> 2012; </w:t>
      </w:r>
      <w:r w:rsidRPr="00E407F8">
        <w:rPr>
          <w:rFonts w:ascii="Book Antiqua" w:hAnsi="Book Antiqua"/>
          <w:b/>
          <w:bCs/>
        </w:rPr>
        <w:t>20</w:t>
      </w:r>
      <w:r w:rsidRPr="00E407F8">
        <w:rPr>
          <w:rFonts w:ascii="Book Antiqua" w:hAnsi="Book Antiqua"/>
        </w:rPr>
        <w:t>: 124-130 [PMID: 22325031 DOI: 10.1016/j.tim.2012.01.004]</w:t>
      </w:r>
    </w:p>
    <w:p w14:paraId="769D9E15" w14:textId="77777777" w:rsidR="007714B0" w:rsidRPr="00E407F8" w:rsidRDefault="00861EF4" w:rsidP="0044219D">
      <w:pPr>
        <w:spacing w:line="360" w:lineRule="auto"/>
        <w:jc w:val="both"/>
        <w:rPr>
          <w:rFonts w:ascii="Book Antiqua" w:hAnsi="Book Antiqua"/>
        </w:rPr>
      </w:pPr>
      <w:r w:rsidRPr="00E407F8">
        <w:rPr>
          <w:rFonts w:ascii="Book Antiqua" w:hAnsi="Book Antiqua"/>
        </w:rPr>
        <w:lastRenderedPageBreak/>
        <w:t xml:space="preserve">14 </w:t>
      </w:r>
      <w:r w:rsidRPr="00E407F8">
        <w:rPr>
          <w:rFonts w:ascii="Book Antiqua" w:hAnsi="Book Antiqua"/>
          <w:b/>
          <w:bCs/>
        </w:rPr>
        <w:t>Vahidnia F</w:t>
      </w:r>
      <w:r w:rsidRPr="00E407F8">
        <w:rPr>
          <w:rFonts w:ascii="Book Antiqua" w:hAnsi="Book Antiqua"/>
        </w:rPr>
        <w:t xml:space="preserve">, Petersen M, Stapleton JT, Rutherford GW, Busch M, Custer B. Acquisition of GB virus type C and lower mortality in patients with advanced HIV disease. </w:t>
      </w:r>
      <w:r w:rsidRPr="00E407F8">
        <w:rPr>
          <w:rFonts w:ascii="Book Antiqua" w:hAnsi="Book Antiqua"/>
          <w:i/>
          <w:iCs/>
        </w:rPr>
        <w:t>Clin Infect Dis</w:t>
      </w:r>
      <w:r w:rsidRPr="00E407F8">
        <w:rPr>
          <w:rFonts w:ascii="Book Antiqua" w:hAnsi="Book Antiqua"/>
        </w:rPr>
        <w:t xml:space="preserve"> 2012; </w:t>
      </w:r>
      <w:r w:rsidRPr="00E407F8">
        <w:rPr>
          <w:rFonts w:ascii="Book Antiqua" w:hAnsi="Book Antiqua"/>
          <w:b/>
          <w:bCs/>
        </w:rPr>
        <w:t>55</w:t>
      </w:r>
      <w:r w:rsidRPr="00E407F8">
        <w:rPr>
          <w:rFonts w:ascii="Book Antiqua" w:hAnsi="Book Antiqua"/>
        </w:rPr>
        <w:t>: 1012-1019 [PMID: 22752515 DOI: 10.1093/cid/cis589]</w:t>
      </w:r>
    </w:p>
    <w:p w14:paraId="17C67295" w14:textId="77777777" w:rsidR="007714B0" w:rsidRPr="00E407F8" w:rsidRDefault="00861EF4" w:rsidP="0044219D">
      <w:pPr>
        <w:spacing w:line="360" w:lineRule="auto"/>
        <w:jc w:val="both"/>
        <w:rPr>
          <w:rFonts w:ascii="Book Antiqua" w:hAnsi="Book Antiqua"/>
        </w:rPr>
      </w:pPr>
      <w:r w:rsidRPr="00E407F8">
        <w:rPr>
          <w:rFonts w:ascii="Book Antiqua" w:hAnsi="Book Antiqua"/>
        </w:rPr>
        <w:t xml:space="preserve">15 </w:t>
      </w:r>
      <w:r w:rsidRPr="00E407F8">
        <w:rPr>
          <w:rFonts w:ascii="Book Antiqua" w:hAnsi="Book Antiqua"/>
          <w:b/>
          <w:bCs/>
        </w:rPr>
        <w:t>Tillmann HL</w:t>
      </w:r>
      <w:r w:rsidRPr="00E407F8">
        <w:rPr>
          <w:rFonts w:ascii="Book Antiqua" w:hAnsi="Book Antiqua"/>
        </w:rPr>
        <w:t xml:space="preserve">, Heiken H, Knapik-Botor A, Heringlake S, Ockenga J, Wilber JC, Goergen B, Detmer J, McMorrow M, Stoll M, Schmidt RE, Manns MP. Infection with GB virus C and reduced mortality among HIV-infected patients. </w:t>
      </w:r>
      <w:r w:rsidRPr="00E407F8">
        <w:rPr>
          <w:rFonts w:ascii="Book Antiqua" w:hAnsi="Book Antiqua"/>
          <w:i/>
          <w:iCs/>
        </w:rPr>
        <w:t>N Engl J Med</w:t>
      </w:r>
      <w:r w:rsidRPr="00E407F8">
        <w:rPr>
          <w:rFonts w:ascii="Book Antiqua" w:hAnsi="Book Antiqua"/>
        </w:rPr>
        <w:t xml:space="preserve"> 2001; </w:t>
      </w:r>
      <w:r w:rsidRPr="00E407F8">
        <w:rPr>
          <w:rFonts w:ascii="Book Antiqua" w:hAnsi="Book Antiqua"/>
          <w:b/>
          <w:bCs/>
        </w:rPr>
        <w:t>345</w:t>
      </w:r>
      <w:r w:rsidRPr="00E407F8">
        <w:rPr>
          <w:rFonts w:ascii="Book Antiqua" w:hAnsi="Book Antiqua"/>
        </w:rPr>
        <w:t>: 715-724 [PMID: 11547740 DOI: 10.1056/NEJMoa010398]</w:t>
      </w:r>
    </w:p>
    <w:p w14:paraId="332687C9" w14:textId="0871F69B" w:rsidR="007714B0" w:rsidRPr="00E407F8" w:rsidRDefault="00861EF4" w:rsidP="0044219D">
      <w:pPr>
        <w:spacing w:line="360" w:lineRule="auto"/>
        <w:jc w:val="both"/>
        <w:rPr>
          <w:rFonts w:ascii="Book Antiqua" w:hAnsi="Book Antiqua"/>
        </w:rPr>
      </w:pPr>
      <w:r w:rsidRPr="00E407F8">
        <w:rPr>
          <w:rFonts w:ascii="Book Antiqua" w:hAnsi="Book Antiqua"/>
        </w:rPr>
        <w:t xml:space="preserve">16 </w:t>
      </w:r>
      <w:r w:rsidRPr="00E407F8">
        <w:rPr>
          <w:rFonts w:ascii="Book Antiqua" w:hAnsi="Book Antiqua"/>
          <w:b/>
          <w:bCs/>
        </w:rPr>
        <w:t>Lauck M</w:t>
      </w:r>
      <w:r w:rsidRPr="00E407F8">
        <w:rPr>
          <w:rFonts w:ascii="Book Antiqua" w:hAnsi="Book Antiqua"/>
        </w:rPr>
        <w:t>, Bailey AL, Andersen KG, Goldberg TL, Sabeti PC, O</w:t>
      </w:r>
      <w:r w:rsidR="00796EF8" w:rsidRPr="00E407F8">
        <w:rPr>
          <w:rFonts w:ascii="Book Antiqua" w:hAnsi="Book Antiqua"/>
        </w:rPr>
        <w:t>’</w:t>
      </w:r>
      <w:r w:rsidRPr="00E407F8">
        <w:rPr>
          <w:rFonts w:ascii="Book Antiqua" w:hAnsi="Book Antiqua"/>
        </w:rPr>
        <w:t xml:space="preserve">Connor DH. GB virus C coinfections in west African Ebola patients. </w:t>
      </w:r>
      <w:r w:rsidRPr="00E407F8">
        <w:rPr>
          <w:rFonts w:ascii="Book Antiqua" w:hAnsi="Book Antiqua"/>
          <w:i/>
          <w:iCs/>
        </w:rPr>
        <w:t>J Virol</w:t>
      </w:r>
      <w:r w:rsidRPr="00E407F8">
        <w:rPr>
          <w:rFonts w:ascii="Book Antiqua" w:hAnsi="Book Antiqua"/>
        </w:rPr>
        <w:t xml:space="preserve"> 2015; </w:t>
      </w:r>
      <w:r w:rsidRPr="00E407F8">
        <w:rPr>
          <w:rFonts w:ascii="Book Antiqua" w:hAnsi="Book Antiqua"/>
          <w:b/>
          <w:bCs/>
        </w:rPr>
        <w:t>89</w:t>
      </w:r>
      <w:r w:rsidRPr="00E407F8">
        <w:rPr>
          <w:rFonts w:ascii="Book Antiqua" w:hAnsi="Book Antiqua"/>
        </w:rPr>
        <w:t>: 2425-2429 [PMID: 25473056 DOI: 10.1128/JVI.02752-14]</w:t>
      </w:r>
    </w:p>
    <w:p w14:paraId="6833F2B3" w14:textId="170E45A5" w:rsidR="007714B0" w:rsidRPr="00E407F8" w:rsidRDefault="00861EF4" w:rsidP="0044219D">
      <w:pPr>
        <w:spacing w:line="360" w:lineRule="auto"/>
        <w:jc w:val="both"/>
        <w:rPr>
          <w:rFonts w:ascii="Book Antiqua" w:hAnsi="Book Antiqua"/>
        </w:rPr>
      </w:pPr>
      <w:r w:rsidRPr="00E407F8">
        <w:rPr>
          <w:rFonts w:ascii="Book Antiqua" w:hAnsi="Book Antiqua"/>
        </w:rPr>
        <w:t xml:space="preserve">17 </w:t>
      </w:r>
      <w:r w:rsidRPr="00E407F8">
        <w:rPr>
          <w:rFonts w:ascii="Book Antiqua" w:hAnsi="Book Antiqua"/>
          <w:b/>
          <w:bCs/>
        </w:rPr>
        <w:t>N</w:t>
      </w:r>
      <w:r w:rsidR="00796EF8" w:rsidRPr="00E407F8">
        <w:rPr>
          <w:rFonts w:ascii="Book Antiqua" w:hAnsi="Book Antiqua"/>
          <w:b/>
          <w:bCs/>
        </w:rPr>
        <w:t>’</w:t>
      </w:r>
      <w:r w:rsidRPr="00E407F8">
        <w:rPr>
          <w:rFonts w:ascii="Book Antiqua" w:hAnsi="Book Antiqua"/>
          <w:b/>
          <w:bCs/>
        </w:rPr>
        <w:t>Guessan KF</w:t>
      </w:r>
      <w:r w:rsidRPr="00E407F8">
        <w:rPr>
          <w:rFonts w:ascii="Book Antiqua" w:hAnsi="Book Antiqua"/>
        </w:rPr>
        <w:t xml:space="preserve">, Boyce C, Kwara A, Archampong TNA, Lartey M, Sagoe KW, Kenu E, Obo-Akwa A, Blackard JT. Human pegivirus (HPgV) infection in Ghanaians co-infected with human immunodeficiency virus (HIV) and hepatitis B virus (HBV). </w:t>
      </w:r>
      <w:r w:rsidRPr="00E407F8">
        <w:rPr>
          <w:rFonts w:ascii="Book Antiqua" w:hAnsi="Book Antiqua"/>
          <w:i/>
          <w:iCs/>
        </w:rPr>
        <w:t>Virus Genes</w:t>
      </w:r>
      <w:r w:rsidRPr="00E407F8">
        <w:rPr>
          <w:rFonts w:ascii="Book Antiqua" w:hAnsi="Book Antiqua"/>
        </w:rPr>
        <w:t xml:space="preserve"> 2018; </w:t>
      </w:r>
      <w:r w:rsidRPr="00E407F8">
        <w:rPr>
          <w:rFonts w:ascii="Book Antiqua" w:hAnsi="Book Antiqua"/>
          <w:b/>
          <w:bCs/>
        </w:rPr>
        <w:t>54</w:t>
      </w:r>
      <w:r w:rsidRPr="00E407F8">
        <w:rPr>
          <w:rFonts w:ascii="Book Antiqua" w:hAnsi="Book Antiqua"/>
        </w:rPr>
        <w:t>: 361-367 [PMID: 29551002 DOI: 10.1007/s11262-018-1555-2]</w:t>
      </w:r>
    </w:p>
    <w:p w14:paraId="2BF29E36" w14:textId="77777777" w:rsidR="007714B0" w:rsidRPr="00E407F8" w:rsidRDefault="00861EF4" w:rsidP="0044219D">
      <w:pPr>
        <w:spacing w:line="360" w:lineRule="auto"/>
        <w:jc w:val="both"/>
        <w:rPr>
          <w:rFonts w:ascii="Book Antiqua" w:hAnsi="Book Antiqua"/>
        </w:rPr>
      </w:pPr>
      <w:r w:rsidRPr="00E407F8">
        <w:rPr>
          <w:rFonts w:ascii="Book Antiqua" w:hAnsi="Book Antiqua"/>
        </w:rPr>
        <w:t xml:space="preserve">18 </w:t>
      </w:r>
      <w:r w:rsidRPr="00E407F8">
        <w:rPr>
          <w:rFonts w:ascii="Book Antiqua" w:hAnsi="Book Antiqua"/>
          <w:b/>
          <w:bCs/>
        </w:rPr>
        <w:t>Fama A</w:t>
      </w:r>
      <w:r w:rsidRPr="00E407F8">
        <w:rPr>
          <w:rFonts w:ascii="Book Antiqua" w:hAnsi="Book Antiqua"/>
        </w:rPr>
        <w:t xml:space="preserve">, Larson MC, Link BK, Habermann TM, Feldman AL, Call TG, Ansell SM, Liebow M, Xiang J, Maurer MJ, Slager SL, Nowakowski GS, Stapleton JT, Cerhan JR. Human Pegivirus Infection and Lymphoma Risk: A Systematic Review and Meta-analysis. </w:t>
      </w:r>
      <w:r w:rsidRPr="00E407F8">
        <w:rPr>
          <w:rFonts w:ascii="Book Antiqua" w:hAnsi="Book Antiqua"/>
          <w:i/>
          <w:iCs/>
        </w:rPr>
        <w:t>Clin Infect Dis</w:t>
      </w:r>
      <w:r w:rsidRPr="00E407F8">
        <w:rPr>
          <w:rFonts w:ascii="Book Antiqua" w:hAnsi="Book Antiqua"/>
        </w:rPr>
        <w:t xml:space="preserve"> 2020; </w:t>
      </w:r>
      <w:r w:rsidRPr="00E407F8">
        <w:rPr>
          <w:rFonts w:ascii="Book Antiqua" w:hAnsi="Book Antiqua"/>
          <w:b/>
          <w:bCs/>
        </w:rPr>
        <w:t>71</w:t>
      </w:r>
      <w:r w:rsidRPr="00E407F8">
        <w:rPr>
          <w:rFonts w:ascii="Book Antiqua" w:hAnsi="Book Antiqua"/>
        </w:rPr>
        <w:t>: 1221-1228 [PMID: 31671178 DOI: 10.1093/cid/ciz940]</w:t>
      </w:r>
    </w:p>
    <w:p w14:paraId="15AC47A6" w14:textId="77777777" w:rsidR="007714B0" w:rsidRPr="00E407F8" w:rsidRDefault="00861EF4" w:rsidP="0044219D">
      <w:pPr>
        <w:spacing w:line="360" w:lineRule="auto"/>
        <w:jc w:val="both"/>
        <w:rPr>
          <w:rFonts w:ascii="Book Antiqua" w:hAnsi="Book Antiqua"/>
        </w:rPr>
      </w:pPr>
      <w:r w:rsidRPr="00E407F8">
        <w:rPr>
          <w:rFonts w:ascii="Book Antiqua" w:hAnsi="Book Antiqua"/>
        </w:rPr>
        <w:t xml:space="preserve">19 </w:t>
      </w:r>
      <w:r w:rsidRPr="00E407F8">
        <w:rPr>
          <w:rFonts w:ascii="Book Antiqua" w:hAnsi="Book Antiqua"/>
          <w:b/>
          <w:bCs/>
        </w:rPr>
        <w:t>Chang CM</w:t>
      </w:r>
      <w:r w:rsidRPr="00E407F8">
        <w:rPr>
          <w:rFonts w:ascii="Book Antiqua" w:hAnsi="Book Antiqua"/>
        </w:rPr>
        <w:t xml:space="preserve">, Stapleton JT, Klinzman D, McLinden JH, Purdue MP, Katki HA, Engels EA. GBV-C infection and risk of NHL among U.S. adults. </w:t>
      </w:r>
      <w:r w:rsidRPr="00E407F8">
        <w:rPr>
          <w:rFonts w:ascii="Book Antiqua" w:hAnsi="Book Antiqua"/>
          <w:i/>
          <w:iCs/>
        </w:rPr>
        <w:t>Cancer Res</w:t>
      </w:r>
      <w:r w:rsidRPr="00E407F8">
        <w:rPr>
          <w:rFonts w:ascii="Book Antiqua" w:hAnsi="Book Antiqua"/>
        </w:rPr>
        <w:t xml:space="preserve"> 2014; </w:t>
      </w:r>
      <w:r w:rsidRPr="00E407F8">
        <w:rPr>
          <w:rFonts w:ascii="Book Antiqua" w:hAnsi="Book Antiqua"/>
          <w:b/>
          <w:bCs/>
        </w:rPr>
        <w:t>74</w:t>
      </w:r>
      <w:r w:rsidRPr="00E407F8">
        <w:rPr>
          <w:rFonts w:ascii="Book Antiqua" w:hAnsi="Book Antiqua"/>
        </w:rPr>
        <w:t>: 5553-5560 [PMID: 25115299 DOI: 10.1158/0008-5472.CAN-14-0209]</w:t>
      </w:r>
    </w:p>
    <w:p w14:paraId="0D457078" w14:textId="77777777" w:rsidR="007714B0" w:rsidRPr="00E407F8" w:rsidRDefault="00861EF4" w:rsidP="0044219D">
      <w:pPr>
        <w:spacing w:line="360" w:lineRule="auto"/>
        <w:jc w:val="both"/>
        <w:rPr>
          <w:rFonts w:ascii="Book Antiqua" w:hAnsi="Book Antiqua"/>
        </w:rPr>
      </w:pPr>
      <w:r w:rsidRPr="00E407F8">
        <w:rPr>
          <w:rFonts w:ascii="Book Antiqua" w:hAnsi="Book Antiqua"/>
        </w:rPr>
        <w:t xml:space="preserve">20 </w:t>
      </w:r>
      <w:r w:rsidRPr="00E407F8">
        <w:rPr>
          <w:rFonts w:ascii="Book Antiqua" w:hAnsi="Book Antiqua"/>
          <w:b/>
          <w:bCs/>
        </w:rPr>
        <w:t>Vu DL</w:t>
      </w:r>
      <w:r w:rsidRPr="00E407F8">
        <w:rPr>
          <w:rFonts w:ascii="Book Antiqua" w:hAnsi="Book Antiqua"/>
        </w:rPr>
        <w:t xml:space="preserve">, Cordey S, Simonetta F, Brito F, Docquier M, Turin L, van Delden C, Boely E, Dantin C, Pradier A, Roosnek E, Chalandon Y, Zdobnov EM, Masouridi-Levrat S, Kaiser L. Human pegivirus persistence in human blood virome after allogeneic haematopoietic stem-cell transplantation. </w:t>
      </w:r>
      <w:r w:rsidRPr="00E407F8">
        <w:rPr>
          <w:rFonts w:ascii="Book Antiqua" w:hAnsi="Book Antiqua"/>
          <w:i/>
          <w:iCs/>
        </w:rPr>
        <w:t>Clin Microbiol Infect</w:t>
      </w:r>
      <w:r w:rsidRPr="00E407F8">
        <w:rPr>
          <w:rFonts w:ascii="Book Antiqua" w:hAnsi="Book Antiqua"/>
        </w:rPr>
        <w:t xml:space="preserve"> 2019; </w:t>
      </w:r>
      <w:r w:rsidRPr="00E407F8">
        <w:rPr>
          <w:rFonts w:ascii="Book Antiqua" w:hAnsi="Book Antiqua"/>
          <w:b/>
          <w:bCs/>
        </w:rPr>
        <w:t>25</w:t>
      </w:r>
      <w:r w:rsidRPr="00E407F8">
        <w:rPr>
          <w:rFonts w:ascii="Book Antiqua" w:hAnsi="Book Antiqua"/>
        </w:rPr>
        <w:t>: 225-232 [PMID: 29787887 DOI: 10.1016/j.cmi.2018.05.004]</w:t>
      </w:r>
    </w:p>
    <w:p w14:paraId="3BF851CF" w14:textId="77777777" w:rsidR="007714B0" w:rsidRPr="00E407F8" w:rsidRDefault="00861EF4" w:rsidP="0044219D">
      <w:pPr>
        <w:spacing w:line="360" w:lineRule="auto"/>
        <w:jc w:val="both"/>
        <w:rPr>
          <w:rFonts w:ascii="Book Antiqua" w:hAnsi="Book Antiqua"/>
        </w:rPr>
      </w:pPr>
      <w:r w:rsidRPr="00E407F8">
        <w:rPr>
          <w:rFonts w:ascii="Book Antiqua" w:hAnsi="Book Antiqua"/>
        </w:rPr>
        <w:t xml:space="preserve">21 </w:t>
      </w:r>
      <w:r w:rsidRPr="00E407F8">
        <w:rPr>
          <w:rFonts w:ascii="Book Antiqua" w:hAnsi="Book Antiqua"/>
          <w:b/>
          <w:bCs/>
        </w:rPr>
        <w:t>Corbi C</w:t>
      </w:r>
      <w:r w:rsidRPr="00E407F8">
        <w:rPr>
          <w:rFonts w:ascii="Book Antiqua" w:hAnsi="Book Antiqua"/>
        </w:rPr>
        <w:t xml:space="preserve">, Traineau R, Esperou H, Ravera N, Portelette E, Benbunan M, Gluckman E, Loiseau P. Prevalence and clinical features of hepatitis G virus infection in bone marrow </w:t>
      </w:r>
      <w:r w:rsidRPr="00E407F8">
        <w:rPr>
          <w:rFonts w:ascii="Book Antiqua" w:hAnsi="Book Antiqua"/>
        </w:rPr>
        <w:lastRenderedPageBreak/>
        <w:t xml:space="preserve">allograft recipients. </w:t>
      </w:r>
      <w:r w:rsidRPr="00E407F8">
        <w:rPr>
          <w:rFonts w:ascii="Book Antiqua" w:hAnsi="Book Antiqua"/>
          <w:i/>
          <w:iCs/>
        </w:rPr>
        <w:t>Bone Marrow Transplant</w:t>
      </w:r>
      <w:r w:rsidRPr="00E407F8">
        <w:rPr>
          <w:rFonts w:ascii="Book Antiqua" w:hAnsi="Book Antiqua"/>
        </w:rPr>
        <w:t xml:space="preserve"> 1997; </w:t>
      </w:r>
      <w:r w:rsidRPr="00E407F8">
        <w:rPr>
          <w:rFonts w:ascii="Book Antiqua" w:hAnsi="Book Antiqua"/>
          <w:b/>
          <w:bCs/>
        </w:rPr>
        <w:t>20</w:t>
      </w:r>
      <w:r w:rsidRPr="00E407F8">
        <w:rPr>
          <w:rFonts w:ascii="Book Antiqua" w:hAnsi="Book Antiqua"/>
        </w:rPr>
        <w:t>: 965-968 [PMID: 9422476 DOI: 10.1038/sj.bmt.1701005]</w:t>
      </w:r>
    </w:p>
    <w:p w14:paraId="40673E1A" w14:textId="77777777" w:rsidR="007714B0" w:rsidRPr="00E407F8" w:rsidRDefault="00861EF4" w:rsidP="0044219D">
      <w:pPr>
        <w:spacing w:line="360" w:lineRule="auto"/>
        <w:jc w:val="both"/>
        <w:rPr>
          <w:rFonts w:ascii="Book Antiqua" w:hAnsi="Book Antiqua"/>
        </w:rPr>
      </w:pPr>
      <w:r w:rsidRPr="00E407F8">
        <w:rPr>
          <w:rFonts w:ascii="Book Antiqua" w:hAnsi="Book Antiqua"/>
        </w:rPr>
        <w:t xml:space="preserve">22 </w:t>
      </w:r>
      <w:r w:rsidRPr="00E407F8">
        <w:rPr>
          <w:rFonts w:ascii="Book Antiqua" w:hAnsi="Book Antiqua"/>
          <w:b/>
          <w:bCs/>
        </w:rPr>
        <w:t>Li Z</w:t>
      </w:r>
      <w:r w:rsidRPr="00E407F8">
        <w:rPr>
          <w:rFonts w:ascii="Book Antiqua" w:hAnsi="Book Antiqua"/>
        </w:rPr>
        <w:t xml:space="preserve">, Li Y, Liang Y, Hu L, Chen S. Prevalence and risk factors of human pegivirus type 1 infection in hematopoietic stem cell transplantation patients. </w:t>
      </w:r>
      <w:r w:rsidRPr="00E407F8">
        <w:rPr>
          <w:rFonts w:ascii="Book Antiqua" w:hAnsi="Book Antiqua"/>
          <w:i/>
          <w:iCs/>
        </w:rPr>
        <w:t>Int J Infect Dis</w:t>
      </w:r>
      <w:r w:rsidRPr="00E407F8">
        <w:rPr>
          <w:rFonts w:ascii="Book Antiqua" w:hAnsi="Book Antiqua"/>
        </w:rPr>
        <w:t xml:space="preserve"> 2019; </w:t>
      </w:r>
      <w:r w:rsidRPr="00E407F8">
        <w:rPr>
          <w:rFonts w:ascii="Book Antiqua" w:hAnsi="Book Antiqua"/>
          <w:b/>
          <w:bCs/>
        </w:rPr>
        <w:t>85</w:t>
      </w:r>
      <w:r w:rsidRPr="00E407F8">
        <w:rPr>
          <w:rFonts w:ascii="Book Antiqua" w:hAnsi="Book Antiqua"/>
        </w:rPr>
        <w:t>: 111-113 [PMID: 31170546 DOI: 10.1016/j.ijid.2019.05.032]</w:t>
      </w:r>
    </w:p>
    <w:p w14:paraId="53C6455C" w14:textId="77777777" w:rsidR="007714B0" w:rsidRPr="00E407F8" w:rsidRDefault="00861EF4" w:rsidP="0044219D">
      <w:pPr>
        <w:spacing w:line="360" w:lineRule="auto"/>
        <w:jc w:val="both"/>
        <w:rPr>
          <w:rFonts w:ascii="Book Antiqua" w:hAnsi="Book Antiqua"/>
        </w:rPr>
      </w:pPr>
      <w:r w:rsidRPr="00E407F8">
        <w:rPr>
          <w:rFonts w:ascii="Book Antiqua" w:hAnsi="Book Antiqua"/>
        </w:rPr>
        <w:t xml:space="preserve">23 </w:t>
      </w:r>
      <w:r w:rsidRPr="00E407F8">
        <w:rPr>
          <w:rFonts w:ascii="Book Antiqua" w:hAnsi="Book Antiqua"/>
          <w:b/>
          <w:bCs/>
        </w:rPr>
        <w:t>Fischer L</w:t>
      </w:r>
      <w:r w:rsidRPr="00E407F8">
        <w:rPr>
          <w:rFonts w:ascii="Book Antiqua" w:hAnsi="Book Antiqua"/>
        </w:rPr>
        <w:t xml:space="preserve">, Sterneck M, Feucht HH, Schuhmacher C, Malagó M, Rogiers X, Laufs R, Broelsch CE. Hepatitis G virus infection in liver transplant recipients. </w:t>
      </w:r>
      <w:r w:rsidRPr="00E407F8">
        <w:rPr>
          <w:rFonts w:ascii="Book Antiqua" w:hAnsi="Book Antiqua"/>
          <w:i/>
          <w:iCs/>
        </w:rPr>
        <w:t>Transplant Proc</w:t>
      </w:r>
      <w:r w:rsidRPr="00E407F8">
        <w:rPr>
          <w:rFonts w:ascii="Book Antiqua" w:hAnsi="Book Antiqua"/>
        </w:rPr>
        <w:t xml:space="preserve"> 1999; </w:t>
      </w:r>
      <w:r w:rsidRPr="00E407F8">
        <w:rPr>
          <w:rFonts w:ascii="Book Antiqua" w:hAnsi="Book Antiqua"/>
          <w:b/>
          <w:bCs/>
        </w:rPr>
        <w:t>31</w:t>
      </w:r>
      <w:r w:rsidRPr="00E407F8">
        <w:rPr>
          <w:rFonts w:ascii="Book Antiqua" w:hAnsi="Book Antiqua"/>
        </w:rPr>
        <w:t>: 496-499 [PMID: 10083208 DOI: 10.1016/s0041-1345(98)01726-6]</w:t>
      </w:r>
    </w:p>
    <w:p w14:paraId="785FB30F" w14:textId="77777777" w:rsidR="007714B0" w:rsidRPr="00E407F8" w:rsidRDefault="00861EF4" w:rsidP="0044219D">
      <w:pPr>
        <w:spacing w:line="360" w:lineRule="auto"/>
        <w:jc w:val="both"/>
        <w:rPr>
          <w:rFonts w:ascii="Book Antiqua" w:hAnsi="Book Antiqua"/>
        </w:rPr>
      </w:pPr>
      <w:r w:rsidRPr="00E407F8">
        <w:rPr>
          <w:rFonts w:ascii="Book Antiqua" w:hAnsi="Book Antiqua"/>
        </w:rPr>
        <w:t xml:space="preserve">24 </w:t>
      </w:r>
      <w:r w:rsidRPr="00E407F8">
        <w:rPr>
          <w:rFonts w:ascii="Book Antiqua" w:hAnsi="Book Antiqua"/>
          <w:b/>
          <w:bCs/>
        </w:rPr>
        <w:t>Haagsma EB</w:t>
      </w:r>
      <w:r w:rsidRPr="00E407F8">
        <w:rPr>
          <w:rFonts w:ascii="Book Antiqua" w:hAnsi="Book Antiqua"/>
        </w:rPr>
        <w:t xml:space="preserve">, Cuypers HT, Gouw AS, Sjerps MC, Huizenga JR, Slooff MJ, Jansen PL. High prevalence of hepatitis G virus after liver transplantation without apparent influence on long-term graft function. </w:t>
      </w:r>
      <w:r w:rsidRPr="00E407F8">
        <w:rPr>
          <w:rFonts w:ascii="Book Antiqua" w:hAnsi="Book Antiqua"/>
          <w:i/>
          <w:iCs/>
        </w:rPr>
        <w:t>J Hepatol</w:t>
      </w:r>
      <w:r w:rsidRPr="00E407F8">
        <w:rPr>
          <w:rFonts w:ascii="Book Antiqua" w:hAnsi="Book Antiqua"/>
        </w:rPr>
        <w:t xml:space="preserve"> 1997; </w:t>
      </w:r>
      <w:r w:rsidRPr="00E407F8">
        <w:rPr>
          <w:rFonts w:ascii="Book Antiqua" w:hAnsi="Book Antiqua"/>
          <w:b/>
          <w:bCs/>
        </w:rPr>
        <w:t>26</w:t>
      </w:r>
      <w:r w:rsidRPr="00E407F8">
        <w:rPr>
          <w:rFonts w:ascii="Book Antiqua" w:hAnsi="Book Antiqua"/>
        </w:rPr>
        <w:t>: 921-925 [PMID: 9126808 DOI: 10.1016/s0168-8278(97)80261-9]</w:t>
      </w:r>
    </w:p>
    <w:p w14:paraId="0A654216" w14:textId="77777777" w:rsidR="007714B0" w:rsidRPr="00E407F8" w:rsidRDefault="00861EF4" w:rsidP="0044219D">
      <w:pPr>
        <w:spacing w:line="360" w:lineRule="auto"/>
        <w:jc w:val="both"/>
        <w:rPr>
          <w:rFonts w:ascii="Book Antiqua" w:hAnsi="Book Antiqua"/>
        </w:rPr>
      </w:pPr>
      <w:r w:rsidRPr="00E407F8">
        <w:rPr>
          <w:rFonts w:ascii="Book Antiqua" w:hAnsi="Book Antiqua"/>
        </w:rPr>
        <w:t xml:space="preserve">25 </w:t>
      </w:r>
      <w:r w:rsidRPr="00E407F8">
        <w:rPr>
          <w:rFonts w:ascii="Book Antiqua" w:hAnsi="Book Antiqua"/>
          <w:b/>
          <w:bCs/>
        </w:rPr>
        <w:t>Cotler SJ</w:t>
      </w:r>
      <w:r w:rsidRPr="00E407F8">
        <w:rPr>
          <w:rFonts w:ascii="Book Antiqua" w:hAnsi="Book Antiqua"/>
        </w:rPr>
        <w:t xml:space="preserve">, Gretch DR, Bronner MP, Tateyama H, Emond MJ, dela Rosa C, Perkins JD, Carithers RL Jr. Hepatitis G virus co-infection does not alter the course of recurrent hepatitis C virus infection in liver transplantation recipients. </w:t>
      </w:r>
      <w:r w:rsidRPr="00E407F8">
        <w:rPr>
          <w:rFonts w:ascii="Book Antiqua" w:hAnsi="Book Antiqua"/>
          <w:i/>
          <w:iCs/>
        </w:rPr>
        <w:t>Hepatology</w:t>
      </w:r>
      <w:r w:rsidRPr="00E407F8">
        <w:rPr>
          <w:rFonts w:ascii="Book Antiqua" w:hAnsi="Book Antiqua"/>
        </w:rPr>
        <w:t xml:space="preserve"> 1997; </w:t>
      </w:r>
      <w:r w:rsidRPr="00E407F8">
        <w:rPr>
          <w:rFonts w:ascii="Book Antiqua" w:hAnsi="Book Antiqua"/>
          <w:b/>
          <w:bCs/>
        </w:rPr>
        <w:t>26</w:t>
      </w:r>
      <w:r w:rsidRPr="00E407F8">
        <w:rPr>
          <w:rFonts w:ascii="Book Antiqua" w:hAnsi="Book Antiqua"/>
        </w:rPr>
        <w:t>: 432-436 [PMID: 9252155 DOI: 10.1002/hep.510260225]</w:t>
      </w:r>
    </w:p>
    <w:p w14:paraId="69A4EE60" w14:textId="77777777" w:rsidR="007714B0" w:rsidRPr="00E407F8" w:rsidRDefault="00861EF4" w:rsidP="0044219D">
      <w:pPr>
        <w:spacing w:line="360" w:lineRule="auto"/>
        <w:jc w:val="both"/>
        <w:rPr>
          <w:rFonts w:ascii="Book Antiqua" w:hAnsi="Book Antiqua"/>
        </w:rPr>
      </w:pPr>
      <w:r w:rsidRPr="00E407F8">
        <w:rPr>
          <w:rFonts w:ascii="Book Antiqua" w:hAnsi="Book Antiqua"/>
        </w:rPr>
        <w:t xml:space="preserve">26 </w:t>
      </w:r>
      <w:r w:rsidRPr="00E407F8">
        <w:rPr>
          <w:rFonts w:ascii="Book Antiqua" w:hAnsi="Book Antiqua"/>
          <w:b/>
          <w:bCs/>
        </w:rPr>
        <w:t>Hoofnagle JH</w:t>
      </w:r>
      <w:r w:rsidRPr="00E407F8">
        <w:rPr>
          <w:rFonts w:ascii="Book Antiqua" w:hAnsi="Book Antiqua"/>
        </w:rPr>
        <w:t xml:space="preserve">, Lombardero M, Wei Y, Everhart J, Wiesner R, Zetterman R, Yun AJ, Yang L, Kim JP. Hepatitis G virus infection before and after liver transplantation. Liver Transplantation Database. </w:t>
      </w:r>
      <w:r w:rsidRPr="00E407F8">
        <w:rPr>
          <w:rFonts w:ascii="Book Antiqua" w:hAnsi="Book Antiqua"/>
          <w:i/>
          <w:iCs/>
        </w:rPr>
        <w:t>Liver Transpl Surg</w:t>
      </w:r>
      <w:r w:rsidRPr="00E407F8">
        <w:rPr>
          <w:rFonts w:ascii="Book Antiqua" w:hAnsi="Book Antiqua"/>
        </w:rPr>
        <w:t xml:space="preserve"> 1997; </w:t>
      </w:r>
      <w:r w:rsidRPr="00E407F8">
        <w:rPr>
          <w:rFonts w:ascii="Book Antiqua" w:hAnsi="Book Antiqua"/>
          <w:b/>
          <w:bCs/>
        </w:rPr>
        <w:t>3</w:t>
      </w:r>
      <w:r w:rsidRPr="00E407F8">
        <w:rPr>
          <w:rFonts w:ascii="Book Antiqua" w:hAnsi="Book Antiqua"/>
        </w:rPr>
        <w:t>: 578-585 [PMID: 9404956 DOI: 10.1002/lt.500030604]</w:t>
      </w:r>
    </w:p>
    <w:p w14:paraId="7759D567" w14:textId="77777777" w:rsidR="007714B0" w:rsidRPr="00E407F8" w:rsidRDefault="00861EF4" w:rsidP="0044219D">
      <w:pPr>
        <w:spacing w:line="360" w:lineRule="auto"/>
        <w:jc w:val="both"/>
        <w:rPr>
          <w:rFonts w:ascii="Book Antiqua" w:hAnsi="Book Antiqua"/>
        </w:rPr>
      </w:pPr>
      <w:r w:rsidRPr="00E407F8">
        <w:rPr>
          <w:rFonts w:ascii="Book Antiqua" w:hAnsi="Book Antiqua"/>
        </w:rPr>
        <w:t xml:space="preserve">27 </w:t>
      </w:r>
      <w:r w:rsidRPr="00E407F8">
        <w:rPr>
          <w:rFonts w:ascii="Book Antiqua" w:hAnsi="Book Antiqua"/>
          <w:b/>
          <w:bCs/>
        </w:rPr>
        <w:t>Izumi T</w:t>
      </w:r>
      <w:r w:rsidRPr="00E407F8">
        <w:rPr>
          <w:rFonts w:ascii="Book Antiqua" w:hAnsi="Book Antiqua"/>
        </w:rPr>
        <w:t xml:space="preserve">, Sakata K, Okuzaki D, Inokuchi S, Tamura T, Motooka D, Nakamura S, Ono C, Shimokawa M, Matsuura Y, Mori M, Fukuhara T, Yoshizumi T. Characterization of human pegivirus infection in liver transplantation recipients. </w:t>
      </w:r>
      <w:r w:rsidRPr="00E407F8">
        <w:rPr>
          <w:rFonts w:ascii="Book Antiqua" w:hAnsi="Book Antiqua"/>
          <w:i/>
          <w:iCs/>
        </w:rPr>
        <w:t>J Med Virol</w:t>
      </w:r>
      <w:r w:rsidRPr="00E407F8">
        <w:rPr>
          <w:rFonts w:ascii="Book Antiqua" w:hAnsi="Book Antiqua"/>
        </w:rPr>
        <w:t xml:space="preserve"> 2019; </w:t>
      </w:r>
      <w:r w:rsidRPr="00E407F8">
        <w:rPr>
          <w:rFonts w:ascii="Book Antiqua" w:hAnsi="Book Antiqua"/>
          <w:b/>
          <w:bCs/>
        </w:rPr>
        <w:t>91</w:t>
      </w:r>
      <w:r w:rsidRPr="00E407F8">
        <w:rPr>
          <w:rFonts w:ascii="Book Antiqua" w:hAnsi="Book Antiqua"/>
        </w:rPr>
        <w:t>: 2093-2100 [PMID: 31350911 DOI: 10.1002/jmv.25555]</w:t>
      </w:r>
    </w:p>
    <w:p w14:paraId="4C5CCC46" w14:textId="77777777" w:rsidR="007714B0" w:rsidRPr="00E407F8" w:rsidRDefault="00861EF4" w:rsidP="0044219D">
      <w:pPr>
        <w:spacing w:line="360" w:lineRule="auto"/>
        <w:jc w:val="both"/>
        <w:rPr>
          <w:rFonts w:ascii="Book Antiqua" w:hAnsi="Book Antiqua"/>
        </w:rPr>
      </w:pPr>
      <w:r w:rsidRPr="00E407F8">
        <w:rPr>
          <w:rFonts w:ascii="Book Antiqua" w:hAnsi="Book Antiqua"/>
        </w:rPr>
        <w:t xml:space="preserve">28 </w:t>
      </w:r>
      <w:r w:rsidRPr="00E407F8">
        <w:rPr>
          <w:rFonts w:ascii="Book Antiqua" w:hAnsi="Book Antiqua"/>
          <w:b/>
          <w:bCs/>
        </w:rPr>
        <w:t>Adams MJ</w:t>
      </w:r>
      <w:r w:rsidRPr="00E407F8">
        <w:rPr>
          <w:rFonts w:ascii="Book Antiqua" w:hAnsi="Book Antiqua"/>
        </w:rPr>
        <w:t xml:space="preserve">, King AM, Carstens EB. Ratification vote on taxonomic proposals to the International Committee on Taxonomy of Viruses (2013). </w:t>
      </w:r>
      <w:r w:rsidRPr="00E407F8">
        <w:rPr>
          <w:rFonts w:ascii="Book Antiqua" w:hAnsi="Book Antiqua"/>
          <w:i/>
          <w:iCs/>
        </w:rPr>
        <w:t>Arch Virol</w:t>
      </w:r>
      <w:r w:rsidRPr="00E407F8">
        <w:rPr>
          <w:rFonts w:ascii="Book Antiqua" w:hAnsi="Book Antiqua"/>
        </w:rPr>
        <w:t xml:space="preserve"> 2013; </w:t>
      </w:r>
      <w:r w:rsidRPr="00E407F8">
        <w:rPr>
          <w:rFonts w:ascii="Book Antiqua" w:hAnsi="Book Antiqua"/>
          <w:b/>
          <w:bCs/>
        </w:rPr>
        <w:t>158</w:t>
      </w:r>
      <w:r w:rsidRPr="00E407F8">
        <w:rPr>
          <w:rFonts w:ascii="Book Antiqua" w:hAnsi="Book Antiqua"/>
        </w:rPr>
        <w:t>: 2023-2030 [PMID: 23580178 DOI: 10.1007/s00705-013-1688-5]</w:t>
      </w:r>
    </w:p>
    <w:p w14:paraId="1F157D03" w14:textId="77777777" w:rsidR="007714B0" w:rsidRPr="00E407F8" w:rsidRDefault="00861EF4" w:rsidP="0044219D">
      <w:pPr>
        <w:spacing w:line="360" w:lineRule="auto"/>
        <w:jc w:val="both"/>
        <w:rPr>
          <w:rFonts w:ascii="Book Antiqua" w:hAnsi="Book Antiqua"/>
        </w:rPr>
      </w:pPr>
      <w:r w:rsidRPr="00E407F8">
        <w:rPr>
          <w:rFonts w:ascii="Book Antiqua" w:hAnsi="Book Antiqua"/>
        </w:rPr>
        <w:t xml:space="preserve">29 </w:t>
      </w:r>
      <w:r w:rsidRPr="00E407F8">
        <w:rPr>
          <w:rFonts w:ascii="Book Antiqua" w:hAnsi="Book Antiqua"/>
          <w:b/>
          <w:bCs/>
        </w:rPr>
        <w:t>Abraham P</w:t>
      </w:r>
      <w:r w:rsidRPr="00E407F8">
        <w:rPr>
          <w:rFonts w:ascii="Book Antiqua" w:hAnsi="Book Antiqua"/>
        </w:rPr>
        <w:t xml:space="preserve">, John GT, Raghuraman S, Radhakrishnan S, Thomas PP, Jacob CK, Sridharan G. GB virus C/hepatitis G virus and TT virus infections among high risk renal </w:t>
      </w:r>
      <w:r w:rsidRPr="00E407F8">
        <w:rPr>
          <w:rFonts w:ascii="Book Antiqua" w:hAnsi="Book Antiqua"/>
        </w:rPr>
        <w:lastRenderedPageBreak/>
        <w:t xml:space="preserve">transplant recipients in India. </w:t>
      </w:r>
      <w:r w:rsidRPr="00E407F8">
        <w:rPr>
          <w:rFonts w:ascii="Book Antiqua" w:hAnsi="Book Antiqua"/>
          <w:i/>
          <w:iCs/>
        </w:rPr>
        <w:t>J Clin Virol</w:t>
      </w:r>
      <w:r w:rsidRPr="00E407F8">
        <w:rPr>
          <w:rFonts w:ascii="Book Antiqua" w:hAnsi="Book Antiqua"/>
        </w:rPr>
        <w:t xml:space="preserve"> 2003; </w:t>
      </w:r>
      <w:r w:rsidRPr="00E407F8">
        <w:rPr>
          <w:rFonts w:ascii="Book Antiqua" w:hAnsi="Book Antiqua"/>
          <w:b/>
          <w:bCs/>
        </w:rPr>
        <w:t>28</w:t>
      </w:r>
      <w:r w:rsidRPr="00E407F8">
        <w:rPr>
          <w:rFonts w:ascii="Book Antiqua" w:hAnsi="Book Antiqua"/>
        </w:rPr>
        <w:t>: 59-69 [PMID: 12927752 DOI: 10.1016/s1386-6532(02)00239-1]</w:t>
      </w:r>
    </w:p>
    <w:p w14:paraId="16699EEE" w14:textId="77777777" w:rsidR="007714B0" w:rsidRPr="00E407F8" w:rsidRDefault="00861EF4" w:rsidP="0044219D">
      <w:pPr>
        <w:spacing w:line="360" w:lineRule="auto"/>
        <w:jc w:val="both"/>
        <w:rPr>
          <w:rFonts w:ascii="Book Antiqua" w:hAnsi="Book Antiqua"/>
        </w:rPr>
      </w:pPr>
      <w:r w:rsidRPr="00E407F8">
        <w:rPr>
          <w:rFonts w:ascii="Book Antiqua" w:hAnsi="Book Antiqua"/>
        </w:rPr>
        <w:t xml:space="preserve">30 </w:t>
      </w:r>
      <w:r w:rsidRPr="00E407F8">
        <w:rPr>
          <w:rFonts w:ascii="Book Antiqua" w:hAnsi="Book Antiqua"/>
          <w:b/>
          <w:bCs/>
        </w:rPr>
        <w:t>Raengsakulrach B</w:t>
      </w:r>
      <w:r w:rsidRPr="00E407F8">
        <w:rPr>
          <w:rFonts w:ascii="Book Antiqua" w:hAnsi="Book Antiqua"/>
        </w:rPr>
        <w:t xml:space="preserve">, Ong-aj-yooth L, Thaiprasert T, Nilwarangkur S, Ong-aj-yooth S, Narupiti S, Thirawuth V, Klungthong C, Snitbhan R, Vaughn DW. High prevalence of hepatitis G viremia among kidney transplant patients in Thailand. </w:t>
      </w:r>
      <w:r w:rsidRPr="00E407F8">
        <w:rPr>
          <w:rFonts w:ascii="Book Antiqua" w:hAnsi="Book Antiqua"/>
          <w:i/>
          <w:iCs/>
        </w:rPr>
        <w:t>J Med Virol</w:t>
      </w:r>
      <w:r w:rsidRPr="00E407F8">
        <w:rPr>
          <w:rFonts w:ascii="Book Antiqua" w:hAnsi="Book Antiqua"/>
        </w:rPr>
        <w:t xml:space="preserve"> 1997; </w:t>
      </w:r>
      <w:r w:rsidRPr="00E407F8">
        <w:rPr>
          <w:rFonts w:ascii="Book Antiqua" w:hAnsi="Book Antiqua"/>
          <w:b/>
          <w:bCs/>
        </w:rPr>
        <w:t>53</w:t>
      </w:r>
      <w:r w:rsidRPr="00E407F8">
        <w:rPr>
          <w:rFonts w:ascii="Book Antiqua" w:hAnsi="Book Antiqua"/>
        </w:rPr>
        <w:t>: 162-166 [PMID: 9334928 DOI: 10.1002/(sici)1096-9071(199710)53:2&lt;162::aid-jmv9&gt;3.0.co;2-7]</w:t>
      </w:r>
    </w:p>
    <w:p w14:paraId="6D02C4D5" w14:textId="77777777" w:rsidR="007714B0" w:rsidRPr="00E407F8" w:rsidRDefault="00861EF4" w:rsidP="0044219D">
      <w:pPr>
        <w:spacing w:line="360" w:lineRule="auto"/>
        <w:jc w:val="both"/>
        <w:rPr>
          <w:rFonts w:ascii="Book Antiqua" w:hAnsi="Book Antiqua"/>
        </w:rPr>
      </w:pPr>
      <w:r w:rsidRPr="00E407F8">
        <w:rPr>
          <w:rFonts w:ascii="Book Antiqua" w:hAnsi="Book Antiqua"/>
        </w:rPr>
        <w:t xml:space="preserve">31 </w:t>
      </w:r>
      <w:r w:rsidRPr="00E407F8">
        <w:rPr>
          <w:rFonts w:ascii="Book Antiqua" w:hAnsi="Book Antiqua"/>
          <w:b/>
          <w:bCs/>
        </w:rPr>
        <w:t>Savassi-Ribas F</w:t>
      </w:r>
      <w:r w:rsidRPr="00E407F8">
        <w:rPr>
          <w:rFonts w:ascii="Book Antiqua" w:hAnsi="Book Antiqua"/>
        </w:rPr>
        <w:t xml:space="preserve">, Pereira JG, Horta MAP, Wagner TCS, Matuck TA, Monteiro de Carvalho DB, Mello FCA, Varella RB, Soares CC. Human pegivirus-1 infection in kidney transplant recipients: A single-center experience. </w:t>
      </w:r>
      <w:r w:rsidRPr="00E407F8">
        <w:rPr>
          <w:rFonts w:ascii="Book Antiqua" w:hAnsi="Book Antiqua"/>
          <w:i/>
          <w:iCs/>
        </w:rPr>
        <w:t>J Med Virol</w:t>
      </w:r>
      <w:r w:rsidRPr="00E407F8">
        <w:rPr>
          <w:rFonts w:ascii="Book Antiqua" w:hAnsi="Book Antiqua"/>
        </w:rPr>
        <w:t xml:space="preserve"> 2020 [PMID: 32167183 DOI: 10.1002/jmv.25764]</w:t>
      </w:r>
    </w:p>
    <w:p w14:paraId="1E461E4F" w14:textId="77777777" w:rsidR="007714B0" w:rsidRPr="00E407F8" w:rsidRDefault="00861EF4" w:rsidP="0044219D">
      <w:pPr>
        <w:spacing w:line="360" w:lineRule="auto"/>
        <w:jc w:val="both"/>
        <w:rPr>
          <w:rFonts w:ascii="Book Antiqua" w:hAnsi="Book Antiqua"/>
        </w:rPr>
      </w:pPr>
      <w:r w:rsidRPr="00E407F8">
        <w:rPr>
          <w:rFonts w:ascii="Book Antiqua" w:hAnsi="Book Antiqua"/>
        </w:rPr>
        <w:t xml:space="preserve">32 </w:t>
      </w:r>
      <w:r w:rsidRPr="00E407F8">
        <w:rPr>
          <w:rFonts w:ascii="Book Antiqua" w:hAnsi="Book Antiqua"/>
          <w:b/>
          <w:bCs/>
        </w:rPr>
        <w:t>Isaacson AH</w:t>
      </w:r>
      <w:r w:rsidRPr="00E407F8">
        <w:rPr>
          <w:rFonts w:ascii="Book Antiqua" w:hAnsi="Book Antiqua"/>
        </w:rPr>
        <w:t xml:space="preserve">, Bhardwaj B, Qian K, Davis GL, Kato T, Mizokami M, Lau JY. Hepatitis G virus infection in renal transplant recipients. </w:t>
      </w:r>
      <w:r w:rsidRPr="00E407F8">
        <w:rPr>
          <w:rFonts w:ascii="Book Antiqua" w:hAnsi="Book Antiqua"/>
          <w:i/>
          <w:iCs/>
        </w:rPr>
        <w:t>J Viral Hepat</w:t>
      </w:r>
      <w:r w:rsidRPr="00E407F8">
        <w:rPr>
          <w:rFonts w:ascii="Book Antiqua" w:hAnsi="Book Antiqua"/>
        </w:rPr>
        <w:t xml:space="preserve"> 1999; </w:t>
      </w:r>
      <w:r w:rsidRPr="00E407F8">
        <w:rPr>
          <w:rFonts w:ascii="Book Antiqua" w:hAnsi="Book Antiqua"/>
          <w:b/>
          <w:bCs/>
        </w:rPr>
        <w:t>6</w:t>
      </w:r>
      <w:r w:rsidRPr="00E407F8">
        <w:rPr>
          <w:rFonts w:ascii="Book Antiqua" w:hAnsi="Book Antiqua"/>
        </w:rPr>
        <w:t>: 151-160 [PMID: 10607227 DOI: 10.1046/j.1365-2893.1999.00149.x]</w:t>
      </w:r>
    </w:p>
    <w:p w14:paraId="03058B27" w14:textId="77777777" w:rsidR="007714B0" w:rsidRPr="00E407F8" w:rsidRDefault="00861EF4" w:rsidP="0044219D">
      <w:pPr>
        <w:spacing w:line="360" w:lineRule="auto"/>
        <w:jc w:val="both"/>
        <w:rPr>
          <w:rFonts w:ascii="Book Antiqua" w:hAnsi="Book Antiqua"/>
        </w:rPr>
      </w:pPr>
      <w:r w:rsidRPr="00E407F8">
        <w:rPr>
          <w:rFonts w:ascii="Book Antiqua" w:hAnsi="Book Antiqua"/>
        </w:rPr>
        <w:t xml:space="preserve">33 </w:t>
      </w:r>
      <w:r w:rsidRPr="00E407F8">
        <w:rPr>
          <w:rFonts w:ascii="Book Antiqua" w:hAnsi="Book Antiqua"/>
          <w:b/>
          <w:bCs/>
        </w:rPr>
        <w:t>Stark K</w:t>
      </w:r>
      <w:r w:rsidRPr="00E407F8">
        <w:rPr>
          <w:rFonts w:ascii="Book Antiqua" w:hAnsi="Book Antiqua"/>
        </w:rPr>
        <w:t xml:space="preserve">, Meyer CG, Tacke M, Schwarz A, Braun C, Huzly D, Engel AM, May J, Bienzle U. Hepatitis G virus RNA and hepatitis G virus antibodies in renal transplant recipients: prevalence and risk factors. </w:t>
      </w:r>
      <w:r w:rsidRPr="00E407F8">
        <w:rPr>
          <w:rFonts w:ascii="Book Antiqua" w:hAnsi="Book Antiqua"/>
          <w:i/>
          <w:iCs/>
        </w:rPr>
        <w:t>Transplantation</w:t>
      </w:r>
      <w:r w:rsidRPr="00E407F8">
        <w:rPr>
          <w:rFonts w:ascii="Book Antiqua" w:hAnsi="Book Antiqua"/>
        </w:rPr>
        <w:t xml:space="preserve"> 1997; </w:t>
      </w:r>
      <w:r w:rsidRPr="00E407F8">
        <w:rPr>
          <w:rFonts w:ascii="Book Antiqua" w:hAnsi="Book Antiqua"/>
          <w:b/>
          <w:bCs/>
        </w:rPr>
        <w:t>64</w:t>
      </w:r>
      <w:r w:rsidRPr="00E407F8">
        <w:rPr>
          <w:rFonts w:ascii="Book Antiqua" w:hAnsi="Book Antiqua"/>
        </w:rPr>
        <w:t>: 608-612 [PMID: 9293874 DOI: 10.1097/00007890-199708270-00011]</w:t>
      </w:r>
    </w:p>
    <w:p w14:paraId="06B81177" w14:textId="77777777" w:rsidR="007714B0" w:rsidRPr="00E407F8" w:rsidRDefault="00861EF4" w:rsidP="0044219D">
      <w:pPr>
        <w:spacing w:line="360" w:lineRule="auto"/>
        <w:jc w:val="both"/>
        <w:rPr>
          <w:rFonts w:ascii="Book Antiqua" w:hAnsi="Book Antiqua"/>
        </w:rPr>
      </w:pPr>
      <w:r w:rsidRPr="00E407F8">
        <w:rPr>
          <w:rFonts w:ascii="Book Antiqua" w:hAnsi="Book Antiqua"/>
        </w:rPr>
        <w:t xml:space="preserve">34 </w:t>
      </w:r>
      <w:r w:rsidRPr="00E407F8">
        <w:rPr>
          <w:rFonts w:ascii="Book Antiqua" w:hAnsi="Book Antiqua"/>
          <w:b/>
          <w:bCs/>
        </w:rPr>
        <w:t>De Filippi F</w:t>
      </w:r>
      <w:r w:rsidRPr="00E407F8">
        <w:rPr>
          <w:rFonts w:ascii="Book Antiqua" w:hAnsi="Book Antiqua"/>
        </w:rPr>
        <w:t xml:space="preserve">, Lampertico P, Soffredini R, Rumi MG, Lunghi G, Aroldi A, Tarantino A, Ponticelli C, Colombo M. High prevalence, low pathogenicity of hepatitis G virus in kidney transplant recipients. </w:t>
      </w:r>
      <w:r w:rsidRPr="00E407F8">
        <w:rPr>
          <w:rFonts w:ascii="Book Antiqua" w:hAnsi="Book Antiqua"/>
          <w:i/>
          <w:iCs/>
        </w:rPr>
        <w:t>Dig Liver Dis</w:t>
      </w:r>
      <w:r w:rsidRPr="00E407F8">
        <w:rPr>
          <w:rFonts w:ascii="Book Antiqua" w:hAnsi="Book Antiqua"/>
        </w:rPr>
        <w:t xml:space="preserve"> 2001; </w:t>
      </w:r>
      <w:r w:rsidRPr="00E407F8">
        <w:rPr>
          <w:rFonts w:ascii="Book Antiqua" w:hAnsi="Book Antiqua"/>
          <w:b/>
          <w:bCs/>
        </w:rPr>
        <w:t>33</w:t>
      </w:r>
      <w:r w:rsidRPr="00E407F8">
        <w:rPr>
          <w:rFonts w:ascii="Book Antiqua" w:hAnsi="Book Antiqua"/>
        </w:rPr>
        <w:t>: 477-479 [PMID: 11572574 DOI: 10.1016/s1590-8658(01)80025-6]</w:t>
      </w:r>
    </w:p>
    <w:p w14:paraId="5E82C1D8" w14:textId="77777777" w:rsidR="007714B0" w:rsidRPr="00E407F8" w:rsidRDefault="00861EF4" w:rsidP="0044219D">
      <w:pPr>
        <w:spacing w:line="360" w:lineRule="auto"/>
        <w:jc w:val="both"/>
        <w:rPr>
          <w:rFonts w:ascii="Book Antiqua" w:hAnsi="Book Antiqua"/>
        </w:rPr>
      </w:pPr>
      <w:r w:rsidRPr="00E407F8">
        <w:rPr>
          <w:rFonts w:ascii="Book Antiqua" w:hAnsi="Book Antiqua"/>
        </w:rPr>
        <w:t xml:space="preserve">35 </w:t>
      </w:r>
      <w:r w:rsidRPr="00E407F8">
        <w:rPr>
          <w:rFonts w:ascii="Book Antiqua" w:hAnsi="Book Antiqua"/>
          <w:b/>
          <w:bCs/>
        </w:rPr>
        <w:t>Kallinowski B</w:t>
      </w:r>
      <w:r w:rsidRPr="00E407F8">
        <w:rPr>
          <w:rFonts w:ascii="Book Antiqua" w:hAnsi="Book Antiqua"/>
        </w:rPr>
        <w:t xml:space="preserve">, Janicki M, Seelig R, Seipp S, Hagel J, Dengler T, Schnitzler P, Theilmann L, Stremmel W. Clinical relevance of hepatitis G virus (HGV) infection in heart transplant patients. </w:t>
      </w:r>
      <w:r w:rsidRPr="00E407F8">
        <w:rPr>
          <w:rFonts w:ascii="Book Antiqua" w:hAnsi="Book Antiqua"/>
          <w:i/>
          <w:iCs/>
        </w:rPr>
        <w:t>J Heart Lung Transplant</w:t>
      </w:r>
      <w:r w:rsidRPr="00E407F8">
        <w:rPr>
          <w:rFonts w:ascii="Book Antiqua" w:hAnsi="Book Antiqua"/>
        </w:rPr>
        <w:t xml:space="preserve"> 1999; </w:t>
      </w:r>
      <w:r w:rsidRPr="00E407F8">
        <w:rPr>
          <w:rFonts w:ascii="Book Antiqua" w:hAnsi="Book Antiqua"/>
          <w:b/>
          <w:bCs/>
        </w:rPr>
        <w:t>18</w:t>
      </w:r>
      <w:r w:rsidRPr="00E407F8">
        <w:rPr>
          <w:rFonts w:ascii="Book Antiqua" w:hAnsi="Book Antiqua"/>
        </w:rPr>
        <w:t>: 190-193 [PMID: 10328143 DOI: 10.1016/s1053-2498(98)00034-5]</w:t>
      </w:r>
    </w:p>
    <w:p w14:paraId="59537478" w14:textId="77777777" w:rsidR="007714B0" w:rsidRPr="00E407F8" w:rsidRDefault="00861EF4" w:rsidP="0044219D">
      <w:pPr>
        <w:spacing w:line="360" w:lineRule="auto"/>
        <w:jc w:val="both"/>
        <w:rPr>
          <w:rFonts w:ascii="Book Antiqua" w:hAnsi="Book Antiqua"/>
        </w:rPr>
      </w:pPr>
      <w:r w:rsidRPr="00E407F8">
        <w:rPr>
          <w:rFonts w:ascii="Book Antiqua" w:hAnsi="Book Antiqua"/>
        </w:rPr>
        <w:t xml:space="preserve">36 </w:t>
      </w:r>
      <w:r w:rsidRPr="00E407F8">
        <w:rPr>
          <w:rFonts w:ascii="Book Antiqua" w:hAnsi="Book Antiqua"/>
          <w:b/>
          <w:bCs/>
        </w:rPr>
        <w:t>Wolff D</w:t>
      </w:r>
      <w:r w:rsidRPr="00E407F8">
        <w:rPr>
          <w:rFonts w:ascii="Book Antiqua" w:hAnsi="Book Antiqua"/>
        </w:rPr>
        <w:t xml:space="preserve">, Körner MM, Wolff C, Körfer R, Kleesiek K. Transfusion-related hepatitis G virus infections in heart transplant recipients. </w:t>
      </w:r>
      <w:r w:rsidRPr="00E407F8">
        <w:rPr>
          <w:rFonts w:ascii="Book Antiqua" w:hAnsi="Book Antiqua"/>
          <w:i/>
          <w:iCs/>
        </w:rPr>
        <w:t>Transplantation</w:t>
      </w:r>
      <w:r w:rsidRPr="00E407F8">
        <w:rPr>
          <w:rFonts w:ascii="Book Antiqua" w:hAnsi="Book Antiqua"/>
        </w:rPr>
        <w:t xml:space="preserve"> 1996; </w:t>
      </w:r>
      <w:r w:rsidRPr="00E407F8">
        <w:rPr>
          <w:rFonts w:ascii="Book Antiqua" w:hAnsi="Book Antiqua"/>
          <w:b/>
          <w:bCs/>
        </w:rPr>
        <w:t>62</w:t>
      </w:r>
      <w:r w:rsidRPr="00E407F8">
        <w:rPr>
          <w:rFonts w:ascii="Book Antiqua" w:hAnsi="Book Antiqua"/>
        </w:rPr>
        <w:t>: 1697-1698 [PMID: 8970636 DOI: 10.1097/00007890-199612150-00034]</w:t>
      </w:r>
    </w:p>
    <w:p w14:paraId="71A7F78F" w14:textId="77777777" w:rsidR="007714B0" w:rsidRPr="00E407F8" w:rsidRDefault="00861EF4" w:rsidP="0044219D">
      <w:pPr>
        <w:spacing w:line="360" w:lineRule="auto"/>
        <w:jc w:val="both"/>
        <w:rPr>
          <w:rFonts w:ascii="Book Antiqua" w:hAnsi="Book Antiqua"/>
        </w:rPr>
      </w:pPr>
      <w:r w:rsidRPr="00E407F8">
        <w:rPr>
          <w:rFonts w:ascii="Book Antiqua" w:hAnsi="Book Antiqua"/>
        </w:rPr>
        <w:lastRenderedPageBreak/>
        <w:t xml:space="preserve">37 </w:t>
      </w:r>
      <w:r w:rsidRPr="00E407F8">
        <w:rPr>
          <w:rFonts w:ascii="Book Antiqua" w:hAnsi="Book Antiqua"/>
          <w:b/>
          <w:bCs/>
        </w:rPr>
        <w:t>Rostaing L</w:t>
      </w:r>
      <w:r w:rsidRPr="00E407F8">
        <w:rPr>
          <w:rFonts w:ascii="Book Antiqua" w:hAnsi="Book Antiqua"/>
        </w:rPr>
        <w:t xml:space="preserve">, Izopet J, Arnaud C, Cisterne JM, Alric L, Rumeau JL, Duffaut M, Durand D. Long-term impact of superinfection by hepatitis G virus in hepatitis C virus-positive renal transplant patients. </w:t>
      </w:r>
      <w:r w:rsidRPr="00E407F8">
        <w:rPr>
          <w:rFonts w:ascii="Book Antiqua" w:hAnsi="Book Antiqua"/>
          <w:i/>
          <w:iCs/>
        </w:rPr>
        <w:t>Transplantation</w:t>
      </w:r>
      <w:r w:rsidRPr="00E407F8">
        <w:rPr>
          <w:rFonts w:ascii="Book Antiqua" w:hAnsi="Book Antiqua"/>
        </w:rPr>
        <w:t xml:space="preserve"> 1999; </w:t>
      </w:r>
      <w:r w:rsidRPr="00E407F8">
        <w:rPr>
          <w:rFonts w:ascii="Book Antiqua" w:hAnsi="Book Antiqua"/>
          <w:b/>
          <w:bCs/>
        </w:rPr>
        <w:t>67</w:t>
      </w:r>
      <w:r w:rsidRPr="00E407F8">
        <w:rPr>
          <w:rFonts w:ascii="Book Antiqua" w:hAnsi="Book Antiqua"/>
        </w:rPr>
        <w:t>: 556-560 [PMID: 10071027 DOI: 10.1097/00007890-199902270-00012]</w:t>
      </w:r>
    </w:p>
    <w:p w14:paraId="53D10C3A" w14:textId="77777777" w:rsidR="007714B0" w:rsidRPr="00E407F8" w:rsidRDefault="00861EF4" w:rsidP="0044219D">
      <w:pPr>
        <w:spacing w:line="360" w:lineRule="auto"/>
        <w:jc w:val="both"/>
        <w:rPr>
          <w:rFonts w:ascii="Book Antiqua" w:hAnsi="Book Antiqua"/>
        </w:rPr>
      </w:pPr>
      <w:r w:rsidRPr="00E407F8">
        <w:rPr>
          <w:rFonts w:ascii="Book Antiqua" w:hAnsi="Book Antiqua"/>
        </w:rPr>
        <w:t xml:space="preserve">38 </w:t>
      </w:r>
      <w:r w:rsidRPr="00E407F8">
        <w:rPr>
          <w:rFonts w:ascii="Book Antiqua" w:hAnsi="Book Antiqua"/>
          <w:b/>
          <w:bCs/>
        </w:rPr>
        <w:t>Kallinowski B</w:t>
      </w:r>
      <w:r w:rsidRPr="00E407F8">
        <w:rPr>
          <w:rFonts w:ascii="Book Antiqua" w:hAnsi="Book Antiqua"/>
        </w:rPr>
        <w:t xml:space="preserve">, Seipp S, Dengler T, Klar E, Theilmann L, Stremmel W. Clinical impact of hepatitis G virus infection in heart and liver transplant recipients. </w:t>
      </w:r>
      <w:r w:rsidRPr="00E407F8">
        <w:rPr>
          <w:rFonts w:ascii="Book Antiqua" w:hAnsi="Book Antiqua"/>
          <w:i/>
          <w:iCs/>
        </w:rPr>
        <w:t>Transplant Proc</w:t>
      </w:r>
      <w:r w:rsidRPr="00E407F8">
        <w:rPr>
          <w:rFonts w:ascii="Book Antiqua" w:hAnsi="Book Antiqua"/>
        </w:rPr>
        <w:t xml:space="preserve"> 2002; </w:t>
      </w:r>
      <w:r w:rsidRPr="00E407F8">
        <w:rPr>
          <w:rFonts w:ascii="Book Antiqua" w:hAnsi="Book Antiqua"/>
          <w:b/>
          <w:bCs/>
        </w:rPr>
        <w:t>34</w:t>
      </w:r>
      <w:r w:rsidRPr="00E407F8">
        <w:rPr>
          <w:rFonts w:ascii="Book Antiqua" w:hAnsi="Book Antiqua"/>
        </w:rPr>
        <w:t>: 2288-2291 [PMID: 12270402 DOI: 10.1016/s0041-1345(02)03239-6]</w:t>
      </w:r>
    </w:p>
    <w:p w14:paraId="15CF00D6" w14:textId="77777777" w:rsidR="007714B0" w:rsidRPr="00E407F8" w:rsidRDefault="00861EF4" w:rsidP="0044219D">
      <w:pPr>
        <w:spacing w:line="360" w:lineRule="auto"/>
        <w:jc w:val="both"/>
        <w:rPr>
          <w:rFonts w:ascii="Book Antiqua" w:hAnsi="Book Antiqua"/>
        </w:rPr>
      </w:pPr>
      <w:r w:rsidRPr="00E407F8">
        <w:rPr>
          <w:rFonts w:ascii="Book Antiqua" w:hAnsi="Book Antiqua"/>
        </w:rPr>
        <w:t xml:space="preserve">39 </w:t>
      </w:r>
      <w:r w:rsidRPr="00E407F8">
        <w:rPr>
          <w:rFonts w:ascii="Book Antiqua" w:hAnsi="Book Antiqua"/>
          <w:b/>
          <w:bCs/>
        </w:rPr>
        <w:t>Ebadi M</w:t>
      </w:r>
      <w:r w:rsidRPr="00E407F8">
        <w:rPr>
          <w:rFonts w:ascii="Book Antiqua" w:hAnsi="Book Antiqua"/>
        </w:rPr>
        <w:t xml:space="preserve">, Yaghobi R, Geramizadeh B, Bahmani MK, Malek-Hosseini SA, Nemayandeh M. Prevalence of HCV and HGV infections in Iranian liver transplant recipients. </w:t>
      </w:r>
      <w:r w:rsidRPr="00E407F8">
        <w:rPr>
          <w:rFonts w:ascii="Book Antiqua" w:hAnsi="Book Antiqua"/>
          <w:i/>
          <w:iCs/>
        </w:rPr>
        <w:t>Transplant Proc</w:t>
      </w:r>
      <w:r w:rsidRPr="00E407F8">
        <w:rPr>
          <w:rFonts w:ascii="Book Antiqua" w:hAnsi="Book Antiqua"/>
        </w:rPr>
        <w:t xml:space="preserve"> 2011; </w:t>
      </w:r>
      <w:r w:rsidRPr="00E407F8">
        <w:rPr>
          <w:rFonts w:ascii="Book Antiqua" w:hAnsi="Book Antiqua"/>
          <w:b/>
          <w:bCs/>
        </w:rPr>
        <w:t>43</w:t>
      </w:r>
      <w:r w:rsidRPr="00E407F8">
        <w:rPr>
          <w:rFonts w:ascii="Book Antiqua" w:hAnsi="Book Antiqua"/>
        </w:rPr>
        <w:t>: 618-620 [PMID: 21440779 DOI: 10.1016/j.transproceed.2011.01.066]</w:t>
      </w:r>
    </w:p>
    <w:p w14:paraId="415FDD92" w14:textId="77777777" w:rsidR="007714B0" w:rsidRPr="00E407F8" w:rsidRDefault="00861EF4" w:rsidP="0044219D">
      <w:pPr>
        <w:spacing w:line="360" w:lineRule="auto"/>
        <w:jc w:val="both"/>
        <w:rPr>
          <w:rFonts w:ascii="Book Antiqua" w:hAnsi="Book Antiqua"/>
        </w:rPr>
      </w:pPr>
      <w:r w:rsidRPr="00E407F8">
        <w:rPr>
          <w:rFonts w:ascii="Book Antiqua" w:hAnsi="Book Antiqua"/>
        </w:rPr>
        <w:t xml:space="preserve">40 </w:t>
      </w:r>
      <w:r w:rsidRPr="00E407F8">
        <w:rPr>
          <w:rFonts w:ascii="Book Antiqua" w:hAnsi="Book Antiqua"/>
          <w:b/>
          <w:bCs/>
        </w:rPr>
        <w:t>Silini E</w:t>
      </w:r>
      <w:r w:rsidRPr="00E407F8">
        <w:rPr>
          <w:rFonts w:ascii="Book Antiqua" w:hAnsi="Book Antiqua"/>
        </w:rPr>
        <w:t xml:space="preserve">, Belli L, Alberti AB, Asti M, Cerino A, Bissolati M, Rondinara G, De Carlis L, Forti D, Mondelli MU, Ideo G. HGV/GBV-C infection in liver transplant recipients: antibodies to the viral E2 envelope glycoprotein protect from de novo infection. </w:t>
      </w:r>
      <w:r w:rsidRPr="00E407F8">
        <w:rPr>
          <w:rFonts w:ascii="Book Antiqua" w:hAnsi="Book Antiqua"/>
          <w:i/>
          <w:iCs/>
        </w:rPr>
        <w:t>J Hepatol</w:t>
      </w:r>
      <w:r w:rsidRPr="00E407F8">
        <w:rPr>
          <w:rFonts w:ascii="Book Antiqua" w:hAnsi="Book Antiqua"/>
        </w:rPr>
        <w:t xml:space="preserve"> 1998; </w:t>
      </w:r>
      <w:r w:rsidRPr="00E407F8">
        <w:rPr>
          <w:rFonts w:ascii="Book Antiqua" w:hAnsi="Book Antiqua"/>
          <w:b/>
          <w:bCs/>
        </w:rPr>
        <w:t>29</w:t>
      </w:r>
      <w:r w:rsidRPr="00E407F8">
        <w:rPr>
          <w:rFonts w:ascii="Book Antiqua" w:hAnsi="Book Antiqua"/>
        </w:rPr>
        <w:t>: 533-540 [PMID: 9824261 DOI: 10.1016/s0168-8278(98)80147-5]</w:t>
      </w:r>
    </w:p>
    <w:p w14:paraId="15C3FCFD" w14:textId="77777777" w:rsidR="007714B0" w:rsidRPr="00E407F8" w:rsidRDefault="00861EF4" w:rsidP="0044219D">
      <w:pPr>
        <w:spacing w:line="360" w:lineRule="auto"/>
        <w:jc w:val="both"/>
        <w:rPr>
          <w:rFonts w:ascii="Book Antiqua" w:hAnsi="Book Antiqua"/>
        </w:rPr>
      </w:pPr>
      <w:r w:rsidRPr="00E407F8">
        <w:rPr>
          <w:rFonts w:ascii="Book Antiqua" w:hAnsi="Book Antiqua"/>
        </w:rPr>
        <w:t xml:space="preserve">41 </w:t>
      </w:r>
      <w:r w:rsidRPr="00E407F8">
        <w:rPr>
          <w:rFonts w:ascii="Book Antiqua" w:hAnsi="Book Antiqua"/>
          <w:b/>
          <w:bCs/>
        </w:rPr>
        <w:t>Erensoy S</w:t>
      </w:r>
      <w:r w:rsidRPr="00E407F8">
        <w:rPr>
          <w:rFonts w:ascii="Book Antiqua" w:hAnsi="Book Antiqua"/>
        </w:rPr>
        <w:t xml:space="preserve">, Zeytinoglu A, Göksel S, Ozacar T, Ozkahya M, Ok E, Tuumlrkoglu S, Bilgiç A. GB virus C/hepatitis G virus infection among renal transplant recipients in Izmir, Turkey: Molecular analysis of phylogenetic groups. </w:t>
      </w:r>
      <w:r w:rsidRPr="00E407F8">
        <w:rPr>
          <w:rFonts w:ascii="Book Antiqua" w:hAnsi="Book Antiqua"/>
          <w:i/>
          <w:iCs/>
        </w:rPr>
        <w:t>Int J Infect Dis</w:t>
      </w:r>
      <w:r w:rsidRPr="00E407F8">
        <w:rPr>
          <w:rFonts w:ascii="Book Antiqua" w:hAnsi="Book Antiqua"/>
        </w:rPr>
        <w:t xml:space="preserve"> 2002; </w:t>
      </w:r>
      <w:r w:rsidRPr="00E407F8">
        <w:rPr>
          <w:rFonts w:ascii="Book Antiqua" w:hAnsi="Book Antiqua"/>
          <w:b/>
          <w:bCs/>
        </w:rPr>
        <w:t>6</w:t>
      </w:r>
      <w:r w:rsidRPr="00E407F8">
        <w:rPr>
          <w:rFonts w:ascii="Book Antiqua" w:hAnsi="Book Antiqua"/>
        </w:rPr>
        <w:t>: 242-243 [PMID: 12718845 DOI: 10.1016/s1201-9712(02)90121-9]</w:t>
      </w:r>
    </w:p>
    <w:p w14:paraId="1ACD2C50" w14:textId="77777777" w:rsidR="007714B0" w:rsidRPr="00E407F8" w:rsidRDefault="00861EF4" w:rsidP="0044219D">
      <w:pPr>
        <w:spacing w:line="360" w:lineRule="auto"/>
        <w:jc w:val="both"/>
        <w:rPr>
          <w:rFonts w:ascii="Book Antiqua" w:hAnsi="Book Antiqua"/>
        </w:rPr>
      </w:pPr>
      <w:r w:rsidRPr="00E407F8">
        <w:rPr>
          <w:rFonts w:ascii="Book Antiqua" w:hAnsi="Book Antiqua"/>
        </w:rPr>
        <w:t xml:space="preserve">42 </w:t>
      </w:r>
      <w:r w:rsidRPr="00E407F8">
        <w:rPr>
          <w:rFonts w:ascii="Book Antiqua" w:hAnsi="Book Antiqua"/>
          <w:b/>
          <w:bCs/>
        </w:rPr>
        <w:t>Karayiannis P</w:t>
      </w:r>
      <w:r w:rsidRPr="00E407F8">
        <w:rPr>
          <w:rFonts w:ascii="Book Antiqua" w:hAnsi="Book Antiqua"/>
        </w:rPr>
        <w:t xml:space="preserve">, Brind AM, Pickering J, Mathew J, Burt AD, Hess G, Bassendine MF, Thomas HC. Hepatitis G virus does not cause significant liver disease after liver transplantation. </w:t>
      </w:r>
      <w:r w:rsidRPr="00E407F8">
        <w:rPr>
          <w:rFonts w:ascii="Book Antiqua" w:hAnsi="Book Antiqua"/>
          <w:i/>
          <w:iCs/>
        </w:rPr>
        <w:t>J Viral Hepat</w:t>
      </w:r>
      <w:r w:rsidRPr="00E407F8">
        <w:rPr>
          <w:rFonts w:ascii="Book Antiqua" w:hAnsi="Book Antiqua"/>
        </w:rPr>
        <w:t xml:space="preserve"> 1998; </w:t>
      </w:r>
      <w:r w:rsidRPr="00E407F8">
        <w:rPr>
          <w:rFonts w:ascii="Book Antiqua" w:hAnsi="Book Antiqua"/>
          <w:b/>
          <w:bCs/>
        </w:rPr>
        <w:t>5</w:t>
      </w:r>
      <w:r w:rsidRPr="00E407F8">
        <w:rPr>
          <w:rFonts w:ascii="Book Antiqua" w:hAnsi="Book Antiqua"/>
        </w:rPr>
        <w:t>: 35-42 [PMID: 9493515 DOI: 10.1046/j.1365-2893.1998.00078.x]</w:t>
      </w:r>
    </w:p>
    <w:p w14:paraId="4C29A798" w14:textId="77777777" w:rsidR="007714B0" w:rsidRPr="00E407F8" w:rsidRDefault="007714B0" w:rsidP="0044219D">
      <w:pPr>
        <w:spacing w:line="360" w:lineRule="auto"/>
        <w:jc w:val="both"/>
        <w:rPr>
          <w:rFonts w:ascii="Book Antiqua" w:hAnsi="Book Antiqua"/>
        </w:rPr>
        <w:sectPr w:rsidR="007714B0" w:rsidRPr="00E407F8">
          <w:footerReference w:type="default" r:id="rId9"/>
          <w:pgSz w:w="12240" w:h="15840"/>
          <w:pgMar w:top="1440" w:right="1440" w:bottom="1440" w:left="1440" w:header="720" w:footer="720" w:gutter="0"/>
          <w:cols w:space="720"/>
          <w:docGrid w:linePitch="360"/>
        </w:sectPr>
      </w:pPr>
    </w:p>
    <w:p w14:paraId="750F4456" w14:textId="77777777" w:rsidR="007714B0" w:rsidRPr="00E407F8" w:rsidRDefault="00861EF4" w:rsidP="0044219D">
      <w:pPr>
        <w:spacing w:line="360" w:lineRule="auto"/>
        <w:jc w:val="both"/>
        <w:rPr>
          <w:rFonts w:ascii="Book Antiqua" w:hAnsi="Book Antiqua"/>
        </w:rPr>
      </w:pPr>
      <w:r w:rsidRPr="00E407F8">
        <w:rPr>
          <w:rFonts w:ascii="Book Antiqua" w:eastAsia="Book Antiqua" w:hAnsi="Book Antiqua" w:cs="Book Antiqua"/>
          <w:b/>
          <w:color w:val="000000"/>
        </w:rPr>
        <w:lastRenderedPageBreak/>
        <w:t>Footnotes</w:t>
      </w:r>
    </w:p>
    <w:p w14:paraId="65BD9A71" w14:textId="77777777" w:rsidR="007714B0" w:rsidRPr="00E407F8" w:rsidRDefault="00861EF4" w:rsidP="0044219D">
      <w:pPr>
        <w:spacing w:line="360" w:lineRule="auto"/>
        <w:jc w:val="both"/>
        <w:rPr>
          <w:rFonts w:ascii="Book Antiqua" w:hAnsi="Book Antiqua"/>
        </w:rPr>
      </w:pPr>
      <w:r w:rsidRPr="00E407F8">
        <w:rPr>
          <w:rFonts w:ascii="Book Antiqua" w:eastAsia="Book Antiqua" w:hAnsi="Book Antiqua" w:cs="Book Antiqua"/>
          <w:b/>
          <w:bCs/>
          <w:color w:val="000000"/>
        </w:rPr>
        <w:t xml:space="preserve">Conflict-of-interest statement: </w:t>
      </w:r>
      <w:r w:rsidRPr="00E407F8">
        <w:rPr>
          <w:rFonts w:ascii="Book Antiqua" w:eastAsia="Book Antiqua" w:hAnsi="Book Antiqua" w:cs="Book Antiqua"/>
          <w:color w:val="000000"/>
        </w:rPr>
        <w:t>The authors declare no conflict of interest for this article.</w:t>
      </w:r>
    </w:p>
    <w:p w14:paraId="35DABCFD" w14:textId="77777777" w:rsidR="007714B0" w:rsidRPr="00E407F8" w:rsidRDefault="007714B0" w:rsidP="0044219D">
      <w:pPr>
        <w:spacing w:line="360" w:lineRule="auto"/>
        <w:jc w:val="both"/>
        <w:rPr>
          <w:rFonts w:ascii="Book Antiqua" w:hAnsi="Book Antiqua"/>
        </w:rPr>
      </w:pPr>
    </w:p>
    <w:p w14:paraId="23910AE2" w14:textId="5AA613A7" w:rsidR="007714B0" w:rsidRPr="00E407F8" w:rsidRDefault="00861EF4" w:rsidP="0044219D">
      <w:pPr>
        <w:spacing w:line="360" w:lineRule="auto"/>
        <w:jc w:val="both"/>
        <w:rPr>
          <w:rFonts w:ascii="Book Antiqua" w:hAnsi="Book Antiqua"/>
        </w:rPr>
      </w:pPr>
      <w:r w:rsidRPr="00E407F8">
        <w:rPr>
          <w:rFonts w:ascii="Book Antiqua" w:eastAsia="Book Antiqua" w:hAnsi="Book Antiqua" w:cs="Book Antiqua"/>
          <w:b/>
          <w:bCs/>
          <w:color w:val="000000"/>
        </w:rPr>
        <w:t xml:space="preserve">Open-Access: </w:t>
      </w:r>
      <w:r w:rsidRPr="00E407F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w:t>
      </w:r>
      <w:r w:rsidR="00796EF8" w:rsidRPr="00E407F8">
        <w:rPr>
          <w:rFonts w:ascii="Book Antiqua" w:eastAsia="Book Antiqua" w:hAnsi="Book Antiqua" w:cs="Book Antiqua"/>
          <w:color w:val="000000"/>
        </w:rPr>
        <w:t>https://creativecommons.org/Licenses/by-nc/4.0/</w:t>
      </w:r>
    </w:p>
    <w:p w14:paraId="0E5B32D5" w14:textId="77777777" w:rsidR="007714B0" w:rsidRPr="00E407F8" w:rsidRDefault="007714B0" w:rsidP="0044219D">
      <w:pPr>
        <w:spacing w:line="360" w:lineRule="auto"/>
        <w:jc w:val="both"/>
        <w:rPr>
          <w:rFonts w:ascii="Book Antiqua" w:hAnsi="Book Antiqua"/>
        </w:rPr>
      </w:pPr>
    </w:p>
    <w:p w14:paraId="5BB9C7BB" w14:textId="77777777" w:rsidR="007714B0" w:rsidRPr="00E407F8" w:rsidRDefault="00861EF4" w:rsidP="0044219D">
      <w:pPr>
        <w:spacing w:line="360" w:lineRule="auto"/>
        <w:jc w:val="both"/>
        <w:rPr>
          <w:rFonts w:ascii="Book Antiqua" w:hAnsi="Book Antiqua"/>
        </w:rPr>
      </w:pPr>
      <w:r w:rsidRPr="00E407F8">
        <w:rPr>
          <w:rFonts w:ascii="Book Antiqua" w:eastAsia="Book Antiqua" w:hAnsi="Book Antiqua" w:cs="Book Antiqua"/>
          <w:b/>
          <w:color w:val="000000"/>
        </w:rPr>
        <w:t xml:space="preserve">Provenance and peer review: </w:t>
      </w:r>
      <w:r w:rsidRPr="00E407F8">
        <w:rPr>
          <w:rFonts w:ascii="Book Antiqua" w:eastAsia="Book Antiqua" w:hAnsi="Book Antiqua" w:cs="Book Antiqua"/>
          <w:color w:val="000000"/>
        </w:rPr>
        <w:t>Invited article; Externally peer reviewed.</w:t>
      </w:r>
    </w:p>
    <w:p w14:paraId="01302D2D" w14:textId="77777777" w:rsidR="007714B0" w:rsidRPr="00E407F8" w:rsidRDefault="00861EF4" w:rsidP="0044219D">
      <w:pPr>
        <w:spacing w:line="360" w:lineRule="auto"/>
        <w:jc w:val="both"/>
        <w:rPr>
          <w:rFonts w:ascii="Book Antiqua" w:hAnsi="Book Antiqua"/>
        </w:rPr>
      </w:pPr>
      <w:r w:rsidRPr="00E407F8">
        <w:rPr>
          <w:rFonts w:ascii="Book Antiqua" w:eastAsia="Book Antiqua" w:hAnsi="Book Antiqua" w:cs="Book Antiqua"/>
          <w:b/>
          <w:color w:val="000000"/>
        </w:rPr>
        <w:t xml:space="preserve">Peer-review model: </w:t>
      </w:r>
      <w:r w:rsidRPr="00E407F8">
        <w:rPr>
          <w:rFonts w:ascii="Book Antiqua" w:eastAsia="Book Antiqua" w:hAnsi="Book Antiqua" w:cs="Book Antiqua"/>
          <w:color w:val="000000"/>
        </w:rPr>
        <w:t>Single blind</w:t>
      </w:r>
    </w:p>
    <w:p w14:paraId="3041BB77" w14:textId="77777777" w:rsidR="007714B0" w:rsidRPr="00E407F8" w:rsidRDefault="007714B0" w:rsidP="0044219D">
      <w:pPr>
        <w:spacing w:line="360" w:lineRule="auto"/>
        <w:jc w:val="both"/>
        <w:rPr>
          <w:rFonts w:ascii="Book Antiqua" w:hAnsi="Book Antiqua"/>
        </w:rPr>
      </w:pPr>
    </w:p>
    <w:p w14:paraId="64C18CD6" w14:textId="77777777" w:rsidR="007714B0" w:rsidRPr="00E407F8" w:rsidRDefault="00861EF4" w:rsidP="0044219D">
      <w:pPr>
        <w:spacing w:line="360" w:lineRule="auto"/>
        <w:jc w:val="both"/>
        <w:rPr>
          <w:rFonts w:ascii="Book Antiqua" w:hAnsi="Book Antiqua"/>
        </w:rPr>
      </w:pPr>
      <w:r w:rsidRPr="00E407F8">
        <w:rPr>
          <w:rFonts w:ascii="Book Antiqua" w:eastAsia="Book Antiqua" w:hAnsi="Book Antiqua" w:cs="Book Antiqua"/>
          <w:b/>
          <w:color w:val="000000"/>
        </w:rPr>
        <w:t xml:space="preserve">Peer-review started: </w:t>
      </w:r>
      <w:r w:rsidRPr="00E407F8">
        <w:rPr>
          <w:rFonts w:ascii="Book Antiqua" w:eastAsia="Book Antiqua" w:hAnsi="Book Antiqua" w:cs="Book Antiqua"/>
          <w:color w:val="000000"/>
        </w:rPr>
        <w:t>January 31, 2021</w:t>
      </w:r>
    </w:p>
    <w:p w14:paraId="7044D374" w14:textId="77777777" w:rsidR="007714B0" w:rsidRPr="00E407F8" w:rsidRDefault="00861EF4" w:rsidP="0044219D">
      <w:pPr>
        <w:spacing w:line="360" w:lineRule="auto"/>
        <w:jc w:val="both"/>
        <w:rPr>
          <w:rFonts w:ascii="Book Antiqua" w:hAnsi="Book Antiqua"/>
        </w:rPr>
      </w:pPr>
      <w:r w:rsidRPr="00E407F8">
        <w:rPr>
          <w:rFonts w:ascii="Book Antiqua" w:eastAsia="Book Antiqua" w:hAnsi="Book Antiqua" w:cs="Book Antiqua"/>
          <w:b/>
          <w:color w:val="000000"/>
        </w:rPr>
        <w:t xml:space="preserve">First decision: </w:t>
      </w:r>
      <w:r w:rsidRPr="00E407F8">
        <w:rPr>
          <w:rFonts w:ascii="Book Antiqua" w:eastAsia="Book Antiqua" w:hAnsi="Book Antiqua" w:cs="Book Antiqua"/>
          <w:color w:val="000000"/>
        </w:rPr>
        <w:t>October 17, 2021</w:t>
      </w:r>
    </w:p>
    <w:p w14:paraId="1B710C45" w14:textId="169B0AE9" w:rsidR="007714B0" w:rsidRPr="00E407F8" w:rsidRDefault="00861EF4" w:rsidP="0044219D">
      <w:pPr>
        <w:spacing w:line="360" w:lineRule="auto"/>
        <w:jc w:val="both"/>
        <w:rPr>
          <w:rFonts w:ascii="Book Antiqua" w:hAnsi="Book Antiqua"/>
        </w:rPr>
      </w:pPr>
      <w:r w:rsidRPr="00E407F8">
        <w:rPr>
          <w:rFonts w:ascii="Book Antiqua" w:eastAsia="Book Antiqua" w:hAnsi="Book Antiqua" w:cs="Book Antiqua"/>
          <w:b/>
          <w:color w:val="000000"/>
        </w:rPr>
        <w:t>Article in press:</w:t>
      </w:r>
      <w:r w:rsidR="00A326B4" w:rsidRPr="00E407F8">
        <w:rPr>
          <w:rFonts w:ascii="Book Antiqua" w:eastAsia="Book Antiqua" w:hAnsi="Book Antiqua" w:cs="Book Antiqua"/>
          <w:color w:val="000000"/>
        </w:rPr>
        <w:t xml:space="preserve"> January 6, 2022</w:t>
      </w:r>
    </w:p>
    <w:p w14:paraId="5AF061BF" w14:textId="77777777" w:rsidR="007714B0" w:rsidRPr="00E407F8" w:rsidRDefault="007714B0" w:rsidP="0044219D">
      <w:pPr>
        <w:spacing w:line="360" w:lineRule="auto"/>
        <w:jc w:val="both"/>
        <w:rPr>
          <w:rFonts w:ascii="Book Antiqua" w:hAnsi="Book Antiqua"/>
        </w:rPr>
      </w:pPr>
    </w:p>
    <w:p w14:paraId="52E2BC72" w14:textId="77777777" w:rsidR="007714B0" w:rsidRPr="00E407F8" w:rsidRDefault="00861EF4" w:rsidP="0044219D">
      <w:pPr>
        <w:spacing w:line="360" w:lineRule="auto"/>
        <w:jc w:val="both"/>
        <w:rPr>
          <w:rFonts w:ascii="Book Antiqua" w:hAnsi="Book Antiqua"/>
        </w:rPr>
      </w:pPr>
      <w:r w:rsidRPr="00E407F8">
        <w:rPr>
          <w:rFonts w:ascii="Book Antiqua" w:eastAsia="Book Antiqua" w:hAnsi="Book Antiqua" w:cs="Book Antiqua"/>
          <w:b/>
          <w:color w:val="000000"/>
        </w:rPr>
        <w:t xml:space="preserve">Specialty type: </w:t>
      </w:r>
      <w:r w:rsidRPr="00E407F8">
        <w:rPr>
          <w:rFonts w:ascii="Book Antiqua" w:eastAsia="Book Antiqua" w:hAnsi="Book Antiqua" w:cs="Book Antiqua"/>
          <w:color w:val="000000"/>
        </w:rPr>
        <w:t>Transplantation</w:t>
      </w:r>
    </w:p>
    <w:p w14:paraId="5F643602" w14:textId="77777777" w:rsidR="007714B0" w:rsidRPr="00E407F8" w:rsidRDefault="00861EF4" w:rsidP="0044219D">
      <w:pPr>
        <w:spacing w:line="360" w:lineRule="auto"/>
        <w:jc w:val="both"/>
        <w:rPr>
          <w:rFonts w:ascii="Book Antiqua" w:hAnsi="Book Antiqua"/>
        </w:rPr>
      </w:pPr>
      <w:r w:rsidRPr="00E407F8">
        <w:rPr>
          <w:rFonts w:ascii="Book Antiqua" w:eastAsia="Book Antiqua" w:hAnsi="Book Antiqua" w:cs="Book Antiqua"/>
          <w:b/>
          <w:color w:val="000000"/>
        </w:rPr>
        <w:t xml:space="preserve">Country/Territory of origin: </w:t>
      </w:r>
      <w:r w:rsidRPr="00E407F8">
        <w:rPr>
          <w:rFonts w:ascii="Book Antiqua" w:eastAsia="Book Antiqua" w:hAnsi="Book Antiqua" w:cs="Book Antiqua"/>
          <w:color w:val="000000"/>
        </w:rPr>
        <w:t>Croatia</w:t>
      </w:r>
    </w:p>
    <w:p w14:paraId="2278C757" w14:textId="77777777" w:rsidR="007714B0" w:rsidRPr="00E407F8" w:rsidRDefault="00861EF4" w:rsidP="0044219D">
      <w:pPr>
        <w:spacing w:line="360" w:lineRule="auto"/>
        <w:jc w:val="both"/>
        <w:rPr>
          <w:rFonts w:ascii="Book Antiqua" w:hAnsi="Book Antiqua"/>
        </w:rPr>
      </w:pPr>
      <w:r w:rsidRPr="00E407F8">
        <w:rPr>
          <w:rFonts w:ascii="Book Antiqua" w:eastAsia="Book Antiqua" w:hAnsi="Book Antiqua" w:cs="Book Antiqua"/>
          <w:b/>
          <w:color w:val="000000"/>
        </w:rPr>
        <w:t>Peer-review report’s scientific quality classification</w:t>
      </w:r>
    </w:p>
    <w:p w14:paraId="0E841B91" w14:textId="77777777" w:rsidR="007714B0" w:rsidRPr="00E407F8" w:rsidRDefault="00861EF4" w:rsidP="0044219D">
      <w:pPr>
        <w:spacing w:line="360" w:lineRule="auto"/>
        <w:jc w:val="both"/>
        <w:rPr>
          <w:rFonts w:ascii="Book Antiqua" w:hAnsi="Book Antiqua"/>
        </w:rPr>
      </w:pPr>
      <w:r w:rsidRPr="00E407F8">
        <w:rPr>
          <w:rFonts w:ascii="Book Antiqua" w:eastAsia="Book Antiqua" w:hAnsi="Book Antiqua" w:cs="Book Antiqua"/>
          <w:color w:val="000000"/>
        </w:rPr>
        <w:t>Grade A (Excellent): 0</w:t>
      </w:r>
    </w:p>
    <w:p w14:paraId="7D223DAC" w14:textId="77777777" w:rsidR="007714B0" w:rsidRPr="00E407F8" w:rsidRDefault="00861EF4" w:rsidP="0044219D">
      <w:pPr>
        <w:spacing w:line="360" w:lineRule="auto"/>
        <w:jc w:val="both"/>
        <w:rPr>
          <w:rFonts w:ascii="Book Antiqua" w:hAnsi="Book Antiqua"/>
        </w:rPr>
      </w:pPr>
      <w:r w:rsidRPr="00E407F8">
        <w:rPr>
          <w:rFonts w:ascii="Book Antiqua" w:eastAsia="Book Antiqua" w:hAnsi="Book Antiqua" w:cs="Book Antiqua"/>
          <w:color w:val="000000"/>
        </w:rPr>
        <w:t>Grade B (Very good): B, B</w:t>
      </w:r>
    </w:p>
    <w:p w14:paraId="25A4F1F0" w14:textId="77777777" w:rsidR="007714B0" w:rsidRPr="00E407F8" w:rsidRDefault="00861EF4" w:rsidP="0044219D">
      <w:pPr>
        <w:spacing w:line="360" w:lineRule="auto"/>
        <w:jc w:val="both"/>
        <w:rPr>
          <w:rFonts w:ascii="Book Antiqua" w:hAnsi="Book Antiqua"/>
        </w:rPr>
      </w:pPr>
      <w:r w:rsidRPr="00E407F8">
        <w:rPr>
          <w:rFonts w:ascii="Book Antiqua" w:eastAsia="Book Antiqua" w:hAnsi="Book Antiqua" w:cs="Book Antiqua"/>
          <w:color w:val="000000"/>
        </w:rPr>
        <w:t>Grade C (Good): 0</w:t>
      </w:r>
    </w:p>
    <w:p w14:paraId="43E240CE" w14:textId="77777777" w:rsidR="007714B0" w:rsidRPr="00E407F8" w:rsidRDefault="00861EF4" w:rsidP="0044219D">
      <w:pPr>
        <w:spacing w:line="360" w:lineRule="auto"/>
        <w:jc w:val="both"/>
        <w:rPr>
          <w:rFonts w:ascii="Book Antiqua" w:hAnsi="Book Antiqua"/>
        </w:rPr>
      </w:pPr>
      <w:r w:rsidRPr="00E407F8">
        <w:rPr>
          <w:rFonts w:ascii="Book Antiqua" w:eastAsia="Book Antiqua" w:hAnsi="Book Antiqua" w:cs="Book Antiqua"/>
          <w:color w:val="000000"/>
        </w:rPr>
        <w:t>Grade D (Fair): 0</w:t>
      </w:r>
    </w:p>
    <w:p w14:paraId="59DCF6A7" w14:textId="77777777" w:rsidR="007714B0" w:rsidRPr="00E407F8" w:rsidRDefault="00861EF4" w:rsidP="0044219D">
      <w:pPr>
        <w:spacing w:line="360" w:lineRule="auto"/>
        <w:jc w:val="both"/>
        <w:rPr>
          <w:rFonts w:ascii="Book Antiqua" w:hAnsi="Book Antiqua"/>
        </w:rPr>
      </w:pPr>
      <w:r w:rsidRPr="00E407F8">
        <w:rPr>
          <w:rFonts w:ascii="Book Antiqua" w:eastAsia="Book Antiqua" w:hAnsi="Book Antiqua" w:cs="Book Antiqua"/>
          <w:color w:val="000000"/>
        </w:rPr>
        <w:t>Grade E (Poor): 0</w:t>
      </w:r>
    </w:p>
    <w:p w14:paraId="0CEF3A04" w14:textId="77777777" w:rsidR="007714B0" w:rsidRPr="00E407F8" w:rsidRDefault="007714B0" w:rsidP="0044219D">
      <w:pPr>
        <w:spacing w:line="360" w:lineRule="auto"/>
        <w:jc w:val="both"/>
        <w:rPr>
          <w:rFonts w:ascii="Book Antiqua" w:hAnsi="Book Antiqua"/>
        </w:rPr>
      </w:pPr>
    </w:p>
    <w:p w14:paraId="50915AA8" w14:textId="36CA23D4" w:rsidR="007714B0" w:rsidRPr="00E407F8" w:rsidRDefault="00861EF4" w:rsidP="0044219D">
      <w:pPr>
        <w:spacing w:line="360" w:lineRule="auto"/>
        <w:jc w:val="both"/>
        <w:rPr>
          <w:rFonts w:ascii="Book Antiqua" w:eastAsia="Book Antiqua" w:hAnsi="Book Antiqua" w:cs="Book Antiqua"/>
          <w:bCs/>
          <w:color w:val="000000"/>
        </w:rPr>
      </w:pPr>
      <w:r w:rsidRPr="00E407F8">
        <w:rPr>
          <w:rFonts w:ascii="Book Antiqua" w:eastAsia="Book Antiqua" w:hAnsi="Book Antiqua" w:cs="Book Antiqua"/>
          <w:b/>
          <w:color w:val="000000"/>
        </w:rPr>
        <w:t xml:space="preserve">P-Reviewer: </w:t>
      </w:r>
      <w:r w:rsidRPr="00E407F8">
        <w:rPr>
          <w:rFonts w:ascii="Book Antiqua" w:eastAsia="Book Antiqua" w:hAnsi="Book Antiqua" w:cs="Book Antiqua"/>
          <w:color w:val="000000"/>
        </w:rPr>
        <w:t>Chan WYK, Zhou S</w:t>
      </w:r>
      <w:r w:rsidRPr="00E407F8">
        <w:rPr>
          <w:rFonts w:ascii="Book Antiqua" w:eastAsia="Book Antiqua" w:hAnsi="Book Antiqua" w:cs="Book Antiqua"/>
          <w:b/>
          <w:color w:val="000000"/>
        </w:rPr>
        <w:t xml:space="preserve"> S-Editor: </w:t>
      </w:r>
      <w:r w:rsidRPr="00E407F8">
        <w:rPr>
          <w:rFonts w:ascii="Book Antiqua" w:eastAsia="Book Antiqua" w:hAnsi="Book Antiqua" w:cs="Book Antiqua"/>
          <w:color w:val="000000"/>
        </w:rPr>
        <w:t>Wang JJ</w:t>
      </w:r>
      <w:r w:rsidRPr="00E407F8">
        <w:rPr>
          <w:rFonts w:ascii="Book Antiqua" w:eastAsia="Book Antiqua" w:hAnsi="Book Antiqua" w:cs="Book Antiqua"/>
          <w:b/>
          <w:color w:val="000000"/>
        </w:rPr>
        <w:t xml:space="preserve"> L-Editor: </w:t>
      </w:r>
      <w:r w:rsidRPr="00E407F8">
        <w:rPr>
          <w:rFonts w:ascii="Book Antiqua" w:eastAsia="Book Antiqua" w:hAnsi="Book Antiqua" w:cs="Book Antiqua"/>
          <w:color w:val="000000"/>
        </w:rPr>
        <w:t>Wang TQ</w:t>
      </w:r>
      <w:r w:rsidRPr="00E407F8">
        <w:rPr>
          <w:rFonts w:ascii="Book Antiqua" w:eastAsia="Book Antiqua" w:hAnsi="Book Antiqua" w:cs="Book Antiqua"/>
          <w:b/>
          <w:color w:val="000000"/>
        </w:rPr>
        <w:t xml:space="preserve"> P-Editor: </w:t>
      </w:r>
      <w:r w:rsidR="00BF0971" w:rsidRPr="00E407F8">
        <w:rPr>
          <w:rFonts w:ascii="Book Antiqua" w:eastAsia="Book Antiqua" w:hAnsi="Book Antiqua" w:cs="Book Antiqua"/>
          <w:color w:val="000000"/>
        </w:rPr>
        <w:t>Wang JJ</w:t>
      </w:r>
    </w:p>
    <w:p w14:paraId="734FC980" w14:textId="77777777" w:rsidR="007714B0" w:rsidRPr="00E407F8" w:rsidRDefault="00861EF4" w:rsidP="0044219D">
      <w:pPr>
        <w:pStyle w:val="LO-normal"/>
        <w:spacing w:after="0" w:line="360" w:lineRule="auto"/>
        <w:jc w:val="both"/>
        <w:rPr>
          <w:rFonts w:ascii="Book Antiqua" w:eastAsia="Book Antiqua" w:hAnsi="Book Antiqua" w:cs="Book Antiqua"/>
          <w:b/>
          <w:bCs/>
          <w:sz w:val="24"/>
          <w:szCs w:val="24"/>
        </w:rPr>
      </w:pPr>
      <w:r w:rsidRPr="00E407F8">
        <w:rPr>
          <w:rFonts w:ascii="Book Antiqua" w:eastAsia="Book Antiqua" w:hAnsi="Book Antiqua" w:cs="Book Antiqua"/>
          <w:b/>
          <w:color w:val="000000"/>
          <w:sz w:val="24"/>
          <w:szCs w:val="24"/>
        </w:rPr>
        <w:br w:type="page"/>
      </w:r>
      <w:r w:rsidRPr="00E407F8">
        <w:rPr>
          <w:rFonts w:ascii="Book Antiqua" w:eastAsia="Book Antiqua" w:hAnsi="Book Antiqua" w:cs="Book Antiqua"/>
          <w:b/>
          <w:bCs/>
          <w:sz w:val="24"/>
          <w:szCs w:val="24"/>
        </w:rPr>
        <w:lastRenderedPageBreak/>
        <w:t>Table 1 Seroprevalence and RNA prevalence studies in different transplant populations</w:t>
      </w:r>
    </w:p>
    <w:tbl>
      <w:tblPr>
        <w:tblW w:w="10348" w:type="dxa"/>
        <w:tblBorders>
          <w:top w:val="single" w:sz="4" w:space="0" w:color="auto"/>
          <w:bottom w:val="single" w:sz="4" w:space="0" w:color="auto"/>
        </w:tblBorders>
        <w:tblLayout w:type="fixed"/>
        <w:tblLook w:val="04A0" w:firstRow="1" w:lastRow="0" w:firstColumn="1" w:lastColumn="0" w:noHBand="0" w:noVBand="1"/>
      </w:tblPr>
      <w:tblGrid>
        <w:gridCol w:w="1560"/>
        <w:gridCol w:w="1275"/>
        <w:gridCol w:w="1134"/>
        <w:gridCol w:w="1418"/>
        <w:gridCol w:w="1134"/>
        <w:gridCol w:w="2551"/>
        <w:gridCol w:w="1276"/>
      </w:tblGrid>
      <w:tr w:rsidR="007714B0" w:rsidRPr="00E407F8" w14:paraId="1E4077CA" w14:textId="77777777">
        <w:trPr>
          <w:trHeight w:val="898"/>
        </w:trPr>
        <w:tc>
          <w:tcPr>
            <w:tcW w:w="1560" w:type="dxa"/>
            <w:tcBorders>
              <w:top w:val="single" w:sz="4" w:space="0" w:color="auto"/>
              <w:bottom w:val="single" w:sz="4" w:space="0" w:color="auto"/>
            </w:tcBorders>
          </w:tcPr>
          <w:p w14:paraId="56F237F9" w14:textId="77777777" w:rsidR="007714B0" w:rsidRPr="00E407F8" w:rsidRDefault="00861EF4" w:rsidP="0044219D">
            <w:pPr>
              <w:pStyle w:val="LO-normal"/>
              <w:widowControl w:val="0"/>
              <w:spacing w:after="0" w:line="360" w:lineRule="auto"/>
              <w:jc w:val="both"/>
              <w:rPr>
                <w:rFonts w:ascii="Book Antiqua" w:eastAsia="Book Antiqua" w:hAnsi="Book Antiqua" w:cs="Book Antiqua"/>
                <w:b/>
                <w:bCs/>
                <w:color w:val="000000" w:themeColor="text1"/>
                <w:sz w:val="24"/>
                <w:szCs w:val="24"/>
              </w:rPr>
            </w:pPr>
            <w:r w:rsidRPr="00E407F8">
              <w:rPr>
                <w:rFonts w:ascii="Book Antiqua" w:eastAsia="Book Antiqua" w:hAnsi="Book Antiqua" w:cs="Book Antiqua"/>
                <w:b/>
                <w:bCs/>
                <w:color w:val="000000" w:themeColor="text1"/>
                <w:sz w:val="24"/>
                <w:szCs w:val="24"/>
              </w:rPr>
              <w:t>Type of transplant and period</w:t>
            </w:r>
          </w:p>
        </w:tc>
        <w:tc>
          <w:tcPr>
            <w:tcW w:w="1275" w:type="dxa"/>
            <w:tcBorders>
              <w:top w:val="single" w:sz="4" w:space="0" w:color="auto"/>
              <w:bottom w:val="single" w:sz="4" w:space="0" w:color="auto"/>
            </w:tcBorders>
          </w:tcPr>
          <w:p w14:paraId="255A2AB1" w14:textId="77777777" w:rsidR="007714B0" w:rsidRPr="00E407F8" w:rsidRDefault="00861EF4" w:rsidP="0044219D">
            <w:pPr>
              <w:pStyle w:val="LO-normal"/>
              <w:widowControl w:val="0"/>
              <w:spacing w:after="0" w:line="360" w:lineRule="auto"/>
              <w:jc w:val="both"/>
              <w:rPr>
                <w:rFonts w:ascii="Book Antiqua" w:eastAsia="Book Antiqua" w:hAnsi="Book Antiqua" w:cs="Book Antiqua"/>
                <w:b/>
                <w:bCs/>
                <w:color w:val="000000" w:themeColor="text1"/>
                <w:sz w:val="24"/>
                <w:szCs w:val="24"/>
              </w:rPr>
            </w:pPr>
            <w:r w:rsidRPr="00E407F8">
              <w:rPr>
                <w:rFonts w:ascii="Book Antiqua" w:eastAsia="Book Antiqua" w:hAnsi="Book Antiqua" w:cs="Book Antiqua"/>
                <w:b/>
                <w:bCs/>
                <w:color w:val="000000" w:themeColor="text1"/>
                <w:sz w:val="24"/>
                <w:szCs w:val="24"/>
              </w:rPr>
              <w:t>Country/region</w:t>
            </w:r>
          </w:p>
        </w:tc>
        <w:tc>
          <w:tcPr>
            <w:tcW w:w="1134" w:type="dxa"/>
            <w:tcBorders>
              <w:top w:val="single" w:sz="4" w:space="0" w:color="auto"/>
              <w:bottom w:val="single" w:sz="4" w:space="0" w:color="auto"/>
            </w:tcBorders>
          </w:tcPr>
          <w:p w14:paraId="0F249CF9" w14:textId="77777777" w:rsidR="007714B0" w:rsidRPr="00E407F8" w:rsidRDefault="00861EF4" w:rsidP="0044219D">
            <w:pPr>
              <w:pStyle w:val="LO-normal"/>
              <w:widowControl w:val="0"/>
              <w:spacing w:after="0" w:line="360" w:lineRule="auto"/>
              <w:jc w:val="both"/>
              <w:rPr>
                <w:rFonts w:ascii="Book Antiqua" w:eastAsia="Book Antiqua" w:hAnsi="Book Antiqua" w:cs="Book Antiqua"/>
                <w:b/>
                <w:bCs/>
                <w:color w:val="000000" w:themeColor="text1"/>
                <w:sz w:val="24"/>
                <w:szCs w:val="24"/>
              </w:rPr>
            </w:pPr>
            <w:r w:rsidRPr="00E407F8">
              <w:rPr>
                <w:rFonts w:ascii="Book Antiqua" w:eastAsia="Book Antiqua" w:hAnsi="Book Antiqua" w:cs="Book Antiqua"/>
                <w:b/>
                <w:bCs/>
                <w:color w:val="000000" w:themeColor="text1"/>
                <w:sz w:val="24"/>
                <w:szCs w:val="24"/>
              </w:rPr>
              <w:t>Patients (</w:t>
            </w:r>
            <w:r w:rsidRPr="00E407F8">
              <w:rPr>
                <w:rFonts w:ascii="Book Antiqua" w:eastAsia="Book Antiqua" w:hAnsi="Book Antiqua" w:cs="Book Antiqua"/>
                <w:b/>
                <w:bCs/>
                <w:i/>
                <w:iCs/>
                <w:color w:val="000000" w:themeColor="text1"/>
                <w:sz w:val="24"/>
                <w:szCs w:val="24"/>
              </w:rPr>
              <w:t>n</w:t>
            </w:r>
            <w:r w:rsidRPr="00E407F8">
              <w:rPr>
                <w:rFonts w:ascii="Book Antiqua" w:eastAsia="Book Antiqua" w:hAnsi="Book Antiqua" w:cs="Book Antiqua"/>
                <w:b/>
                <w:bCs/>
                <w:color w:val="000000" w:themeColor="text1"/>
                <w:sz w:val="24"/>
                <w:szCs w:val="24"/>
              </w:rPr>
              <w:t>)</w:t>
            </w:r>
          </w:p>
        </w:tc>
        <w:tc>
          <w:tcPr>
            <w:tcW w:w="1418" w:type="dxa"/>
            <w:tcBorders>
              <w:top w:val="single" w:sz="4" w:space="0" w:color="auto"/>
              <w:bottom w:val="single" w:sz="4" w:space="0" w:color="auto"/>
            </w:tcBorders>
          </w:tcPr>
          <w:p w14:paraId="0AA6B9AD" w14:textId="77777777" w:rsidR="007714B0" w:rsidRPr="00E407F8" w:rsidRDefault="00861EF4" w:rsidP="0044219D">
            <w:pPr>
              <w:pStyle w:val="LO-normal"/>
              <w:widowControl w:val="0"/>
              <w:spacing w:after="0" w:line="360" w:lineRule="auto"/>
              <w:jc w:val="both"/>
              <w:rPr>
                <w:rFonts w:ascii="Book Antiqua" w:eastAsia="Book Antiqua" w:hAnsi="Book Antiqua" w:cs="Book Antiqua"/>
                <w:b/>
                <w:bCs/>
                <w:color w:val="000000" w:themeColor="text1"/>
                <w:sz w:val="24"/>
                <w:szCs w:val="24"/>
              </w:rPr>
            </w:pPr>
            <w:r w:rsidRPr="00E407F8">
              <w:rPr>
                <w:rFonts w:ascii="Book Antiqua" w:eastAsia="Book Antiqua" w:hAnsi="Book Antiqua" w:cs="Book Antiqua"/>
                <w:b/>
                <w:bCs/>
                <w:color w:val="000000" w:themeColor="text1"/>
                <w:sz w:val="24"/>
                <w:szCs w:val="24"/>
              </w:rPr>
              <w:t>RNA prevalence</w:t>
            </w:r>
          </w:p>
        </w:tc>
        <w:tc>
          <w:tcPr>
            <w:tcW w:w="1134" w:type="dxa"/>
            <w:tcBorders>
              <w:top w:val="single" w:sz="4" w:space="0" w:color="auto"/>
              <w:bottom w:val="single" w:sz="4" w:space="0" w:color="auto"/>
            </w:tcBorders>
          </w:tcPr>
          <w:p w14:paraId="392DE4AF" w14:textId="77777777" w:rsidR="007714B0" w:rsidRPr="00E407F8" w:rsidRDefault="00861EF4" w:rsidP="0044219D">
            <w:pPr>
              <w:pStyle w:val="LO-normal"/>
              <w:widowControl w:val="0"/>
              <w:spacing w:after="0" w:line="360" w:lineRule="auto"/>
              <w:jc w:val="both"/>
              <w:rPr>
                <w:rFonts w:ascii="Book Antiqua" w:eastAsia="Book Antiqua" w:hAnsi="Book Antiqua" w:cs="Book Antiqua"/>
                <w:b/>
                <w:bCs/>
                <w:color w:val="000000" w:themeColor="text1"/>
                <w:sz w:val="24"/>
                <w:szCs w:val="24"/>
              </w:rPr>
            </w:pPr>
            <w:r w:rsidRPr="00E407F8">
              <w:rPr>
                <w:rFonts w:ascii="Book Antiqua" w:eastAsia="Book Antiqua" w:hAnsi="Book Antiqua" w:cs="Book Antiqua"/>
                <w:b/>
                <w:bCs/>
                <w:color w:val="000000" w:themeColor="text1"/>
                <w:sz w:val="24"/>
                <w:szCs w:val="24"/>
              </w:rPr>
              <w:t>Seroprevalence</w:t>
            </w:r>
          </w:p>
        </w:tc>
        <w:tc>
          <w:tcPr>
            <w:tcW w:w="2551" w:type="dxa"/>
            <w:tcBorders>
              <w:top w:val="single" w:sz="4" w:space="0" w:color="auto"/>
              <w:bottom w:val="single" w:sz="4" w:space="0" w:color="auto"/>
            </w:tcBorders>
          </w:tcPr>
          <w:p w14:paraId="30AAE850" w14:textId="77777777" w:rsidR="007714B0" w:rsidRPr="00E407F8" w:rsidRDefault="00861EF4" w:rsidP="0044219D">
            <w:pPr>
              <w:pStyle w:val="LO-normal"/>
              <w:widowControl w:val="0"/>
              <w:spacing w:after="0" w:line="360" w:lineRule="auto"/>
              <w:jc w:val="both"/>
              <w:rPr>
                <w:rFonts w:ascii="Book Antiqua" w:eastAsia="Book Antiqua" w:hAnsi="Book Antiqua" w:cs="Book Antiqua"/>
                <w:b/>
                <w:bCs/>
                <w:color w:val="000000" w:themeColor="text1"/>
                <w:sz w:val="24"/>
                <w:szCs w:val="24"/>
              </w:rPr>
            </w:pPr>
            <w:r w:rsidRPr="00E407F8">
              <w:rPr>
                <w:rFonts w:ascii="Book Antiqua" w:eastAsia="Book Antiqua" w:hAnsi="Book Antiqua" w:cs="Book Antiqua"/>
                <w:b/>
                <w:bCs/>
                <w:color w:val="000000" w:themeColor="text1"/>
                <w:sz w:val="24"/>
                <w:szCs w:val="24"/>
              </w:rPr>
              <w:t>Comment</w:t>
            </w:r>
          </w:p>
        </w:tc>
        <w:tc>
          <w:tcPr>
            <w:tcW w:w="1276" w:type="dxa"/>
            <w:tcBorders>
              <w:top w:val="single" w:sz="4" w:space="0" w:color="auto"/>
              <w:bottom w:val="single" w:sz="4" w:space="0" w:color="auto"/>
            </w:tcBorders>
          </w:tcPr>
          <w:p w14:paraId="279F1DA1" w14:textId="77E0599F" w:rsidR="007714B0" w:rsidRPr="00E407F8" w:rsidRDefault="00861EF4" w:rsidP="0044219D">
            <w:pPr>
              <w:pStyle w:val="LO-normal"/>
              <w:widowControl w:val="0"/>
              <w:spacing w:after="0" w:line="360" w:lineRule="auto"/>
              <w:jc w:val="both"/>
              <w:rPr>
                <w:rFonts w:ascii="Book Antiqua" w:eastAsia="Book Antiqua" w:hAnsi="Book Antiqua" w:cs="Book Antiqua"/>
                <w:b/>
                <w:bCs/>
                <w:color w:val="000000" w:themeColor="text1"/>
                <w:sz w:val="24"/>
                <w:szCs w:val="24"/>
              </w:rPr>
            </w:pPr>
            <w:r w:rsidRPr="00E407F8">
              <w:rPr>
                <w:rFonts w:ascii="Book Antiqua" w:eastAsia="Book Antiqua" w:hAnsi="Book Antiqua" w:cs="Book Antiqua"/>
                <w:b/>
                <w:bCs/>
                <w:color w:val="000000" w:themeColor="text1"/>
                <w:sz w:val="24"/>
                <w:szCs w:val="24"/>
              </w:rPr>
              <w:t>Ref</w:t>
            </w:r>
            <w:r w:rsidR="00796EF8" w:rsidRPr="00E407F8">
              <w:rPr>
                <w:rFonts w:ascii="Book Antiqua" w:eastAsia="Book Antiqua" w:hAnsi="Book Antiqua" w:cs="Book Antiqua"/>
                <w:b/>
                <w:bCs/>
                <w:color w:val="000000" w:themeColor="text1"/>
                <w:sz w:val="24"/>
                <w:szCs w:val="24"/>
              </w:rPr>
              <w:t>.</w:t>
            </w:r>
          </w:p>
        </w:tc>
      </w:tr>
      <w:tr w:rsidR="007714B0" w:rsidRPr="00E407F8" w14:paraId="04415298" w14:textId="77777777">
        <w:trPr>
          <w:trHeight w:val="1506"/>
        </w:trPr>
        <w:tc>
          <w:tcPr>
            <w:tcW w:w="1560" w:type="dxa"/>
            <w:tcBorders>
              <w:top w:val="single" w:sz="4" w:space="0" w:color="auto"/>
            </w:tcBorders>
          </w:tcPr>
          <w:p w14:paraId="2A40531B"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Liver transplant</w:t>
            </w:r>
            <w:r w:rsidRPr="00E407F8">
              <w:rPr>
                <w:rFonts w:ascii="Book Antiqua" w:eastAsiaTheme="minorEastAsia" w:hAnsi="Book Antiqua" w:cs="Book Antiqua"/>
                <w:color w:val="000000" w:themeColor="text1"/>
                <w:sz w:val="24"/>
                <w:szCs w:val="24"/>
              </w:rPr>
              <w:t xml:space="preserve">; </w:t>
            </w:r>
            <w:r w:rsidRPr="00E407F8">
              <w:rPr>
                <w:rFonts w:ascii="Book Antiqua" w:eastAsia="Book Antiqua" w:hAnsi="Book Antiqua" w:cs="Book Antiqua"/>
                <w:color w:val="000000" w:themeColor="text1"/>
                <w:sz w:val="24"/>
                <w:szCs w:val="24"/>
              </w:rPr>
              <w:t>1997-2017</w:t>
            </w:r>
          </w:p>
        </w:tc>
        <w:tc>
          <w:tcPr>
            <w:tcW w:w="1275" w:type="dxa"/>
            <w:tcBorders>
              <w:top w:val="single" w:sz="4" w:space="0" w:color="auto"/>
            </w:tcBorders>
          </w:tcPr>
          <w:p w14:paraId="00C0FAAB"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Japan</w:t>
            </w:r>
          </w:p>
        </w:tc>
        <w:tc>
          <w:tcPr>
            <w:tcW w:w="1134" w:type="dxa"/>
            <w:tcBorders>
              <w:top w:val="single" w:sz="4" w:space="0" w:color="auto"/>
            </w:tcBorders>
          </w:tcPr>
          <w:p w14:paraId="065D2D05"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313</w:t>
            </w:r>
          </w:p>
        </w:tc>
        <w:tc>
          <w:tcPr>
            <w:tcW w:w="1418" w:type="dxa"/>
            <w:tcBorders>
              <w:top w:val="single" w:sz="4" w:space="0" w:color="auto"/>
            </w:tcBorders>
          </w:tcPr>
          <w:p w14:paraId="3F94C374"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14.1%</w:t>
            </w:r>
          </w:p>
        </w:tc>
        <w:tc>
          <w:tcPr>
            <w:tcW w:w="1134" w:type="dxa"/>
            <w:tcBorders>
              <w:top w:val="single" w:sz="4" w:space="0" w:color="auto"/>
            </w:tcBorders>
          </w:tcPr>
          <w:p w14:paraId="491B05AD"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w:t>
            </w:r>
          </w:p>
        </w:tc>
        <w:tc>
          <w:tcPr>
            <w:tcW w:w="2551" w:type="dxa"/>
            <w:tcBorders>
              <w:top w:val="single" w:sz="4" w:space="0" w:color="auto"/>
            </w:tcBorders>
          </w:tcPr>
          <w:p w14:paraId="2CB591D8"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No significant association between HPgV infection and liver transplant outcomes</w:t>
            </w:r>
            <w:r w:rsidRPr="00E407F8">
              <w:rPr>
                <w:rFonts w:ascii="Book Antiqua" w:eastAsiaTheme="minorEastAsia" w:hAnsi="Book Antiqua" w:cs="Book Antiqua"/>
                <w:color w:val="000000" w:themeColor="text1"/>
                <w:sz w:val="24"/>
                <w:szCs w:val="24"/>
              </w:rPr>
              <w:t xml:space="preserve">; </w:t>
            </w:r>
            <w:r w:rsidRPr="00E407F8">
              <w:rPr>
                <w:rFonts w:ascii="Book Antiqua" w:eastAsia="Book Antiqua" w:hAnsi="Book Antiqua" w:cs="Book Antiqua"/>
                <w:color w:val="000000" w:themeColor="text1"/>
                <w:sz w:val="24"/>
                <w:szCs w:val="24"/>
              </w:rPr>
              <w:t>HPgV infection induced the up-regulation of ISG expression in peripheral blood mononuclear cells</w:t>
            </w:r>
          </w:p>
        </w:tc>
        <w:tc>
          <w:tcPr>
            <w:tcW w:w="1276" w:type="dxa"/>
            <w:tcBorders>
              <w:top w:val="single" w:sz="4" w:space="0" w:color="auto"/>
            </w:tcBorders>
          </w:tcPr>
          <w:p w14:paraId="4CA8D6B2"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 xml:space="preserve">Izumi </w:t>
            </w:r>
            <w:r w:rsidRPr="00E407F8">
              <w:rPr>
                <w:rFonts w:ascii="Book Antiqua" w:eastAsia="Book Antiqua" w:hAnsi="Book Antiqua" w:cs="Book Antiqua"/>
                <w:i/>
                <w:iCs/>
                <w:color w:val="000000" w:themeColor="text1"/>
                <w:sz w:val="24"/>
                <w:szCs w:val="24"/>
              </w:rPr>
              <w:t>et al</w:t>
            </w:r>
            <w:r w:rsidRPr="00E407F8">
              <w:rPr>
                <w:rFonts w:ascii="Book Antiqua" w:eastAsia="Book Antiqua" w:hAnsi="Book Antiqua" w:cs="Book Antiqua"/>
                <w:color w:val="000000" w:themeColor="text1"/>
                <w:sz w:val="24"/>
                <w:szCs w:val="24"/>
                <w:vertAlign w:val="superscript"/>
              </w:rPr>
              <w:t>[27]</w:t>
            </w:r>
            <w:r w:rsidRPr="00E407F8">
              <w:rPr>
                <w:rFonts w:ascii="Book Antiqua" w:eastAsia="Book Antiqua" w:hAnsi="Book Antiqua" w:cs="Book Antiqua"/>
                <w:color w:val="000000" w:themeColor="text1"/>
                <w:sz w:val="24"/>
                <w:szCs w:val="24"/>
              </w:rPr>
              <w:t>, 2019</w:t>
            </w:r>
          </w:p>
        </w:tc>
      </w:tr>
      <w:tr w:rsidR="007714B0" w:rsidRPr="00E407F8" w14:paraId="00F5738D" w14:textId="77777777">
        <w:trPr>
          <w:trHeight w:val="1113"/>
        </w:trPr>
        <w:tc>
          <w:tcPr>
            <w:tcW w:w="1560" w:type="dxa"/>
          </w:tcPr>
          <w:p w14:paraId="590A4238"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Renal transplant</w:t>
            </w:r>
            <w:r w:rsidRPr="00E407F8">
              <w:rPr>
                <w:rFonts w:ascii="Book Antiqua" w:eastAsiaTheme="minorEastAsia" w:hAnsi="Book Antiqua" w:cs="Book Antiqua"/>
                <w:color w:val="000000" w:themeColor="text1"/>
                <w:sz w:val="24"/>
                <w:szCs w:val="24"/>
              </w:rPr>
              <w:t xml:space="preserve">; </w:t>
            </w:r>
            <w:r w:rsidRPr="00E407F8">
              <w:rPr>
                <w:rFonts w:ascii="Book Antiqua" w:eastAsia="Book Antiqua" w:hAnsi="Book Antiqua" w:cs="Book Antiqua"/>
                <w:color w:val="000000" w:themeColor="text1"/>
                <w:sz w:val="24"/>
                <w:szCs w:val="24"/>
              </w:rPr>
              <w:t>1989-1996</w:t>
            </w:r>
          </w:p>
        </w:tc>
        <w:tc>
          <w:tcPr>
            <w:tcW w:w="1275" w:type="dxa"/>
          </w:tcPr>
          <w:p w14:paraId="799B569A"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Italy</w:t>
            </w:r>
          </w:p>
        </w:tc>
        <w:tc>
          <w:tcPr>
            <w:tcW w:w="1134" w:type="dxa"/>
          </w:tcPr>
          <w:p w14:paraId="5756403D"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155</w:t>
            </w:r>
          </w:p>
        </w:tc>
        <w:tc>
          <w:tcPr>
            <w:tcW w:w="1418" w:type="dxa"/>
          </w:tcPr>
          <w:p w14:paraId="22EB4C63"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24%</w:t>
            </w:r>
          </w:p>
        </w:tc>
        <w:tc>
          <w:tcPr>
            <w:tcW w:w="1134" w:type="dxa"/>
          </w:tcPr>
          <w:p w14:paraId="37DE3ED8"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17%</w:t>
            </w:r>
          </w:p>
        </w:tc>
        <w:tc>
          <w:tcPr>
            <w:tcW w:w="2551" w:type="dxa"/>
          </w:tcPr>
          <w:p w14:paraId="641DA5E1"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Not associated with disease pathogenicity</w:t>
            </w:r>
            <w:r w:rsidRPr="00E407F8">
              <w:rPr>
                <w:rFonts w:ascii="Book Antiqua" w:eastAsiaTheme="minorEastAsia" w:hAnsi="Book Antiqua" w:cs="Book Antiqua"/>
                <w:color w:val="000000" w:themeColor="text1"/>
                <w:sz w:val="24"/>
                <w:szCs w:val="24"/>
              </w:rPr>
              <w:t xml:space="preserve">; </w:t>
            </w:r>
            <w:r w:rsidRPr="00E407F8">
              <w:rPr>
                <w:rFonts w:ascii="Book Antiqua" w:eastAsia="Book Antiqua" w:hAnsi="Book Antiqua" w:cs="Book Antiqua"/>
                <w:color w:val="000000" w:themeColor="text1"/>
                <w:sz w:val="24"/>
                <w:szCs w:val="24"/>
              </w:rPr>
              <w:t>Lower serum levels of HCV-RNA in HGV/HCV co-infected carriers compared to those infected with HCV only</w:t>
            </w:r>
          </w:p>
        </w:tc>
        <w:tc>
          <w:tcPr>
            <w:tcW w:w="1276" w:type="dxa"/>
          </w:tcPr>
          <w:p w14:paraId="60719888"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 xml:space="preserve">De Filippi </w:t>
            </w:r>
            <w:r w:rsidRPr="00E407F8">
              <w:rPr>
                <w:rFonts w:ascii="Book Antiqua" w:eastAsia="Book Antiqua" w:hAnsi="Book Antiqua" w:cs="Book Antiqua"/>
                <w:i/>
                <w:iCs/>
                <w:color w:val="000000" w:themeColor="text1"/>
                <w:sz w:val="24"/>
                <w:szCs w:val="24"/>
              </w:rPr>
              <w:t>et al</w:t>
            </w:r>
            <w:r w:rsidRPr="00E407F8">
              <w:rPr>
                <w:rFonts w:ascii="Book Antiqua" w:eastAsia="Book Antiqua" w:hAnsi="Book Antiqua" w:cs="Book Antiqua"/>
                <w:color w:val="000000" w:themeColor="text1"/>
                <w:sz w:val="24"/>
                <w:szCs w:val="24"/>
                <w:vertAlign w:val="superscript"/>
              </w:rPr>
              <w:t>[34]</w:t>
            </w:r>
            <w:r w:rsidRPr="00E407F8">
              <w:rPr>
                <w:rFonts w:ascii="Book Antiqua" w:eastAsia="Book Antiqua" w:hAnsi="Book Antiqua" w:cs="Book Antiqua"/>
                <w:color w:val="000000" w:themeColor="text1"/>
                <w:sz w:val="24"/>
                <w:szCs w:val="24"/>
              </w:rPr>
              <w:t>, 2001</w:t>
            </w:r>
          </w:p>
        </w:tc>
      </w:tr>
      <w:tr w:rsidR="007714B0" w:rsidRPr="00E407F8" w14:paraId="7A1DFAEB" w14:textId="77777777">
        <w:trPr>
          <w:trHeight w:val="765"/>
        </w:trPr>
        <w:tc>
          <w:tcPr>
            <w:tcW w:w="1560" w:type="dxa"/>
          </w:tcPr>
          <w:p w14:paraId="635E890A"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Renal transplant</w:t>
            </w:r>
            <w:r w:rsidRPr="00E407F8">
              <w:rPr>
                <w:rFonts w:ascii="Book Antiqua" w:eastAsiaTheme="minorEastAsia" w:hAnsi="Book Antiqua" w:cs="Book Antiqua"/>
                <w:color w:val="000000" w:themeColor="text1"/>
                <w:sz w:val="24"/>
                <w:szCs w:val="24"/>
              </w:rPr>
              <w:t xml:space="preserve">; </w:t>
            </w:r>
            <w:r w:rsidRPr="00E407F8">
              <w:rPr>
                <w:rFonts w:ascii="Book Antiqua" w:eastAsia="Book Antiqua" w:hAnsi="Book Antiqua" w:cs="Book Antiqua"/>
                <w:color w:val="000000" w:themeColor="text1"/>
                <w:sz w:val="24"/>
                <w:szCs w:val="24"/>
              </w:rPr>
              <w:t>2015-2016</w:t>
            </w:r>
          </w:p>
        </w:tc>
        <w:tc>
          <w:tcPr>
            <w:tcW w:w="1275" w:type="dxa"/>
          </w:tcPr>
          <w:p w14:paraId="3CBC33E7"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Brazil</w:t>
            </w:r>
          </w:p>
        </w:tc>
        <w:tc>
          <w:tcPr>
            <w:tcW w:w="1134" w:type="dxa"/>
          </w:tcPr>
          <w:p w14:paraId="1B20001C"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61</w:t>
            </w:r>
          </w:p>
        </w:tc>
        <w:tc>
          <w:tcPr>
            <w:tcW w:w="1418" w:type="dxa"/>
          </w:tcPr>
          <w:p w14:paraId="35B0E7D2"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36.1%</w:t>
            </w:r>
          </w:p>
        </w:tc>
        <w:tc>
          <w:tcPr>
            <w:tcW w:w="1134" w:type="dxa"/>
          </w:tcPr>
          <w:p w14:paraId="5EBA3F39"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w:t>
            </w:r>
          </w:p>
        </w:tc>
        <w:tc>
          <w:tcPr>
            <w:tcW w:w="2551" w:type="dxa"/>
          </w:tcPr>
          <w:p w14:paraId="2A18690A"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Most common genotype 2 (80.9%), followed by G3 (9.5%), G1 (4.85), and G5 (4.8%)</w:t>
            </w:r>
            <w:r w:rsidRPr="00E407F8">
              <w:rPr>
                <w:rFonts w:ascii="Book Antiqua" w:eastAsiaTheme="minorEastAsia" w:hAnsi="Book Antiqua" w:cs="Book Antiqua"/>
                <w:color w:val="000000" w:themeColor="text1"/>
                <w:sz w:val="24"/>
                <w:szCs w:val="24"/>
              </w:rPr>
              <w:t xml:space="preserve">; </w:t>
            </w:r>
            <w:r w:rsidRPr="00E407F8">
              <w:rPr>
                <w:rFonts w:ascii="Book Antiqua" w:eastAsia="Book Antiqua" w:hAnsi="Book Antiqua" w:cs="Book Antiqua"/>
                <w:color w:val="000000" w:themeColor="text1"/>
                <w:sz w:val="24"/>
                <w:szCs w:val="24"/>
              </w:rPr>
              <w:t xml:space="preserve">no </w:t>
            </w:r>
            <w:r w:rsidRPr="00E407F8">
              <w:rPr>
                <w:rFonts w:ascii="Book Antiqua" w:eastAsia="Book Antiqua" w:hAnsi="Book Antiqua" w:cs="Book Antiqua"/>
                <w:color w:val="000000" w:themeColor="text1"/>
                <w:sz w:val="24"/>
                <w:szCs w:val="24"/>
              </w:rPr>
              <w:lastRenderedPageBreak/>
              <w:t>significant impact on patient outcomes</w:t>
            </w:r>
          </w:p>
        </w:tc>
        <w:tc>
          <w:tcPr>
            <w:tcW w:w="1276" w:type="dxa"/>
          </w:tcPr>
          <w:p w14:paraId="05827DBA"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lastRenderedPageBreak/>
              <w:t xml:space="preserve">Savassi-Ribas </w:t>
            </w:r>
            <w:r w:rsidRPr="00E407F8">
              <w:rPr>
                <w:rFonts w:ascii="Book Antiqua" w:eastAsia="Book Antiqua" w:hAnsi="Book Antiqua" w:cs="Book Antiqua"/>
                <w:i/>
                <w:iCs/>
                <w:color w:val="000000" w:themeColor="text1"/>
                <w:sz w:val="24"/>
                <w:szCs w:val="24"/>
              </w:rPr>
              <w:t>et al</w:t>
            </w:r>
            <w:r w:rsidRPr="00E407F8">
              <w:rPr>
                <w:rFonts w:ascii="Book Antiqua" w:eastAsia="Book Antiqua" w:hAnsi="Book Antiqua" w:cs="Book Antiqua"/>
                <w:color w:val="000000" w:themeColor="text1"/>
                <w:sz w:val="24"/>
                <w:szCs w:val="24"/>
                <w:vertAlign w:val="superscript"/>
              </w:rPr>
              <w:t>[31]</w:t>
            </w:r>
            <w:r w:rsidRPr="00E407F8">
              <w:rPr>
                <w:rFonts w:ascii="Book Antiqua" w:eastAsia="Book Antiqua" w:hAnsi="Book Antiqua" w:cs="Book Antiqua"/>
                <w:color w:val="000000" w:themeColor="text1"/>
                <w:sz w:val="24"/>
                <w:szCs w:val="24"/>
              </w:rPr>
              <w:t>, 2020</w:t>
            </w:r>
          </w:p>
        </w:tc>
      </w:tr>
      <w:tr w:rsidR="007714B0" w:rsidRPr="00E407F8" w14:paraId="71C5F410" w14:textId="77777777">
        <w:trPr>
          <w:trHeight w:val="1110"/>
        </w:trPr>
        <w:tc>
          <w:tcPr>
            <w:tcW w:w="1560" w:type="dxa"/>
          </w:tcPr>
          <w:p w14:paraId="6B300BF8"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Renal transplant</w:t>
            </w:r>
          </w:p>
        </w:tc>
        <w:tc>
          <w:tcPr>
            <w:tcW w:w="1275" w:type="dxa"/>
          </w:tcPr>
          <w:p w14:paraId="2D481A03"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France</w:t>
            </w:r>
          </w:p>
        </w:tc>
        <w:tc>
          <w:tcPr>
            <w:tcW w:w="1134" w:type="dxa"/>
          </w:tcPr>
          <w:p w14:paraId="421AB4BD"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103 HCV positive RT recipients</w:t>
            </w:r>
          </w:p>
        </w:tc>
        <w:tc>
          <w:tcPr>
            <w:tcW w:w="1418" w:type="dxa"/>
          </w:tcPr>
          <w:p w14:paraId="159493B9"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28%</w:t>
            </w:r>
          </w:p>
        </w:tc>
        <w:tc>
          <w:tcPr>
            <w:tcW w:w="1134" w:type="dxa"/>
          </w:tcPr>
          <w:p w14:paraId="7FF3EA9B"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w:t>
            </w:r>
          </w:p>
        </w:tc>
        <w:tc>
          <w:tcPr>
            <w:tcW w:w="2551" w:type="dxa"/>
          </w:tcPr>
          <w:p w14:paraId="4B7C4AAC"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HGV infection has no detrimental effect on liver enzymes or liver histology in HCV-positive patients</w:t>
            </w:r>
          </w:p>
        </w:tc>
        <w:tc>
          <w:tcPr>
            <w:tcW w:w="1276" w:type="dxa"/>
          </w:tcPr>
          <w:p w14:paraId="7A4986D1"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 xml:space="preserve">Rostaing </w:t>
            </w:r>
            <w:r w:rsidRPr="00E407F8">
              <w:rPr>
                <w:rFonts w:ascii="Book Antiqua" w:eastAsia="Book Antiqua" w:hAnsi="Book Antiqua" w:cs="Book Antiqua"/>
                <w:i/>
                <w:iCs/>
                <w:color w:val="000000" w:themeColor="text1"/>
                <w:sz w:val="24"/>
                <w:szCs w:val="24"/>
              </w:rPr>
              <w:t>et al</w:t>
            </w:r>
            <w:r w:rsidRPr="00E407F8">
              <w:rPr>
                <w:rFonts w:ascii="Book Antiqua" w:eastAsia="Book Antiqua" w:hAnsi="Book Antiqua" w:cs="Book Antiqua"/>
                <w:color w:val="000000" w:themeColor="text1"/>
                <w:sz w:val="24"/>
                <w:szCs w:val="24"/>
                <w:vertAlign w:val="superscript"/>
              </w:rPr>
              <w:t>[37]</w:t>
            </w:r>
            <w:r w:rsidRPr="00E407F8">
              <w:rPr>
                <w:rFonts w:ascii="Book Antiqua" w:eastAsia="Book Antiqua" w:hAnsi="Book Antiqua" w:cs="Book Antiqua"/>
                <w:color w:val="000000" w:themeColor="text1"/>
                <w:sz w:val="24"/>
                <w:szCs w:val="24"/>
              </w:rPr>
              <w:t>, 1999</w:t>
            </w:r>
          </w:p>
        </w:tc>
      </w:tr>
      <w:tr w:rsidR="007714B0" w:rsidRPr="00E407F8" w14:paraId="54ED45BA" w14:textId="77777777">
        <w:trPr>
          <w:trHeight w:val="624"/>
        </w:trPr>
        <w:tc>
          <w:tcPr>
            <w:tcW w:w="1560" w:type="dxa"/>
            <w:vMerge w:val="restart"/>
          </w:tcPr>
          <w:p w14:paraId="5230F8A1"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Heart transplant</w:t>
            </w:r>
            <w:r w:rsidRPr="00E407F8">
              <w:rPr>
                <w:rFonts w:ascii="Book Antiqua" w:eastAsiaTheme="minorEastAsia" w:hAnsi="Book Antiqua" w:cs="Book Antiqua"/>
                <w:color w:val="000000" w:themeColor="text1"/>
                <w:sz w:val="24"/>
                <w:szCs w:val="24"/>
              </w:rPr>
              <w:t xml:space="preserve">; </w:t>
            </w:r>
            <w:r w:rsidRPr="00E407F8">
              <w:rPr>
                <w:rFonts w:ascii="Book Antiqua" w:eastAsia="Book Antiqua" w:hAnsi="Book Antiqua" w:cs="Book Antiqua"/>
                <w:color w:val="000000" w:themeColor="text1"/>
                <w:sz w:val="24"/>
                <w:szCs w:val="24"/>
              </w:rPr>
              <w:t>1993-1998</w:t>
            </w:r>
          </w:p>
        </w:tc>
        <w:tc>
          <w:tcPr>
            <w:tcW w:w="1275" w:type="dxa"/>
            <w:vMerge w:val="restart"/>
          </w:tcPr>
          <w:p w14:paraId="3BBF2B34"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Germany</w:t>
            </w:r>
          </w:p>
        </w:tc>
        <w:tc>
          <w:tcPr>
            <w:tcW w:w="1134" w:type="dxa"/>
          </w:tcPr>
          <w:p w14:paraId="2FE94741"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51 transplant candidates</w:t>
            </w:r>
          </w:p>
        </w:tc>
        <w:tc>
          <w:tcPr>
            <w:tcW w:w="1418" w:type="dxa"/>
          </w:tcPr>
          <w:p w14:paraId="235F4887"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2.0%</w:t>
            </w:r>
            <w:r w:rsidRPr="00E407F8">
              <w:rPr>
                <w:rFonts w:ascii="Book Antiqua" w:eastAsiaTheme="minorEastAsia" w:hAnsi="Book Antiqua" w:cs="Book Antiqua"/>
                <w:color w:val="000000" w:themeColor="text1"/>
                <w:sz w:val="24"/>
                <w:szCs w:val="24"/>
              </w:rPr>
              <w:t xml:space="preserve">; </w:t>
            </w:r>
            <w:r w:rsidRPr="00E407F8">
              <w:rPr>
                <w:rFonts w:ascii="Book Antiqua" w:eastAsia="Book Antiqua" w:hAnsi="Book Antiqua" w:cs="Book Antiqua"/>
                <w:color w:val="000000" w:themeColor="text1"/>
                <w:sz w:val="24"/>
                <w:szCs w:val="24"/>
              </w:rPr>
              <w:t>0</w:t>
            </w:r>
          </w:p>
        </w:tc>
        <w:tc>
          <w:tcPr>
            <w:tcW w:w="1134" w:type="dxa"/>
          </w:tcPr>
          <w:p w14:paraId="196E3A90"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0</w:t>
            </w:r>
            <w:r w:rsidRPr="00E407F8">
              <w:rPr>
                <w:rFonts w:ascii="Book Antiqua" w:eastAsiaTheme="minorEastAsia" w:hAnsi="Book Antiqua" w:cs="Book Antiqua"/>
                <w:color w:val="000000" w:themeColor="text1"/>
                <w:sz w:val="24"/>
                <w:szCs w:val="24"/>
              </w:rPr>
              <w:t xml:space="preserve">; </w:t>
            </w:r>
            <w:r w:rsidRPr="00E407F8">
              <w:rPr>
                <w:rFonts w:ascii="Book Antiqua" w:eastAsia="Book Antiqua" w:hAnsi="Book Antiqua" w:cs="Book Antiqua"/>
                <w:color w:val="000000" w:themeColor="text1"/>
                <w:sz w:val="24"/>
                <w:szCs w:val="24"/>
              </w:rPr>
              <w:t>6.0%</w:t>
            </w:r>
          </w:p>
        </w:tc>
        <w:tc>
          <w:tcPr>
            <w:tcW w:w="2551" w:type="dxa"/>
          </w:tcPr>
          <w:p w14:paraId="34C95FC9"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RNA persisted after transplant</w:t>
            </w:r>
            <w:r w:rsidRPr="00E407F8">
              <w:rPr>
                <w:rFonts w:ascii="Book Antiqua" w:eastAsiaTheme="minorEastAsia" w:hAnsi="Book Antiqua" w:cs="Book Antiqua"/>
                <w:color w:val="000000" w:themeColor="text1"/>
                <w:sz w:val="24"/>
                <w:szCs w:val="24"/>
              </w:rPr>
              <w:t xml:space="preserve">; </w:t>
            </w:r>
            <w:r w:rsidRPr="00E407F8">
              <w:rPr>
                <w:rFonts w:ascii="Book Antiqua" w:eastAsia="Book Antiqua" w:hAnsi="Book Antiqua" w:cs="Book Antiqua"/>
                <w:color w:val="000000" w:themeColor="text1"/>
                <w:sz w:val="24"/>
                <w:szCs w:val="24"/>
              </w:rPr>
              <w:t>anti-E2 antibodies persisted after transplant</w:t>
            </w:r>
          </w:p>
        </w:tc>
        <w:tc>
          <w:tcPr>
            <w:tcW w:w="1276" w:type="dxa"/>
            <w:vMerge w:val="restart"/>
          </w:tcPr>
          <w:p w14:paraId="2C6C61B6"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 xml:space="preserve">Kallinowski </w:t>
            </w:r>
            <w:r w:rsidRPr="00E407F8">
              <w:rPr>
                <w:rFonts w:ascii="Book Antiqua" w:eastAsia="Book Antiqua" w:hAnsi="Book Antiqua" w:cs="Book Antiqua"/>
                <w:i/>
                <w:iCs/>
                <w:color w:val="000000" w:themeColor="text1"/>
                <w:sz w:val="24"/>
                <w:szCs w:val="24"/>
              </w:rPr>
              <w:t>et al</w:t>
            </w:r>
            <w:r w:rsidRPr="00E407F8">
              <w:rPr>
                <w:rFonts w:ascii="Book Antiqua" w:eastAsia="Book Antiqua" w:hAnsi="Book Antiqua" w:cs="Book Antiqua"/>
                <w:color w:val="000000" w:themeColor="text1"/>
                <w:sz w:val="24"/>
                <w:szCs w:val="24"/>
                <w:vertAlign w:val="superscript"/>
              </w:rPr>
              <w:t>[38]</w:t>
            </w:r>
            <w:r w:rsidRPr="00E407F8">
              <w:rPr>
                <w:rFonts w:ascii="Book Antiqua" w:eastAsia="Book Antiqua" w:hAnsi="Book Antiqua" w:cs="Book Antiqua"/>
                <w:color w:val="000000" w:themeColor="text1"/>
                <w:sz w:val="24"/>
                <w:szCs w:val="24"/>
              </w:rPr>
              <w:t>, 2002</w:t>
            </w:r>
          </w:p>
        </w:tc>
      </w:tr>
      <w:tr w:rsidR="007714B0" w:rsidRPr="00E407F8" w14:paraId="1B28BB5D" w14:textId="77777777">
        <w:trPr>
          <w:trHeight w:val="548"/>
        </w:trPr>
        <w:tc>
          <w:tcPr>
            <w:tcW w:w="1560" w:type="dxa"/>
            <w:vMerge/>
          </w:tcPr>
          <w:p w14:paraId="2D98DCC5" w14:textId="77777777" w:rsidR="007714B0" w:rsidRPr="00E407F8" w:rsidRDefault="007714B0" w:rsidP="0044219D">
            <w:pPr>
              <w:pStyle w:val="LO-normal"/>
              <w:widowControl w:val="0"/>
              <w:spacing w:after="0" w:line="360" w:lineRule="auto"/>
              <w:jc w:val="both"/>
              <w:rPr>
                <w:rFonts w:ascii="Book Antiqua" w:eastAsia="Book Antiqua" w:hAnsi="Book Antiqua" w:cs="Book Antiqua"/>
                <w:color w:val="000000" w:themeColor="text1"/>
                <w:sz w:val="24"/>
                <w:szCs w:val="24"/>
              </w:rPr>
            </w:pPr>
          </w:p>
        </w:tc>
        <w:tc>
          <w:tcPr>
            <w:tcW w:w="1275" w:type="dxa"/>
            <w:vMerge/>
          </w:tcPr>
          <w:p w14:paraId="5C5A3021" w14:textId="77777777" w:rsidR="007714B0" w:rsidRPr="00E407F8" w:rsidRDefault="007714B0" w:rsidP="0044219D">
            <w:pPr>
              <w:pStyle w:val="LO-normal"/>
              <w:widowControl w:val="0"/>
              <w:spacing w:after="0" w:line="360" w:lineRule="auto"/>
              <w:jc w:val="both"/>
              <w:rPr>
                <w:rFonts w:ascii="Book Antiqua" w:eastAsia="Book Antiqua" w:hAnsi="Book Antiqua" w:cs="Book Antiqua"/>
                <w:color w:val="000000" w:themeColor="text1"/>
                <w:sz w:val="24"/>
                <w:szCs w:val="24"/>
              </w:rPr>
            </w:pPr>
          </w:p>
        </w:tc>
        <w:tc>
          <w:tcPr>
            <w:tcW w:w="1134" w:type="dxa"/>
          </w:tcPr>
          <w:p w14:paraId="0AF55588"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Post-transplant</w:t>
            </w:r>
          </w:p>
        </w:tc>
        <w:tc>
          <w:tcPr>
            <w:tcW w:w="1418" w:type="dxa"/>
          </w:tcPr>
          <w:p w14:paraId="00DEF955"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 xml:space="preserve">36.0% </w:t>
            </w:r>
            <w:r w:rsidRPr="00E407F8">
              <w:rPr>
                <w:rFonts w:ascii="Book Antiqua" w:eastAsia="Book Antiqua" w:hAnsi="Book Antiqua" w:cs="Book Antiqua"/>
                <w:i/>
                <w:iCs/>
                <w:color w:val="000000" w:themeColor="text1"/>
                <w:sz w:val="24"/>
                <w:szCs w:val="24"/>
              </w:rPr>
              <w:t>de novo</w:t>
            </w:r>
          </w:p>
        </w:tc>
        <w:tc>
          <w:tcPr>
            <w:tcW w:w="1134" w:type="dxa"/>
          </w:tcPr>
          <w:p w14:paraId="050FEAD4"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w:t>
            </w:r>
          </w:p>
        </w:tc>
        <w:tc>
          <w:tcPr>
            <w:tcW w:w="2551" w:type="dxa"/>
          </w:tcPr>
          <w:p w14:paraId="4EB07C4A"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RNA persisted in 94% infected patients</w:t>
            </w:r>
            <w:r w:rsidRPr="00E407F8">
              <w:rPr>
                <w:rFonts w:ascii="Book Antiqua" w:eastAsiaTheme="minorEastAsia" w:hAnsi="Book Antiqua" w:cs="Book Antiqua"/>
                <w:color w:val="000000" w:themeColor="text1"/>
                <w:sz w:val="24"/>
                <w:szCs w:val="24"/>
              </w:rPr>
              <w:t xml:space="preserve">; </w:t>
            </w:r>
            <w:r w:rsidRPr="00E407F8">
              <w:rPr>
                <w:rFonts w:ascii="Book Antiqua" w:eastAsia="Book Antiqua" w:hAnsi="Book Antiqua" w:cs="Book Antiqua"/>
                <w:color w:val="000000" w:themeColor="text1"/>
                <w:sz w:val="24"/>
                <w:szCs w:val="24"/>
              </w:rPr>
              <w:t>No significant correlation between the number of blood transfusions and the infection</w:t>
            </w:r>
            <w:r w:rsidRPr="00E407F8">
              <w:rPr>
                <w:rFonts w:ascii="Book Antiqua" w:eastAsiaTheme="minorEastAsia" w:hAnsi="Book Antiqua" w:cs="Book Antiqua"/>
                <w:color w:val="000000" w:themeColor="text1"/>
                <w:sz w:val="24"/>
                <w:szCs w:val="24"/>
              </w:rPr>
              <w:t xml:space="preserve">; </w:t>
            </w:r>
            <w:r w:rsidRPr="00E407F8">
              <w:rPr>
                <w:rFonts w:ascii="Book Antiqua" w:eastAsia="Book Antiqua" w:hAnsi="Book Antiqua" w:cs="Book Antiqua"/>
                <w:color w:val="000000" w:themeColor="text1"/>
                <w:sz w:val="24"/>
                <w:szCs w:val="24"/>
              </w:rPr>
              <w:t>No impact on liver disease or patient outcome</w:t>
            </w:r>
          </w:p>
        </w:tc>
        <w:tc>
          <w:tcPr>
            <w:tcW w:w="1276" w:type="dxa"/>
            <w:vMerge/>
          </w:tcPr>
          <w:p w14:paraId="639D0DD6" w14:textId="77777777" w:rsidR="007714B0" w:rsidRPr="00E407F8" w:rsidRDefault="007714B0" w:rsidP="0044219D">
            <w:pPr>
              <w:pStyle w:val="LO-normal"/>
              <w:widowControl w:val="0"/>
              <w:spacing w:after="0" w:line="360" w:lineRule="auto"/>
              <w:jc w:val="both"/>
              <w:rPr>
                <w:rFonts w:ascii="Book Antiqua" w:eastAsia="Book Antiqua" w:hAnsi="Book Antiqua" w:cs="Book Antiqua"/>
                <w:color w:val="000000" w:themeColor="text1"/>
                <w:sz w:val="24"/>
                <w:szCs w:val="24"/>
              </w:rPr>
            </w:pPr>
          </w:p>
        </w:tc>
      </w:tr>
      <w:tr w:rsidR="007714B0" w:rsidRPr="00E407F8" w14:paraId="7E95E0AB" w14:textId="77777777">
        <w:trPr>
          <w:trHeight w:val="338"/>
        </w:trPr>
        <w:tc>
          <w:tcPr>
            <w:tcW w:w="1560" w:type="dxa"/>
            <w:vMerge w:val="restart"/>
          </w:tcPr>
          <w:p w14:paraId="04A8927D"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Liver transplant</w:t>
            </w:r>
            <w:r w:rsidRPr="00E407F8">
              <w:rPr>
                <w:rFonts w:ascii="Book Antiqua" w:eastAsiaTheme="minorEastAsia" w:hAnsi="Book Antiqua" w:cs="Book Antiqua"/>
                <w:color w:val="000000" w:themeColor="text1"/>
                <w:sz w:val="24"/>
                <w:szCs w:val="24"/>
              </w:rPr>
              <w:t xml:space="preserve">; </w:t>
            </w:r>
            <w:r w:rsidRPr="00E407F8">
              <w:rPr>
                <w:rFonts w:ascii="Book Antiqua" w:eastAsia="Book Antiqua" w:hAnsi="Book Antiqua" w:cs="Book Antiqua"/>
                <w:color w:val="000000" w:themeColor="text1"/>
                <w:sz w:val="24"/>
                <w:szCs w:val="24"/>
              </w:rPr>
              <w:t>1993-1998</w:t>
            </w:r>
          </w:p>
        </w:tc>
        <w:tc>
          <w:tcPr>
            <w:tcW w:w="1275" w:type="dxa"/>
            <w:vMerge w:val="restart"/>
          </w:tcPr>
          <w:p w14:paraId="5208859F"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Germany</w:t>
            </w:r>
          </w:p>
        </w:tc>
        <w:tc>
          <w:tcPr>
            <w:tcW w:w="1134" w:type="dxa"/>
          </w:tcPr>
          <w:p w14:paraId="2BFB1827"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72 transplant candidates</w:t>
            </w:r>
          </w:p>
        </w:tc>
        <w:tc>
          <w:tcPr>
            <w:tcW w:w="1418" w:type="dxa"/>
          </w:tcPr>
          <w:p w14:paraId="5ADA5F84"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11.%</w:t>
            </w:r>
          </w:p>
        </w:tc>
        <w:tc>
          <w:tcPr>
            <w:tcW w:w="1134" w:type="dxa"/>
          </w:tcPr>
          <w:p w14:paraId="068F3282"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w:t>
            </w:r>
          </w:p>
        </w:tc>
        <w:tc>
          <w:tcPr>
            <w:tcW w:w="2551" w:type="dxa"/>
          </w:tcPr>
          <w:p w14:paraId="3E9159C0"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RNA persisted in 88% of infected patients</w:t>
            </w:r>
          </w:p>
        </w:tc>
        <w:tc>
          <w:tcPr>
            <w:tcW w:w="1276" w:type="dxa"/>
            <w:vMerge w:val="restart"/>
          </w:tcPr>
          <w:p w14:paraId="692D0140"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 xml:space="preserve">Kallinowski </w:t>
            </w:r>
            <w:r w:rsidRPr="00E407F8">
              <w:rPr>
                <w:rFonts w:ascii="Book Antiqua" w:eastAsia="Book Antiqua" w:hAnsi="Book Antiqua" w:cs="Book Antiqua"/>
                <w:i/>
                <w:iCs/>
                <w:color w:val="000000" w:themeColor="text1"/>
                <w:sz w:val="24"/>
                <w:szCs w:val="24"/>
              </w:rPr>
              <w:t>et al</w:t>
            </w:r>
            <w:r w:rsidRPr="00E407F8">
              <w:rPr>
                <w:rFonts w:ascii="Book Antiqua" w:eastAsia="Book Antiqua" w:hAnsi="Book Antiqua" w:cs="Book Antiqua"/>
                <w:color w:val="000000" w:themeColor="text1"/>
                <w:sz w:val="24"/>
                <w:szCs w:val="24"/>
                <w:vertAlign w:val="superscript"/>
              </w:rPr>
              <w:t>[38]</w:t>
            </w:r>
            <w:r w:rsidRPr="00E407F8">
              <w:rPr>
                <w:rFonts w:ascii="Book Antiqua" w:eastAsia="Book Antiqua" w:hAnsi="Book Antiqua" w:cs="Book Antiqua"/>
                <w:color w:val="000000" w:themeColor="text1"/>
                <w:sz w:val="24"/>
                <w:szCs w:val="24"/>
              </w:rPr>
              <w:t>, 2002</w:t>
            </w:r>
          </w:p>
        </w:tc>
      </w:tr>
      <w:tr w:rsidR="007714B0" w:rsidRPr="00E407F8" w14:paraId="60DEA127" w14:textId="77777777">
        <w:trPr>
          <w:trHeight w:val="338"/>
        </w:trPr>
        <w:tc>
          <w:tcPr>
            <w:tcW w:w="1560" w:type="dxa"/>
            <w:vMerge/>
          </w:tcPr>
          <w:p w14:paraId="56D8F9F4" w14:textId="77777777" w:rsidR="007714B0" w:rsidRPr="00E407F8" w:rsidRDefault="007714B0" w:rsidP="0044219D">
            <w:pPr>
              <w:pStyle w:val="LO-normal"/>
              <w:widowControl w:val="0"/>
              <w:spacing w:after="0" w:line="360" w:lineRule="auto"/>
              <w:jc w:val="both"/>
              <w:rPr>
                <w:rFonts w:ascii="Book Antiqua" w:eastAsia="Book Antiqua" w:hAnsi="Book Antiqua" w:cs="Book Antiqua"/>
                <w:color w:val="000000" w:themeColor="text1"/>
                <w:sz w:val="24"/>
                <w:szCs w:val="24"/>
              </w:rPr>
            </w:pPr>
          </w:p>
        </w:tc>
        <w:tc>
          <w:tcPr>
            <w:tcW w:w="1275" w:type="dxa"/>
            <w:vMerge/>
          </w:tcPr>
          <w:p w14:paraId="5CF9ECF7" w14:textId="77777777" w:rsidR="007714B0" w:rsidRPr="00E407F8" w:rsidRDefault="007714B0" w:rsidP="0044219D">
            <w:pPr>
              <w:pStyle w:val="LO-normal"/>
              <w:widowControl w:val="0"/>
              <w:spacing w:after="0" w:line="360" w:lineRule="auto"/>
              <w:jc w:val="both"/>
              <w:rPr>
                <w:rFonts w:ascii="Book Antiqua" w:eastAsia="Book Antiqua" w:hAnsi="Book Antiqua" w:cs="Book Antiqua"/>
                <w:color w:val="000000" w:themeColor="text1"/>
                <w:sz w:val="24"/>
                <w:szCs w:val="24"/>
              </w:rPr>
            </w:pPr>
          </w:p>
        </w:tc>
        <w:tc>
          <w:tcPr>
            <w:tcW w:w="1134" w:type="dxa"/>
          </w:tcPr>
          <w:p w14:paraId="7B04AC13"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Post-</w:t>
            </w:r>
            <w:r w:rsidRPr="00E407F8">
              <w:rPr>
                <w:rFonts w:ascii="Book Antiqua" w:eastAsia="Book Antiqua" w:hAnsi="Book Antiqua" w:cs="Book Antiqua"/>
                <w:color w:val="000000" w:themeColor="text1"/>
                <w:sz w:val="24"/>
                <w:szCs w:val="24"/>
              </w:rPr>
              <w:lastRenderedPageBreak/>
              <w:t>transplant</w:t>
            </w:r>
          </w:p>
        </w:tc>
        <w:tc>
          <w:tcPr>
            <w:tcW w:w="1418" w:type="dxa"/>
          </w:tcPr>
          <w:p w14:paraId="7D4A47C4"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lastRenderedPageBreak/>
              <w:t xml:space="preserve">36% </w:t>
            </w:r>
            <w:r w:rsidRPr="00E407F8">
              <w:rPr>
                <w:rFonts w:ascii="Book Antiqua" w:eastAsia="Book Antiqua" w:hAnsi="Book Antiqua" w:cs="Book Antiqua"/>
                <w:i/>
                <w:iCs/>
                <w:color w:val="000000" w:themeColor="text1"/>
                <w:sz w:val="24"/>
                <w:szCs w:val="24"/>
              </w:rPr>
              <w:t xml:space="preserve">de </w:t>
            </w:r>
            <w:r w:rsidRPr="00E407F8">
              <w:rPr>
                <w:rFonts w:ascii="Book Antiqua" w:eastAsia="Book Antiqua" w:hAnsi="Book Antiqua" w:cs="Book Antiqua"/>
                <w:i/>
                <w:iCs/>
                <w:color w:val="000000" w:themeColor="text1"/>
                <w:sz w:val="24"/>
                <w:szCs w:val="24"/>
              </w:rPr>
              <w:lastRenderedPageBreak/>
              <w:t>novo</w:t>
            </w:r>
          </w:p>
        </w:tc>
        <w:tc>
          <w:tcPr>
            <w:tcW w:w="1134" w:type="dxa"/>
          </w:tcPr>
          <w:p w14:paraId="25B01594"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lastRenderedPageBreak/>
              <w:t>/</w:t>
            </w:r>
          </w:p>
        </w:tc>
        <w:tc>
          <w:tcPr>
            <w:tcW w:w="2551" w:type="dxa"/>
          </w:tcPr>
          <w:p w14:paraId="6F388D7A"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 xml:space="preserve">RNA persisted in 87% </w:t>
            </w:r>
            <w:r w:rsidRPr="00E407F8">
              <w:rPr>
                <w:rFonts w:ascii="Book Antiqua" w:eastAsia="Book Antiqua" w:hAnsi="Book Antiqua" w:cs="Book Antiqua"/>
                <w:color w:val="000000" w:themeColor="text1"/>
                <w:sz w:val="24"/>
                <w:szCs w:val="24"/>
              </w:rPr>
              <w:lastRenderedPageBreak/>
              <w:t>of infected patients</w:t>
            </w:r>
            <w:r w:rsidRPr="00E407F8">
              <w:rPr>
                <w:rFonts w:ascii="Book Antiqua" w:eastAsiaTheme="minorEastAsia" w:hAnsi="Book Antiqua" w:cs="Book Antiqua"/>
                <w:color w:val="000000" w:themeColor="text1"/>
                <w:sz w:val="24"/>
                <w:szCs w:val="24"/>
              </w:rPr>
              <w:t xml:space="preserve">; </w:t>
            </w:r>
            <w:r w:rsidRPr="00E407F8">
              <w:rPr>
                <w:rFonts w:ascii="Book Antiqua" w:eastAsia="Book Antiqua" w:hAnsi="Book Antiqua" w:cs="Book Antiqua"/>
                <w:color w:val="000000" w:themeColor="text1"/>
                <w:sz w:val="24"/>
                <w:szCs w:val="24"/>
              </w:rPr>
              <w:t>no significant correlation between the number of blood transfusions and the infection</w:t>
            </w:r>
            <w:r w:rsidRPr="00E407F8">
              <w:rPr>
                <w:rFonts w:ascii="Book Antiqua" w:eastAsiaTheme="minorEastAsia" w:hAnsi="Book Antiqua" w:cs="Book Antiqua"/>
                <w:color w:val="000000" w:themeColor="text1"/>
                <w:sz w:val="24"/>
                <w:szCs w:val="24"/>
              </w:rPr>
              <w:t xml:space="preserve">; </w:t>
            </w:r>
            <w:r w:rsidRPr="00E407F8">
              <w:rPr>
                <w:rFonts w:ascii="Book Antiqua" w:eastAsia="Book Antiqua" w:hAnsi="Book Antiqua" w:cs="Book Antiqua"/>
                <w:color w:val="000000" w:themeColor="text1"/>
                <w:sz w:val="24"/>
                <w:szCs w:val="24"/>
              </w:rPr>
              <w:t>no impact on liver disease or patient outcome</w:t>
            </w:r>
          </w:p>
        </w:tc>
        <w:tc>
          <w:tcPr>
            <w:tcW w:w="1276" w:type="dxa"/>
            <w:vMerge/>
          </w:tcPr>
          <w:p w14:paraId="679882CB" w14:textId="77777777" w:rsidR="007714B0" w:rsidRPr="00E407F8" w:rsidRDefault="007714B0" w:rsidP="0044219D">
            <w:pPr>
              <w:pStyle w:val="LO-normal"/>
              <w:widowControl w:val="0"/>
              <w:spacing w:after="0" w:line="360" w:lineRule="auto"/>
              <w:jc w:val="both"/>
              <w:rPr>
                <w:rFonts w:ascii="Book Antiqua" w:eastAsia="Book Antiqua" w:hAnsi="Book Antiqua" w:cs="Book Antiqua"/>
                <w:color w:val="000000" w:themeColor="text1"/>
                <w:sz w:val="24"/>
                <w:szCs w:val="24"/>
              </w:rPr>
            </w:pPr>
          </w:p>
        </w:tc>
      </w:tr>
      <w:tr w:rsidR="007714B0" w:rsidRPr="00E407F8" w14:paraId="3D5A970F" w14:textId="77777777">
        <w:trPr>
          <w:trHeight w:val="314"/>
        </w:trPr>
        <w:tc>
          <w:tcPr>
            <w:tcW w:w="1560" w:type="dxa"/>
          </w:tcPr>
          <w:p w14:paraId="57D9353A"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Kidney transplant; 1997</w:t>
            </w:r>
          </w:p>
        </w:tc>
        <w:tc>
          <w:tcPr>
            <w:tcW w:w="1275" w:type="dxa"/>
          </w:tcPr>
          <w:p w14:paraId="42DBC6AA"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Thailand</w:t>
            </w:r>
          </w:p>
        </w:tc>
        <w:tc>
          <w:tcPr>
            <w:tcW w:w="1134" w:type="dxa"/>
          </w:tcPr>
          <w:p w14:paraId="04614460"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94</w:t>
            </w:r>
          </w:p>
        </w:tc>
        <w:tc>
          <w:tcPr>
            <w:tcW w:w="1418" w:type="dxa"/>
          </w:tcPr>
          <w:p w14:paraId="2288B779"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43%</w:t>
            </w:r>
          </w:p>
        </w:tc>
        <w:tc>
          <w:tcPr>
            <w:tcW w:w="1134" w:type="dxa"/>
          </w:tcPr>
          <w:p w14:paraId="71F350F4"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w:t>
            </w:r>
          </w:p>
        </w:tc>
        <w:tc>
          <w:tcPr>
            <w:tcW w:w="2551" w:type="dxa"/>
          </w:tcPr>
          <w:p w14:paraId="1E75A318"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Co-circulation of HGV and HCV RNA was detected in 12 patients (13%)</w:t>
            </w:r>
          </w:p>
        </w:tc>
        <w:tc>
          <w:tcPr>
            <w:tcW w:w="1276" w:type="dxa"/>
          </w:tcPr>
          <w:p w14:paraId="21FE8C57"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Raengsakulrach et al</w:t>
            </w:r>
            <w:r w:rsidRPr="00E407F8">
              <w:rPr>
                <w:rFonts w:ascii="Book Antiqua" w:eastAsia="Book Antiqua" w:hAnsi="Book Antiqua" w:cs="Book Antiqua"/>
                <w:color w:val="000000" w:themeColor="text1"/>
                <w:sz w:val="24"/>
                <w:szCs w:val="24"/>
                <w:vertAlign w:val="superscript"/>
              </w:rPr>
              <w:t>[30]</w:t>
            </w:r>
            <w:r w:rsidRPr="00E407F8">
              <w:rPr>
                <w:rFonts w:ascii="Book Antiqua" w:eastAsia="Book Antiqua" w:hAnsi="Book Antiqua" w:cs="Book Antiqua"/>
                <w:color w:val="000000" w:themeColor="text1"/>
                <w:sz w:val="24"/>
                <w:szCs w:val="24"/>
              </w:rPr>
              <w:t>, 1997</w:t>
            </w:r>
          </w:p>
        </w:tc>
      </w:tr>
      <w:tr w:rsidR="007714B0" w:rsidRPr="00E407F8" w14:paraId="26B545D5" w14:textId="77777777">
        <w:trPr>
          <w:trHeight w:val="314"/>
        </w:trPr>
        <w:tc>
          <w:tcPr>
            <w:tcW w:w="1560" w:type="dxa"/>
          </w:tcPr>
          <w:p w14:paraId="5761EFCB"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Heart transplant;</w:t>
            </w:r>
            <w:r w:rsidRPr="00E407F8">
              <w:rPr>
                <w:rFonts w:ascii="Book Antiqua" w:eastAsiaTheme="minorEastAsia" w:hAnsi="Book Antiqua" w:cs="Book Antiqua"/>
                <w:color w:val="000000" w:themeColor="text1"/>
                <w:sz w:val="24"/>
                <w:szCs w:val="24"/>
              </w:rPr>
              <w:t xml:space="preserve"> </w:t>
            </w:r>
            <w:r w:rsidRPr="00E407F8">
              <w:rPr>
                <w:rFonts w:ascii="Book Antiqua" w:eastAsia="Book Antiqua" w:hAnsi="Book Antiqua" w:cs="Book Antiqua"/>
                <w:color w:val="000000" w:themeColor="text1"/>
                <w:sz w:val="24"/>
                <w:szCs w:val="24"/>
              </w:rPr>
              <w:t>1993-1996</w:t>
            </w:r>
          </w:p>
        </w:tc>
        <w:tc>
          <w:tcPr>
            <w:tcW w:w="1275" w:type="dxa"/>
          </w:tcPr>
          <w:p w14:paraId="63391450"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Germany</w:t>
            </w:r>
          </w:p>
        </w:tc>
        <w:tc>
          <w:tcPr>
            <w:tcW w:w="1134" w:type="dxa"/>
          </w:tcPr>
          <w:p w14:paraId="1FCD2B8A"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243</w:t>
            </w:r>
          </w:p>
        </w:tc>
        <w:tc>
          <w:tcPr>
            <w:tcW w:w="1418" w:type="dxa"/>
          </w:tcPr>
          <w:p w14:paraId="1D0C04E2"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24%</w:t>
            </w:r>
          </w:p>
        </w:tc>
        <w:tc>
          <w:tcPr>
            <w:tcW w:w="1134" w:type="dxa"/>
          </w:tcPr>
          <w:p w14:paraId="71240AF8"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w:t>
            </w:r>
          </w:p>
        </w:tc>
        <w:tc>
          <w:tcPr>
            <w:tcW w:w="2551" w:type="dxa"/>
          </w:tcPr>
          <w:p w14:paraId="0EC5C721"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HGV infections are transfusion related</w:t>
            </w:r>
            <w:r w:rsidRPr="00E407F8">
              <w:rPr>
                <w:rFonts w:ascii="Book Antiqua" w:eastAsiaTheme="minorEastAsia" w:hAnsi="Book Antiqua" w:cs="Book Antiqua"/>
                <w:color w:val="000000" w:themeColor="text1"/>
                <w:sz w:val="24"/>
                <w:szCs w:val="24"/>
              </w:rPr>
              <w:t xml:space="preserve">; </w:t>
            </w:r>
            <w:r w:rsidRPr="00E407F8">
              <w:rPr>
                <w:rFonts w:ascii="Book Antiqua" w:eastAsia="Book Antiqua" w:hAnsi="Book Antiqua" w:cs="Book Antiqua"/>
                <w:color w:val="000000" w:themeColor="text1"/>
                <w:sz w:val="24"/>
                <w:szCs w:val="24"/>
              </w:rPr>
              <w:t>not related to the use of mechanical circulatory assist devices or immunosuppression</w:t>
            </w:r>
          </w:p>
        </w:tc>
        <w:tc>
          <w:tcPr>
            <w:tcW w:w="1276" w:type="dxa"/>
          </w:tcPr>
          <w:p w14:paraId="5474FA5B"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 xml:space="preserve">Wolff </w:t>
            </w:r>
            <w:r w:rsidRPr="00E407F8">
              <w:rPr>
                <w:rFonts w:ascii="Book Antiqua" w:eastAsia="Book Antiqua" w:hAnsi="Book Antiqua" w:cs="Book Antiqua"/>
                <w:i/>
                <w:iCs/>
                <w:color w:val="000000" w:themeColor="text1"/>
                <w:sz w:val="24"/>
                <w:szCs w:val="24"/>
              </w:rPr>
              <w:t>et al</w:t>
            </w:r>
            <w:r w:rsidRPr="00E407F8">
              <w:rPr>
                <w:rFonts w:ascii="Book Antiqua" w:eastAsia="Book Antiqua" w:hAnsi="Book Antiqua" w:cs="Book Antiqua"/>
                <w:color w:val="000000" w:themeColor="text1"/>
                <w:sz w:val="24"/>
                <w:szCs w:val="24"/>
                <w:vertAlign w:val="superscript"/>
              </w:rPr>
              <w:t>[36]</w:t>
            </w:r>
            <w:r w:rsidRPr="00E407F8">
              <w:rPr>
                <w:rFonts w:ascii="Book Antiqua" w:eastAsia="Book Antiqua" w:hAnsi="Book Antiqua" w:cs="Book Antiqua"/>
                <w:color w:val="000000" w:themeColor="text1"/>
                <w:sz w:val="24"/>
                <w:szCs w:val="24"/>
              </w:rPr>
              <w:t>, 1996</w:t>
            </w:r>
          </w:p>
        </w:tc>
      </w:tr>
      <w:tr w:rsidR="007714B0" w:rsidRPr="00E407F8" w14:paraId="798FDFD4" w14:textId="77777777">
        <w:trPr>
          <w:trHeight w:val="314"/>
        </w:trPr>
        <w:tc>
          <w:tcPr>
            <w:tcW w:w="1560" w:type="dxa"/>
          </w:tcPr>
          <w:p w14:paraId="1344CEE1"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Liver transplant</w:t>
            </w:r>
            <w:r w:rsidRPr="00E407F8">
              <w:rPr>
                <w:rFonts w:ascii="Book Antiqua" w:eastAsiaTheme="minorEastAsia" w:hAnsi="Book Antiqua" w:cs="Book Antiqua"/>
                <w:color w:val="000000" w:themeColor="text1"/>
                <w:sz w:val="24"/>
                <w:szCs w:val="24"/>
              </w:rPr>
              <w:t xml:space="preserve">; </w:t>
            </w:r>
            <w:r w:rsidRPr="00E407F8">
              <w:rPr>
                <w:rFonts w:ascii="Book Antiqua" w:eastAsia="Book Antiqua" w:hAnsi="Book Antiqua" w:cs="Book Antiqua"/>
                <w:color w:val="000000" w:themeColor="text1"/>
                <w:sz w:val="24"/>
                <w:szCs w:val="24"/>
              </w:rPr>
              <w:t>1989-1996</w:t>
            </w:r>
          </w:p>
        </w:tc>
        <w:tc>
          <w:tcPr>
            <w:tcW w:w="1275" w:type="dxa"/>
          </w:tcPr>
          <w:p w14:paraId="51C140B0"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Germany</w:t>
            </w:r>
          </w:p>
        </w:tc>
        <w:tc>
          <w:tcPr>
            <w:tcW w:w="1134" w:type="dxa"/>
          </w:tcPr>
          <w:p w14:paraId="7DDB8D8E"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98</w:t>
            </w:r>
          </w:p>
        </w:tc>
        <w:tc>
          <w:tcPr>
            <w:tcW w:w="1418" w:type="dxa"/>
          </w:tcPr>
          <w:p w14:paraId="6AD276D2"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Pre-tx 8.2%</w:t>
            </w:r>
            <w:r w:rsidRPr="00E407F8">
              <w:rPr>
                <w:rFonts w:ascii="Book Antiqua" w:eastAsiaTheme="minorEastAsia" w:hAnsi="Book Antiqua" w:cs="Book Antiqua"/>
                <w:color w:val="000000" w:themeColor="text1"/>
                <w:sz w:val="24"/>
                <w:szCs w:val="24"/>
              </w:rPr>
              <w:t xml:space="preserve">; </w:t>
            </w:r>
            <w:r w:rsidRPr="00E407F8">
              <w:rPr>
                <w:rFonts w:ascii="Book Antiqua" w:eastAsia="Book Antiqua" w:hAnsi="Book Antiqua" w:cs="Book Antiqua"/>
                <w:color w:val="000000" w:themeColor="text1"/>
                <w:sz w:val="24"/>
                <w:szCs w:val="24"/>
              </w:rPr>
              <w:t>post-tx 44%</w:t>
            </w:r>
          </w:p>
        </w:tc>
        <w:tc>
          <w:tcPr>
            <w:tcW w:w="1134" w:type="dxa"/>
          </w:tcPr>
          <w:p w14:paraId="27254868"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w:t>
            </w:r>
          </w:p>
        </w:tc>
        <w:tc>
          <w:tcPr>
            <w:tcW w:w="2551" w:type="dxa"/>
          </w:tcPr>
          <w:p w14:paraId="5C5789D5"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None of the hepatitis B, hepatitis C, or fulminant hepatitis, were HGV-RNA positive preoperatively</w:t>
            </w:r>
            <w:r w:rsidRPr="00E407F8">
              <w:rPr>
                <w:rFonts w:ascii="Book Antiqua" w:eastAsiaTheme="minorEastAsia" w:hAnsi="Book Antiqua" w:cs="Book Antiqua"/>
                <w:color w:val="000000" w:themeColor="text1"/>
                <w:sz w:val="24"/>
                <w:szCs w:val="24"/>
              </w:rPr>
              <w:t xml:space="preserve">; </w:t>
            </w:r>
            <w:r w:rsidRPr="00E407F8">
              <w:rPr>
                <w:rFonts w:ascii="Book Antiqua" w:eastAsia="Book Antiqua" w:hAnsi="Book Antiqua" w:cs="Book Antiqua"/>
                <w:color w:val="000000" w:themeColor="text1"/>
                <w:sz w:val="24"/>
                <w:szCs w:val="24"/>
              </w:rPr>
              <w:t xml:space="preserve">HGV was frequently acquired after LT but had no impact on the </w:t>
            </w:r>
            <w:r w:rsidRPr="00E407F8">
              <w:rPr>
                <w:rFonts w:ascii="Book Antiqua" w:eastAsia="Book Antiqua" w:hAnsi="Book Antiqua" w:cs="Book Antiqua"/>
                <w:color w:val="000000" w:themeColor="text1"/>
                <w:sz w:val="24"/>
                <w:szCs w:val="24"/>
              </w:rPr>
              <w:lastRenderedPageBreak/>
              <w:t>short- and medium-term clinical course post-LT</w:t>
            </w:r>
          </w:p>
        </w:tc>
        <w:tc>
          <w:tcPr>
            <w:tcW w:w="1276" w:type="dxa"/>
          </w:tcPr>
          <w:p w14:paraId="254F983B"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lastRenderedPageBreak/>
              <w:t xml:space="preserve">Fischer </w:t>
            </w:r>
            <w:r w:rsidRPr="00E407F8">
              <w:rPr>
                <w:rFonts w:ascii="Book Antiqua" w:eastAsia="Book Antiqua" w:hAnsi="Book Antiqua" w:cs="Book Antiqua"/>
                <w:i/>
                <w:iCs/>
                <w:color w:val="000000" w:themeColor="text1"/>
                <w:sz w:val="24"/>
                <w:szCs w:val="24"/>
              </w:rPr>
              <w:t>et al</w:t>
            </w:r>
            <w:r w:rsidRPr="00E407F8">
              <w:rPr>
                <w:rFonts w:ascii="Book Antiqua" w:eastAsia="Book Antiqua" w:hAnsi="Book Antiqua" w:cs="Book Antiqua"/>
                <w:color w:val="000000" w:themeColor="text1"/>
                <w:sz w:val="24"/>
                <w:szCs w:val="24"/>
                <w:vertAlign w:val="superscript"/>
              </w:rPr>
              <w:t>[23]</w:t>
            </w:r>
            <w:r w:rsidRPr="00E407F8">
              <w:rPr>
                <w:rFonts w:ascii="Book Antiqua" w:eastAsia="Book Antiqua" w:hAnsi="Book Antiqua" w:cs="Book Antiqua"/>
                <w:color w:val="000000" w:themeColor="text1"/>
                <w:sz w:val="24"/>
                <w:szCs w:val="24"/>
              </w:rPr>
              <w:t>, 1999</w:t>
            </w:r>
          </w:p>
        </w:tc>
      </w:tr>
      <w:tr w:rsidR="007714B0" w:rsidRPr="00E407F8" w14:paraId="63FC6EEB" w14:textId="77777777">
        <w:trPr>
          <w:trHeight w:val="314"/>
        </w:trPr>
        <w:tc>
          <w:tcPr>
            <w:tcW w:w="1560" w:type="dxa"/>
          </w:tcPr>
          <w:p w14:paraId="1F8AC466"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Liver transplant;</w:t>
            </w:r>
            <w:r w:rsidRPr="00E407F8">
              <w:rPr>
                <w:rFonts w:ascii="Book Antiqua" w:eastAsiaTheme="minorEastAsia" w:hAnsi="Book Antiqua" w:cs="Book Antiqua"/>
                <w:color w:val="000000" w:themeColor="text1"/>
                <w:sz w:val="24"/>
                <w:szCs w:val="24"/>
              </w:rPr>
              <w:t xml:space="preserve"> </w:t>
            </w:r>
            <w:r w:rsidRPr="00E407F8">
              <w:rPr>
                <w:rFonts w:ascii="Book Antiqua" w:eastAsia="Book Antiqua" w:hAnsi="Book Antiqua" w:cs="Book Antiqua"/>
                <w:color w:val="000000" w:themeColor="text1"/>
                <w:sz w:val="24"/>
                <w:szCs w:val="24"/>
              </w:rPr>
              <w:t>2007-2010</w:t>
            </w:r>
          </w:p>
        </w:tc>
        <w:tc>
          <w:tcPr>
            <w:tcW w:w="1275" w:type="dxa"/>
          </w:tcPr>
          <w:p w14:paraId="299D449D"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Iran</w:t>
            </w:r>
          </w:p>
        </w:tc>
        <w:tc>
          <w:tcPr>
            <w:tcW w:w="1134" w:type="dxa"/>
          </w:tcPr>
          <w:p w14:paraId="115E006C"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106</w:t>
            </w:r>
          </w:p>
        </w:tc>
        <w:tc>
          <w:tcPr>
            <w:tcW w:w="1418" w:type="dxa"/>
          </w:tcPr>
          <w:p w14:paraId="5E42EA5A"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9.4%</w:t>
            </w:r>
          </w:p>
        </w:tc>
        <w:tc>
          <w:tcPr>
            <w:tcW w:w="1134" w:type="dxa"/>
          </w:tcPr>
          <w:p w14:paraId="48256499"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w:t>
            </w:r>
          </w:p>
        </w:tc>
        <w:tc>
          <w:tcPr>
            <w:tcW w:w="2551" w:type="dxa"/>
          </w:tcPr>
          <w:p w14:paraId="5D911C9E"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Moderate prevalence of HGV infection in liver transplant recipients</w:t>
            </w:r>
          </w:p>
        </w:tc>
        <w:tc>
          <w:tcPr>
            <w:tcW w:w="1276" w:type="dxa"/>
          </w:tcPr>
          <w:p w14:paraId="2303CDD7"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 xml:space="preserve">Ebadi </w:t>
            </w:r>
            <w:r w:rsidRPr="00E407F8">
              <w:rPr>
                <w:rFonts w:ascii="Book Antiqua" w:eastAsia="Book Antiqua" w:hAnsi="Book Antiqua" w:cs="Book Antiqua"/>
                <w:i/>
                <w:iCs/>
                <w:color w:val="000000" w:themeColor="text1"/>
                <w:sz w:val="24"/>
                <w:szCs w:val="24"/>
              </w:rPr>
              <w:t>et al</w:t>
            </w:r>
            <w:r w:rsidRPr="00E407F8">
              <w:rPr>
                <w:rFonts w:ascii="Book Antiqua" w:eastAsia="Book Antiqua" w:hAnsi="Book Antiqua" w:cs="Book Antiqua"/>
                <w:color w:val="000000" w:themeColor="text1"/>
                <w:sz w:val="24"/>
                <w:szCs w:val="24"/>
                <w:vertAlign w:val="superscript"/>
              </w:rPr>
              <w:t>[39]</w:t>
            </w:r>
            <w:r w:rsidRPr="00E407F8">
              <w:rPr>
                <w:rFonts w:ascii="Book Antiqua" w:eastAsia="Book Antiqua" w:hAnsi="Book Antiqua" w:cs="Book Antiqua"/>
                <w:color w:val="000000" w:themeColor="text1"/>
                <w:sz w:val="24"/>
                <w:szCs w:val="24"/>
              </w:rPr>
              <w:t>, 2011</w:t>
            </w:r>
          </w:p>
        </w:tc>
      </w:tr>
      <w:tr w:rsidR="007714B0" w:rsidRPr="00E407F8" w14:paraId="6984A9B2" w14:textId="77777777">
        <w:trPr>
          <w:trHeight w:val="314"/>
        </w:trPr>
        <w:tc>
          <w:tcPr>
            <w:tcW w:w="1560" w:type="dxa"/>
          </w:tcPr>
          <w:p w14:paraId="663827F4"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Kidney transplant</w:t>
            </w:r>
            <w:r w:rsidRPr="00E407F8">
              <w:rPr>
                <w:rFonts w:ascii="Book Antiqua" w:eastAsiaTheme="minorEastAsia" w:hAnsi="Book Antiqua" w:cs="Book Antiqua"/>
                <w:color w:val="000000" w:themeColor="text1"/>
                <w:sz w:val="24"/>
                <w:szCs w:val="24"/>
              </w:rPr>
              <w:t xml:space="preserve">; </w:t>
            </w:r>
            <w:r w:rsidRPr="00E407F8">
              <w:rPr>
                <w:rFonts w:ascii="Book Antiqua" w:eastAsia="Book Antiqua" w:hAnsi="Book Antiqua" w:cs="Book Antiqua"/>
                <w:color w:val="000000" w:themeColor="text1"/>
                <w:sz w:val="24"/>
                <w:szCs w:val="24"/>
              </w:rPr>
              <w:t>1986-1990</w:t>
            </w:r>
          </w:p>
        </w:tc>
        <w:tc>
          <w:tcPr>
            <w:tcW w:w="1275" w:type="dxa"/>
          </w:tcPr>
          <w:p w14:paraId="13619BC7"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United States</w:t>
            </w:r>
          </w:p>
        </w:tc>
        <w:tc>
          <w:tcPr>
            <w:tcW w:w="1134" w:type="dxa"/>
          </w:tcPr>
          <w:p w14:paraId="22A1D67F"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93</w:t>
            </w:r>
          </w:p>
        </w:tc>
        <w:tc>
          <w:tcPr>
            <w:tcW w:w="1418" w:type="dxa"/>
          </w:tcPr>
          <w:p w14:paraId="35AE7844"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12%</w:t>
            </w:r>
          </w:p>
        </w:tc>
        <w:tc>
          <w:tcPr>
            <w:tcW w:w="1134" w:type="dxa"/>
          </w:tcPr>
          <w:p w14:paraId="0148900A"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w:t>
            </w:r>
          </w:p>
        </w:tc>
        <w:tc>
          <w:tcPr>
            <w:tcW w:w="2551" w:type="dxa"/>
          </w:tcPr>
          <w:p w14:paraId="57CA801C"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HGV infection does not adversely affect clinical outcome during early follow-up</w:t>
            </w:r>
          </w:p>
        </w:tc>
        <w:tc>
          <w:tcPr>
            <w:tcW w:w="1276" w:type="dxa"/>
          </w:tcPr>
          <w:p w14:paraId="0EA1A005"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 xml:space="preserve">Isaacson </w:t>
            </w:r>
            <w:r w:rsidRPr="00E407F8">
              <w:rPr>
                <w:rFonts w:ascii="Book Antiqua" w:eastAsia="Book Antiqua" w:hAnsi="Book Antiqua" w:cs="Book Antiqua"/>
                <w:i/>
                <w:iCs/>
                <w:color w:val="000000" w:themeColor="text1"/>
                <w:sz w:val="24"/>
                <w:szCs w:val="24"/>
              </w:rPr>
              <w:t>et al</w:t>
            </w:r>
            <w:r w:rsidRPr="00E407F8">
              <w:rPr>
                <w:rFonts w:ascii="Book Antiqua" w:eastAsia="Book Antiqua" w:hAnsi="Book Antiqua" w:cs="Book Antiqua"/>
                <w:color w:val="000000" w:themeColor="text1"/>
                <w:sz w:val="24"/>
                <w:szCs w:val="24"/>
                <w:vertAlign w:val="superscript"/>
              </w:rPr>
              <w:t>[32]</w:t>
            </w:r>
            <w:r w:rsidRPr="00E407F8">
              <w:rPr>
                <w:rFonts w:ascii="Book Antiqua" w:eastAsia="Book Antiqua" w:hAnsi="Book Antiqua" w:cs="Book Antiqua"/>
                <w:color w:val="000000" w:themeColor="text1"/>
                <w:sz w:val="24"/>
                <w:szCs w:val="24"/>
              </w:rPr>
              <w:t>, 1999</w:t>
            </w:r>
          </w:p>
        </w:tc>
      </w:tr>
      <w:tr w:rsidR="007714B0" w:rsidRPr="00E407F8" w14:paraId="538C7E08" w14:textId="77777777">
        <w:trPr>
          <w:trHeight w:val="314"/>
        </w:trPr>
        <w:tc>
          <w:tcPr>
            <w:tcW w:w="1560" w:type="dxa"/>
          </w:tcPr>
          <w:p w14:paraId="216EEF40"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Liver transplant</w:t>
            </w:r>
            <w:r w:rsidRPr="00E407F8">
              <w:rPr>
                <w:rFonts w:ascii="Book Antiqua" w:eastAsiaTheme="minorEastAsia" w:hAnsi="Book Antiqua" w:cs="Book Antiqua"/>
                <w:color w:val="000000" w:themeColor="text1"/>
                <w:sz w:val="24"/>
                <w:szCs w:val="24"/>
              </w:rPr>
              <w:t xml:space="preserve">; </w:t>
            </w:r>
            <w:r w:rsidRPr="00E407F8">
              <w:rPr>
                <w:rFonts w:ascii="Book Antiqua" w:eastAsia="Book Antiqua" w:hAnsi="Book Antiqua" w:cs="Book Antiqua"/>
                <w:color w:val="000000" w:themeColor="text1"/>
                <w:sz w:val="24"/>
                <w:szCs w:val="24"/>
              </w:rPr>
              <w:t>1989-1996</w:t>
            </w:r>
          </w:p>
        </w:tc>
        <w:tc>
          <w:tcPr>
            <w:tcW w:w="1275" w:type="dxa"/>
          </w:tcPr>
          <w:p w14:paraId="37DD3F12"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Italy</w:t>
            </w:r>
          </w:p>
        </w:tc>
        <w:tc>
          <w:tcPr>
            <w:tcW w:w="1134" w:type="dxa"/>
          </w:tcPr>
          <w:p w14:paraId="3DC960B1"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136</w:t>
            </w:r>
          </w:p>
        </w:tc>
        <w:tc>
          <w:tcPr>
            <w:tcW w:w="1418" w:type="dxa"/>
          </w:tcPr>
          <w:p w14:paraId="718F4741"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Pre-tx 18.4%</w:t>
            </w:r>
            <w:r w:rsidRPr="00E407F8">
              <w:rPr>
                <w:rFonts w:ascii="Book Antiqua" w:eastAsiaTheme="minorEastAsia" w:hAnsi="Book Antiqua" w:cs="Book Antiqua"/>
                <w:color w:val="000000" w:themeColor="text1"/>
                <w:sz w:val="24"/>
                <w:szCs w:val="24"/>
              </w:rPr>
              <w:t xml:space="preserve">; </w:t>
            </w:r>
            <w:r w:rsidRPr="00E407F8">
              <w:rPr>
                <w:rFonts w:ascii="Book Antiqua" w:eastAsia="Book Antiqua" w:hAnsi="Book Antiqua" w:cs="Book Antiqua"/>
                <w:color w:val="000000" w:themeColor="text1"/>
                <w:sz w:val="24"/>
                <w:szCs w:val="24"/>
              </w:rPr>
              <w:t>post-tx 47.8%</w:t>
            </w:r>
          </w:p>
        </w:tc>
        <w:tc>
          <w:tcPr>
            <w:tcW w:w="1134" w:type="dxa"/>
          </w:tcPr>
          <w:p w14:paraId="20AD8A77" w14:textId="6D34726A" w:rsidR="007714B0" w:rsidRPr="00E407F8" w:rsidRDefault="00F654CD" w:rsidP="0044219D">
            <w:pPr>
              <w:pStyle w:val="LO-normal"/>
              <w:widowControl w:val="0"/>
              <w:spacing w:after="0" w:line="360" w:lineRule="auto"/>
              <w:jc w:val="both"/>
              <w:rPr>
                <w:rFonts w:ascii="Book Antiqua" w:eastAsiaTheme="minorEastAsi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P</w:t>
            </w:r>
            <w:r w:rsidR="00861EF4" w:rsidRPr="00E407F8">
              <w:rPr>
                <w:rFonts w:ascii="Book Antiqua" w:eastAsia="Book Antiqua" w:hAnsi="Book Antiqua" w:cs="Book Antiqua"/>
                <w:color w:val="000000" w:themeColor="text1"/>
                <w:sz w:val="24"/>
                <w:szCs w:val="24"/>
              </w:rPr>
              <w:t>re-tx 26.5%</w:t>
            </w:r>
          </w:p>
        </w:tc>
        <w:tc>
          <w:tcPr>
            <w:tcW w:w="2551" w:type="dxa"/>
          </w:tcPr>
          <w:p w14:paraId="3CA5C8D4"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Liver transplant patients are heavily exposed to HGV before and after transplantation</w:t>
            </w:r>
            <w:r w:rsidRPr="00E407F8">
              <w:rPr>
                <w:rFonts w:ascii="Book Antiqua" w:eastAsiaTheme="minorEastAsia" w:hAnsi="Book Antiqua" w:cs="Book Antiqua"/>
                <w:color w:val="000000" w:themeColor="text1"/>
                <w:sz w:val="24"/>
                <w:szCs w:val="24"/>
              </w:rPr>
              <w:t xml:space="preserve">; </w:t>
            </w:r>
            <w:r w:rsidRPr="00E407F8">
              <w:rPr>
                <w:rFonts w:ascii="Book Antiqua" w:eastAsia="Book Antiqua" w:hAnsi="Book Antiqua" w:cs="Book Antiqua"/>
                <w:color w:val="000000" w:themeColor="text1"/>
                <w:sz w:val="24"/>
                <w:szCs w:val="24"/>
              </w:rPr>
              <w:t>HGV does not induce liver disease</w:t>
            </w:r>
            <w:r w:rsidRPr="00E407F8">
              <w:rPr>
                <w:rFonts w:ascii="Book Antiqua" w:eastAsiaTheme="minorEastAsia" w:hAnsi="Book Antiqua" w:cs="Book Antiqua"/>
                <w:color w:val="000000" w:themeColor="text1"/>
                <w:sz w:val="24"/>
                <w:szCs w:val="24"/>
              </w:rPr>
              <w:t xml:space="preserve">; </w:t>
            </w:r>
            <w:r w:rsidRPr="00E407F8">
              <w:rPr>
                <w:rFonts w:ascii="Book Antiqua" w:eastAsia="Book Antiqua" w:hAnsi="Book Antiqua" w:cs="Book Antiqua"/>
                <w:color w:val="000000" w:themeColor="text1"/>
                <w:sz w:val="24"/>
                <w:szCs w:val="24"/>
              </w:rPr>
              <w:t>most infections are self-limited and induce a protective immunity (anti-E2 antibodies presence)</w:t>
            </w:r>
          </w:p>
        </w:tc>
        <w:tc>
          <w:tcPr>
            <w:tcW w:w="1276" w:type="dxa"/>
          </w:tcPr>
          <w:p w14:paraId="3F163F70"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 xml:space="preserve">Silini </w:t>
            </w:r>
            <w:r w:rsidRPr="00E407F8">
              <w:rPr>
                <w:rFonts w:ascii="Book Antiqua" w:eastAsia="Book Antiqua" w:hAnsi="Book Antiqua" w:cs="Book Antiqua"/>
                <w:i/>
                <w:iCs/>
                <w:color w:val="000000" w:themeColor="text1"/>
                <w:sz w:val="24"/>
                <w:szCs w:val="24"/>
              </w:rPr>
              <w:t>et al</w:t>
            </w:r>
            <w:r w:rsidRPr="00E407F8">
              <w:rPr>
                <w:rFonts w:ascii="Book Antiqua" w:eastAsia="Book Antiqua" w:hAnsi="Book Antiqua" w:cs="Book Antiqua"/>
                <w:color w:val="000000" w:themeColor="text1"/>
                <w:sz w:val="24"/>
                <w:szCs w:val="24"/>
                <w:vertAlign w:val="superscript"/>
              </w:rPr>
              <w:t>[40]</w:t>
            </w:r>
            <w:r w:rsidRPr="00E407F8">
              <w:rPr>
                <w:rFonts w:ascii="Book Antiqua" w:eastAsia="Book Antiqua" w:hAnsi="Book Antiqua" w:cs="Book Antiqua"/>
                <w:color w:val="000000" w:themeColor="text1"/>
                <w:sz w:val="24"/>
                <w:szCs w:val="24"/>
              </w:rPr>
              <w:t>, 1998</w:t>
            </w:r>
          </w:p>
        </w:tc>
      </w:tr>
      <w:tr w:rsidR="007714B0" w:rsidRPr="00E407F8" w14:paraId="4AB9E28B" w14:textId="77777777">
        <w:trPr>
          <w:trHeight w:val="314"/>
        </w:trPr>
        <w:tc>
          <w:tcPr>
            <w:tcW w:w="1560" w:type="dxa"/>
          </w:tcPr>
          <w:p w14:paraId="4FCBEAA6"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HSCT</w:t>
            </w:r>
            <w:r w:rsidRPr="00E407F8">
              <w:rPr>
                <w:rFonts w:ascii="Book Antiqua" w:eastAsiaTheme="minorEastAsia" w:hAnsi="Book Antiqua" w:cs="Book Antiqua"/>
                <w:color w:val="000000" w:themeColor="text1"/>
                <w:sz w:val="24"/>
                <w:szCs w:val="24"/>
              </w:rPr>
              <w:t xml:space="preserve">; </w:t>
            </w:r>
            <w:r w:rsidRPr="00E407F8">
              <w:rPr>
                <w:rFonts w:ascii="Book Antiqua" w:eastAsia="Book Antiqua" w:hAnsi="Book Antiqua" w:cs="Book Antiqua"/>
                <w:color w:val="000000" w:themeColor="text1"/>
                <w:sz w:val="24"/>
                <w:szCs w:val="24"/>
              </w:rPr>
              <w:t>1985-1996</w:t>
            </w:r>
          </w:p>
        </w:tc>
        <w:tc>
          <w:tcPr>
            <w:tcW w:w="1275" w:type="dxa"/>
          </w:tcPr>
          <w:p w14:paraId="5CF5B1CD"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France</w:t>
            </w:r>
          </w:p>
        </w:tc>
        <w:tc>
          <w:tcPr>
            <w:tcW w:w="1134" w:type="dxa"/>
          </w:tcPr>
          <w:p w14:paraId="58B2FAF6"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95</w:t>
            </w:r>
          </w:p>
        </w:tc>
        <w:tc>
          <w:tcPr>
            <w:tcW w:w="1418" w:type="dxa"/>
          </w:tcPr>
          <w:p w14:paraId="65528203"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29.5%</w:t>
            </w:r>
          </w:p>
        </w:tc>
        <w:tc>
          <w:tcPr>
            <w:tcW w:w="1134" w:type="dxa"/>
          </w:tcPr>
          <w:p w14:paraId="29529458"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w:t>
            </w:r>
          </w:p>
        </w:tc>
        <w:tc>
          <w:tcPr>
            <w:tcW w:w="2551" w:type="dxa"/>
          </w:tcPr>
          <w:p w14:paraId="6011B2FB"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 xml:space="preserve">Acute GVHD, chronic GVHD, or veno-occlusive disease are similar in HGV+ and </w:t>
            </w:r>
            <w:r w:rsidRPr="00E407F8">
              <w:rPr>
                <w:rFonts w:ascii="Book Antiqua" w:eastAsia="Book Antiqua" w:hAnsi="Book Antiqua" w:cs="Book Antiqua"/>
                <w:color w:val="000000" w:themeColor="text1"/>
                <w:sz w:val="24"/>
                <w:szCs w:val="24"/>
              </w:rPr>
              <w:lastRenderedPageBreak/>
              <w:t>HGV- recipients in early period after allogenic BMT</w:t>
            </w:r>
          </w:p>
        </w:tc>
        <w:tc>
          <w:tcPr>
            <w:tcW w:w="1276" w:type="dxa"/>
          </w:tcPr>
          <w:p w14:paraId="220C3E2C"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lastRenderedPageBreak/>
              <w:t xml:space="preserve">Corbi </w:t>
            </w:r>
            <w:r w:rsidRPr="00E407F8">
              <w:rPr>
                <w:rFonts w:ascii="Book Antiqua" w:eastAsia="Book Antiqua" w:hAnsi="Book Antiqua" w:cs="Book Antiqua"/>
                <w:i/>
                <w:iCs/>
                <w:color w:val="000000" w:themeColor="text1"/>
                <w:sz w:val="24"/>
                <w:szCs w:val="24"/>
              </w:rPr>
              <w:t>et al</w:t>
            </w:r>
            <w:r w:rsidRPr="00E407F8">
              <w:rPr>
                <w:rFonts w:ascii="Book Antiqua" w:eastAsia="Book Antiqua" w:hAnsi="Book Antiqua" w:cs="Book Antiqua"/>
                <w:color w:val="000000" w:themeColor="text1"/>
                <w:sz w:val="24"/>
                <w:szCs w:val="24"/>
                <w:vertAlign w:val="superscript"/>
              </w:rPr>
              <w:t>[21]</w:t>
            </w:r>
            <w:r w:rsidRPr="00E407F8">
              <w:rPr>
                <w:rFonts w:ascii="Book Antiqua" w:eastAsia="Book Antiqua" w:hAnsi="Book Antiqua" w:cs="Book Antiqua"/>
                <w:color w:val="000000" w:themeColor="text1"/>
                <w:sz w:val="24"/>
                <w:szCs w:val="24"/>
              </w:rPr>
              <w:t>,1997</w:t>
            </w:r>
          </w:p>
        </w:tc>
      </w:tr>
      <w:tr w:rsidR="007714B0" w:rsidRPr="00E407F8" w14:paraId="0465B98B" w14:textId="77777777">
        <w:trPr>
          <w:trHeight w:val="314"/>
        </w:trPr>
        <w:tc>
          <w:tcPr>
            <w:tcW w:w="1560" w:type="dxa"/>
          </w:tcPr>
          <w:p w14:paraId="5834D00D"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Kidney transplant</w:t>
            </w:r>
            <w:r w:rsidRPr="00E407F8">
              <w:rPr>
                <w:rFonts w:ascii="Book Antiqua" w:eastAsiaTheme="minorEastAsia" w:hAnsi="Book Antiqua" w:cs="Book Antiqua"/>
                <w:color w:val="000000" w:themeColor="text1"/>
                <w:sz w:val="24"/>
                <w:szCs w:val="24"/>
              </w:rPr>
              <w:t xml:space="preserve">; </w:t>
            </w:r>
            <w:r w:rsidRPr="00E407F8">
              <w:rPr>
                <w:rFonts w:ascii="Book Antiqua" w:eastAsia="Book Antiqua" w:hAnsi="Book Antiqua" w:cs="Book Antiqua"/>
                <w:color w:val="000000" w:themeColor="text1"/>
                <w:sz w:val="24"/>
                <w:szCs w:val="24"/>
              </w:rPr>
              <w:t>1997</w:t>
            </w:r>
          </w:p>
        </w:tc>
        <w:tc>
          <w:tcPr>
            <w:tcW w:w="1275" w:type="dxa"/>
          </w:tcPr>
          <w:p w14:paraId="7D1E6F97"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Germany</w:t>
            </w:r>
          </w:p>
        </w:tc>
        <w:tc>
          <w:tcPr>
            <w:tcW w:w="1134" w:type="dxa"/>
          </w:tcPr>
          <w:p w14:paraId="13ABF123"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221</w:t>
            </w:r>
          </w:p>
        </w:tc>
        <w:tc>
          <w:tcPr>
            <w:tcW w:w="1418" w:type="dxa"/>
          </w:tcPr>
          <w:p w14:paraId="464E9A2A"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14%</w:t>
            </w:r>
          </w:p>
        </w:tc>
        <w:tc>
          <w:tcPr>
            <w:tcW w:w="1134" w:type="dxa"/>
          </w:tcPr>
          <w:p w14:paraId="507D1DEA"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40%</w:t>
            </w:r>
          </w:p>
        </w:tc>
        <w:tc>
          <w:tcPr>
            <w:tcW w:w="2551" w:type="dxa"/>
          </w:tcPr>
          <w:p w14:paraId="6AF17FFC"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The majority of infected individuals eliminate the virus over time</w:t>
            </w:r>
          </w:p>
        </w:tc>
        <w:tc>
          <w:tcPr>
            <w:tcW w:w="1276" w:type="dxa"/>
          </w:tcPr>
          <w:p w14:paraId="4DC7C88D"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 xml:space="preserve">Stark </w:t>
            </w:r>
            <w:r w:rsidRPr="00E407F8">
              <w:rPr>
                <w:rFonts w:ascii="Book Antiqua" w:eastAsia="Book Antiqua" w:hAnsi="Book Antiqua" w:cs="Book Antiqua"/>
                <w:i/>
                <w:iCs/>
                <w:color w:val="000000" w:themeColor="text1"/>
                <w:sz w:val="24"/>
                <w:szCs w:val="24"/>
              </w:rPr>
              <w:t>et al</w:t>
            </w:r>
            <w:r w:rsidRPr="00E407F8">
              <w:rPr>
                <w:rFonts w:ascii="Book Antiqua" w:eastAsia="Book Antiqua" w:hAnsi="Book Antiqua" w:cs="Book Antiqua"/>
                <w:color w:val="000000" w:themeColor="text1"/>
                <w:sz w:val="24"/>
                <w:szCs w:val="24"/>
                <w:vertAlign w:val="superscript"/>
              </w:rPr>
              <w:t>[33]</w:t>
            </w:r>
            <w:r w:rsidRPr="00E407F8">
              <w:rPr>
                <w:rFonts w:ascii="Book Antiqua" w:eastAsia="Book Antiqua" w:hAnsi="Book Antiqua" w:cs="Book Antiqua"/>
                <w:color w:val="000000" w:themeColor="text1"/>
                <w:sz w:val="24"/>
                <w:szCs w:val="24"/>
              </w:rPr>
              <w:t>, 1997</w:t>
            </w:r>
          </w:p>
        </w:tc>
      </w:tr>
      <w:tr w:rsidR="007714B0" w:rsidRPr="00E407F8" w14:paraId="20F91CD6" w14:textId="77777777">
        <w:trPr>
          <w:trHeight w:val="314"/>
        </w:trPr>
        <w:tc>
          <w:tcPr>
            <w:tcW w:w="1560" w:type="dxa"/>
          </w:tcPr>
          <w:p w14:paraId="4D8BC7B0"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Kidney transplant</w:t>
            </w:r>
            <w:r w:rsidRPr="00E407F8">
              <w:rPr>
                <w:rFonts w:ascii="Book Antiqua" w:eastAsiaTheme="minorEastAsia" w:hAnsi="Book Antiqua" w:cs="Book Antiqua"/>
                <w:color w:val="000000" w:themeColor="text1"/>
                <w:sz w:val="24"/>
                <w:szCs w:val="24"/>
              </w:rPr>
              <w:t xml:space="preserve">; </w:t>
            </w:r>
            <w:r w:rsidRPr="00E407F8">
              <w:rPr>
                <w:rFonts w:ascii="Book Antiqua" w:eastAsia="Book Antiqua" w:hAnsi="Book Antiqua" w:cs="Book Antiqua"/>
                <w:color w:val="000000" w:themeColor="text1"/>
                <w:sz w:val="24"/>
                <w:szCs w:val="24"/>
              </w:rPr>
              <w:t>NA</w:t>
            </w:r>
          </w:p>
        </w:tc>
        <w:tc>
          <w:tcPr>
            <w:tcW w:w="1275" w:type="dxa"/>
          </w:tcPr>
          <w:p w14:paraId="06787BA4"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Turkey</w:t>
            </w:r>
          </w:p>
        </w:tc>
        <w:tc>
          <w:tcPr>
            <w:tcW w:w="1134" w:type="dxa"/>
          </w:tcPr>
          <w:p w14:paraId="572BE7BE"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69</w:t>
            </w:r>
          </w:p>
        </w:tc>
        <w:tc>
          <w:tcPr>
            <w:tcW w:w="1418" w:type="dxa"/>
          </w:tcPr>
          <w:p w14:paraId="4A664175"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42%</w:t>
            </w:r>
          </w:p>
        </w:tc>
        <w:tc>
          <w:tcPr>
            <w:tcW w:w="1134" w:type="dxa"/>
          </w:tcPr>
          <w:p w14:paraId="4FEA12C0"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w:t>
            </w:r>
          </w:p>
        </w:tc>
        <w:tc>
          <w:tcPr>
            <w:tcW w:w="2551" w:type="dxa"/>
          </w:tcPr>
          <w:p w14:paraId="61DE2325"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Genotype 2 is the dominant type;</w:t>
            </w:r>
            <w:r w:rsidRPr="00E407F8">
              <w:rPr>
                <w:rFonts w:ascii="Book Antiqua" w:eastAsiaTheme="minorEastAsia" w:hAnsi="Book Antiqua" w:cs="Book Antiqua"/>
                <w:color w:val="000000" w:themeColor="text1"/>
                <w:sz w:val="24"/>
                <w:szCs w:val="24"/>
              </w:rPr>
              <w:t xml:space="preserve"> </w:t>
            </w:r>
            <w:r w:rsidRPr="00E407F8">
              <w:rPr>
                <w:rFonts w:ascii="Book Antiqua" w:eastAsia="Book Antiqua" w:hAnsi="Book Antiqua" w:cs="Book Antiqua"/>
                <w:color w:val="000000" w:themeColor="text1"/>
                <w:sz w:val="24"/>
                <w:szCs w:val="24"/>
              </w:rPr>
              <w:t>subgroup 2a most common of the isolates</w:t>
            </w:r>
          </w:p>
        </w:tc>
        <w:tc>
          <w:tcPr>
            <w:tcW w:w="1276" w:type="dxa"/>
          </w:tcPr>
          <w:p w14:paraId="21F722A7"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 xml:space="preserve">Erensoy </w:t>
            </w:r>
            <w:r w:rsidRPr="00E407F8">
              <w:rPr>
                <w:rFonts w:ascii="Book Antiqua" w:eastAsia="Book Antiqua" w:hAnsi="Book Antiqua" w:cs="Book Antiqua"/>
                <w:i/>
                <w:iCs/>
                <w:color w:val="000000" w:themeColor="text1"/>
                <w:sz w:val="24"/>
                <w:szCs w:val="24"/>
              </w:rPr>
              <w:t>et al</w:t>
            </w:r>
            <w:r w:rsidRPr="00E407F8">
              <w:rPr>
                <w:rFonts w:ascii="Book Antiqua" w:eastAsia="Book Antiqua" w:hAnsi="Book Antiqua" w:cs="Book Antiqua"/>
                <w:color w:val="000000" w:themeColor="text1"/>
                <w:sz w:val="24"/>
                <w:szCs w:val="24"/>
                <w:vertAlign w:val="superscript"/>
              </w:rPr>
              <w:t>[41]</w:t>
            </w:r>
            <w:r w:rsidRPr="00E407F8">
              <w:rPr>
                <w:rFonts w:ascii="Book Antiqua" w:eastAsia="Book Antiqua" w:hAnsi="Book Antiqua" w:cs="Book Antiqua"/>
                <w:color w:val="000000" w:themeColor="text1"/>
                <w:sz w:val="24"/>
                <w:szCs w:val="24"/>
              </w:rPr>
              <w:t>, 2002</w:t>
            </w:r>
          </w:p>
        </w:tc>
      </w:tr>
      <w:tr w:rsidR="007714B0" w:rsidRPr="00E407F8" w14:paraId="59A4C83E" w14:textId="77777777">
        <w:trPr>
          <w:trHeight w:val="314"/>
        </w:trPr>
        <w:tc>
          <w:tcPr>
            <w:tcW w:w="1560" w:type="dxa"/>
          </w:tcPr>
          <w:p w14:paraId="0FD4121D"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Liver transplant</w:t>
            </w:r>
            <w:r w:rsidRPr="00E407F8">
              <w:rPr>
                <w:rFonts w:ascii="Book Antiqua" w:eastAsiaTheme="minorEastAsia" w:hAnsi="Book Antiqua" w:cs="Book Antiqua"/>
                <w:color w:val="000000" w:themeColor="text1"/>
                <w:sz w:val="24"/>
                <w:szCs w:val="24"/>
              </w:rPr>
              <w:t xml:space="preserve">; </w:t>
            </w:r>
            <w:r w:rsidRPr="00E407F8">
              <w:rPr>
                <w:rFonts w:ascii="Book Antiqua" w:eastAsia="Book Antiqua" w:hAnsi="Book Antiqua" w:cs="Book Antiqua"/>
                <w:color w:val="000000" w:themeColor="text1"/>
                <w:sz w:val="24"/>
                <w:szCs w:val="24"/>
              </w:rPr>
              <w:t>1993-1995</w:t>
            </w:r>
          </w:p>
        </w:tc>
        <w:tc>
          <w:tcPr>
            <w:tcW w:w="1275" w:type="dxa"/>
          </w:tcPr>
          <w:p w14:paraId="55C7AA3E"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United Kingdom</w:t>
            </w:r>
          </w:p>
        </w:tc>
        <w:tc>
          <w:tcPr>
            <w:tcW w:w="1134" w:type="dxa"/>
          </w:tcPr>
          <w:p w14:paraId="67DADFD7"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47</w:t>
            </w:r>
          </w:p>
        </w:tc>
        <w:tc>
          <w:tcPr>
            <w:tcW w:w="1418" w:type="dxa"/>
          </w:tcPr>
          <w:p w14:paraId="52CA3AB5"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47%</w:t>
            </w:r>
          </w:p>
        </w:tc>
        <w:tc>
          <w:tcPr>
            <w:tcW w:w="1134" w:type="dxa"/>
          </w:tcPr>
          <w:p w14:paraId="333B1868"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w:t>
            </w:r>
          </w:p>
        </w:tc>
        <w:tc>
          <w:tcPr>
            <w:tcW w:w="2551" w:type="dxa"/>
          </w:tcPr>
          <w:p w14:paraId="7D2421C6"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HGV does not cause significant liver disease after LT</w:t>
            </w:r>
          </w:p>
        </w:tc>
        <w:tc>
          <w:tcPr>
            <w:tcW w:w="1276" w:type="dxa"/>
          </w:tcPr>
          <w:p w14:paraId="6E309A85" w14:textId="77777777" w:rsidR="007714B0" w:rsidRPr="00E407F8" w:rsidRDefault="007A74B5" w:rsidP="0044219D">
            <w:pPr>
              <w:pStyle w:val="LO-normal"/>
              <w:widowControl w:val="0"/>
              <w:spacing w:after="0" w:line="360" w:lineRule="auto"/>
              <w:jc w:val="both"/>
              <w:rPr>
                <w:rFonts w:ascii="Book Antiqua" w:eastAsia="Book Antiqua" w:hAnsi="Book Antiqua" w:cs="Book Antiqua"/>
                <w:color w:val="000000" w:themeColor="text1"/>
                <w:sz w:val="24"/>
                <w:szCs w:val="24"/>
              </w:rPr>
            </w:pPr>
            <w:hyperlink r:id="rId10">
              <w:r w:rsidR="00861EF4" w:rsidRPr="00E407F8">
                <w:rPr>
                  <w:rFonts w:ascii="Book Antiqua" w:eastAsia="Book Antiqua" w:hAnsi="Book Antiqua" w:cs="Book Antiqua"/>
                  <w:color w:val="000000" w:themeColor="text1"/>
                  <w:sz w:val="24"/>
                  <w:szCs w:val="24"/>
                </w:rPr>
                <w:t>Karayianni</w:t>
              </w:r>
            </w:hyperlink>
            <w:r w:rsidR="00861EF4" w:rsidRPr="00E407F8">
              <w:rPr>
                <w:rFonts w:ascii="Book Antiqua" w:eastAsia="Book Antiqua" w:hAnsi="Book Antiqua" w:cs="Book Antiqua"/>
                <w:color w:val="000000" w:themeColor="text1"/>
                <w:sz w:val="24"/>
                <w:szCs w:val="24"/>
              </w:rPr>
              <w:t xml:space="preserve">s </w:t>
            </w:r>
            <w:r w:rsidR="00861EF4" w:rsidRPr="00E407F8">
              <w:rPr>
                <w:rFonts w:ascii="Book Antiqua" w:eastAsia="Book Antiqua" w:hAnsi="Book Antiqua" w:cs="Book Antiqua"/>
                <w:i/>
                <w:iCs/>
                <w:color w:val="000000" w:themeColor="text1"/>
                <w:sz w:val="24"/>
                <w:szCs w:val="24"/>
              </w:rPr>
              <w:t>et al</w:t>
            </w:r>
            <w:r w:rsidR="00861EF4" w:rsidRPr="00E407F8">
              <w:rPr>
                <w:rFonts w:ascii="Book Antiqua" w:eastAsia="Book Antiqua" w:hAnsi="Book Antiqua" w:cs="Book Antiqua"/>
                <w:color w:val="000000" w:themeColor="text1"/>
                <w:sz w:val="24"/>
                <w:szCs w:val="24"/>
                <w:vertAlign w:val="superscript"/>
              </w:rPr>
              <w:t>[42]</w:t>
            </w:r>
            <w:r w:rsidR="00861EF4" w:rsidRPr="00E407F8">
              <w:rPr>
                <w:rFonts w:ascii="Book Antiqua" w:eastAsia="Book Antiqua" w:hAnsi="Book Antiqua" w:cs="Book Antiqua"/>
                <w:color w:val="000000" w:themeColor="text1"/>
                <w:sz w:val="24"/>
                <w:szCs w:val="24"/>
              </w:rPr>
              <w:t>, 1998</w:t>
            </w:r>
          </w:p>
        </w:tc>
      </w:tr>
      <w:tr w:rsidR="007714B0" w:rsidRPr="00E407F8" w14:paraId="14D32E25" w14:textId="77777777">
        <w:trPr>
          <w:trHeight w:val="314"/>
        </w:trPr>
        <w:tc>
          <w:tcPr>
            <w:tcW w:w="1560" w:type="dxa"/>
          </w:tcPr>
          <w:p w14:paraId="21A2C9F8"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Liver transplant</w:t>
            </w:r>
            <w:r w:rsidRPr="00E407F8">
              <w:rPr>
                <w:rFonts w:ascii="Book Antiqua" w:eastAsiaTheme="minorEastAsia" w:hAnsi="Book Antiqua" w:cs="Book Antiqua"/>
                <w:color w:val="000000" w:themeColor="text1"/>
                <w:sz w:val="24"/>
                <w:szCs w:val="24"/>
              </w:rPr>
              <w:t xml:space="preserve">; </w:t>
            </w:r>
            <w:r w:rsidRPr="00E407F8">
              <w:rPr>
                <w:rFonts w:ascii="Book Antiqua" w:eastAsia="Book Antiqua" w:hAnsi="Book Antiqua" w:cs="Book Antiqua"/>
                <w:color w:val="000000" w:themeColor="text1"/>
                <w:sz w:val="24"/>
                <w:szCs w:val="24"/>
              </w:rPr>
              <w:t>1979-1990</w:t>
            </w:r>
          </w:p>
        </w:tc>
        <w:tc>
          <w:tcPr>
            <w:tcW w:w="1275" w:type="dxa"/>
          </w:tcPr>
          <w:p w14:paraId="7D2AE198"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Netherlands</w:t>
            </w:r>
          </w:p>
        </w:tc>
        <w:tc>
          <w:tcPr>
            <w:tcW w:w="1134" w:type="dxa"/>
          </w:tcPr>
          <w:p w14:paraId="711D6E64"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39</w:t>
            </w:r>
          </w:p>
        </w:tc>
        <w:tc>
          <w:tcPr>
            <w:tcW w:w="1418" w:type="dxa"/>
          </w:tcPr>
          <w:p w14:paraId="1120DB02"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Pre-tx 15.4%</w:t>
            </w:r>
            <w:r w:rsidRPr="00E407F8">
              <w:rPr>
                <w:rFonts w:ascii="Book Antiqua" w:eastAsiaTheme="minorEastAsia" w:hAnsi="Book Antiqua" w:cs="Book Antiqua"/>
                <w:color w:val="000000" w:themeColor="text1"/>
                <w:sz w:val="24"/>
                <w:szCs w:val="24"/>
              </w:rPr>
              <w:t xml:space="preserve">; </w:t>
            </w:r>
            <w:r w:rsidRPr="00E407F8">
              <w:rPr>
                <w:rFonts w:ascii="Book Antiqua" w:eastAsia="Book Antiqua" w:hAnsi="Book Antiqua" w:cs="Book Antiqua"/>
                <w:color w:val="000000" w:themeColor="text1"/>
                <w:sz w:val="24"/>
                <w:szCs w:val="24"/>
              </w:rPr>
              <w:t>post-tx 43.6%</w:t>
            </w:r>
          </w:p>
        </w:tc>
        <w:tc>
          <w:tcPr>
            <w:tcW w:w="1134" w:type="dxa"/>
          </w:tcPr>
          <w:p w14:paraId="347E85C3"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w:t>
            </w:r>
          </w:p>
        </w:tc>
        <w:tc>
          <w:tcPr>
            <w:tcW w:w="2551" w:type="dxa"/>
          </w:tcPr>
          <w:p w14:paraId="74DE5FDB"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HGV infection is highly prevalent in liver transplant patients</w:t>
            </w:r>
            <w:r w:rsidRPr="00E407F8">
              <w:rPr>
                <w:rFonts w:ascii="Book Antiqua" w:eastAsiaTheme="minorEastAsia" w:hAnsi="Book Antiqua" w:cs="Book Antiqua"/>
                <w:color w:val="000000" w:themeColor="text1"/>
                <w:sz w:val="24"/>
                <w:szCs w:val="24"/>
              </w:rPr>
              <w:t xml:space="preserve">; </w:t>
            </w:r>
            <w:r w:rsidRPr="00E407F8">
              <w:rPr>
                <w:rFonts w:ascii="Book Antiqua" w:eastAsia="Book Antiqua" w:hAnsi="Book Antiqua" w:cs="Book Antiqua"/>
                <w:color w:val="000000" w:themeColor="text1"/>
                <w:sz w:val="24"/>
                <w:szCs w:val="24"/>
              </w:rPr>
              <w:t>in the absence of HBV or HCV co-infection with, no long-term negative influence on the graft</w:t>
            </w:r>
          </w:p>
        </w:tc>
        <w:tc>
          <w:tcPr>
            <w:tcW w:w="1276" w:type="dxa"/>
          </w:tcPr>
          <w:p w14:paraId="1210427B"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 xml:space="preserve">Haagsma </w:t>
            </w:r>
            <w:r w:rsidRPr="00E407F8">
              <w:rPr>
                <w:rFonts w:ascii="Book Antiqua" w:eastAsia="Book Antiqua" w:hAnsi="Book Antiqua" w:cs="Book Antiqua"/>
                <w:i/>
                <w:iCs/>
                <w:color w:val="000000" w:themeColor="text1"/>
                <w:sz w:val="24"/>
                <w:szCs w:val="24"/>
              </w:rPr>
              <w:t>et al</w:t>
            </w:r>
            <w:r w:rsidRPr="00E407F8">
              <w:rPr>
                <w:rFonts w:ascii="Book Antiqua" w:eastAsia="Book Antiqua" w:hAnsi="Book Antiqua" w:cs="Book Antiqua"/>
                <w:color w:val="000000" w:themeColor="text1"/>
                <w:sz w:val="24"/>
                <w:szCs w:val="24"/>
                <w:vertAlign w:val="superscript"/>
              </w:rPr>
              <w:t>[24]</w:t>
            </w:r>
            <w:r w:rsidRPr="00E407F8">
              <w:rPr>
                <w:rFonts w:ascii="Book Antiqua" w:eastAsia="Book Antiqua" w:hAnsi="Book Antiqua" w:cs="Book Antiqua"/>
                <w:color w:val="000000" w:themeColor="text1"/>
                <w:sz w:val="24"/>
                <w:szCs w:val="24"/>
              </w:rPr>
              <w:t>, 1997</w:t>
            </w:r>
          </w:p>
        </w:tc>
      </w:tr>
      <w:tr w:rsidR="007714B0" w:rsidRPr="00E407F8" w14:paraId="3EEA81B0" w14:textId="77777777">
        <w:trPr>
          <w:trHeight w:val="314"/>
        </w:trPr>
        <w:tc>
          <w:tcPr>
            <w:tcW w:w="1560" w:type="dxa"/>
          </w:tcPr>
          <w:p w14:paraId="049E0388"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Kidney transplant</w:t>
            </w:r>
            <w:r w:rsidRPr="00E407F8">
              <w:rPr>
                <w:rFonts w:ascii="Book Antiqua" w:eastAsiaTheme="minorEastAsia" w:hAnsi="Book Antiqua" w:cs="Book Antiqua"/>
                <w:color w:val="000000" w:themeColor="text1"/>
                <w:sz w:val="24"/>
                <w:szCs w:val="24"/>
              </w:rPr>
              <w:t xml:space="preserve">; </w:t>
            </w:r>
            <w:r w:rsidRPr="00E407F8">
              <w:rPr>
                <w:rFonts w:ascii="Book Antiqua" w:eastAsia="Book Antiqua" w:hAnsi="Book Antiqua" w:cs="Book Antiqua"/>
                <w:color w:val="000000" w:themeColor="text1"/>
                <w:sz w:val="24"/>
                <w:szCs w:val="24"/>
              </w:rPr>
              <w:t>1997-2000</w:t>
            </w:r>
          </w:p>
        </w:tc>
        <w:tc>
          <w:tcPr>
            <w:tcW w:w="1275" w:type="dxa"/>
          </w:tcPr>
          <w:p w14:paraId="3CFA33D3"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India</w:t>
            </w:r>
          </w:p>
        </w:tc>
        <w:tc>
          <w:tcPr>
            <w:tcW w:w="1134" w:type="dxa"/>
          </w:tcPr>
          <w:p w14:paraId="65A30110"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70</w:t>
            </w:r>
          </w:p>
        </w:tc>
        <w:tc>
          <w:tcPr>
            <w:tcW w:w="1418" w:type="dxa"/>
          </w:tcPr>
          <w:p w14:paraId="396CB3BB"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52.9%</w:t>
            </w:r>
          </w:p>
        </w:tc>
        <w:tc>
          <w:tcPr>
            <w:tcW w:w="1134" w:type="dxa"/>
          </w:tcPr>
          <w:p w14:paraId="1A37DC83"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58.6%</w:t>
            </w:r>
          </w:p>
        </w:tc>
        <w:tc>
          <w:tcPr>
            <w:tcW w:w="2551" w:type="dxa"/>
          </w:tcPr>
          <w:p w14:paraId="6C133D51"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GBV-C/HGV RNA significantly associated with ≥ 20 hemodialysis sessions</w:t>
            </w:r>
          </w:p>
        </w:tc>
        <w:tc>
          <w:tcPr>
            <w:tcW w:w="1276" w:type="dxa"/>
          </w:tcPr>
          <w:p w14:paraId="39244151"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 xml:space="preserve">Abraham </w:t>
            </w:r>
            <w:r w:rsidRPr="00E407F8">
              <w:rPr>
                <w:rFonts w:ascii="Book Antiqua" w:eastAsia="Book Antiqua" w:hAnsi="Book Antiqua" w:cs="Book Antiqua"/>
                <w:i/>
                <w:iCs/>
                <w:color w:val="000000" w:themeColor="text1"/>
                <w:sz w:val="24"/>
                <w:szCs w:val="24"/>
              </w:rPr>
              <w:t>et al</w:t>
            </w:r>
            <w:r w:rsidRPr="00E407F8">
              <w:rPr>
                <w:rFonts w:ascii="Book Antiqua" w:eastAsia="Book Antiqua" w:hAnsi="Book Antiqua" w:cs="Book Antiqua"/>
                <w:color w:val="000000" w:themeColor="text1"/>
                <w:sz w:val="24"/>
                <w:szCs w:val="24"/>
                <w:vertAlign w:val="superscript"/>
              </w:rPr>
              <w:t>[29]</w:t>
            </w:r>
            <w:r w:rsidRPr="00E407F8">
              <w:rPr>
                <w:rFonts w:ascii="Book Antiqua" w:eastAsia="Book Antiqua" w:hAnsi="Book Antiqua" w:cs="Book Antiqua"/>
                <w:color w:val="000000" w:themeColor="text1"/>
                <w:sz w:val="24"/>
                <w:szCs w:val="24"/>
              </w:rPr>
              <w:t>, 2003</w:t>
            </w:r>
          </w:p>
        </w:tc>
      </w:tr>
      <w:tr w:rsidR="007714B0" w:rsidRPr="00E407F8" w14:paraId="1BA90BB5" w14:textId="77777777">
        <w:trPr>
          <w:trHeight w:val="314"/>
        </w:trPr>
        <w:tc>
          <w:tcPr>
            <w:tcW w:w="1560" w:type="dxa"/>
          </w:tcPr>
          <w:p w14:paraId="457E1ECB"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lastRenderedPageBreak/>
              <w:t>Liver transplant</w:t>
            </w:r>
            <w:r w:rsidRPr="00E407F8">
              <w:rPr>
                <w:rFonts w:ascii="Book Antiqua" w:eastAsiaTheme="minorEastAsia" w:hAnsi="Book Antiqua" w:cs="Book Antiqua"/>
                <w:color w:val="000000" w:themeColor="text1"/>
                <w:sz w:val="24"/>
                <w:szCs w:val="24"/>
              </w:rPr>
              <w:t xml:space="preserve">; </w:t>
            </w:r>
            <w:r w:rsidRPr="00E407F8">
              <w:rPr>
                <w:rFonts w:ascii="Book Antiqua" w:eastAsia="Book Antiqua" w:hAnsi="Book Antiqua" w:cs="Book Antiqua"/>
                <w:color w:val="000000" w:themeColor="text1"/>
                <w:sz w:val="24"/>
                <w:szCs w:val="24"/>
              </w:rPr>
              <w:t>1990-1994</w:t>
            </w:r>
          </w:p>
        </w:tc>
        <w:tc>
          <w:tcPr>
            <w:tcW w:w="1275" w:type="dxa"/>
          </w:tcPr>
          <w:p w14:paraId="12703421"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United States</w:t>
            </w:r>
          </w:p>
        </w:tc>
        <w:tc>
          <w:tcPr>
            <w:tcW w:w="1134" w:type="dxa"/>
          </w:tcPr>
          <w:p w14:paraId="758C9C6B"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179</w:t>
            </w:r>
          </w:p>
        </w:tc>
        <w:tc>
          <w:tcPr>
            <w:tcW w:w="1418" w:type="dxa"/>
          </w:tcPr>
          <w:p w14:paraId="2E59AB2F"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Pre-tx 15%; post-tx 50%</w:t>
            </w:r>
          </w:p>
        </w:tc>
        <w:tc>
          <w:tcPr>
            <w:tcW w:w="1134" w:type="dxa"/>
          </w:tcPr>
          <w:p w14:paraId="4108FCB8"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w:t>
            </w:r>
          </w:p>
        </w:tc>
        <w:tc>
          <w:tcPr>
            <w:tcW w:w="2551" w:type="dxa"/>
          </w:tcPr>
          <w:p w14:paraId="10D40619"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HGV infection not associated with poor outcome</w:t>
            </w:r>
          </w:p>
        </w:tc>
        <w:tc>
          <w:tcPr>
            <w:tcW w:w="1276" w:type="dxa"/>
          </w:tcPr>
          <w:p w14:paraId="30FAAC19"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 xml:space="preserve">Hoofnagle </w:t>
            </w:r>
            <w:r w:rsidRPr="00E407F8">
              <w:rPr>
                <w:rFonts w:ascii="Book Antiqua" w:eastAsia="Book Antiqua" w:hAnsi="Book Antiqua" w:cs="Book Antiqua"/>
                <w:i/>
                <w:iCs/>
                <w:color w:val="000000" w:themeColor="text1"/>
                <w:sz w:val="24"/>
                <w:szCs w:val="24"/>
              </w:rPr>
              <w:t>et al</w:t>
            </w:r>
            <w:r w:rsidRPr="00E407F8">
              <w:rPr>
                <w:rFonts w:ascii="Book Antiqua" w:eastAsia="Book Antiqua" w:hAnsi="Book Antiqua" w:cs="Book Antiqua"/>
                <w:color w:val="000000" w:themeColor="text1"/>
                <w:sz w:val="24"/>
                <w:szCs w:val="24"/>
                <w:vertAlign w:val="superscript"/>
              </w:rPr>
              <w:t>[26]</w:t>
            </w:r>
            <w:r w:rsidRPr="00E407F8">
              <w:rPr>
                <w:rFonts w:ascii="Book Antiqua" w:eastAsia="Book Antiqua" w:hAnsi="Book Antiqua" w:cs="Book Antiqua"/>
                <w:color w:val="000000" w:themeColor="text1"/>
                <w:sz w:val="24"/>
                <w:szCs w:val="24"/>
              </w:rPr>
              <w:t>, 1997</w:t>
            </w:r>
          </w:p>
        </w:tc>
      </w:tr>
      <w:tr w:rsidR="007714B0" w:rsidRPr="00E407F8" w14:paraId="22776375" w14:textId="77777777">
        <w:trPr>
          <w:trHeight w:val="314"/>
        </w:trPr>
        <w:tc>
          <w:tcPr>
            <w:tcW w:w="1560" w:type="dxa"/>
          </w:tcPr>
          <w:p w14:paraId="3F32E350"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HSCT</w:t>
            </w:r>
            <w:r w:rsidRPr="00E407F8">
              <w:rPr>
                <w:rFonts w:ascii="Book Antiqua" w:eastAsiaTheme="minorEastAsia" w:hAnsi="Book Antiqua" w:cs="Book Antiqua"/>
                <w:color w:val="000000" w:themeColor="text1"/>
                <w:sz w:val="24"/>
                <w:szCs w:val="24"/>
              </w:rPr>
              <w:t xml:space="preserve">; </w:t>
            </w:r>
            <w:r w:rsidRPr="00E407F8">
              <w:rPr>
                <w:rFonts w:ascii="Book Antiqua" w:eastAsia="Book Antiqua" w:hAnsi="Book Antiqua" w:cs="Book Antiqua"/>
                <w:color w:val="000000" w:themeColor="text1"/>
                <w:sz w:val="24"/>
                <w:szCs w:val="24"/>
              </w:rPr>
              <w:t>2011-2017</w:t>
            </w:r>
          </w:p>
        </w:tc>
        <w:tc>
          <w:tcPr>
            <w:tcW w:w="1275" w:type="dxa"/>
          </w:tcPr>
          <w:p w14:paraId="1E47559F"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China</w:t>
            </w:r>
          </w:p>
        </w:tc>
        <w:tc>
          <w:tcPr>
            <w:tcW w:w="1134" w:type="dxa"/>
          </w:tcPr>
          <w:p w14:paraId="31AC7B45"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188</w:t>
            </w:r>
          </w:p>
        </w:tc>
        <w:tc>
          <w:tcPr>
            <w:tcW w:w="1418" w:type="dxa"/>
          </w:tcPr>
          <w:p w14:paraId="4101DCFC"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18.6%</w:t>
            </w:r>
          </w:p>
        </w:tc>
        <w:tc>
          <w:tcPr>
            <w:tcW w:w="1134" w:type="dxa"/>
          </w:tcPr>
          <w:p w14:paraId="7F877DFE"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w:t>
            </w:r>
          </w:p>
        </w:tc>
        <w:tc>
          <w:tcPr>
            <w:tcW w:w="2551" w:type="dxa"/>
          </w:tcPr>
          <w:p w14:paraId="0BF9804C"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HPgV is highly prevalent in HSCT patients</w:t>
            </w:r>
            <w:r w:rsidRPr="00E407F8">
              <w:rPr>
                <w:rFonts w:ascii="Book Antiqua" w:eastAsiaTheme="minorEastAsia" w:hAnsi="Book Antiqua" w:cs="Book Antiqua"/>
                <w:color w:val="000000" w:themeColor="text1"/>
                <w:sz w:val="24"/>
                <w:szCs w:val="24"/>
              </w:rPr>
              <w:t xml:space="preserve">; </w:t>
            </w:r>
            <w:r w:rsidRPr="00E407F8">
              <w:rPr>
                <w:rFonts w:ascii="Book Antiqua" w:eastAsia="Book Antiqua" w:hAnsi="Book Antiqua" w:cs="Book Antiqua"/>
                <w:color w:val="000000" w:themeColor="text1"/>
                <w:sz w:val="24"/>
                <w:szCs w:val="24"/>
              </w:rPr>
              <w:t>blood transfusions significantly increase the risk of HPgV</w:t>
            </w:r>
            <w:r w:rsidRPr="00E407F8">
              <w:rPr>
                <w:rFonts w:ascii="Book Antiqua" w:eastAsia="Book Antiqua" w:hAnsi="Book Antiqua" w:cs="Book Antiqua"/>
                <w:strike/>
                <w:color w:val="000000" w:themeColor="text1"/>
                <w:sz w:val="24"/>
                <w:szCs w:val="24"/>
              </w:rPr>
              <w:t xml:space="preserve"> </w:t>
            </w:r>
            <w:r w:rsidRPr="00E407F8">
              <w:rPr>
                <w:rFonts w:ascii="Book Antiqua" w:eastAsia="Book Antiqua" w:hAnsi="Book Antiqua" w:cs="Book Antiqua"/>
                <w:color w:val="000000" w:themeColor="text1"/>
                <w:sz w:val="24"/>
                <w:szCs w:val="24"/>
              </w:rPr>
              <w:t>infection</w:t>
            </w:r>
          </w:p>
        </w:tc>
        <w:tc>
          <w:tcPr>
            <w:tcW w:w="1276" w:type="dxa"/>
          </w:tcPr>
          <w:p w14:paraId="7DBBA35F"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 xml:space="preserve">Li </w:t>
            </w:r>
            <w:r w:rsidRPr="00E407F8">
              <w:rPr>
                <w:rFonts w:ascii="Book Antiqua" w:eastAsia="Book Antiqua" w:hAnsi="Book Antiqua" w:cs="Book Antiqua"/>
                <w:i/>
                <w:iCs/>
                <w:color w:val="000000" w:themeColor="text1"/>
                <w:sz w:val="24"/>
                <w:szCs w:val="24"/>
              </w:rPr>
              <w:t>et al</w:t>
            </w:r>
            <w:r w:rsidRPr="00E407F8">
              <w:rPr>
                <w:rFonts w:ascii="Book Antiqua" w:eastAsia="Book Antiqua" w:hAnsi="Book Antiqua" w:cs="Book Antiqua"/>
                <w:color w:val="000000" w:themeColor="text1"/>
                <w:sz w:val="24"/>
                <w:szCs w:val="24"/>
                <w:vertAlign w:val="superscript"/>
              </w:rPr>
              <w:t>[22]</w:t>
            </w:r>
            <w:r w:rsidRPr="00E407F8">
              <w:rPr>
                <w:rFonts w:ascii="Book Antiqua" w:eastAsia="Book Antiqua" w:hAnsi="Book Antiqua" w:cs="Book Antiqua"/>
                <w:color w:val="000000" w:themeColor="text1"/>
                <w:sz w:val="24"/>
                <w:szCs w:val="24"/>
              </w:rPr>
              <w:t>, 2019</w:t>
            </w:r>
          </w:p>
        </w:tc>
      </w:tr>
      <w:tr w:rsidR="007714B0" w:rsidRPr="00E407F8" w14:paraId="37CC823B" w14:textId="77777777">
        <w:trPr>
          <w:trHeight w:val="314"/>
        </w:trPr>
        <w:tc>
          <w:tcPr>
            <w:tcW w:w="1560" w:type="dxa"/>
          </w:tcPr>
          <w:p w14:paraId="592F415D"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HSCT</w:t>
            </w:r>
            <w:r w:rsidRPr="00E407F8">
              <w:rPr>
                <w:rFonts w:ascii="Book Antiqua" w:eastAsiaTheme="minorEastAsia" w:hAnsi="Book Antiqua" w:cs="Book Antiqua"/>
                <w:color w:val="000000" w:themeColor="text1"/>
                <w:sz w:val="24"/>
                <w:szCs w:val="24"/>
              </w:rPr>
              <w:t xml:space="preserve">; </w:t>
            </w:r>
            <w:r w:rsidRPr="00E407F8">
              <w:rPr>
                <w:rFonts w:ascii="Book Antiqua" w:eastAsia="Book Antiqua" w:hAnsi="Book Antiqua" w:cs="Book Antiqua"/>
                <w:color w:val="000000" w:themeColor="text1"/>
                <w:sz w:val="24"/>
                <w:szCs w:val="24"/>
              </w:rPr>
              <w:t>2014-2015</w:t>
            </w:r>
          </w:p>
        </w:tc>
        <w:tc>
          <w:tcPr>
            <w:tcW w:w="1275" w:type="dxa"/>
          </w:tcPr>
          <w:p w14:paraId="04EB8007"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Switzerland</w:t>
            </w:r>
          </w:p>
        </w:tc>
        <w:tc>
          <w:tcPr>
            <w:tcW w:w="1134" w:type="dxa"/>
          </w:tcPr>
          <w:p w14:paraId="599B4DF4"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40</w:t>
            </w:r>
          </w:p>
        </w:tc>
        <w:tc>
          <w:tcPr>
            <w:tcW w:w="1418" w:type="dxa"/>
          </w:tcPr>
          <w:p w14:paraId="360A796F"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35%</w:t>
            </w:r>
          </w:p>
        </w:tc>
        <w:tc>
          <w:tcPr>
            <w:tcW w:w="1134" w:type="dxa"/>
          </w:tcPr>
          <w:p w14:paraId="4AE17176"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w:t>
            </w:r>
          </w:p>
        </w:tc>
        <w:tc>
          <w:tcPr>
            <w:tcW w:w="2551" w:type="dxa"/>
          </w:tcPr>
          <w:p w14:paraId="45CAA96A" w14:textId="77777777" w:rsidR="007714B0" w:rsidRPr="00E407F8" w:rsidRDefault="00861EF4" w:rsidP="0044219D">
            <w:pPr>
              <w:pStyle w:val="LO-normal"/>
              <w:widowControl w:val="0"/>
              <w:spacing w:after="0" w:line="360" w:lineRule="auto"/>
              <w:jc w:val="both"/>
              <w:rPr>
                <w:rFonts w:ascii="Book Antiqua" w:eastAsia="Book Antiqua" w:hAnsi="Book Antiqua" w:cs="Book Antiqua"/>
                <w:strike/>
                <w:color w:val="000000" w:themeColor="text1"/>
                <w:sz w:val="24"/>
                <w:szCs w:val="24"/>
              </w:rPr>
            </w:pPr>
            <w:r w:rsidRPr="00E407F8">
              <w:rPr>
                <w:rFonts w:ascii="Book Antiqua" w:eastAsia="Book Antiqua" w:hAnsi="Book Antiqua" w:cs="Book Antiqua"/>
                <w:color w:val="000000" w:themeColor="text1"/>
                <w:sz w:val="24"/>
                <w:szCs w:val="24"/>
              </w:rPr>
              <w:t>HPgV is highly prevalent and persists for several months</w:t>
            </w:r>
          </w:p>
        </w:tc>
        <w:tc>
          <w:tcPr>
            <w:tcW w:w="1276" w:type="dxa"/>
          </w:tcPr>
          <w:p w14:paraId="0AD2106B" w14:textId="77777777" w:rsidR="007714B0" w:rsidRPr="00E407F8"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E407F8">
              <w:rPr>
                <w:rFonts w:ascii="Book Antiqua" w:eastAsia="Book Antiqua" w:hAnsi="Book Antiqua" w:cs="Book Antiqua"/>
                <w:color w:val="000000" w:themeColor="text1"/>
                <w:sz w:val="24"/>
                <w:szCs w:val="24"/>
              </w:rPr>
              <w:t xml:space="preserve">Vu </w:t>
            </w:r>
            <w:r w:rsidRPr="00E407F8">
              <w:rPr>
                <w:rFonts w:ascii="Book Antiqua" w:eastAsia="Book Antiqua" w:hAnsi="Book Antiqua" w:cs="Book Antiqua"/>
                <w:i/>
                <w:iCs/>
                <w:color w:val="000000" w:themeColor="text1"/>
                <w:sz w:val="24"/>
                <w:szCs w:val="24"/>
              </w:rPr>
              <w:t>et al</w:t>
            </w:r>
            <w:r w:rsidRPr="00E407F8">
              <w:rPr>
                <w:rFonts w:ascii="Book Antiqua" w:eastAsia="Book Antiqua" w:hAnsi="Book Antiqua" w:cs="Book Antiqua"/>
                <w:color w:val="000000" w:themeColor="text1"/>
                <w:sz w:val="24"/>
                <w:szCs w:val="24"/>
                <w:vertAlign w:val="superscript"/>
              </w:rPr>
              <w:t>[20]</w:t>
            </w:r>
            <w:r w:rsidRPr="00E407F8">
              <w:rPr>
                <w:rFonts w:ascii="Book Antiqua" w:eastAsia="Book Antiqua" w:hAnsi="Book Antiqua" w:cs="Book Antiqua"/>
                <w:color w:val="000000" w:themeColor="text1"/>
                <w:sz w:val="24"/>
                <w:szCs w:val="24"/>
              </w:rPr>
              <w:t>, 2019</w:t>
            </w:r>
          </w:p>
        </w:tc>
      </w:tr>
    </w:tbl>
    <w:p w14:paraId="3BACF577" w14:textId="4520AA37" w:rsidR="007714B0" w:rsidRPr="00E407F8" w:rsidRDefault="00861EF4" w:rsidP="0044219D">
      <w:pPr>
        <w:pStyle w:val="LO-normal"/>
        <w:spacing w:after="0" w:line="360" w:lineRule="auto"/>
        <w:jc w:val="both"/>
        <w:rPr>
          <w:rFonts w:ascii="Book Antiqua" w:eastAsia="Book Antiqua" w:hAnsi="Book Antiqua" w:cs="Book Antiqua"/>
          <w:sz w:val="24"/>
          <w:szCs w:val="24"/>
        </w:rPr>
      </w:pPr>
      <w:r w:rsidRPr="00E407F8">
        <w:rPr>
          <w:rFonts w:ascii="Book Antiqua" w:eastAsia="Book Antiqua" w:hAnsi="Book Antiqua" w:cs="Book Antiqua"/>
          <w:color w:val="000000"/>
          <w:sz w:val="24"/>
          <w:szCs w:val="24"/>
        </w:rPr>
        <w:t xml:space="preserve">HBV: Hepatitis B virus; HCV: Hepatitis C virus; HGV: Hepatitis G virus; HSCT: </w:t>
      </w:r>
      <w:r w:rsidRPr="00E407F8">
        <w:rPr>
          <w:rFonts w:ascii="Book Antiqua" w:eastAsia="Book Antiqua" w:hAnsi="Book Antiqua" w:cs="Book Antiqua"/>
          <w:color w:val="000000" w:themeColor="text1"/>
          <w:sz w:val="24"/>
          <w:szCs w:val="24"/>
        </w:rPr>
        <w:t>Hematopoietic</w:t>
      </w:r>
      <w:r w:rsidRPr="00E407F8">
        <w:rPr>
          <w:rFonts w:ascii="Book Antiqua" w:eastAsia="Book Antiqua" w:hAnsi="Book Antiqua" w:cs="Book Antiqua"/>
          <w:sz w:val="24"/>
          <w:szCs w:val="24"/>
        </w:rPr>
        <w:t xml:space="preserve"> stem cell transplantation; HpgV: Human pegivirus; GBV-C: </w:t>
      </w:r>
      <w:bookmarkStart w:id="3" w:name="_Hlk91519262"/>
      <w:r w:rsidRPr="00E407F8">
        <w:rPr>
          <w:rFonts w:ascii="Book Antiqua" w:eastAsia="Book Antiqua" w:hAnsi="Book Antiqua" w:cs="Book Antiqua"/>
          <w:sz w:val="24"/>
          <w:szCs w:val="24"/>
        </w:rPr>
        <w:t xml:space="preserve">GB </w:t>
      </w:r>
      <w:r w:rsidR="00E11C2C" w:rsidRPr="00E407F8">
        <w:rPr>
          <w:rFonts w:ascii="Book Antiqua" w:eastAsia="Book Antiqua" w:hAnsi="Book Antiqua" w:cs="Book Antiqua"/>
          <w:sz w:val="24"/>
          <w:szCs w:val="24"/>
        </w:rPr>
        <w:t xml:space="preserve">virus </w:t>
      </w:r>
      <w:r w:rsidRPr="00E407F8">
        <w:rPr>
          <w:rFonts w:ascii="Book Antiqua" w:eastAsia="Book Antiqua" w:hAnsi="Book Antiqua" w:cs="Book Antiqua"/>
          <w:sz w:val="24"/>
          <w:szCs w:val="24"/>
        </w:rPr>
        <w:t>C</w:t>
      </w:r>
      <w:bookmarkEnd w:id="3"/>
      <w:r w:rsidRPr="00E407F8">
        <w:rPr>
          <w:rFonts w:ascii="Book Antiqua" w:eastAsia="Book Antiqua" w:hAnsi="Book Antiqua" w:cs="Book Antiqua"/>
          <w:sz w:val="24"/>
          <w:szCs w:val="24"/>
        </w:rPr>
        <w:t xml:space="preserve">; GVHD: Graft </w:t>
      </w:r>
      <w:r w:rsidRPr="00E407F8">
        <w:rPr>
          <w:rFonts w:ascii="Book Antiqua" w:eastAsia="Book Antiqua" w:hAnsi="Book Antiqua" w:cs="Book Antiqua"/>
          <w:i/>
          <w:iCs/>
          <w:sz w:val="24"/>
          <w:szCs w:val="24"/>
        </w:rPr>
        <w:t>versus</w:t>
      </w:r>
      <w:r w:rsidRPr="00E407F8">
        <w:rPr>
          <w:rFonts w:ascii="Book Antiqua" w:eastAsia="Book Antiqua" w:hAnsi="Book Antiqua" w:cs="Book Antiqua"/>
          <w:sz w:val="24"/>
          <w:szCs w:val="24"/>
        </w:rPr>
        <w:t xml:space="preserve"> host disease; BMT: Bone marrow transplantation; ISG: Interferon-stimulated gene.</w:t>
      </w:r>
    </w:p>
    <w:p w14:paraId="0F3CBF28" w14:textId="77777777" w:rsidR="005A2887" w:rsidRPr="00E407F8" w:rsidRDefault="005A2887" w:rsidP="0044219D">
      <w:pPr>
        <w:spacing w:line="360" w:lineRule="auto"/>
        <w:jc w:val="both"/>
        <w:rPr>
          <w:rFonts w:ascii="Book Antiqua" w:hAnsi="Book Antiqua"/>
        </w:rPr>
        <w:sectPr w:rsidR="005A2887" w:rsidRPr="00E407F8">
          <w:pgSz w:w="12240" w:h="15840"/>
          <w:pgMar w:top="1440" w:right="1440" w:bottom="1440" w:left="1440" w:header="720" w:footer="720" w:gutter="0"/>
          <w:cols w:space="720"/>
          <w:docGrid w:linePitch="360"/>
        </w:sectPr>
      </w:pPr>
    </w:p>
    <w:p w14:paraId="52D71C7E" w14:textId="77777777" w:rsidR="005A2887" w:rsidRPr="00E407F8" w:rsidRDefault="005A2887" w:rsidP="005A2887">
      <w:pPr>
        <w:jc w:val="center"/>
        <w:rPr>
          <w:rFonts w:ascii="Book Antiqua" w:hAnsi="Book Antiqua"/>
        </w:rPr>
      </w:pPr>
      <w:bookmarkStart w:id="4" w:name="_Hlk91601026"/>
      <w:bookmarkStart w:id="5" w:name="_Hlk91629846"/>
      <w:bookmarkStart w:id="6" w:name="_Hlk85017148"/>
    </w:p>
    <w:p w14:paraId="216CDFAC" w14:textId="77777777" w:rsidR="005A2887" w:rsidRPr="00E407F8" w:rsidRDefault="005A2887" w:rsidP="005A2887">
      <w:pPr>
        <w:jc w:val="center"/>
        <w:rPr>
          <w:rFonts w:ascii="Book Antiqua" w:hAnsi="Book Antiqua"/>
        </w:rPr>
      </w:pPr>
      <w:r w:rsidRPr="00E407F8">
        <w:rPr>
          <w:rFonts w:ascii="Book Antiqua" w:hAnsi="Book Antiqua"/>
          <w:noProof/>
        </w:rPr>
        <w:drawing>
          <wp:inline distT="0" distB="0" distL="0" distR="0" wp14:anchorId="7EF96011" wp14:editId="3FE76F4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8CD916A" w14:textId="77777777" w:rsidR="005A2887" w:rsidRPr="00E407F8" w:rsidRDefault="005A2887" w:rsidP="005A2887">
      <w:pPr>
        <w:jc w:val="center"/>
        <w:rPr>
          <w:rFonts w:ascii="Book Antiqua" w:hAnsi="Book Antiqua"/>
        </w:rPr>
      </w:pPr>
    </w:p>
    <w:p w14:paraId="315077BC" w14:textId="77777777" w:rsidR="005A2887" w:rsidRPr="00E407F8" w:rsidRDefault="005A2887" w:rsidP="005A2887">
      <w:pPr>
        <w:autoSpaceDE w:val="0"/>
        <w:autoSpaceDN w:val="0"/>
        <w:adjustRightInd w:val="0"/>
        <w:jc w:val="center"/>
        <w:rPr>
          <w:rFonts w:ascii="Book Antiqua" w:eastAsia="Garamond-Bold" w:hAnsi="Book Antiqua" w:cs="Garamond-Bold"/>
          <w:b/>
          <w:bCs/>
          <w:color w:val="000000"/>
          <w:sz w:val="28"/>
          <w:szCs w:val="28"/>
        </w:rPr>
      </w:pPr>
      <w:r w:rsidRPr="00E407F8">
        <w:rPr>
          <w:rFonts w:ascii="Book Antiqua" w:eastAsia="TimesNewRomanPSMT" w:hAnsi="Book Antiqua" w:cs="TimesNewRomanPSMT"/>
          <w:color w:val="000000"/>
          <w:sz w:val="28"/>
          <w:szCs w:val="28"/>
        </w:rPr>
        <w:t xml:space="preserve">Published by </w:t>
      </w:r>
      <w:r w:rsidRPr="00E407F8">
        <w:rPr>
          <w:rFonts w:ascii="Book Antiqua" w:eastAsia="Garamond-Bold" w:hAnsi="Book Antiqua" w:cs="Garamond-Bold"/>
          <w:b/>
          <w:bCs/>
          <w:color w:val="000000"/>
          <w:sz w:val="28"/>
          <w:szCs w:val="28"/>
        </w:rPr>
        <w:t>Baishideng Publishing Group Inc</w:t>
      </w:r>
    </w:p>
    <w:p w14:paraId="770E342C" w14:textId="77777777" w:rsidR="005A2887" w:rsidRPr="00E407F8" w:rsidRDefault="005A2887" w:rsidP="005A2887">
      <w:pPr>
        <w:autoSpaceDE w:val="0"/>
        <w:autoSpaceDN w:val="0"/>
        <w:adjustRightInd w:val="0"/>
        <w:jc w:val="center"/>
        <w:rPr>
          <w:rFonts w:ascii="Book Antiqua" w:eastAsia="TimesNewRomanPSMT" w:hAnsi="Book Antiqua" w:cs="Garamond"/>
          <w:color w:val="000000"/>
          <w:sz w:val="28"/>
          <w:szCs w:val="28"/>
        </w:rPr>
      </w:pPr>
      <w:r w:rsidRPr="00E407F8">
        <w:rPr>
          <w:rFonts w:ascii="Book Antiqua" w:eastAsia="TimesNewRomanPSMT" w:hAnsi="Book Antiqua" w:cs="Garamond"/>
          <w:color w:val="000000"/>
          <w:sz w:val="28"/>
          <w:szCs w:val="28"/>
        </w:rPr>
        <w:t>7041 Koll Center Parkway, Suite 160, Pleasanton, CA 94566, USA</w:t>
      </w:r>
    </w:p>
    <w:p w14:paraId="76F463C2" w14:textId="77777777" w:rsidR="005A2887" w:rsidRPr="00E407F8" w:rsidRDefault="005A2887" w:rsidP="005A2887">
      <w:pPr>
        <w:autoSpaceDE w:val="0"/>
        <w:autoSpaceDN w:val="0"/>
        <w:adjustRightInd w:val="0"/>
        <w:jc w:val="center"/>
        <w:rPr>
          <w:rFonts w:ascii="Book Antiqua" w:eastAsia="TimesNewRomanPSMT" w:hAnsi="Book Antiqua" w:cs="Garamond"/>
          <w:color w:val="000000"/>
          <w:sz w:val="28"/>
          <w:szCs w:val="28"/>
        </w:rPr>
      </w:pPr>
      <w:r w:rsidRPr="00E407F8">
        <w:rPr>
          <w:rFonts w:ascii="Book Antiqua" w:eastAsia="Garamond-Bold" w:hAnsi="Book Antiqua" w:cs="Garamond-Bold"/>
          <w:b/>
          <w:bCs/>
          <w:color w:val="000000"/>
          <w:sz w:val="28"/>
          <w:szCs w:val="28"/>
        </w:rPr>
        <w:t xml:space="preserve">Telephone: </w:t>
      </w:r>
      <w:r w:rsidRPr="00E407F8">
        <w:rPr>
          <w:rFonts w:ascii="Book Antiqua" w:eastAsia="TimesNewRomanPSMT" w:hAnsi="Book Antiqua" w:cs="Garamond"/>
          <w:color w:val="000000"/>
          <w:sz w:val="28"/>
          <w:szCs w:val="28"/>
        </w:rPr>
        <w:t>+1-925-3991568</w:t>
      </w:r>
    </w:p>
    <w:p w14:paraId="18A3F959" w14:textId="77777777" w:rsidR="005A2887" w:rsidRPr="00E407F8" w:rsidRDefault="005A2887" w:rsidP="005A2887">
      <w:pPr>
        <w:autoSpaceDE w:val="0"/>
        <w:autoSpaceDN w:val="0"/>
        <w:adjustRightInd w:val="0"/>
        <w:jc w:val="center"/>
        <w:rPr>
          <w:rFonts w:ascii="Book Antiqua" w:eastAsia="TimesNewRomanPSMT" w:hAnsi="Book Antiqua" w:cs="Garamond"/>
          <w:color w:val="D56400"/>
          <w:sz w:val="28"/>
          <w:szCs w:val="28"/>
        </w:rPr>
      </w:pPr>
      <w:r w:rsidRPr="00E407F8">
        <w:rPr>
          <w:rFonts w:ascii="Book Antiqua" w:eastAsia="Garamond-Bold" w:hAnsi="Book Antiqua" w:cs="Garamond-Bold"/>
          <w:b/>
          <w:bCs/>
          <w:color w:val="000000"/>
          <w:sz w:val="28"/>
          <w:szCs w:val="28"/>
        </w:rPr>
        <w:t xml:space="preserve">E-mail: </w:t>
      </w:r>
      <w:r w:rsidRPr="00E407F8">
        <w:rPr>
          <w:rFonts w:ascii="Book Antiqua" w:eastAsia="TimesNewRomanPSMT" w:hAnsi="Book Antiqua" w:cs="Garamond"/>
          <w:color w:val="D56400"/>
          <w:sz w:val="28"/>
          <w:szCs w:val="28"/>
        </w:rPr>
        <w:t>bpgoffice@wjgnet.com</w:t>
      </w:r>
    </w:p>
    <w:p w14:paraId="65A18626" w14:textId="77777777" w:rsidR="005A2887" w:rsidRPr="00E407F8" w:rsidRDefault="005A2887" w:rsidP="005A2887">
      <w:pPr>
        <w:autoSpaceDE w:val="0"/>
        <w:autoSpaceDN w:val="0"/>
        <w:adjustRightInd w:val="0"/>
        <w:jc w:val="center"/>
        <w:rPr>
          <w:rFonts w:ascii="Book Antiqua" w:eastAsia="TimesNewRomanPSMT" w:hAnsi="Book Antiqua" w:cs="Garamond"/>
          <w:color w:val="D56400"/>
          <w:sz w:val="28"/>
          <w:szCs w:val="28"/>
        </w:rPr>
      </w:pPr>
      <w:r w:rsidRPr="00E407F8">
        <w:rPr>
          <w:rFonts w:ascii="Book Antiqua" w:eastAsia="Garamond-Bold" w:hAnsi="Book Antiqua" w:cs="Garamond-Bold"/>
          <w:b/>
          <w:bCs/>
          <w:color w:val="000000"/>
          <w:sz w:val="28"/>
          <w:szCs w:val="28"/>
        </w:rPr>
        <w:t xml:space="preserve">Help Desk: </w:t>
      </w:r>
      <w:r w:rsidRPr="00E407F8">
        <w:rPr>
          <w:rFonts w:ascii="Book Antiqua" w:eastAsia="TimesNewRomanPSMT" w:hAnsi="Book Antiqua" w:cs="Garamond"/>
          <w:color w:val="D56400"/>
          <w:sz w:val="28"/>
          <w:szCs w:val="28"/>
        </w:rPr>
        <w:t>https://www.f6publishing.com/helpdesk</w:t>
      </w:r>
    </w:p>
    <w:p w14:paraId="00A45034" w14:textId="77777777" w:rsidR="005A2887" w:rsidRPr="00E407F8" w:rsidRDefault="005A2887" w:rsidP="005A2887">
      <w:pPr>
        <w:jc w:val="center"/>
        <w:rPr>
          <w:rFonts w:ascii="Book Antiqua" w:hAnsi="Book Antiqua"/>
        </w:rPr>
      </w:pPr>
      <w:r w:rsidRPr="00E407F8">
        <w:rPr>
          <w:rFonts w:ascii="Book Antiqua" w:eastAsia="TimesNewRomanPSMT" w:hAnsi="Book Antiqua" w:cs="Garamond"/>
          <w:color w:val="D56400"/>
          <w:sz w:val="28"/>
          <w:szCs w:val="28"/>
        </w:rPr>
        <w:t>https://www.wjgnet.com</w:t>
      </w:r>
    </w:p>
    <w:p w14:paraId="3AA579B0" w14:textId="77777777" w:rsidR="005A2887" w:rsidRPr="00E407F8" w:rsidRDefault="005A2887" w:rsidP="005A2887">
      <w:pPr>
        <w:jc w:val="center"/>
        <w:rPr>
          <w:rFonts w:ascii="Book Antiqua" w:hAnsi="Book Antiqua"/>
        </w:rPr>
      </w:pPr>
    </w:p>
    <w:p w14:paraId="793A2183" w14:textId="77777777" w:rsidR="005A2887" w:rsidRPr="00E407F8" w:rsidRDefault="005A2887" w:rsidP="005A2887">
      <w:pPr>
        <w:jc w:val="center"/>
        <w:rPr>
          <w:rFonts w:ascii="Book Antiqua" w:hAnsi="Book Antiqua"/>
        </w:rPr>
      </w:pPr>
    </w:p>
    <w:p w14:paraId="46249C52" w14:textId="77777777" w:rsidR="005A2887" w:rsidRPr="00E407F8" w:rsidRDefault="005A2887" w:rsidP="005A2887">
      <w:pPr>
        <w:jc w:val="center"/>
        <w:rPr>
          <w:rFonts w:ascii="Book Antiqua" w:hAnsi="Book Antiqua"/>
        </w:rPr>
      </w:pPr>
    </w:p>
    <w:p w14:paraId="058DC7D7" w14:textId="77777777" w:rsidR="005A2887" w:rsidRPr="00E407F8" w:rsidRDefault="005A2887" w:rsidP="005A2887">
      <w:pPr>
        <w:jc w:val="center"/>
        <w:rPr>
          <w:rFonts w:ascii="Book Antiqua" w:hAnsi="Book Antiqua"/>
        </w:rPr>
      </w:pPr>
      <w:r w:rsidRPr="00E407F8">
        <w:rPr>
          <w:rFonts w:ascii="Book Antiqua" w:hAnsi="Book Antiqua"/>
          <w:noProof/>
        </w:rPr>
        <w:drawing>
          <wp:inline distT="0" distB="0" distL="0" distR="0" wp14:anchorId="2CA5B205" wp14:editId="6BAB238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B38329D" w14:textId="77777777" w:rsidR="005A2887" w:rsidRPr="00E407F8" w:rsidRDefault="005A2887" w:rsidP="005A2887">
      <w:pPr>
        <w:jc w:val="center"/>
        <w:rPr>
          <w:rFonts w:ascii="Book Antiqua" w:hAnsi="Book Antiqua"/>
        </w:rPr>
      </w:pPr>
    </w:p>
    <w:p w14:paraId="25FA6AA8" w14:textId="77777777" w:rsidR="005A2887" w:rsidRPr="00E407F8" w:rsidRDefault="005A2887" w:rsidP="005A2887">
      <w:pPr>
        <w:jc w:val="center"/>
        <w:rPr>
          <w:rFonts w:ascii="Book Antiqua" w:hAnsi="Book Antiqua"/>
        </w:rPr>
      </w:pPr>
    </w:p>
    <w:p w14:paraId="12DA7CA9" w14:textId="77777777" w:rsidR="005A2887" w:rsidRPr="00E407F8" w:rsidRDefault="005A2887" w:rsidP="005A2887">
      <w:pPr>
        <w:jc w:val="center"/>
        <w:rPr>
          <w:rFonts w:ascii="Book Antiqua" w:hAnsi="Book Antiqua"/>
        </w:rPr>
      </w:pPr>
    </w:p>
    <w:p w14:paraId="62ED19C3" w14:textId="77777777" w:rsidR="005A2887" w:rsidRPr="00E407F8" w:rsidRDefault="005A2887" w:rsidP="005A2887">
      <w:pPr>
        <w:jc w:val="center"/>
        <w:rPr>
          <w:rFonts w:ascii="Book Antiqua" w:hAnsi="Book Antiqua"/>
        </w:rPr>
      </w:pPr>
    </w:p>
    <w:p w14:paraId="3D023AC9" w14:textId="77777777" w:rsidR="005A2887" w:rsidRPr="00E407F8" w:rsidRDefault="005A2887" w:rsidP="005A2887">
      <w:pPr>
        <w:jc w:val="center"/>
        <w:rPr>
          <w:rFonts w:ascii="Book Antiqua" w:hAnsi="Book Antiqua"/>
        </w:rPr>
      </w:pPr>
    </w:p>
    <w:p w14:paraId="19960EE8" w14:textId="77777777" w:rsidR="005A2887" w:rsidRPr="00E407F8" w:rsidRDefault="005A2887" w:rsidP="005A2887">
      <w:pPr>
        <w:jc w:val="center"/>
        <w:rPr>
          <w:rFonts w:ascii="Book Antiqua" w:hAnsi="Book Antiqua"/>
        </w:rPr>
      </w:pPr>
    </w:p>
    <w:p w14:paraId="2CC6A49D" w14:textId="77777777" w:rsidR="005A2887" w:rsidRPr="00E407F8" w:rsidRDefault="005A2887" w:rsidP="005A2887">
      <w:pPr>
        <w:jc w:val="center"/>
        <w:rPr>
          <w:rFonts w:ascii="Book Antiqua" w:hAnsi="Book Antiqua"/>
        </w:rPr>
      </w:pPr>
    </w:p>
    <w:p w14:paraId="5BA5D5B4" w14:textId="77777777" w:rsidR="005A2887" w:rsidRPr="00E407F8" w:rsidRDefault="005A2887" w:rsidP="005A2887">
      <w:pPr>
        <w:jc w:val="center"/>
        <w:rPr>
          <w:rFonts w:ascii="Book Antiqua" w:hAnsi="Book Antiqua"/>
        </w:rPr>
      </w:pPr>
    </w:p>
    <w:p w14:paraId="04043CDA" w14:textId="77777777" w:rsidR="005A2887" w:rsidRPr="00E407F8" w:rsidRDefault="005A2887" w:rsidP="005A2887">
      <w:pPr>
        <w:jc w:val="center"/>
        <w:rPr>
          <w:rFonts w:ascii="Book Antiqua" w:hAnsi="Book Antiqua"/>
        </w:rPr>
      </w:pPr>
    </w:p>
    <w:p w14:paraId="319F1E3C" w14:textId="77777777" w:rsidR="005A2887" w:rsidRPr="00E407F8" w:rsidRDefault="005A2887" w:rsidP="005A2887">
      <w:pPr>
        <w:jc w:val="right"/>
        <w:rPr>
          <w:rFonts w:ascii="Book Antiqua" w:hAnsi="Book Antiqua"/>
          <w:color w:val="000000" w:themeColor="text1"/>
        </w:rPr>
      </w:pPr>
    </w:p>
    <w:p w14:paraId="75519C83" w14:textId="59F946C4" w:rsidR="007714B0" w:rsidRPr="005A2887" w:rsidRDefault="005A2887" w:rsidP="005A2887">
      <w:pPr>
        <w:jc w:val="center"/>
        <w:rPr>
          <w:rFonts w:ascii="Book Antiqua" w:hAnsi="Book Antiqua"/>
          <w:color w:val="000000" w:themeColor="text1"/>
        </w:rPr>
      </w:pPr>
      <w:r w:rsidRPr="00E407F8">
        <w:rPr>
          <w:rFonts w:ascii="Book Antiqua" w:eastAsia="BookAntiqua-Bold" w:hAnsi="Book Antiqua" w:cs="BookAntiqua-Bold"/>
          <w:b/>
          <w:bCs/>
          <w:color w:val="000000" w:themeColor="text1"/>
        </w:rPr>
        <w:t>© 2022 Baishideng Publishing Group Inc. All rights reserved.</w:t>
      </w:r>
      <w:bookmarkEnd w:id="4"/>
      <w:r w:rsidRPr="00E407F8">
        <w:rPr>
          <w:rFonts w:ascii="Book Antiqua" w:eastAsia="BookAntiqua-Bold" w:hAnsi="Book Antiqua" w:cs="BookAntiqua-Bold"/>
          <w:b/>
          <w:bCs/>
          <w:color w:val="000000" w:themeColor="text1"/>
        </w:rPr>
        <w:t xml:space="preserve"> </w:t>
      </w:r>
      <w:bookmarkEnd w:id="5"/>
      <w:r w:rsidRPr="00E407F8">
        <w:rPr>
          <w:rFonts w:ascii="Book Antiqua" w:hAnsi="Book Antiqua"/>
          <w:color w:val="000000" w:themeColor="text1"/>
        </w:rPr>
        <w:fldChar w:fldCharType="begin"/>
      </w:r>
      <w:r w:rsidRPr="00E407F8">
        <w:rPr>
          <w:rFonts w:ascii="Book Antiqua" w:hAnsi="Book Antiqua"/>
          <w:color w:val="000000" w:themeColor="text1"/>
        </w:rPr>
        <w:instrText xml:space="preserve"> ADDIN EN.REFLIST </w:instrText>
      </w:r>
      <w:r w:rsidRPr="00E407F8">
        <w:rPr>
          <w:rFonts w:ascii="Book Antiqua" w:hAnsi="Book Antiqua"/>
          <w:color w:val="000000" w:themeColor="text1"/>
        </w:rPr>
        <w:fldChar w:fldCharType="end"/>
      </w:r>
      <w:bookmarkEnd w:id="6"/>
    </w:p>
    <w:sectPr w:rsidR="007714B0" w:rsidRPr="005A2887"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B7E4A" w14:textId="77777777" w:rsidR="007A74B5" w:rsidRDefault="007A74B5">
      <w:r>
        <w:separator/>
      </w:r>
    </w:p>
  </w:endnote>
  <w:endnote w:type="continuationSeparator" w:id="0">
    <w:p w14:paraId="3B08CC0E" w14:textId="77777777" w:rsidR="007A74B5" w:rsidRDefault="007A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324E" w14:textId="77777777" w:rsidR="007714B0" w:rsidRDefault="00861EF4">
    <w:pPr>
      <w:pStyle w:val="a5"/>
      <w:jc w:val="right"/>
      <w:rPr>
        <w:rFonts w:ascii="Book Antiqua" w:hAnsi="Book Antiqua"/>
        <w:color w:val="000000" w:themeColor="text1"/>
        <w:sz w:val="24"/>
        <w:szCs w:val="24"/>
      </w:rPr>
    </w:pPr>
    <w:r>
      <w:rPr>
        <w:color w:val="4F81BD" w:themeColor="accent1"/>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18</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19</w:t>
    </w:r>
    <w:r>
      <w:rPr>
        <w:rFonts w:ascii="Book Antiqua" w:hAnsi="Book Antiqua"/>
        <w:color w:val="000000" w:themeColor="text1"/>
        <w:sz w:val="24"/>
        <w:szCs w:val="24"/>
      </w:rPr>
      <w:fldChar w:fldCharType="end"/>
    </w:r>
  </w:p>
  <w:p w14:paraId="0EF8BF6B" w14:textId="77777777" w:rsidR="007714B0" w:rsidRDefault="007714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7D29C" w14:textId="77777777" w:rsidR="007A74B5" w:rsidRDefault="007A74B5">
      <w:r>
        <w:separator/>
      </w:r>
    </w:p>
  </w:footnote>
  <w:footnote w:type="continuationSeparator" w:id="0">
    <w:p w14:paraId="615A2C10" w14:textId="77777777" w:rsidR="007A74B5" w:rsidRDefault="007A74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32C5"/>
    <w:rsid w:val="000A52D6"/>
    <w:rsid w:val="000C36AD"/>
    <w:rsid w:val="000C39D8"/>
    <w:rsid w:val="000D2EBB"/>
    <w:rsid w:val="001010A4"/>
    <w:rsid w:val="001854A9"/>
    <w:rsid w:val="00266235"/>
    <w:rsid w:val="00270B09"/>
    <w:rsid w:val="002A059C"/>
    <w:rsid w:val="002A6675"/>
    <w:rsid w:val="002D5770"/>
    <w:rsid w:val="0031530A"/>
    <w:rsid w:val="003B2925"/>
    <w:rsid w:val="003D77E3"/>
    <w:rsid w:val="00421772"/>
    <w:rsid w:val="0044219D"/>
    <w:rsid w:val="004673F9"/>
    <w:rsid w:val="00506E44"/>
    <w:rsid w:val="0056030F"/>
    <w:rsid w:val="005A2887"/>
    <w:rsid w:val="005C3948"/>
    <w:rsid w:val="0060710B"/>
    <w:rsid w:val="00650564"/>
    <w:rsid w:val="006D3ED1"/>
    <w:rsid w:val="006F56E7"/>
    <w:rsid w:val="00757B68"/>
    <w:rsid w:val="007714B0"/>
    <w:rsid w:val="007743F7"/>
    <w:rsid w:val="00796EF8"/>
    <w:rsid w:val="00797D68"/>
    <w:rsid w:val="007A74B5"/>
    <w:rsid w:val="007D5A8D"/>
    <w:rsid w:val="007F20A0"/>
    <w:rsid w:val="00817A46"/>
    <w:rsid w:val="00817C82"/>
    <w:rsid w:val="00861EF4"/>
    <w:rsid w:val="00895D14"/>
    <w:rsid w:val="0097762B"/>
    <w:rsid w:val="009A7483"/>
    <w:rsid w:val="009D0BAE"/>
    <w:rsid w:val="00A326B4"/>
    <w:rsid w:val="00A77B3E"/>
    <w:rsid w:val="00A96FEE"/>
    <w:rsid w:val="00AF28F3"/>
    <w:rsid w:val="00B055D4"/>
    <w:rsid w:val="00B1137B"/>
    <w:rsid w:val="00B210DD"/>
    <w:rsid w:val="00B30C40"/>
    <w:rsid w:val="00B418A5"/>
    <w:rsid w:val="00B6333A"/>
    <w:rsid w:val="00BF0971"/>
    <w:rsid w:val="00C06A5D"/>
    <w:rsid w:val="00C447BC"/>
    <w:rsid w:val="00C5378D"/>
    <w:rsid w:val="00CA0033"/>
    <w:rsid w:val="00CA2A55"/>
    <w:rsid w:val="00CB1FFD"/>
    <w:rsid w:val="00CE2471"/>
    <w:rsid w:val="00D46064"/>
    <w:rsid w:val="00E079F0"/>
    <w:rsid w:val="00E11C2C"/>
    <w:rsid w:val="00E2799C"/>
    <w:rsid w:val="00E32C4D"/>
    <w:rsid w:val="00E407F8"/>
    <w:rsid w:val="00EA68A9"/>
    <w:rsid w:val="00F37D13"/>
    <w:rsid w:val="00F654CD"/>
    <w:rsid w:val="00F77CD2"/>
    <w:rsid w:val="01854165"/>
    <w:rsid w:val="02BA01B3"/>
    <w:rsid w:val="7F7F3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3E93A9"/>
  <w15:docId w15:val="{56257453-39E5-4634-AE1B-50704673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rPr>
      <w:b/>
      <w:bCs/>
    </w:rPr>
  </w:style>
  <w:style w:type="character" w:styleId="ab">
    <w:name w:val="Hyperlink"/>
    <w:basedOn w:val="a0"/>
    <w:uiPriority w:val="99"/>
    <w:unhideWhenUsed/>
    <w:rPr>
      <w:color w:val="0000FF" w:themeColor="hyperlink"/>
      <w:u w:val="single"/>
    </w:rPr>
  </w:style>
  <w:style w:type="character" w:styleId="ac">
    <w:name w:val="annotation reference"/>
    <w:basedOn w:val="a0"/>
    <w:semiHidden/>
    <w:unhideWhenUsed/>
    <w:rPr>
      <w:sz w:val="21"/>
      <w:szCs w:val="21"/>
    </w:rPr>
  </w:style>
  <w:style w:type="paragraph" w:customStyle="1" w:styleId="LO-normal">
    <w:name w:val="LO-normal"/>
    <w:qFormat/>
    <w:pPr>
      <w:suppressAutoHyphens/>
      <w:spacing w:after="160" w:line="259" w:lineRule="auto"/>
    </w:pPr>
    <w:rPr>
      <w:rFonts w:ascii="Calibri" w:eastAsia="宋体" w:hAnsi="Calibri" w:cs="Calibri"/>
      <w:sz w:val="22"/>
      <w:szCs w:val="22"/>
      <w:lang w:bidi="hi-IN"/>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4">
    <w:name w:val="批注文字 字符"/>
    <w:basedOn w:val="a0"/>
    <w:link w:val="a3"/>
    <w:semiHidden/>
    <w:rPr>
      <w:sz w:val="24"/>
      <w:szCs w:val="24"/>
    </w:rPr>
  </w:style>
  <w:style w:type="character" w:customStyle="1" w:styleId="aa">
    <w:name w:val="批注主题 字符"/>
    <w:basedOn w:val="a4"/>
    <w:link w:val="a9"/>
    <w:semiHidden/>
    <w:rPr>
      <w:b/>
      <w:bCs/>
      <w:sz w:val="24"/>
      <w:szCs w:val="24"/>
    </w:rPr>
  </w:style>
  <w:style w:type="paragraph" w:customStyle="1" w:styleId="1">
    <w:name w:val="修订1"/>
    <w:hidden/>
    <w:uiPriority w:val="99"/>
    <w:semiHidden/>
    <w:rPr>
      <w:sz w:val="24"/>
      <w:szCs w:val="24"/>
      <w:lang w:eastAsia="en-US"/>
    </w:rPr>
  </w:style>
  <w:style w:type="paragraph" w:styleId="ad">
    <w:name w:val="Revision"/>
    <w:hidden/>
    <w:uiPriority w:val="99"/>
    <w:semiHidden/>
    <w:rsid w:val="00F654CD"/>
    <w:rPr>
      <w:sz w:val="24"/>
      <w:szCs w:val="24"/>
      <w:lang w:eastAsia="en-US"/>
    </w:rPr>
  </w:style>
  <w:style w:type="character" w:styleId="ae">
    <w:name w:val="Unresolved Mention"/>
    <w:basedOn w:val="a0"/>
    <w:uiPriority w:val="99"/>
    <w:semiHidden/>
    <w:unhideWhenUsed/>
    <w:rsid w:val="00796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alk.ictvonline.org/ictv-reports/ictv_online_report/positive-sense-rna-viruses/w/flaviviridae/363/genus-pegivir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pubmed.ncbi.nlm.nih.gov/?term=Karayiannis+P&amp;cauthor_id=949351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B8154C0-8259-4C1B-ABA0-0AAC260D79A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4400</Words>
  <Characters>25080</Characters>
  <Application>Microsoft Office Word</Application>
  <DocSecurity>0</DocSecurity>
  <Lines>209</Lines>
  <Paragraphs>58</Paragraphs>
  <ScaleCrop>false</ScaleCrop>
  <Company/>
  <LinksUpToDate>false</LinksUpToDate>
  <CharactersWithSpaces>29422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Mrzljak</dc:creator>
  <cp:lastModifiedBy>Wang, Linyutong</cp:lastModifiedBy>
  <cp:revision>16</cp:revision>
  <dcterms:created xsi:type="dcterms:W3CDTF">2022-01-06T06:02:00Z</dcterms:created>
  <dcterms:modified xsi:type="dcterms:W3CDTF">2022-01-12T03:33:00Z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E189328A0E1548D88C343BA70DB7DE41</vt:lpwstr>
  </property>
</Properties>
</file>