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4E55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Name of Journal: </w:t>
      </w:r>
      <w:r w:rsidRPr="00DD186A">
        <w:rPr>
          <w:rFonts w:ascii="Book Antiqua" w:eastAsia="Book Antiqua" w:hAnsi="Book Antiqua" w:cs="Book Antiqua"/>
          <w:i/>
          <w:color w:val="000000"/>
        </w:rPr>
        <w:t>World Journal of Gastrointestinal Surgery</w:t>
      </w:r>
    </w:p>
    <w:p w14:paraId="343FD9B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Manuscript NO: </w:t>
      </w:r>
      <w:r w:rsidRPr="00DD186A">
        <w:rPr>
          <w:rFonts w:ascii="Book Antiqua" w:eastAsia="Book Antiqua" w:hAnsi="Book Antiqua" w:cs="Book Antiqua"/>
          <w:color w:val="000000"/>
        </w:rPr>
        <w:t>63612</w:t>
      </w:r>
    </w:p>
    <w:p w14:paraId="1090B69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Manuscript Type: </w:t>
      </w:r>
      <w:r w:rsidRPr="00DD186A">
        <w:rPr>
          <w:rFonts w:ascii="Book Antiqua" w:eastAsia="Book Antiqua" w:hAnsi="Book Antiqua" w:cs="Book Antiqua"/>
          <w:color w:val="000000"/>
        </w:rPr>
        <w:t>OPINION REVIEW</w:t>
      </w:r>
    </w:p>
    <w:p w14:paraId="1AB8DE80" w14:textId="77777777" w:rsidR="00A77B3E" w:rsidRPr="00DD186A" w:rsidRDefault="00A77B3E">
      <w:pPr>
        <w:spacing w:line="360" w:lineRule="auto"/>
        <w:jc w:val="both"/>
        <w:rPr>
          <w:rFonts w:ascii="Book Antiqua" w:hAnsi="Book Antiqua"/>
        </w:rPr>
      </w:pPr>
    </w:p>
    <w:p w14:paraId="413C97B6"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shd w:val="clear" w:color="auto" w:fill="FFFFFF"/>
        </w:rPr>
        <w:t>Endoscopic ultrasound guided gastrojejunostomy for gastric outlet obstruction</w:t>
      </w:r>
    </w:p>
    <w:p w14:paraId="4C94F855" w14:textId="77777777" w:rsidR="00A77B3E" w:rsidRPr="00DD186A" w:rsidRDefault="00A77B3E">
      <w:pPr>
        <w:spacing w:line="360" w:lineRule="auto"/>
        <w:jc w:val="both"/>
        <w:rPr>
          <w:rFonts w:ascii="Book Antiqua" w:hAnsi="Book Antiqua"/>
        </w:rPr>
      </w:pPr>
    </w:p>
    <w:p w14:paraId="0A07BF35" w14:textId="77777777" w:rsidR="00A77B3E" w:rsidRPr="00DD186A" w:rsidRDefault="007945BE">
      <w:pPr>
        <w:spacing w:line="360" w:lineRule="auto"/>
        <w:jc w:val="both"/>
        <w:rPr>
          <w:rFonts w:ascii="Book Antiqua" w:hAnsi="Book Antiqua"/>
        </w:rPr>
      </w:pPr>
      <w:r w:rsidRPr="00DD186A">
        <w:rPr>
          <w:rFonts w:ascii="Book Antiqua" w:eastAsia="Book Antiqua" w:hAnsi="Book Antiqua" w:cs="Book Antiqua"/>
          <w:color w:val="000000"/>
        </w:rPr>
        <w:t>Stefanovic</w:t>
      </w:r>
      <w:r w:rsidRPr="00DD186A">
        <w:rPr>
          <w:rFonts w:ascii="Book Antiqua" w:eastAsia="Book Antiqua" w:hAnsi="Book Antiqua" w:cs="Book Antiqua"/>
          <w:color w:val="000000"/>
          <w:shd w:val="clear" w:color="auto" w:fill="FFFFFF"/>
        </w:rPr>
        <w:t xml:space="preserve"> </w:t>
      </w:r>
      <w:r w:rsidRPr="00DD186A">
        <w:rPr>
          <w:rFonts w:ascii="Book Antiqua" w:hAnsi="Book Antiqua" w:cs="Book Antiqua"/>
          <w:color w:val="000000"/>
          <w:shd w:val="clear" w:color="auto" w:fill="FFFFFF"/>
          <w:lang w:eastAsia="zh-CN"/>
        </w:rPr>
        <w:t xml:space="preserve">S </w:t>
      </w:r>
      <w:r w:rsidRPr="00DD186A">
        <w:rPr>
          <w:rFonts w:ascii="Book Antiqua" w:hAnsi="Book Antiqua" w:cs="Book Antiqua"/>
          <w:i/>
          <w:color w:val="000000"/>
          <w:shd w:val="clear" w:color="auto" w:fill="FFFFFF"/>
          <w:lang w:eastAsia="zh-CN"/>
        </w:rPr>
        <w:t>et al</w:t>
      </w:r>
      <w:r w:rsidRPr="00DD186A">
        <w:rPr>
          <w:rFonts w:ascii="Book Antiqua" w:hAnsi="Book Antiqua" w:cs="Book Antiqua"/>
          <w:color w:val="000000"/>
          <w:shd w:val="clear" w:color="auto" w:fill="FFFFFF"/>
          <w:lang w:eastAsia="zh-CN"/>
        </w:rPr>
        <w:t xml:space="preserve">. </w:t>
      </w:r>
      <w:r w:rsidR="00D0221A" w:rsidRPr="00DD186A">
        <w:rPr>
          <w:rFonts w:ascii="Book Antiqua" w:eastAsia="Book Antiqua" w:hAnsi="Book Antiqua" w:cs="Book Antiqua"/>
          <w:color w:val="000000"/>
          <w:shd w:val="clear" w:color="auto" w:fill="FFFFFF"/>
        </w:rPr>
        <w:t>EUS-GE for gastric outlet obstruction</w:t>
      </w:r>
    </w:p>
    <w:p w14:paraId="663EFE10" w14:textId="77777777" w:rsidR="00A77B3E" w:rsidRPr="00DD186A" w:rsidRDefault="00A77B3E">
      <w:pPr>
        <w:spacing w:line="360" w:lineRule="auto"/>
        <w:jc w:val="both"/>
        <w:rPr>
          <w:rFonts w:ascii="Book Antiqua" w:hAnsi="Book Antiqua"/>
        </w:rPr>
      </w:pPr>
    </w:p>
    <w:p w14:paraId="19A5934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Sebastian Stefanovic, Peter V Draganov, Dennis Yang</w:t>
      </w:r>
    </w:p>
    <w:p w14:paraId="001051CF" w14:textId="77777777" w:rsidR="00A77B3E" w:rsidRPr="00DD186A" w:rsidRDefault="00A77B3E">
      <w:pPr>
        <w:spacing w:line="360" w:lineRule="auto"/>
        <w:jc w:val="both"/>
        <w:rPr>
          <w:rFonts w:ascii="Book Antiqua" w:hAnsi="Book Antiqua"/>
        </w:rPr>
      </w:pPr>
    </w:p>
    <w:p w14:paraId="0D1F101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Sebastian Stefanovic, </w:t>
      </w:r>
      <w:r w:rsidRPr="00DD186A">
        <w:rPr>
          <w:rFonts w:ascii="Book Antiqua" w:eastAsia="Book Antiqua" w:hAnsi="Book Antiqua" w:cs="Book Antiqua"/>
          <w:color w:val="000000"/>
        </w:rPr>
        <w:t>Department of Gastroenterology and Hepatology, University Medical Center Ljubljana, Ljubljana 1000, Slovenia</w:t>
      </w:r>
    </w:p>
    <w:p w14:paraId="7BB954C3" w14:textId="77777777" w:rsidR="00A77B3E" w:rsidRPr="00DD186A" w:rsidRDefault="00A77B3E">
      <w:pPr>
        <w:spacing w:line="360" w:lineRule="auto"/>
        <w:jc w:val="both"/>
        <w:rPr>
          <w:rFonts w:ascii="Book Antiqua" w:hAnsi="Book Antiqua"/>
        </w:rPr>
      </w:pPr>
    </w:p>
    <w:p w14:paraId="0FF5C7D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Peter V Draganov, Dennis Yang, </w:t>
      </w:r>
      <w:r w:rsidRPr="00DD186A">
        <w:rPr>
          <w:rFonts w:ascii="Book Antiqua" w:eastAsia="Book Antiqua" w:hAnsi="Book Antiqua" w:cs="Book Antiqua"/>
          <w:color w:val="000000"/>
        </w:rPr>
        <w:t>Division of Gastroenterology, Hepatology, and Nutrition, University of Florida College of Medicine, Gainesville, FL 32608, United States</w:t>
      </w:r>
    </w:p>
    <w:p w14:paraId="6300C624" w14:textId="77777777" w:rsidR="00A77B3E" w:rsidRPr="00DD186A" w:rsidRDefault="00A77B3E">
      <w:pPr>
        <w:spacing w:line="360" w:lineRule="auto"/>
        <w:jc w:val="both"/>
        <w:rPr>
          <w:rFonts w:ascii="Book Antiqua" w:hAnsi="Book Antiqua"/>
        </w:rPr>
      </w:pPr>
    </w:p>
    <w:p w14:paraId="2FBE4C04" w14:textId="71C58E51"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Author contributions: </w:t>
      </w:r>
      <w:r w:rsidRPr="00DD186A">
        <w:rPr>
          <w:rFonts w:ascii="Book Antiqua" w:eastAsia="Book Antiqua" w:hAnsi="Book Antiqua" w:cs="Book Antiqua"/>
          <w:color w:val="000000"/>
          <w:shd w:val="clear" w:color="auto" w:fill="FFFFFF"/>
        </w:rPr>
        <w:t xml:space="preserve">Stefanovic S, Draganov PV and Yang D have been involved in literature search and writing the manuscript; Draganov PV and Yang D conceived the idea of the manuscript and performed the final revision of the manuscript; </w:t>
      </w:r>
      <w:r w:rsidR="0057313D" w:rsidRPr="00DD186A">
        <w:rPr>
          <w:rFonts w:ascii="Book Antiqua" w:eastAsia="Book Antiqua" w:hAnsi="Book Antiqua" w:cs="Book Antiqua"/>
          <w:color w:val="000000"/>
          <w:shd w:val="clear" w:color="auto" w:fill="FFFFFF"/>
        </w:rPr>
        <w:t>a</w:t>
      </w:r>
      <w:r w:rsidRPr="00DD186A">
        <w:rPr>
          <w:rFonts w:ascii="Book Antiqua" w:eastAsia="Book Antiqua" w:hAnsi="Book Antiqua" w:cs="Book Antiqua"/>
          <w:color w:val="000000"/>
          <w:shd w:val="clear" w:color="auto" w:fill="FFFFFF"/>
        </w:rPr>
        <w:t>ll authors read and approved the final manuscript.</w:t>
      </w:r>
    </w:p>
    <w:p w14:paraId="3276EF60" w14:textId="77777777" w:rsidR="00A77B3E" w:rsidRPr="00DD186A" w:rsidRDefault="00A77B3E">
      <w:pPr>
        <w:spacing w:line="360" w:lineRule="auto"/>
        <w:jc w:val="both"/>
        <w:rPr>
          <w:rFonts w:ascii="Book Antiqua" w:hAnsi="Book Antiqua"/>
        </w:rPr>
      </w:pPr>
    </w:p>
    <w:p w14:paraId="17C9F90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Corresponding author: Dennis Yang, MD, Doctor, </w:t>
      </w:r>
      <w:r w:rsidRPr="00DD186A">
        <w:rPr>
          <w:rFonts w:ascii="Book Antiqua" w:eastAsia="Book Antiqua" w:hAnsi="Book Antiqua" w:cs="Book Antiqua"/>
          <w:color w:val="000000"/>
        </w:rPr>
        <w:t>Division of Gastroenterology, Hepatology, and Nutrition, University of Florida College of Medicine, 1329 SW 16</w:t>
      </w:r>
      <w:r w:rsidRPr="0057313D">
        <w:rPr>
          <w:rFonts w:ascii="Book Antiqua" w:eastAsia="Book Antiqua" w:hAnsi="Book Antiqua" w:cs="Book Antiqua"/>
          <w:color w:val="000000"/>
          <w:vertAlign w:val="superscript"/>
        </w:rPr>
        <w:t>th</w:t>
      </w:r>
      <w:r w:rsidRPr="00DD186A">
        <w:rPr>
          <w:rFonts w:ascii="Book Antiqua" w:eastAsia="Book Antiqua" w:hAnsi="Book Antiqua" w:cs="Book Antiqua"/>
          <w:color w:val="000000"/>
        </w:rPr>
        <w:t xml:space="preserve"> Street, Room #5252, Gainesville, FL 32608, United States. dennis.yang@medicine.ufl.edu</w:t>
      </w:r>
    </w:p>
    <w:p w14:paraId="3A62B857" w14:textId="77777777" w:rsidR="00A77B3E" w:rsidRPr="00DD186A" w:rsidRDefault="00A77B3E">
      <w:pPr>
        <w:spacing w:line="360" w:lineRule="auto"/>
        <w:jc w:val="both"/>
        <w:rPr>
          <w:rFonts w:ascii="Book Antiqua" w:hAnsi="Book Antiqua"/>
        </w:rPr>
      </w:pPr>
    </w:p>
    <w:p w14:paraId="7846A9AF"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Received: </w:t>
      </w:r>
      <w:r w:rsidRPr="00DD186A">
        <w:rPr>
          <w:rFonts w:ascii="Book Antiqua" w:eastAsia="Book Antiqua" w:hAnsi="Book Antiqua" w:cs="Book Antiqua"/>
          <w:color w:val="000000"/>
        </w:rPr>
        <w:t>January 30, 2021</w:t>
      </w:r>
    </w:p>
    <w:p w14:paraId="49E894B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Revised: </w:t>
      </w:r>
      <w:r w:rsidRPr="00DD186A">
        <w:rPr>
          <w:rFonts w:ascii="Book Antiqua" w:eastAsia="Book Antiqua" w:hAnsi="Book Antiqua" w:cs="Book Antiqua"/>
          <w:color w:val="000000"/>
        </w:rPr>
        <w:t>May 11, 2021</w:t>
      </w:r>
    </w:p>
    <w:p w14:paraId="7A9EDB5E" w14:textId="0C514760"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Accepted: </w:t>
      </w:r>
      <w:r w:rsidR="0057313D" w:rsidRPr="0057313D">
        <w:rPr>
          <w:rFonts w:ascii="Book Antiqua" w:eastAsia="Book Antiqua" w:hAnsi="Book Antiqua" w:cs="Book Antiqua"/>
          <w:bCs/>
          <w:color w:val="000000"/>
        </w:rPr>
        <w:t>June 23, 2021</w:t>
      </w:r>
    </w:p>
    <w:p w14:paraId="3B5294A4"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lastRenderedPageBreak/>
        <w:t xml:space="preserve">Published online: </w:t>
      </w:r>
    </w:p>
    <w:p w14:paraId="6A1D3C34" w14:textId="77777777" w:rsidR="00A77B3E" w:rsidRPr="00DD186A" w:rsidRDefault="00A77B3E">
      <w:pPr>
        <w:spacing w:line="360" w:lineRule="auto"/>
        <w:jc w:val="both"/>
        <w:rPr>
          <w:rFonts w:ascii="Book Antiqua" w:hAnsi="Book Antiqua"/>
        </w:rPr>
        <w:sectPr w:rsidR="00A77B3E" w:rsidRPr="00DD186A">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7E9B94E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lastRenderedPageBreak/>
        <w:t>Abstract</w:t>
      </w:r>
    </w:p>
    <w:p w14:paraId="31ACE924"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shd w:val="clear" w:color="auto" w:fill="FFFFFF"/>
        </w:rPr>
        <w:t xml:space="preserve">Gastric outlet obstruction (GOO) is a clinical syndrome secondary to luminal obstruction at the level of the stomach and/or duodenum. GOO can be caused by either benign or malignant etiologies, often resulting in early satiety, nausea, vomiting and poor oral intake. GOO is associated with decreased quality of life and has been shown to significantly impact survival in patients with advanced malignancies. Traditional treatment options for GOO can be broadly divided into surgical </w:t>
      </w:r>
      <w:r w:rsidRPr="00DD186A">
        <w:rPr>
          <w:rFonts w:ascii="Book Antiqua" w:eastAsia="Book Antiqua" w:hAnsi="Book Antiqua" w:cs="Book Antiqua"/>
          <w:color w:val="000000"/>
        </w:rPr>
        <w:t>[</w:t>
      </w:r>
      <w:r w:rsidRPr="00DD186A">
        <w:rPr>
          <w:rFonts w:ascii="Book Antiqua" w:eastAsia="Book Antiqua" w:hAnsi="Book Antiqua" w:cs="Book Antiqua"/>
          <w:color w:val="000000"/>
          <w:shd w:val="clear" w:color="auto" w:fill="FFFFFF"/>
        </w:rPr>
        <w:t xml:space="preserve">surgical gastrojejunostomy (GJ)] and endoscopic interventions (dilation and/or placement of luminal self-expanding metal stents). While surgical GJ has been shown to provide a more lasting relief of symptoms when compared to luminal stenting, it has also been associated with a higher rate of adverse events. Furthermore, many patients with advanced metastatic disease are not good surgical candidates. More recently, endoscopic ultrasound (EUS)-guided GJ has emerged as a potential alternative to traditional surgical and endoscopic approaches. This review focuses on the new advances and technical aspects of EUS-GJ and clinical outcomes in the management of both benign and malignant disease. </w:t>
      </w:r>
    </w:p>
    <w:p w14:paraId="5178E7F6" w14:textId="77777777" w:rsidR="00A77B3E" w:rsidRPr="00DD186A" w:rsidRDefault="00A77B3E">
      <w:pPr>
        <w:spacing w:line="360" w:lineRule="auto"/>
        <w:jc w:val="both"/>
        <w:rPr>
          <w:rFonts w:ascii="Book Antiqua" w:hAnsi="Book Antiqua"/>
        </w:rPr>
      </w:pPr>
    </w:p>
    <w:p w14:paraId="2667B910"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Key Words: </w:t>
      </w:r>
      <w:r w:rsidRPr="00DD186A">
        <w:rPr>
          <w:rFonts w:ascii="Book Antiqua" w:eastAsia="Book Antiqua" w:hAnsi="Book Antiqua" w:cs="Book Antiqua"/>
          <w:color w:val="000000"/>
          <w:shd w:val="clear" w:color="auto" w:fill="FFFFFF"/>
        </w:rPr>
        <w:t>Gastric outlet obstruction; Interventional endoultrasonography; Gastrojejunostomy; Duodenal stenting; Balloon dilatation</w:t>
      </w:r>
    </w:p>
    <w:p w14:paraId="7433557A" w14:textId="77777777" w:rsidR="00A77B3E" w:rsidRPr="00DD186A" w:rsidRDefault="00A77B3E">
      <w:pPr>
        <w:spacing w:line="360" w:lineRule="auto"/>
        <w:jc w:val="both"/>
        <w:rPr>
          <w:rFonts w:ascii="Book Antiqua" w:hAnsi="Book Antiqua"/>
        </w:rPr>
      </w:pPr>
    </w:p>
    <w:p w14:paraId="7063322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Stefanovic S, Draganov PV, Yang D. Endoscopic ultrasound guided gastrojejunostomy for gastric outlet obstruction . </w:t>
      </w:r>
      <w:r w:rsidRPr="00DD186A">
        <w:rPr>
          <w:rFonts w:ascii="Book Antiqua" w:eastAsia="Book Antiqua" w:hAnsi="Book Antiqua" w:cs="Book Antiqua"/>
          <w:i/>
          <w:iCs/>
          <w:color w:val="000000"/>
        </w:rPr>
        <w:t>World J Gastrointest Surg</w:t>
      </w:r>
      <w:r w:rsidRPr="00DD186A">
        <w:rPr>
          <w:rFonts w:ascii="Book Antiqua" w:eastAsia="Book Antiqua" w:hAnsi="Book Antiqua" w:cs="Book Antiqua"/>
          <w:color w:val="000000"/>
        </w:rPr>
        <w:t xml:space="preserve"> 2021; In press</w:t>
      </w:r>
    </w:p>
    <w:p w14:paraId="28875CA1" w14:textId="77777777" w:rsidR="00A77B3E" w:rsidRPr="00DD186A" w:rsidRDefault="00A77B3E">
      <w:pPr>
        <w:spacing w:line="360" w:lineRule="auto"/>
        <w:jc w:val="both"/>
        <w:rPr>
          <w:rFonts w:ascii="Book Antiqua" w:hAnsi="Book Antiqua"/>
        </w:rPr>
      </w:pPr>
    </w:p>
    <w:p w14:paraId="6BF9665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Core Tip: </w:t>
      </w:r>
      <w:r w:rsidRPr="00DD186A">
        <w:rPr>
          <w:rFonts w:ascii="Book Antiqua" w:eastAsia="Book Antiqua" w:hAnsi="Book Antiqua" w:cs="Book Antiqua"/>
          <w:color w:val="000000"/>
          <w:shd w:val="clear" w:color="auto" w:fill="FFFFFF"/>
        </w:rPr>
        <w:t xml:space="preserve">Gastric outlet obstruction (GOO) can significantly decrease the quality of life and also significantly impact survival of patients with malignant etiology. Endoscopic luminal stenting and surgery are considered standard therapy; however, issues remain. Luminal stenting is minimally invasive but often requires reinterventions whereas longer-lasting surgical bypass procedures are associated with higher morbidity. Endoscopic ultrasonography-guided gastroenterostomy has emerged as an alternative </w:t>
      </w:r>
      <w:r w:rsidRPr="00DD186A">
        <w:rPr>
          <w:rFonts w:ascii="Book Antiqua" w:eastAsia="Book Antiqua" w:hAnsi="Book Antiqua" w:cs="Book Antiqua"/>
          <w:color w:val="000000"/>
          <w:shd w:val="clear" w:color="auto" w:fill="FFFFFF"/>
        </w:rPr>
        <w:lastRenderedPageBreak/>
        <w:t xml:space="preserve">to these established therapies. We aim to analyze the technical aspects of endoscopic ultrasonography-guided gastroenterostomy, review its clinical outcomes and propose a treatment algorithm for patients with malignant GOO. </w:t>
      </w:r>
    </w:p>
    <w:p w14:paraId="59D77630" w14:textId="77777777" w:rsidR="00A77B3E" w:rsidRPr="00DD186A" w:rsidRDefault="00A77B3E">
      <w:pPr>
        <w:spacing w:line="360" w:lineRule="auto"/>
        <w:jc w:val="both"/>
        <w:rPr>
          <w:rFonts w:ascii="Book Antiqua" w:hAnsi="Book Antiqua"/>
        </w:rPr>
      </w:pPr>
    </w:p>
    <w:p w14:paraId="39DDE8F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aps/>
          <w:color w:val="000000"/>
          <w:u w:val="single"/>
        </w:rPr>
        <w:t>INTRODUCTION</w:t>
      </w:r>
    </w:p>
    <w:p w14:paraId="113F9AF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Gastric outlet obstruction (GOO) is a clinical syndrome characterized by symptoms of luminal obstruction secondary to a variety of disorders (Table 1).  The obstruction can be present at the level of distal stomach, pylorus or duodenum. Typical symptoms include postprandial vomiting, epigastric abdominal pain, bloating or abdominal discomfort, early satiety and weight loss</w:t>
      </w:r>
      <w:r w:rsidRPr="00DD186A">
        <w:rPr>
          <w:rFonts w:ascii="Book Antiqua" w:eastAsia="Book Antiqua" w:hAnsi="Book Antiqua" w:cs="Book Antiqua"/>
          <w:color w:val="000000"/>
          <w:vertAlign w:val="superscript"/>
        </w:rPr>
        <w:t>[1,2]</w:t>
      </w:r>
      <w:r w:rsidRPr="00DD186A">
        <w:rPr>
          <w:rFonts w:ascii="Book Antiqua" w:eastAsia="Book Antiqua" w:hAnsi="Book Antiqua" w:cs="Book Antiqua"/>
          <w:color w:val="000000"/>
        </w:rPr>
        <w:t>.</w:t>
      </w:r>
    </w:p>
    <w:p w14:paraId="5029790E"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Management of GOO, particularly in the setting of malignancy, has involved surgical GJ, endoscopic placement of luminal self-expanding metal stents (SEMS), and more recently, EUS-GJ. For benign GOO, endoscopic balloon dilation (EBD) is commonly the first-step prior to more invasive interventions. Irrespective of the etiology, the ultimate goal of therapy is the resumption or improvement in oral intake, which can be graded using the gastric outlet obstruction scoring system (GOOSS) (Table 2)</w:t>
      </w:r>
      <w:r w:rsidRPr="00DD186A">
        <w:rPr>
          <w:rFonts w:ascii="Book Antiqua" w:eastAsia="Book Antiqua" w:hAnsi="Book Antiqua" w:cs="Book Antiqua"/>
          <w:color w:val="000000"/>
          <w:vertAlign w:val="superscript"/>
        </w:rPr>
        <w:t>[3]</w:t>
      </w:r>
      <w:r w:rsidRPr="00DD186A">
        <w:rPr>
          <w:rFonts w:ascii="Book Antiqua" w:eastAsia="Book Antiqua" w:hAnsi="Book Antiqua" w:cs="Book Antiqua"/>
          <w:color w:val="000000"/>
        </w:rPr>
        <w:t xml:space="preserve">. </w:t>
      </w:r>
    </w:p>
    <w:p w14:paraId="6216012D"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 xml:space="preserve">Surgical GJ has been the traditional preferred treatment for GOO. This can be performed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either an open or laparoscopic approach, and with or without concomitant biliary bypass</w:t>
      </w:r>
      <w:r w:rsidRPr="00DD186A">
        <w:rPr>
          <w:rFonts w:ascii="Book Antiqua" w:eastAsia="Book Antiqua" w:hAnsi="Book Antiqua" w:cs="Book Antiqua"/>
          <w:color w:val="000000"/>
          <w:vertAlign w:val="superscript"/>
        </w:rPr>
        <w:t>[4]</w:t>
      </w:r>
      <w:r w:rsidRPr="00DD186A">
        <w:rPr>
          <w:rFonts w:ascii="Book Antiqua" w:eastAsia="Book Antiqua" w:hAnsi="Book Antiqua" w:cs="Book Antiqua"/>
          <w:color w:val="000000"/>
        </w:rPr>
        <w:t>. The main limitation with surgery is the well-recognized high rates of morbidity (39%-54%) and mortality (6%-31%)</w:t>
      </w:r>
      <w:r w:rsidRPr="00DD186A">
        <w:rPr>
          <w:rFonts w:ascii="Book Antiqua" w:eastAsia="Book Antiqua" w:hAnsi="Book Antiqua" w:cs="Book Antiqua"/>
          <w:color w:val="000000"/>
          <w:vertAlign w:val="superscript"/>
        </w:rPr>
        <w:t>[5-10]</w:t>
      </w:r>
      <w:r w:rsidRPr="00DD186A">
        <w:rPr>
          <w:rFonts w:ascii="Book Antiqua" w:eastAsia="Book Antiqua" w:hAnsi="Book Antiqua" w:cs="Book Antiqua"/>
          <w:color w:val="000000"/>
        </w:rPr>
        <w:t>. Noteworthy, many patients are poor surgical candidates due to advanced underlying malignant disease, poor nutritional status and short life expectancy</w:t>
      </w:r>
      <w:r w:rsidRPr="00DD186A">
        <w:rPr>
          <w:rFonts w:ascii="Book Antiqua" w:eastAsia="Book Antiqua" w:hAnsi="Book Antiqua" w:cs="Book Antiqua"/>
          <w:color w:val="000000"/>
          <w:vertAlign w:val="superscript"/>
        </w:rPr>
        <w:t>[8-10]</w:t>
      </w:r>
      <w:r w:rsidRPr="00DD186A">
        <w:rPr>
          <w:rFonts w:ascii="Book Antiqua" w:eastAsia="Book Antiqua" w:hAnsi="Book Antiqua" w:cs="Book Antiqua"/>
          <w:color w:val="000000"/>
        </w:rPr>
        <w:t>.  </w:t>
      </w:r>
    </w:p>
    <w:p w14:paraId="0137F531"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Endoscopic placement of luminal uncovered SEMS is an established alternative treatment option for GOO, with reported technical and clinical success of 90%-100% and 70%-100%, respectively</w:t>
      </w:r>
      <w:r w:rsidRPr="00DD186A">
        <w:rPr>
          <w:rFonts w:ascii="Book Antiqua" w:eastAsia="Book Antiqua" w:hAnsi="Book Antiqua" w:cs="Book Antiqua"/>
          <w:color w:val="000000"/>
          <w:vertAlign w:val="superscript"/>
        </w:rPr>
        <w:t>[1,11,12]</w:t>
      </w:r>
      <w:r w:rsidRPr="00DD186A">
        <w:rPr>
          <w:rFonts w:ascii="Book Antiqua" w:eastAsia="Book Antiqua" w:hAnsi="Book Antiqua" w:cs="Book Antiqua"/>
          <w:color w:val="000000"/>
        </w:rPr>
        <w:t>. When compared to surgery, SEMS allows for faster resumption of oral intake, shorter hospital stay and fewer adverse events</w:t>
      </w:r>
      <w:r w:rsidRPr="00DD186A">
        <w:rPr>
          <w:rFonts w:ascii="Book Antiqua" w:eastAsia="Book Antiqua" w:hAnsi="Book Antiqua" w:cs="Book Antiqua"/>
          <w:color w:val="000000"/>
          <w:vertAlign w:val="superscript"/>
        </w:rPr>
        <w:t>[13-15]</w:t>
      </w:r>
      <w:r w:rsidRPr="00DD186A">
        <w:rPr>
          <w:rFonts w:ascii="Book Antiqua" w:eastAsia="Book Antiqua" w:hAnsi="Book Antiqua" w:cs="Book Antiqua"/>
          <w:color w:val="000000"/>
        </w:rPr>
        <w:t xml:space="preserve">. However, stent patency is an issue, as many patients (20%-30%) may experience symptom recurrence due to stent obstruction from food contents or tissue ingrowth after 6 </w:t>
      </w:r>
      <w:r w:rsidRPr="00DD186A">
        <w:rPr>
          <w:rFonts w:ascii="Book Antiqua" w:eastAsia="Book Antiqua" w:hAnsi="Book Antiqua" w:cs="Book Antiqua"/>
          <w:color w:val="000000"/>
        </w:rPr>
        <w:lastRenderedPageBreak/>
        <w:t>mo</w:t>
      </w:r>
      <w:r w:rsidRPr="00DD186A">
        <w:rPr>
          <w:rFonts w:ascii="Book Antiqua" w:eastAsia="Book Antiqua" w:hAnsi="Book Antiqua" w:cs="Book Antiqua"/>
          <w:color w:val="000000"/>
          <w:vertAlign w:val="superscript"/>
        </w:rPr>
        <w:t>[16,17]</w:t>
      </w:r>
      <w:r w:rsidRPr="00DD186A">
        <w:rPr>
          <w:rFonts w:ascii="Book Antiqua" w:eastAsia="Book Antiqua" w:hAnsi="Book Antiqua" w:cs="Book Antiqua"/>
          <w:color w:val="000000"/>
        </w:rPr>
        <w:t>. It should be noted that many patients with malignant GOO can present or subsequently develop biliary obstruction. In these cases, many experts prefer routine placement of a biliary stent prior to duodenal stenting; however, this may not be feasible depending on the degree of luminal obstruction. Conversely, placement of a duodenal uncovered SEMS first can potentially compromise access to the ampulla of Vater as biliary stenting through the mesh of the SEMS can be technically challenging. Importantly, in certain circumstances, de novo biliary obstruction can develop secondary to the placement of the duodenal SEMS across the papilla. In most cases duodenal stent placement with overlap of the ampulla is often unavoidable in patients whose GOO is at, or near, the biliary orifice. In select cases of short malignant strictures without direct involvement of the ampulla, placement of a lumen-apposing metal stent (LAMS) as opposed to a conventional SEMS, has been reported as a potentially strategy to treat the GOO without overlapping a biliary stent and thereby facilitating future re-intervention if indicated</w:t>
      </w:r>
      <w:r w:rsidRPr="00DD186A">
        <w:rPr>
          <w:rFonts w:ascii="Book Antiqua" w:eastAsia="Book Antiqua" w:hAnsi="Book Antiqua" w:cs="Book Antiqua"/>
          <w:color w:val="000000"/>
          <w:vertAlign w:val="superscript"/>
        </w:rPr>
        <w:t>[18]</w:t>
      </w:r>
      <w:r w:rsidRPr="00DD186A">
        <w:rPr>
          <w:rFonts w:ascii="Book Antiqua" w:eastAsia="Book Antiqua" w:hAnsi="Book Antiqua" w:cs="Book Antiqua"/>
          <w:color w:val="000000"/>
        </w:rPr>
        <w:t>. Irrespectively, the concomitant management of GOO and biliary obstruction with “double” luminal and biliary stenting can be challenging and percutaneous transhepatic biliary drainage may be required. As such, luminal stenting is predominantly indicated for patients with short life expectancy (&lt; 3 mo) in whom re-intervention is less likely</w:t>
      </w:r>
      <w:r w:rsidRPr="00DD186A">
        <w:rPr>
          <w:rFonts w:ascii="Book Antiqua" w:eastAsia="Book Antiqua" w:hAnsi="Book Antiqua" w:cs="Book Antiqua"/>
          <w:color w:val="000000"/>
          <w:vertAlign w:val="superscript"/>
        </w:rPr>
        <w:t>[4,17,19]</w:t>
      </w:r>
      <w:r w:rsidRPr="00DD186A">
        <w:rPr>
          <w:rFonts w:ascii="Book Antiqua" w:eastAsia="Book Antiqua" w:hAnsi="Book Antiqua" w:cs="Book Antiqua"/>
          <w:color w:val="000000"/>
        </w:rPr>
        <w:t>. Conversely, along the same lines, SEMS is not a good long-term plan for management of GOO with a benign cause. Fortunately, benign GOO is less commonly encountered nowadays with high rates of Helicobacter pylori eradication and the prevalent use of proton pump inhibitors</w:t>
      </w:r>
      <w:r w:rsidRPr="00DD186A">
        <w:rPr>
          <w:rFonts w:ascii="Book Antiqua" w:eastAsia="Book Antiqua" w:hAnsi="Book Antiqua" w:cs="Book Antiqua"/>
          <w:color w:val="000000"/>
          <w:vertAlign w:val="superscript"/>
        </w:rPr>
        <w:t>[20,21]</w:t>
      </w:r>
      <w:r w:rsidRPr="00DD186A">
        <w:rPr>
          <w:rFonts w:ascii="Book Antiqua" w:eastAsia="Book Antiqua" w:hAnsi="Book Antiqua" w:cs="Book Antiqua"/>
          <w:color w:val="000000"/>
        </w:rPr>
        <w:t>. While EBD is an effective first-line treatment for benign GOO, patients requiring multiple sessions have a worse prognosis and often will need surgery for definitive management</w:t>
      </w:r>
      <w:r w:rsidRPr="00DD186A">
        <w:rPr>
          <w:rFonts w:ascii="Book Antiqua" w:eastAsia="Book Antiqua" w:hAnsi="Book Antiqua" w:cs="Book Antiqua"/>
          <w:color w:val="000000"/>
          <w:vertAlign w:val="superscript"/>
        </w:rPr>
        <w:t>[22-24]</w:t>
      </w:r>
      <w:r w:rsidRPr="00DD186A">
        <w:rPr>
          <w:rFonts w:ascii="Book Antiqua" w:eastAsia="Book Antiqua" w:hAnsi="Book Antiqua" w:cs="Book Antiqua"/>
          <w:color w:val="000000"/>
        </w:rPr>
        <w:t xml:space="preserve">. </w:t>
      </w:r>
    </w:p>
    <w:p w14:paraId="5AC6041C" w14:textId="77777777" w:rsidR="00A77B3E" w:rsidRPr="00DD186A" w:rsidRDefault="00A77B3E">
      <w:pPr>
        <w:spacing w:line="360" w:lineRule="auto"/>
        <w:ind w:firstLine="480"/>
        <w:jc w:val="both"/>
        <w:rPr>
          <w:rFonts w:ascii="Book Antiqua" w:hAnsi="Book Antiqua"/>
        </w:rPr>
      </w:pPr>
    </w:p>
    <w:p w14:paraId="79987F8F"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EUS-GJ</w:t>
      </w:r>
    </w:p>
    <w:p w14:paraId="6A629100"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EUS-GJ has recently emerged as an alternative minimally invasive technique for the management of both benign and malignant GOO. The procedure is based on the concept of endosonographically identifying jejunum distal to the site of the obstruction followed by the creation a gastro-jejunal (GJ) anastomosis. Technical feasibility and </w:t>
      </w:r>
      <w:r w:rsidRPr="00DD186A">
        <w:rPr>
          <w:rFonts w:ascii="Book Antiqua" w:eastAsia="Book Antiqua" w:hAnsi="Book Antiqua" w:cs="Book Antiqua"/>
          <w:color w:val="000000"/>
        </w:rPr>
        <w:lastRenderedPageBreak/>
        <w:t>increasing adoption of this procedure have been facilitated by the advent of different types of dedicated bi-flanged LAMS, including those with electrocautery-enhanced delivery systems</w:t>
      </w:r>
      <w:r w:rsidRPr="00DD186A">
        <w:rPr>
          <w:rFonts w:ascii="Book Antiqua" w:eastAsia="Book Antiqua" w:hAnsi="Book Antiqua" w:cs="Book Antiqua"/>
          <w:color w:val="000000"/>
          <w:vertAlign w:val="superscript"/>
        </w:rPr>
        <w:t>[25,26]</w:t>
      </w:r>
      <w:r w:rsidRPr="00DD186A">
        <w:rPr>
          <w:rFonts w:ascii="Book Antiqua" w:eastAsia="Book Antiqua" w:hAnsi="Book Antiqua" w:cs="Book Antiqua"/>
          <w:color w:val="000000"/>
        </w:rPr>
        <w:t xml:space="preserve">. Theoretically, endoscopic creation of a GJ bypass may avoid potential adverse events associated with surgery, yet still offer a functional anastomosis through the newly created tract. Moreover, the fully-covered LAMS should potentially prevent tissue ingrowth as compared to uncovered luminal SEMS while still imparting lumen apposition and reduced risk of migration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its dumbbell shape. However, it should be emphasized that EUS-GJ is still a technically complex procedure. In the following section, we further elaborate on the technical aspects of EUS-GJ, with a particular focus on the different approaches to locate and access the jejunum endosonographically. </w:t>
      </w:r>
    </w:p>
    <w:p w14:paraId="6261972C" w14:textId="77777777" w:rsidR="00A77B3E" w:rsidRPr="00DD186A" w:rsidRDefault="00A77B3E">
      <w:pPr>
        <w:spacing w:line="360" w:lineRule="auto"/>
        <w:jc w:val="both"/>
        <w:rPr>
          <w:rFonts w:ascii="Book Antiqua" w:hAnsi="Book Antiqua"/>
        </w:rPr>
      </w:pPr>
    </w:p>
    <w:p w14:paraId="54F15B9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Technical Aspects of Endoscopic Gastrojejunostomy</w:t>
      </w:r>
    </w:p>
    <w:p w14:paraId="4A5352D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EUS-GJ is commonly performed with either a curvilinear standard or forward-viewing echoendoscope. The aim is to obtain adequate sonographic visualization of the jejunum from the stomach followed by creation of the GJ anastomosis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placement of the LAMS. There are currently 4 different types of LAMS available worldwide as outlined in Table 3. Although there are some slight variations among the different stents in terms of length and diameter, they all share one thing in common: the presence of wide flanges at the end of the stent. These flanges are key in imparting lumen apposition, as they are designed to evenly distribute pressure across the fistulous tract thus providing anchorage and reducing the risk of migration. Furthermore, these LAMS are fully covered thereby preventing leakage across the anastomosis and reducing the risk of tissue ingrowth. </w:t>
      </w:r>
    </w:p>
    <w:p w14:paraId="799E2200"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Most studies reporting outcomes on EUS-GJ have utilized the AXIOS</w:t>
      </w:r>
      <w:r w:rsidRPr="00DD186A">
        <w:rPr>
          <w:rFonts w:ascii="Book Antiqua" w:eastAsia="Book Antiqua" w:hAnsi="Book Antiqua" w:cs="Book Antiqua"/>
          <w:color w:val="000000"/>
          <w:vertAlign w:val="superscript"/>
        </w:rPr>
        <w:t>TM</w:t>
      </w:r>
      <w:r w:rsidRPr="00DD186A">
        <w:rPr>
          <w:rFonts w:ascii="Book Antiqua" w:eastAsia="Book Antiqua" w:hAnsi="Book Antiqua" w:cs="Book Antiqua"/>
          <w:color w:val="000000"/>
        </w:rPr>
        <w:t xml:space="preserve"> stent (Boston Scientific Corp., Marlborough, MA, United States)</w:t>
      </w:r>
      <w:r w:rsidRPr="00DD186A">
        <w:rPr>
          <w:rFonts w:ascii="Book Antiqua" w:eastAsia="Book Antiqua" w:hAnsi="Book Antiqua" w:cs="Book Antiqua"/>
          <w:color w:val="000000"/>
          <w:vertAlign w:val="superscript"/>
        </w:rPr>
        <w:t>[27,34,39]</w:t>
      </w:r>
      <w:r w:rsidRPr="00DD186A">
        <w:rPr>
          <w:rFonts w:ascii="Book Antiqua" w:eastAsia="Book Antiqua" w:hAnsi="Book Antiqua" w:cs="Book Antiqua"/>
          <w:color w:val="000000"/>
        </w:rPr>
        <w:t xml:space="preserve">. The stent is delivered through a dedicated 10.5 French catheter-based system that is Luer-locked onto the echoendoscope channel inlet port. Stent deployment is then performed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independent stepwise release of each flange under endoscopic and endosonographic </w:t>
      </w:r>
      <w:r w:rsidRPr="00DD186A">
        <w:rPr>
          <w:rFonts w:ascii="Book Antiqua" w:eastAsia="Book Antiqua" w:hAnsi="Book Antiqua" w:cs="Book Antiqua"/>
          <w:color w:val="000000"/>
        </w:rPr>
        <w:lastRenderedPageBreak/>
        <w:t>visualization. While fluoroscopy is not mandatory, we strongly recommend its use when performing EUS-GJ as it provides an additional imaging modality for safety measure. In recent years, an electrocautery-enhanced delivery systems were developed (Hot Axios stent and delivery system, Boston Scientific Corp, Marlborough, MA, United States) and Hot-Spaxus (Taewoong Medical Co., Ltd.). In this system, the stent is delivered through a system with an electrocautery disk at the distal tip. The electrocautery tip allows passage of the delivery system without requiring mechanical force and tract dilation. This approach potentially minimizes the risk of adverse events and failure rate by reducing the number of steps and devices exchanges required during a procedure. We find this of particular importance during EUS-GJ, as steps such as wire advancement and tract dilation can potentially cause inadvertent movement of the target jejunal loop away from the stomach during the procedure. In fact, identifying the target jejunal loop and maintaining its relative position in close apposition to the stomach remains the main technical hurdle for EUS-GJ. Several approaches have been introduced on how to identify and access the jejunal loop. These techniques can be broadly divided into a direct unassisted and assisted approaches (Figure 1)</w:t>
      </w:r>
      <w:r w:rsidRPr="00DD186A">
        <w:rPr>
          <w:rFonts w:ascii="Book Antiqua" w:eastAsia="Book Antiqua" w:hAnsi="Book Antiqua" w:cs="Book Antiqua"/>
          <w:color w:val="000000"/>
          <w:vertAlign w:val="superscript"/>
        </w:rPr>
        <w:t>[25,26]</w:t>
      </w:r>
      <w:r w:rsidRPr="00DD186A">
        <w:rPr>
          <w:rFonts w:ascii="Book Antiqua" w:eastAsia="Book Antiqua" w:hAnsi="Book Antiqua" w:cs="Book Antiqua"/>
          <w:color w:val="000000"/>
        </w:rPr>
        <w:t xml:space="preserve">. </w:t>
      </w:r>
    </w:p>
    <w:p w14:paraId="428B4BAB" w14:textId="77777777" w:rsidR="00A77B3E" w:rsidRPr="00DD186A" w:rsidRDefault="00A77B3E">
      <w:pPr>
        <w:spacing w:line="360" w:lineRule="auto"/>
        <w:ind w:firstLine="480"/>
        <w:jc w:val="both"/>
        <w:rPr>
          <w:rFonts w:ascii="Book Antiqua" w:hAnsi="Book Antiqua"/>
        </w:rPr>
      </w:pPr>
    </w:p>
    <w:p w14:paraId="74E2A7B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Direct unassisted EUS-GJ</w:t>
      </w:r>
    </w:p>
    <w:p w14:paraId="364964C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From the stomach, the echoendoscope is used to identify a loop of small bowel immediately adjacent to the gastric body that will be safe for access (Figure 1A). The challenge with EUS-GJ is to obtain adequate visualization of the intestinal loop under EUS, as this is often under distended or distorted by the presence of intraluminal air</w:t>
      </w:r>
      <w:r w:rsidRPr="00DD186A">
        <w:rPr>
          <w:rFonts w:ascii="Book Antiqua" w:eastAsia="Book Antiqua" w:hAnsi="Book Antiqua" w:cs="Book Antiqua"/>
          <w:color w:val="000000"/>
          <w:vertAlign w:val="superscript"/>
        </w:rPr>
        <w:t>[19,25,26,31]</w:t>
      </w:r>
      <w:r w:rsidRPr="00DD186A">
        <w:rPr>
          <w:rFonts w:ascii="Book Antiqua" w:eastAsia="Book Antiqua" w:hAnsi="Book Antiqua" w:cs="Book Antiqua"/>
          <w:color w:val="000000"/>
        </w:rPr>
        <w:t>. Noteworthy, in cases when overactive peristalsis is an issue, administration of anti-peristaltic drugs such as glucagon or butylscopolamine can be considered</w:t>
      </w:r>
      <w:r w:rsidRPr="00DD186A">
        <w:rPr>
          <w:rFonts w:ascii="Book Antiqua" w:eastAsia="Book Antiqua" w:hAnsi="Book Antiqua" w:cs="Book Antiqua"/>
          <w:color w:val="000000"/>
          <w:vertAlign w:val="superscript"/>
        </w:rPr>
        <w:t>[32]</w:t>
      </w:r>
      <w:r w:rsidRPr="00DD186A">
        <w:rPr>
          <w:rFonts w:ascii="Book Antiqua" w:eastAsia="Book Antiqua" w:hAnsi="Book Antiqua" w:cs="Book Antiqua"/>
          <w:color w:val="000000"/>
        </w:rPr>
        <w:t xml:space="preserve">. Injection of approximately 500 mL of fluid (commonly performed with saline admixed with dye) in the duodenal lumen can help distend and localize the desired targeted loop. Contrast medium can be added to the fluid in order to help identify and confirm the location of the targeted loop under fluoroscopy. Fluid administration can be achieved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several different techniques. One method is to puncture the target loop </w:t>
      </w:r>
      <w:r w:rsidRPr="00DD186A">
        <w:rPr>
          <w:rFonts w:ascii="Book Antiqua" w:eastAsia="Book Antiqua" w:hAnsi="Book Antiqua" w:cs="Book Antiqua"/>
          <w:color w:val="000000"/>
        </w:rPr>
        <w:lastRenderedPageBreak/>
        <w:t xml:space="preserve">with the EUS needle followed by administration of fluid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needle itself. This approach poses several challenges. For one, this method does not obviate the initial challenge of adequately visualizing the loop for EUS needle puncture. Secondly, fluid infusion through the relatively small caliber needle can be cumbersome and often times ineffective. </w:t>
      </w:r>
    </w:p>
    <w:p w14:paraId="38AC412C"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 xml:space="preserve">Conversely, a standard or ultra-thin endoscope could be used to directly infuse fluid. Using the smaller caliber endoscope may have the added benefit of traversing the GOO and permitting administration of fluid directly into the distal unobstructed target small bowel. Following distention of the small bowel with fluid, the endoscope is quickly exchanged for the echoendoscope in preparation for LAMS placement. The main disadvantage of this approach is that fluid administered initially can rapidly migrate downstream away from the desired loop by the time EUS is being performed. Some advocate using the echoendoscope for water infusion, which may shorten the time between this step and LAMS placement. However, the echoendoscope is often too large to bypass the site of GOO and thereby only a small amount of fluid administered will accumulate distally, particularly in the setting of severe luminal obstruction.  </w:t>
      </w:r>
    </w:p>
    <w:p w14:paraId="434CF9C5"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 xml:space="preserve">Once the target jejunal limb is adequately identified under EUS, needle puncture can be safely performed using the 19-gauge fine needle followed by placement of either a 0.025 or 0.035-inch guidewire into the downstream jejunum for access management. With the wire in place, the needle tract can then be dilated to allow insertion of the LAMS delivery system for stent deployment. Alternatively, direct access can also be performed with the electrocautery-enhanced LAMS. This latter approach eliminates the need for needle puncture or tract dilation. Furthermore, direct free-hand access without the guidewire prevents inadvertently pushing the targeted loop away from the gastric body, which can occur when attempting to advance the guidewire into the downstream intestine. As such, we favor the use of the electrocautery-enhanced LAMS in our institution as it enables a one-step approach for the puncturing of the target loop, anastomosis dilation and deployment of the stent. </w:t>
      </w:r>
    </w:p>
    <w:p w14:paraId="7B16CAA9"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lastRenderedPageBreak/>
        <w:t xml:space="preserve">A retrograde technique has also been described as a variant of the direct unassisted approach. With this technique, the echoendoscope is advanced beyond the GOO and the LAMS is deployed in retrograde fashion (from the jejunum into the stomach) (Figure 1B). An advantage of this method is the relative stable location of the stomach as a target for puncturing. However, this technique is seldomly performed in clinical practice, primarily due to the difficulty of advancing the echoendoscope across the GOO, which can be associated with a higher risk of iatrogenic perforation. </w:t>
      </w:r>
    </w:p>
    <w:p w14:paraId="3469BC44" w14:textId="77777777" w:rsidR="00A77B3E" w:rsidRPr="00DD186A" w:rsidRDefault="00A77B3E">
      <w:pPr>
        <w:spacing w:line="360" w:lineRule="auto"/>
        <w:ind w:firstLine="480"/>
        <w:jc w:val="both"/>
        <w:rPr>
          <w:rFonts w:ascii="Book Antiqua" w:hAnsi="Book Antiqua"/>
        </w:rPr>
      </w:pPr>
    </w:p>
    <w:p w14:paraId="576854BE"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Device-Assisted EUS-GJ</w:t>
      </w:r>
    </w:p>
    <w:p w14:paraId="5887E74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With the “assisted” EUS-GJ methods, an additional device (</w:t>
      </w:r>
      <w:r w:rsidRPr="00DD186A">
        <w:rPr>
          <w:rFonts w:ascii="Book Antiqua" w:eastAsia="Book Antiqua" w:hAnsi="Book Antiqua" w:cs="Book Antiqua"/>
          <w:i/>
          <w:iCs/>
          <w:color w:val="000000"/>
        </w:rPr>
        <w:t>i.e.</w:t>
      </w:r>
      <w:r w:rsidRPr="00DD186A">
        <w:rPr>
          <w:rFonts w:ascii="Book Antiqua" w:eastAsia="Book Antiqua" w:hAnsi="Book Antiqua" w:cs="Book Antiqua"/>
          <w:color w:val="000000"/>
        </w:rPr>
        <w:t>, ultraslim endoscope, balloon catheter, nasobiliary drain) is often used to help identify the target loop of bowel (Figure 1)</w:t>
      </w:r>
      <w:r w:rsidRPr="00DD186A">
        <w:rPr>
          <w:rFonts w:ascii="Book Antiqua" w:eastAsia="Book Antiqua" w:hAnsi="Book Antiqua" w:cs="Book Antiqua"/>
          <w:color w:val="000000"/>
          <w:vertAlign w:val="superscript"/>
        </w:rPr>
        <w:t>[19,25,26,31]</w:t>
      </w:r>
      <w:r w:rsidRPr="00DD186A">
        <w:rPr>
          <w:rFonts w:ascii="Book Antiqua" w:eastAsia="Book Antiqua" w:hAnsi="Book Antiqua" w:cs="Book Antiqua"/>
          <w:color w:val="000000"/>
        </w:rPr>
        <w:t>.</w:t>
      </w:r>
    </w:p>
    <w:p w14:paraId="70C031A2" w14:textId="77777777" w:rsidR="00A77B3E" w:rsidRPr="00DD186A" w:rsidRDefault="00A77B3E">
      <w:pPr>
        <w:spacing w:line="360" w:lineRule="auto"/>
        <w:jc w:val="both"/>
        <w:rPr>
          <w:rFonts w:ascii="Book Antiqua" w:hAnsi="Book Antiqua"/>
        </w:rPr>
      </w:pPr>
    </w:p>
    <w:p w14:paraId="183CFF74"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i/>
          <w:iCs/>
          <w:color w:val="000000"/>
        </w:rPr>
        <w:t>Ultra-slim endoscope device assisted technique</w:t>
      </w:r>
    </w:p>
    <w:p w14:paraId="7720B252" w14:textId="5B77AD99"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With this technique, the u</w:t>
      </w:r>
      <w:r w:rsidR="00371F3F">
        <w:rPr>
          <w:rFonts w:ascii="Book Antiqua" w:eastAsia="Book Antiqua" w:hAnsi="Book Antiqua" w:cs="Book Antiqua"/>
          <w:color w:val="000000"/>
        </w:rPr>
        <w:t>l</w:t>
      </w:r>
      <w:r w:rsidRPr="00DD186A">
        <w:rPr>
          <w:rFonts w:ascii="Book Antiqua" w:eastAsia="Book Antiqua" w:hAnsi="Book Antiqua" w:cs="Book Antiqua"/>
          <w:color w:val="000000"/>
        </w:rPr>
        <w:t xml:space="preserve">traslim endoscope is maneuvered across the GOO for direct visualization of the unobstructed distal small bowel. Fluid can then be directly administered through the endoscope to distend the target loop of bowel. The echoendoscope is then inserted and advanced into the stomach alongside the ultraslim endoscope. There are several advantages with this technique. For one, the concomitant continuous infusion of fluid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endoscope allows for stable visualization of the target loop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echoendoscope in the stomach. Secondly, following EUS needle puncture, wire advancement through the EUS needle can be directly visualized and pulled through the ultra-slim endoscope. This allows for additional tension and traction during LAMS placement (rendezvous technique) (Figure 1C). Alternatively, the guidewire advanced into the intestine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EUS needle can be pulled out of the mouth and a therapeutic endoscope advanced in antegrade fashion across the GOO to the puncture site. Once in position, the LAMS could be deployed in retrograde fashion (from the jejunum to the stomach) using the therapeutic endoscope. This method is a variant of the retrograde technique described earlier. Similarly, this is infrequently </w:t>
      </w:r>
      <w:r w:rsidRPr="00DD186A">
        <w:rPr>
          <w:rFonts w:ascii="Book Antiqua" w:eastAsia="Book Antiqua" w:hAnsi="Book Antiqua" w:cs="Book Antiqua"/>
          <w:color w:val="000000"/>
        </w:rPr>
        <w:lastRenderedPageBreak/>
        <w:t xml:space="preserve">performed given the difficulty of maneuvering the therapeutic endoscope across the GOO. There are also some drawbacks with the use of an ultra-slim endoscope that are worth noting. For one, this approach requires the complex set-up of two separate endoscopic processors for the simultaneous operation of the ultra-slim and echoendoscope, which may not be readily available in every endoscopy unit. Furthermore, insertion and maneuvering of the echoendoscope alongside the ultra-slim endoscope can sometimes be challenging, not to mention that two operators are often required to control each scope. Given these issues, we tend to favor the use of other device-assisted strategies for EUS-GJ. </w:t>
      </w:r>
    </w:p>
    <w:p w14:paraId="3C65E1EF" w14:textId="77777777" w:rsidR="00A77B3E" w:rsidRPr="00DD186A" w:rsidRDefault="00A77B3E">
      <w:pPr>
        <w:spacing w:line="360" w:lineRule="auto"/>
        <w:jc w:val="both"/>
        <w:rPr>
          <w:rFonts w:ascii="Book Antiqua" w:hAnsi="Book Antiqua"/>
        </w:rPr>
      </w:pPr>
    </w:p>
    <w:p w14:paraId="2B996844"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i/>
          <w:iCs/>
          <w:color w:val="000000"/>
        </w:rPr>
        <w:t>Balloon device assisted technique</w:t>
      </w:r>
    </w:p>
    <w:p w14:paraId="3741B56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With this technique, a 0.025- or 0.035-inch guidewire is first pushed across the GOO and coiled in the small intestine distal to the obstruction under endoscopic and/or fluoroscopic guidance. Once this is achieved, the balloon catheter is advanced over the wire across the GOO and then inflated with contrast medium (Figure 1D). The inflated balloon helps stabilize the desired loop of bowel distal to the obstruction and also serves as a target for EUS-guided needle puncture. In fact, successful puncturing of the balloon ascertains the position of the tip of the needle within the desired loop of bowel.  Stent placement can then proceed as previously described. Alternatively, following puncture of the inflated balloon with the EUS needle, the guidewire can be advanced then captured (</w:t>
      </w:r>
      <w:r w:rsidRPr="00DD186A">
        <w:rPr>
          <w:rFonts w:ascii="Book Antiqua" w:eastAsia="Book Antiqua" w:hAnsi="Book Antiqua" w:cs="Book Antiqua"/>
          <w:i/>
          <w:iCs/>
          <w:color w:val="000000"/>
        </w:rPr>
        <w:t>i.e.</w:t>
      </w:r>
      <w:r w:rsidRPr="00DD186A">
        <w:rPr>
          <w:rFonts w:ascii="Book Antiqua" w:eastAsia="Book Antiqua" w:hAnsi="Book Antiqua" w:cs="Book Antiqua"/>
          <w:color w:val="000000"/>
        </w:rPr>
        <w:t xml:space="preserve">, extraction balloon) and retrieved across the GOO to provide additional tension for stent placement. </w:t>
      </w:r>
    </w:p>
    <w:p w14:paraId="6ED8C279" w14:textId="77777777" w:rsidR="00A77B3E" w:rsidRPr="00DD186A" w:rsidRDefault="00A77B3E">
      <w:pPr>
        <w:spacing w:line="360" w:lineRule="auto"/>
        <w:jc w:val="both"/>
        <w:rPr>
          <w:rFonts w:ascii="Book Antiqua" w:hAnsi="Book Antiqua"/>
        </w:rPr>
      </w:pPr>
    </w:p>
    <w:p w14:paraId="0CA9938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i/>
          <w:iCs/>
          <w:color w:val="000000"/>
        </w:rPr>
        <w:t>Nasobiliary drain assisted technique</w:t>
      </w:r>
    </w:p>
    <w:p w14:paraId="608E1170" w14:textId="6FA97F6F"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Similar to the balloon device assisted technique, a guidewire is first pushed across the GOO and coiled in the small intestine distal to the obstruction. Once the guidewire is in the desired location, the endoscope is withdrawn from the mouth of the patient and the nasobiliary drain advanced only under fluoroscopic guidance (Figure 1E). Alternatively, placement of the nasobiliary drain can be performed with the assistance of either a </w:t>
      </w:r>
      <w:r w:rsidRPr="00DD186A">
        <w:rPr>
          <w:rFonts w:ascii="Book Antiqua" w:eastAsia="Book Antiqua" w:hAnsi="Book Antiqua" w:cs="Book Antiqua"/>
          <w:color w:val="000000"/>
        </w:rPr>
        <w:lastRenderedPageBreak/>
        <w:t>therapeutic endoscope or ERCP scope. The larger caliber channel of these scopes allows insertion of the nasobiliary drain through the scope channel and across the GOO.  Contrast can then be injected through the nasobiliary drain to confirm its location in relationship to the desired loop of bowel. Drain positioning can then be adjusted by pushing or pulling it through the indwelling endoscope. Once in position, the endoscope and wire can be withdrawn from the patient leaving the nasobiliary drain in place with the tip positioned beyond the GOO. It is in our opinion that this strategy provides a more reliable method for securing drain placement (Figure 2). The nasobiliary drain can then be connected to a foot-pedal activated irrigation pump for fluid infusion during EUS-GJ. The main advantage of using an irrigation pump is that it enables us to infuse large quantities of fluid continuously distal to the obstruction, providing a more reliable target loop for EUS-guided access. Of note, there is variability in clinical practice on whether the lumen of the newly deployed transluminal LAMS should be dilated during the same session. We do not routinely dilate the lumen of the LAMS following EUS-GJ to avoid inadvertent stent dislodgement; albeit current data on this issue remains limited.</w:t>
      </w:r>
    </w:p>
    <w:p w14:paraId="453FDCA4" w14:textId="77777777" w:rsidR="00A77B3E" w:rsidRPr="00DD186A" w:rsidRDefault="00A77B3E">
      <w:pPr>
        <w:spacing w:line="360" w:lineRule="auto"/>
        <w:jc w:val="both"/>
        <w:rPr>
          <w:rFonts w:ascii="Book Antiqua" w:hAnsi="Book Antiqua"/>
        </w:rPr>
      </w:pPr>
    </w:p>
    <w:p w14:paraId="3E00491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Endoscopic ultrasonography-guided double balloon-occluded gastrojejunostomy bypass</w:t>
      </w:r>
    </w:p>
    <w:p w14:paraId="2C008BBD"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Recently, the novel endoscopic ultrasonography-guided double balloon-occluded gastrojejunostomy bypass (EPASS)</w:t>
      </w:r>
      <w:r w:rsidRPr="00DD186A">
        <w:rPr>
          <w:rFonts w:ascii="Book Antiqua" w:eastAsia="Book Antiqua" w:hAnsi="Book Antiqua" w:cs="Book Antiqua"/>
          <w:color w:val="000000"/>
          <w:vertAlign w:val="superscript"/>
        </w:rPr>
        <w:t xml:space="preserve">[30] </w:t>
      </w:r>
      <w:r w:rsidRPr="00DD186A">
        <w:rPr>
          <w:rFonts w:ascii="Book Antiqua" w:eastAsia="Book Antiqua" w:hAnsi="Book Antiqua" w:cs="Book Antiqua"/>
          <w:color w:val="000000"/>
        </w:rPr>
        <w:t xml:space="preserve">was introduced as an alternate technique for EUS-GJ. This procedure uses a unique double-balloon enteric tube (Tokyo Medical University type; Create Medic Co., Ltd, Yokohama, Japan).  With this technique, a 0.025- or 0.035-inch guidewire is placed across the GOO followed by advancement of the device to the area of interest. The tube consists of two balloons, which are then inflated with contrast and fluid for both localization and for anchoring in the desired location. The segment of small bowel between the two balloons is then filled and distended with fluid to facilitate subsequent EUS-guided LAMS placement (Figure 1F). </w:t>
      </w:r>
    </w:p>
    <w:p w14:paraId="2BFD94B9" w14:textId="77777777" w:rsidR="00A77B3E" w:rsidRPr="00DD186A" w:rsidRDefault="00A77B3E">
      <w:pPr>
        <w:spacing w:line="360" w:lineRule="auto"/>
        <w:jc w:val="both"/>
        <w:rPr>
          <w:rFonts w:ascii="Book Antiqua" w:hAnsi="Book Antiqua"/>
        </w:rPr>
      </w:pPr>
    </w:p>
    <w:p w14:paraId="3A3F467D"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lastRenderedPageBreak/>
        <w:t>Outcomes of EUS-GJ</w:t>
      </w:r>
    </w:p>
    <w:p w14:paraId="287FF59D"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Since the introduction of EUS-GJ, there have been several case series, retrospective and prospective cohort studies evaluating outcomes associated with this technique</w:t>
      </w:r>
      <w:r w:rsidRPr="00DD186A">
        <w:rPr>
          <w:rFonts w:ascii="Book Antiqua" w:eastAsia="Book Antiqua" w:hAnsi="Book Antiqua" w:cs="Book Antiqua"/>
          <w:color w:val="000000"/>
          <w:vertAlign w:val="superscript"/>
        </w:rPr>
        <w:t>[27,30,34-40]</w:t>
      </w:r>
      <w:r w:rsidRPr="00DD186A">
        <w:rPr>
          <w:rFonts w:ascii="Book Antiqua" w:eastAsia="Book Antiqua" w:hAnsi="Book Antiqua" w:cs="Book Antiqua"/>
          <w:color w:val="000000"/>
        </w:rPr>
        <w:t>. The reported technical success from these studies, defined as adequate positioning and deployment of the stent, has been high, ranging between 86.7% to 100 % and irrespective of the technique used</w:t>
      </w:r>
      <w:r w:rsidRPr="00DD186A">
        <w:rPr>
          <w:rFonts w:ascii="Book Antiqua" w:eastAsia="Book Antiqua" w:hAnsi="Book Antiqua" w:cs="Book Antiqua"/>
          <w:color w:val="000000"/>
          <w:vertAlign w:val="superscript"/>
        </w:rPr>
        <w:t>[33]</w:t>
      </w:r>
      <w:r w:rsidRPr="00DD186A">
        <w:rPr>
          <w:rFonts w:ascii="Book Antiqua" w:eastAsia="Book Antiqua" w:hAnsi="Book Antiqua" w:cs="Book Antiqua"/>
          <w:color w:val="000000"/>
        </w:rPr>
        <w:t>. Similarly, clinical success, when defined as the patient’s ability to tolerate oral intake or improvement in the GOOSS of ≥ 1 point</w:t>
      </w:r>
      <w:r w:rsidRPr="00DD186A">
        <w:rPr>
          <w:rFonts w:ascii="Book Antiqua" w:eastAsia="Book Antiqua" w:hAnsi="Book Antiqua" w:cs="Book Antiqua"/>
          <w:color w:val="000000"/>
          <w:vertAlign w:val="superscript"/>
        </w:rPr>
        <w:t>[27]</w:t>
      </w:r>
      <w:r w:rsidRPr="00DD186A">
        <w:rPr>
          <w:rFonts w:ascii="Book Antiqua" w:eastAsia="Book Antiqua" w:hAnsi="Book Antiqua" w:cs="Book Antiqua"/>
          <w:color w:val="000000"/>
        </w:rPr>
        <w:t>, has been reported to range between 80% to 100%</w:t>
      </w:r>
      <w:r w:rsidRPr="00DD186A">
        <w:rPr>
          <w:rFonts w:ascii="Book Antiqua" w:eastAsia="Book Antiqua" w:hAnsi="Book Antiqua" w:cs="Book Antiqua"/>
          <w:color w:val="000000"/>
          <w:vertAlign w:val="superscript"/>
        </w:rPr>
        <w:t>[33]</w:t>
      </w:r>
      <w:r w:rsidRPr="00DD186A">
        <w:rPr>
          <w:rFonts w:ascii="Book Antiqua" w:eastAsia="Book Antiqua" w:hAnsi="Book Antiqua" w:cs="Book Antiqua"/>
          <w:color w:val="000000"/>
        </w:rPr>
        <w:t xml:space="preserve">. Commonly reported adverse events (0-26%) have included stent </w:t>
      </w:r>
      <w:proofErr w:type="spellStart"/>
      <w:r w:rsidRPr="00DD186A">
        <w:rPr>
          <w:rFonts w:ascii="Book Antiqua" w:eastAsia="Book Antiqua" w:hAnsi="Book Antiqua" w:cs="Book Antiqua"/>
          <w:color w:val="000000"/>
        </w:rPr>
        <w:t>misdeployment</w:t>
      </w:r>
      <w:proofErr w:type="spellEnd"/>
      <w:r w:rsidRPr="00DD186A">
        <w:rPr>
          <w:rFonts w:ascii="Book Antiqua" w:eastAsia="Book Antiqua" w:hAnsi="Book Antiqua" w:cs="Book Antiqua"/>
          <w:color w:val="000000"/>
        </w:rPr>
        <w:t xml:space="preserve">, peritonitis, bleeding, </w:t>
      </w:r>
      <w:proofErr w:type="spellStart"/>
      <w:r w:rsidRPr="00DD186A">
        <w:rPr>
          <w:rFonts w:ascii="Book Antiqua" w:eastAsia="Book Antiqua" w:hAnsi="Book Antiqua" w:cs="Book Antiqua"/>
          <w:color w:val="000000"/>
        </w:rPr>
        <w:t>hemo</w:t>
      </w:r>
      <w:proofErr w:type="spellEnd"/>
      <w:r w:rsidRPr="00DD186A">
        <w:rPr>
          <w:rFonts w:ascii="Book Antiqua" w:eastAsia="Book Antiqua" w:hAnsi="Book Antiqua" w:cs="Book Antiqua"/>
          <w:color w:val="000000"/>
        </w:rPr>
        <w:t xml:space="preserve">- and pneumoperitoneum, peritonitis, abdominal pain and </w:t>
      </w:r>
      <w:proofErr w:type="gramStart"/>
      <w:r w:rsidRPr="00DD186A">
        <w:rPr>
          <w:rFonts w:ascii="Book Antiqua" w:eastAsia="Book Antiqua" w:hAnsi="Book Antiqua" w:cs="Book Antiqua"/>
          <w:color w:val="000000"/>
        </w:rPr>
        <w:t>leakage</w:t>
      </w:r>
      <w:r w:rsidRPr="00DD186A">
        <w:rPr>
          <w:rFonts w:ascii="Book Antiqua" w:eastAsia="Book Antiqua" w:hAnsi="Book Antiqua" w:cs="Book Antiqua"/>
          <w:color w:val="000000"/>
          <w:vertAlign w:val="superscript"/>
        </w:rPr>
        <w:t>[</w:t>
      </w:r>
      <w:proofErr w:type="gramEnd"/>
      <w:r w:rsidRPr="00DD186A">
        <w:rPr>
          <w:rFonts w:ascii="Book Antiqua" w:eastAsia="Book Antiqua" w:hAnsi="Book Antiqua" w:cs="Book Antiqua"/>
          <w:color w:val="000000"/>
          <w:vertAlign w:val="superscript"/>
        </w:rPr>
        <w:t>33]</w:t>
      </w:r>
      <w:r w:rsidRPr="00DD186A">
        <w:rPr>
          <w:rFonts w:ascii="Book Antiqua" w:eastAsia="Book Antiqua" w:hAnsi="Book Antiqua" w:cs="Book Antiqua"/>
          <w:color w:val="000000"/>
        </w:rPr>
        <w:t xml:space="preserve">. </w:t>
      </w:r>
    </w:p>
    <w:p w14:paraId="4FFE5775"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 xml:space="preserve">McCarty </w:t>
      </w:r>
      <w:r w:rsidRPr="00DD186A">
        <w:rPr>
          <w:rFonts w:ascii="Book Antiqua" w:eastAsia="Book Antiqua" w:hAnsi="Book Antiqua" w:cs="Book Antiqua"/>
          <w:i/>
          <w:iCs/>
          <w:color w:val="000000"/>
        </w:rPr>
        <w:t xml:space="preserve">et </w:t>
      </w:r>
      <w:proofErr w:type="gramStart"/>
      <w:r w:rsidRPr="00DD186A">
        <w:rPr>
          <w:rFonts w:ascii="Book Antiqua" w:eastAsia="Book Antiqua" w:hAnsi="Book Antiqua" w:cs="Book Antiqua"/>
          <w:i/>
          <w:iCs/>
          <w:color w:val="000000"/>
        </w:rPr>
        <w:t>al</w:t>
      </w:r>
      <w:r w:rsidRPr="00DD186A">
        <w:rPr>
          <w:rFonts w:ascii="Book Antiqua" w:eastAsia="Book Antiqua" w:hAnsi="Book Antiqua" w:cs="Book Antiqua"/>
          <w:color w:val="000000"/>
          <w:vertAlign w:val="superscript"/>
        </w:rPr>
        <w:t>[</w:t>
      </w:r>
      <w:proofErr w:type="gramEnd"/>
      <w:r w:rsidRPr="00DD186A">
        <w:rPr>
          <w:rFonts w:ascii="Book Antiqua" w:eastAsia="Book Antiqua" w:hAnsi="Book Antiqua" w:cs="Book Antiqua"/>
          <w:color w:val="000000"/>
          <w:vertAlign w:val="superscript"/>
        </w:rPr>
        <w:t>34]</w:t>
      </w:r>
      <w:r w:rsidRPr="00DD186A">
        <w:rPr>
          <w:rFonts w:ascii="Book Antiqua" w:eastAsia="Book Antiqua" w:hAnsi="Book Antiqua" w:cs="Book Antiqua"/>
          <w:color w:val="000000"/>
        </w:rPr>
        <w:t xml:space="preserve"> recently performed a systematic review and meta-analysis evaluating the efficacy and safety of EUS-GJ for both benign and malignant GOO. The authors included four retrospective and one prospective study in their analysis (</w:t>
      </w:r>
      <w:r w:rsidRPr="00DD186A">
        <w:rPr>
          <w:rFonts w:ascii="Book Antiqua" w:eastAsia="Book Antiqua" w:hAnsi="Book Antiqua" w:cs="Book Antiqua"/>
          <w:i/>
          <w:iCs/>
          <w:color w:val="000000"/>
        </w:rPr>
        <w:t>n</w:t>
      </w:r>
      <w:r w:rsidRPr="00DD186A">
        <w:rPr>
          <w:rFonts w:ascii="Book Antiqua" w:eastAsia="Book Antiqua" w:hAnsi="Book Antiqua" w:cs="Book Antiqua"/>
          <w:color w:val="000000"/>
        </w:rPr>
        <w:t xml:space="preserve"> = 199 patients). The characteristics of these studies are summarized in Table 4. The overall mean procedure time for all techniques (assisted and unassisted EUS-GJ) was 43.5±20 minutes, with nearly all patients (</w:t>
      </w:r>
      <w:r w:rsidRPr="00DD186A">
        <w:rPr>
          <w:rFonts w:ascii="Book Antiqua" w:eastAsia="Book Antiqua" w:hAnsi="Book Antiqua" w:cs="Book Antiqua"/>
          <w:i/>
          <w:iCs/>
          <w:color w:val="000000"/>
        </w:rPr>
        <w:t xml:space="preserve">n = </w:t>
      </w:r>
      <w:r w:rsidRPr="00DD186A">
        <w:rPr>
          <w:rFonts w:ascii="Book Antiqua" w:eastAsia="Book Antiqua" w:hAnsi="Book Antiqua" w:cs="Book Antiqua"/>
          <w:color w:val="000000"/>
        </w:rPr>
        <w:t xml:space="preserve">198; 99.5%) having a 15 mm x 10 mm LAMS (AXIOS, Boston Scientific Corp, Marlborough, MA, United States) placed. Overall, the pooled technical and clinical success rates were 92.9 (95%CI: 88.3-95.8; </w:t>
      </w:r>
      <w:r w:rsidRPr="00DD186A">
        <w:rPr>
          <w:rFonts w:ascii="Book Antiqua" w:eastAsia="Book Antiqua" w:hAnsi="Book Antiqua" w:cs="Book Antiqua"/>
          <w:i/>
          <w:iCs/>
          <w:color w:val="000000"/>
        </w:rPr>
        <w:t>I</w:t>
      </w:r>
      <w:r w:rsidRPr="00DD186A">
        <w:rPr>
          <w:rFonts w:ascii="Book Antiqua" w:eastAsia="Book Antiqua" w:hAnsi="Book Antiqua" w:cs="Book Antiqua"/>
          <w:color w:val="000000"/>
          <w:vertAlign w:val="superscript"/>
        </w:rPr>
        <w:t xml:space="preserve">2 </w:t>
      </w:r>
      <w:r w:rsidRPr="00DD186A">
        <w:rPr>
          <w:rFonts w:ascii="Book Antiqua" w:eastAsia="Book Antiqua" w:hAnsi="Book Antiqua" w:cs="Book Antiqua"/>
          <w:color w:val="000000"/>
        </w:rPr>
        <w:t xml:space="preserve">= 0.00%) and 90.1% (95%CI: 84.6-93.4; </w:t>
      </w:r>
      <w:r w:rsidRPr="00DD186A">
        <w:rPr>
          <w:rFonts w:ascii="Book Antiqua" w:eastAsia="Book Antiqua" w:hAnsi="Book Antiqua" w:cs="Book Antiqua"/>
          <w:i/>
          <w:iCs/>
          <w:color w:val="000000"/>
        </w:rPr>
        <w:t>I</w:t>
      </w:r>
      <w:r w:rsidRPr="00DD186A">
        <w:rPr>
          <w:rFonts w:ascii="Book Antiqua" w:eastAsia="Book Antiqua" w:hAnsi="Book Antiqua" w:cs="Book Antiqua"/>
          <w:color w:val="000000"/>
          <w:vertAlign w:val="superscript"/>
        </w:rPr>
        <w:t xml:space="preserve">2 </w:t>
      </w:r>
      <w:r w:rsidRPr="00DD186A">
        <w:rPr>
          <w:rFonts w:ascii="Book Antiqua" w:eastAsia="Book Antiqua" w:hAnsi="Book Antiqua" w:cs="Book Antiqua"/>
          <w:color w:val="000000"/>
        </w:rPr>
        <w:t xml:space="preserve">= 0.00%), respectively. In all, the adverse event rate for EUS-GJ was 10.6% (95%CI: 6.7-16.3; </w:t>
      </w:r>
      <w:r w:rsidRPr="00DD186A">
        <w:rPr>
          <w:rFonts w:ascii="Book Antiqua" w:eastAsia="Book Antiqua" w:hAnsi="Book Antiqua" w:cs="Book Antiqua"/>
          <w:i/>
          <w:iCs/>
          <w:color w:val="000000"/>
        </w:rPr>
        <w:t>I</w:t>
      </w:r>
      <w:r w:rsidRPr="00DD186A">
        <w:rPr>
          <w:rFonts w:ascii="Book Antiqua" w:eastAsia="Book Antiqua" w:hAnsi="Book Antiqua" w:cs="Book Antiqua"/>
          <w:color w:val="000000"/>
          <w:vertAlign w:val="superscript"/>
        </w:rPr>
        <w:t xml:space="preserve">2 </w:t>
      </w:r>
      <w:r w:rsidRPr="00DD186A">
        <w:rPr>
          <w:rFonts w:ascii="Book Antiqua" w:eastAsia="Book Antiqua" w:hAnsi="Book Antiqua" w:cs="Book Antiqua"/>
          <w:color w:val="000000"/>
        </w:rPr>
        <w:t xml:space="preserve">= 27.2), with serious events occurring in 5.6% (95%CI: 2.9-10.7; </w:t>
      </w:r>
      <w:r w:rsidRPr="00DD186A">
        <w:rPr>
          <w:rFonts w:ascii="Book Antiqua" w:eastAsia="Book Antiqua" w:hAnsi="Book Antiqua" w:cs="Book Antiqua"/>
          <w:i/>
          <w:iCs/>
          <w:color w:val="000000"/>
        </w:rPr>
        <w:t>I</w:t>
      </w:r>
      <w:r w:rsidRPr="00DD186A">
        <w:rPr>
          <w:rFonts w:ascii="Book Antiqua" w:eastAsia="Book Antiqua" w:hAnsi="Book Antiqua" w:cs="Book Antiqua"/>
          <w:color w:val="000000"/>
          <w:vertAlign w:val="superscript"/>
        </w:rPr>
        <w:t xml:space="preserve">2 </w:t>
      </w:r>
      <w:r w:rsidRPr="00DD186A">
        <w:rPr>
          <w:rFonts w:ascii="Book Antiqua" w:eastAsia="Book Antiqua" w:hAnsi="Book Antiqua" w:cs="Book Antiqua"/>
          <w:color w:val="000000"/>
        </w:rPr>
        <w:t xml:space="preserve">= 1.7%). </w:t>
      </w:r>
    </w:p>
    <w:p w14:paraId="6B6E1205"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 xml:space="preserve">Two studies have evaluated predictors of technical success. In their multicenter retrospective study, Tyberg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[35]</w:t>
      </w:r>
      <w:r w:rsidRPr="00DD186A">
        <w:rPr>
          <w:rFonts w:ascii="Book Antiqua" w:eastAsia="Book Antiqua" w:hAnsi="Book Antiqua" w:cs="Book Antiqua"/>
          <w:color w:val="000000"/>
        </w:rPr>
        <w:t xml:space="preserve"> found that presence or absence of previous intervention, altered anatomy, and the use of LAMS with or without cautery did not affect technical outcomes. On the other hand, a separate study by </w:t>
      </w:r>
      <w:r w:rsidR="007945BE" w:rsidRPr="00DD186A">
        <w:rPr>
          <w:rFonts w:ascii="Book Antiqua" w:eastAsia="Book Antiqua" w:hAnsi="Book Antiqua" w:cs="Book Antiqua"/>
          <w:color w:val="000000"/>
        </w:rPr>
        <w:t>Wannhoff</w:t>
      </w:r>
      <w:r w:rsidRPr="00DD186A">
        <w:rPr>
          <w:rFonts w:ascii="Book Antiqua" w:eastAsia="Book Antiqua" w:hAnsi="Book Antiqua" w:cs="Book Antiqua"/>
          <w:color w:val="000000"/>
        </w:rPr>
        <w:t xml:space="preserve">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[27]</w:t>
      </w:r>
      <w:r w:rsidRPr="00DD186A">
        <w:rPr>
          <w:rFonts w:ascii="Book Antiqua" w:eastAsia="Book Antiqua" w:hAnsi="Book Antiqua" w:cs="Book Antiqua"/>
          <w:color w:val="000000"/>
        </w:rPr>
        <w:t xml:space="preserve"> showed that the presence of moderate or severe ascites was a predictor of failure, with a lower technical success of 42.9% as compared to EUS-GJ in patients with mild or no ascites (89.3%; </w:t>
      </w:r>
      <w:r w:rsidRPr="00DD186A">
        <w:rPr>
          <w:rFonts w:ascii="Book Antiqua" w:eastAsia="Book Antiqua" w:hAnsi="Book Antiqua" w:cs="Book Antiqua"/>
          <w:i/>
          <w:iCs/>
          <w:caps/>
          <w:color w:val="000000"/>
        </w:rPr>
        <w:t xml:space="preserve">p </w:t>
      </w:r>
      <w:r w:rsidRPr="00DD186A">
        <w:rPr>
          <w:rFonts w:ascii="Book Antiqua" w:eastAsia="Book Antiqua" w:hAnsi="Book Antiqua" w:cs="Book Antiqua"/>
          <w:color w:val="000000"/>
        </w:rPr>
        <w:t xml:space="preserve">= 0.018). However, on multivariate analysis, only distance between the </w:t>
      </w:r>
      <w:r w:rsidRPr="00DD186A">
        <w:rPr>
          <w:rFonts w:ascii="Book Antiqua" w:eastAsia="Book Antiqua" w:hAnsi="Book Antiqua" w:cs="Book Antiqua"/>
          <w:color w:val="000000"/>
        </w:rPr>
        <w:lastRenderedPageBreak/>
        <w:t xml:space="preserve">lumina was identified as a predictor of technical success, with an optimal distance identified at 19 mm. </w:t>
      </w:r>
    </w:p>
    <w:p w14:paraId="78B646F2" w14:textId="77777777" w:rsidR="00A77B3E" w:rsidRPr="00DD186A" w:rsidRDefault="00A77B3E">
      <w:pPr>
        <w:spacing w:line="360" w:lineRule="auto"/>
        <w:ind w:firstLine="480"/>
        <w:jc w:val="both"/>
        <w:rPr>
          <w:rFonts w:ascii="Book Antiqua" w:hAnsi="Book Antiqua"/>
        </w:rPr>
      </w:pPr>
    </w:p>
    <w:p w14:paraId="03CC98F2"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EUS-GJ Outcomes Compared to Other Techniques for the Management of GOO</w:t>
      </w:r>
    </w:p>
    <w:p w14:paraId="5B14261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EUS-GJ is a relatively novel technique with limited comparative data between this procedure and other traditional surgical and endoscopic approaches for GOO. There have been two recent studies comparing EUS-GJ with surgical bypass (Table 5)</w:t>
      </w:r>
      <w:r w:rsidRPr="00DD186A">
        <w:rPr>
          <w:rFonts w:ascii="Book Antiqua" w:eastAsia="Book Antiqua" w:hAnsi="Book Antiqua" w:cs="Book Antiqua"/>
          <w:color w:val="000000"/>
          <w:vertAlign w:val="superscript"/>
        </w:rPr>
        <w:t>[41,42]</w:t>
      </w:r>
      <w:r w:rsidRPr="00DD186A">
        <w:rPr>
          <w:rFonts w:ascii="Book Antiqua" w:eastAsia="Book Antiqua" w:hAnsi="Book Antiqua" w:cs="Book Antiqua"/>
          <w:color w:val="000000"/>
        </w:rPr>
        <w:t xml:space="preserve">. Khashab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[41]</w:t>
      </w:r>
      <w:r w:rsidRPr="00DD186A">
        <w:rPr>
          <w:rFonts w:ascii="Book Antiqua" w:eastAsia="Book Antiqua" w:hAnsi="Book Antiqua" w:cs="Book Antiqua"/>
          <w:color w:val="000000"/>
        </w:rPr>
        <w:t xml:space="preserve"> compared open gastrojejunostomy and EUS–GJ in patients with malignant GOO. While technical success was lower with EUS-GJ (86.7%) compared to surgery (100%)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0.009), there was no difference in clinical success (87%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90%) between the two groups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0.18). Furthermore, there was no difference in terms of recurrence of GOO (EUS-GJ 3%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surgery 14%;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0.08) or adverse event rate (EUS-GJ 16%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surgery 25%;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0.3) between the two groups. The authors concluded that their results demonstrated that EUS-GJ is a less invasive alternative to surgery with similar efficacy and safety outcomes. Likewise, Perez-Miranda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[42]</w:t>
      </w:r>
      <w:r w:rsidRPr="00DD186A">
        <w:rPr>
          <w:rFonts w:ascii="Book Antiqua" w:eastAsia="Book Antiqua" w:hAnsi="Book Antiqua" w:cs="Book Antiqua"/>
          <w:color w:val="000000"/>
        </w:rPr>
        <w:t xml:space="preserve"> reported the results of their multicenter retrospective comparative study on EUS-GJ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laparoscopic surgical gastrojejunostomy for the management of benign and malignant GOO (Table 5). There was no significant difference in technical success between EUS-GJ (88%) and surgery (100%)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0.11). Conversely, the rate of adverse events was significantly lower with EUS-GJ as compared to laparoscopic surgical bypass (12%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41%, </w:t>
      </w:r>
      <w:r w:rsidRPr="00DD186A">
        <w:rPr>
          <w:rFonts w:ascii="Book Antiqua" w:eastAsia="Book Antiqua" w:hAnsi="Book Antiqua" w:cs="Book Antiqua"/>
          <w:i/>
          <w:iCs/>
          <w:color w:val="000000"/>
        </w:rPr>
        <w:t>P</w:t>
      </w:r>
      <w:r w:rsidRPr="00DD186A">
        <w:rPr>
          <w:rFonts w:ascii="Book Antiqua" w:eastAsia="Book Antiqua" w:hAnsi="Book Antiqua" w:cs="Book Antiqua"/>
          <w:color w:val="000000"/>
        </w:rPr>
        <w:t xml:space="preserve"> = 0.04). In terms of expected cost, the authors reported that EUS-GJ was significantly less costly than surgery ($4905.5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$14778.8; </w:t>
      </w:r>
      <w:r w:rsidRPr="00DD186A">
        <w:rPr>
          <w:rFonts w:ascii="Book Antiqua" w:eastAsia="Book Antiqua" w:hAnsi="Book Antiqua" w:cs="Book Antiqua"/>
          <w:i/>
          <w:iCs/>
          <w:caps/>
          <w:color w:val="000000"/>
        </w:rPr>
        <w:t>p</w:t>
      </w:r>
      <w:r w:rsidRPr="00DD186A">
        <w:rPr>
          <w:rFonts w:ascii="Book Antiqua" w:eastAsia="Book Antiqua" w:hAnsi="Book Antiqua" w:cs="Book Antiqua"/>
          <w:color w:val="000000"/>
        </w:rPr>
        <w:t xml:space="preserve"> &lt; 0.001). </w:t>
      </w:r>
    </w:p>
    <w:p w14:paraId="2F06710A"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There have been two recent studies evaluating outcomes between EUS-GJ and luminal stenting for GOO (Table 6)</w:t>
      </w:r>
      <w:r w:rsidRPr="00DD186A">
        <w:rPr>
          <w:rFonts w:ascii="Book Antiqua" w:eastAsia="Book Antiqua" w:hAnsi="Book Antiqua" w:cs="Book Antiqua"/>
          <w:color w:val="000000"/>
          <w:vertAlign w:val="superscript"/>
        </w:rPr>
        <w:t>[37,43]</w:t>
      </w:r>
      <w:r w:rsidRPr="00DD186A">
        <w:rPr>
          <w:rFonts w:ascii="Book Antiqua" w:eastAsia="Book Antiqua" w:hAnsi="Book Antiqua" w:cs="Book Antiqua"/>
          <w:color w:val="000000"/>
        </w:rPr>
        <w:t xml:space="preserve">. In a multicenter retrospective study, Chen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[43]</w:t>
      </w:r>
      <w:r w:rsidRPr="00DD186A">
        <w:rPr>
          <w:rFonts w:ascii="Book Antiqua" w:eastAsia="Book Antiqua" w:hAnsi="Book Antiqua" w:cs="Book Antiqua"/>
          <w:color w:val="000000"/>
        </w:rPr>
        <w:t xml:space="preserve"> compared EUS-GJ to endoscopic stenting for patients with malignant GOO. Overall, there was no statistically significant difference between the groups in terms of technical (EUS-GJ: 86.7%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stenting: 94.2%,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0.2) or clinical success rates (EUS-GJ 83.3%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stenting 67.3%,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0.12). While the occurrence of adverse events was also </w:t>
      </w:r>
      <w:r w:rsidRPr="00DD186A">
        <w:rPr>
          <w:rFonts w:ascii="Book Antiqua" w:eastAsia="Book Antiqua" w:hAnsi="Book Antiqua" w:cs="Book Antiqua"/>
          <w:color w:val="000000"/>
        </w:rPr>
        <w:lastRenderedPageBreak/>
        <w:t xml:space="preserve">similar in both groups (16.7%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11.5%,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0.5), recurrence of GOO symptoms and the need for reintervention was significantly less after EUS-GJ (4.0%) when compared to patients who underwent luminal stenting (28.6%)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0.02). Indeed, on multivariate analysis, luminal stenting was independently associated with the need for reintervention (odds ratio: 12.8;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 xml:space="preserve">0.03). These findings are similar to those reported by Ge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[37]</w:t>
      </w:r>
      <w:r w:rsidRPr="00DD186A">
        <w:rPr>
          <w:rFonts w:ascii="Book Antiqua" w:eastAsia="Book Antiqua" w:hAnsi="Book Antiqua" w:cs="Book Antiqua"/>
          <w:color w:val="000000"/>
        </w:rPr>
        <w:t>, who demonstrated that the rate of re-intervention for recurrent GOO symptoms is significantly lower after EUS-GJ (8.3%) as compared to luminal stenting (32.0%) (</w:t>
      </w:r>
      <w:r w:rsidRPr="00DD186A">
        <w:rPr>
          <w:rFonts w:ascii="Book Antiqua" w:eastAsia="Book Antiqua" w:hAnsi="Book Antiqua" w:cs="Book Antiqua"/>
          <w:i/>
          <w:iCs/>
          <w:caps/>
          <w:color w:val="000000"/>
        </w:rPr>
        <w:t>p</w:t>
      </w:r>
      <w:r w:rsidRPr="00DD186A">
        <w:rPr>
          <w:rFonts w:ascii="Book Antiqua" w:eastAsia="Book Antiqua" w:hAnsi="Book Antiqua" w:cs="Book Antiqua"/>
          <w:color w:val="000000"/>
        </w:rPr>
        <w:t xml:space="preserve"> = 0.021). While both procedures were associated with a technical success of 100%, clinical success rate was higher in the EUS-GJ group than in the luminal stenting group (95.8%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76.3%, </w:t>
      </w:r>
      <w:r w:rsidRPr="00DD186A">
        <w:rPr>
          <w:rFonts w:ascii="Book Antiqua" w:eastAsia="Book Antiqua" w:hAnsi="Book Antiqua" w:cs="Book Antiqua"/>
          <w:i/>
          <w:iCs/>
          <w:caps/>
          <w:color w:val="000000"/>
        </w:rPr>
        <w:t>p</w:t>
      </w:r>
      <w:r w:rsidRPr="00DD186A">
        <w:rPr>
          <w:rFonts w:ascii="Book Antiqua" w:eastAsia="Book Antiqua" w:hAnsi="Book Antiqua" w:cs="Book Antiqua"/>
          <w:color w:val="000000"/>
        </w:rPr>
        <w:t xml:space="preserve"> = 0.042). Lastly, the luminal stenting group also trended towards increased adverse events (40.2%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20.8%; </w:t>
      </w:r>
      <w:r w:rsidRPr="00DD186A">
        <w:rPr>
          <w:rFonts w:ascii="Book Antiqua" w:eastAsia="Book Antiqua" w:hAnsi="Book Antiqua" w:cs="Book Antiqua"/>
          <w:i/>
          <w:iCs/>
          <w:color w:val="000000"/>
        </w:rPr>
        <w:t xml:space="preserve">P = </w:t>
      </w:r>
      <w:r w:rsidRPr="00DD186A">
        <w:rPr>
          <w:rFonts w:ascii="Book Antiqua" w:eastAsia="Book Antiqua" w:hAnsi="Book Antiqua" w:cs="Book Antiqua"/>
          <w:color w:val="000000"/>
        </w:rPr>
        <w:t>0.09).</w:t>
      </w:r>
    </w:p>
    <w:p w14:paraId="252B4BF3" w14:textId="77777777" w:rsidR="00A77B3E" w:rsidRPr="00DD186A" w:rsidRDefault="00A77B3E">
      <w:pPr>
        <w:spacing w:line="360" w:lineRule="auto"/>
        <w:ind w:firstLine="480"/>
        <w:jc w:val="both"/>
        <w:rPr>
          <w:rFonts w:ascii="Book Antiqua" w:hAnsi="Book Antiqua"/>
        </w:rPr>
      </w:pPr>
    </w:p>
    <w:p w14:paraId="090D6F6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aps/>
          <w:color w:val="000000"/>
          <w:u w:val="single"/>
        </w:rPr>
        <w:t>Proposed Treatment Algorithm for the Management of GOO</w:t>
      </w:r>
    </w:p>
    <w:p w14:paraId="6377E99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The current limited data suggests that EUS-GJ is both effective and safe for the management of malignant GOO and should be considered as an alternative to surgery or luminal stenting in select patients when performed at centers with adequate advanced endoscopy expertise (Figure 3). Endoscopic placement of a duodenal SEMS is a widely available procedure associated with a high technical success. Given that the main limitation of this approach is stent occlusion and need for re-intervention, SEMS may be the preferred treatment for patients with advanced disease and short-life expectancy. The current literature suggests that EUS-GJ may be an effective alternative for treating GOO symptoms in these patients with less need for re-interventions. Furthermore, as previously discussed, malignant GOO can present with concomitant biliary obstruction. Our preference is to attempt biliary access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ERCP prior to duodenal stenting if feasible. If biliary access cannot be attained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conventional ERCP, EUS-guided biliary access followed by duodenal stenting is an alternate option. In those patients with GOO who have not endorsed biliary obstruction, EUS-GJ offer two potential distinct advantages over duodenal stenting. For one, access through the native papilla is not hindered by an overlying SEMS. Secondly, retrograde access to the papilla </w:t>
      </w:r>
      <w:r w:rsidRPr="00DD186A">
        <w:rPr>
          <w:rFonts w:ascii="Book Antiqua" w:eastAsia="Book Antiqua" w:hAnsi="Book Antiqua" w:cs="Book Antiqua"/>
          <w:color w:val="000000"/>
        </w:rPr>
        <w:lastRenderedPageBreak/>
        <w:t xml:space="preserve">for ERCP can be attempted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EUS-GJ in those cases in which antegrade scope advancement is more challenging due to the GOO. </w:t>
      </w:r>
    </w:p>
    <w:p w14:paraId="0A48DC30" w14:textId="77777777" w:rsidR="00A77B3E" w:rsidRPr="00DD186A" w:rsidRDefault="00D0221A">
      <w:pPr>
        <w:spacing w:line="360" w:lineRule="auto"/>
        <w:ind w:firstLine="480"/>
        <w:jc w:val="both"/>
        <w:rPr>
          <w:rFonts w:ascii="Book Antiqua" w:hAnsi="Book Antiqua"/>
        </w:rPr>
      </w:pPr>
      <w:r w:rsidRPr="00DD186A">
        <w:rPr>
          <w:rFonts w:ascii="Book Antiqua" w:eastAsia="Book Antiqua" w:hAnsi="Book Antiqua" w:cs="Book Antiqua"/>
          <w:color w:val="000000"/>
        </w:rPr>
        <w:t>EUS-GJ can also be entertained as a salvage method if initial attempt at luminal stenting has failed, allowing the creation of a functional anastomosis away from the obstruction. While outcomes data on EUS-GJ are comparable to surgical bypass, the former has been shown to be more cost effective and may be a good alternative for patients who are not operative candidates. The potential role of EUS-GJ for the management of benign GOO remains less clear. While there have been studies on the efficacy and safety of EUS-GJ in these patients, durability of LAMS patency remains unanswered. Hence, definitive surgery should still be considered the mainstay for the management of patients with benign GOO not amenable to endoscopic dilation and/or luminal stenting</w:t>
      </w:r>
      <w:r w:rsidRPr="00DD186A">
        <w:rPr>
          <w:rFonts w:ascii="Book Antiqua" w:eastAsia="Book Antiqua" w:hAnsi="Book Antiqua" w:cs="Book Antiqua"/>
          <w:color w:val="000000"/>
          <w:vertAlign w:val="superscript"/>
        </w:rPr>
        <w:t>[44]</w:t>
      </w:r>
      <w:r w:rsidRPr="00DD186A">
        <w:rPr>
          <w:rFonts w:ascii="Book Antiqua" w:eastAsia="Book Antiqua" w:hAnsi="Book Antiqua" w:cs="Book Antiqua"/>
          <w:color w:val="000000"/>
        </w:rPr>
        <w:t xml:space="preserve">. However, we should emphasize that EUS-GJ is a technically complex procedure and its current use should be limited to highly specialized centers. Hence, the best treatment approach should always be individualized, based on multiple factors, including patient and disease characteristics, as well as availability of local resources and expertise. </w:t>
      </w:r>
    </w:p>
    <w:p w14:paraId="2833D5DC" w14:textId="77777777" w:rsidR="00A77B3E" w:rsidRPr="00DD186A" w:rsidRDefault="00A77B3E">
      <w:pPr>
        <w:spacing w:line="360" w:lineRule="auto"/>
        <w:ind w:firstLine="480"/>
        <w:jc w:val="both"/>
        <w:rPr>
          <w:rFonts w:ascii="Book Antiqua" w:hAnsi="Book Antiqua"/>
        </w:rPr>
      </w:pPr>
    </w:p>
    <w:p w14:paraId="67A02A24"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aps/>
          <w:color w:val="000000"/>
          <w:u w:val="single"/>
        </w:rPr>
        <w:t>CONCLUSION</w:t>
      </w:r>
    </w:p>
    <w:p w14:paraId="067DA36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EUS-GJ is emerging as a potential treatment option for GOO. When compared to luminal stenting, EUS-GJ may provide a longer lasting treatment for GOO. In the hands of experts, EUS-GJ appears to be similar in efficacy and safety when compared to surgery; yet it may be less costly. However, current data on EUS-GJ is scarce and limited to expert centers. Further improvements and standardization of the technique may facilitate its adoption in clinical practice. Lastly, large prospective randomized trials comparing EUS-GJ with surgery and luminal stenting are needed to better define its role in the management of these complex patients. </w:t>
      </w:r>
    </w:p>
    <w:p w14:paraId="1CF1CD8E" w14:textId="77777777" w:rsidR="00A77B3E" w:rsidRPr="00DD186A" w:rsidRDefault="00A77B3E">
      <w:pPr>
        <w:spacing w:line="360" w:lineRule="auto"/>
        <w:jc w:val="both"/>
        <w:rPr>
          <w:rFonts w:ascii="Book Antiqua" w:hAnsi="Book Antiqua"/>
        </w:rPr>
      </w:pPr>
    </w:p>
    <w:p w14:paraId="03678A18"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REFERENCES</w:t>
      </w:r>
    </w:p>
    <w:p w14:paraId="36297577"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lastRenderedPageBreak/>
        <w:t xml:space="preserve">1 </w:t>
      </w:r>
      <w:r w:rsidRPr="00DD186A">
        <w:rPr>
          <w:rFonts w:ascii="Book Antiqua" w:eastAsia="Book Antiqua" w:hAnsi="Book Antiqua" w:cs="Book Antiqua"/>
          <w:b/>
          <w:bCs/>
          <w:color w:val="000000"/>
        </w:rPr>
        <w:t>Tringali A</w:t>
      </w:r>
      <w:r w:rsidRPr="00DD186A">
        <w:rPr>
          <w:rFonts w:ascii="Book Antiqua" w:eastAsia="Book Antiqua" w:hAnsi="Book Antiqua" w:cs="Book Antiqua"/>
          <w:color w:val="000000"/>
        </w:rPr>
        <w:t xml:space="preserve">, Didden P, Repici A, Spaander M, Bourke MJ, Williams SJ, Spicak J, Drastich P, Mutignani M, Perri V, Roy A, Johnston K, Costamagna G. Endoscopic treatment of malignant gastric and duodenal strictures: a prospective, multicenter study. </w:t>
      </w:r>
      <w:r w:rsidRPr="00DD186A">
        <w:rPr>
          <w:rFonts w:ascii="Book Antiqua" w:eastAsia="Book Antiqua" w:hAnsi="Book Antiqua" w:cs="Book Antiqua"/>
          <w:i/>
          <w:iCs/>
          <w:color w:val="000000"/>
        </w:rPr>
        <w:t>Gastrointest Endosc</w:t>
      </w:r>
      <w:r w:rsidRPr="00DD186A">
        <w:rPr>
          <w:rFonts w:ascii="Book Antiqua" w:eastAsia="Book Antiqua" w:hAnsi="Book Antiqua" w:cs="Book Antiqua"/>
          <w:color w:val="000000"/>
        </w:rPr>
        <w:t xml:space="preserve"> 2014; </w:t>
      </w:r>
      <w:r w:rsidRPr="00DD186A">
        <w:rPr>
          <w:rFonts w:ascii="Book Antiqua" w:eastAsia="Book Antiqua" w:hAnsi="Book Antiqua" w:cs="Book Antiqua"/>
          <w:b/>
          <w:bCs/>
          <w:color w:val="000000"/>
        </w:rPr>
        <w:t>79</w:t>
      </w:r>
      <w:r w:rsidRPr="00DD186A">
        <w:rPr>
          <w:rFonts w:ascii="Book Antiqua" w:eastAsia="Book Antiqua" w:hAnsi="Book Antiqua" w:cs="Book Antiqua"/>
          <w:color w:val="000000"/>
        </w:rPr>
        <w:t>: 66-75 [PMID: 23932009 DOI: 10.1016/j.gie.2013.06.032]</w:t>
      </w:r>
    </w:p>
    <w:p w14:paraId="6F8C194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 </w:t>
      </w:r>
      <w:r w:rsidRPr="00DD186A">
        <w:rPr>
          <w:rFonts w:ascii="Book Antiqua" w:eastAsia="Book Antiqua" w:hAnsi="Book Antiqua" w:cs="Book Antiqua"/>
          <w:b/>
          <w:bCs/>
          <w:color w:val="000000"/>
        </w:rPr>
        <w:t>Koop AH</w:t>
      </w:r>
      <w:r w:rsidRPr="00DD186A">
        <w:rPr>
          <w:rFonts w:ascii="Book Antiqua" w:eastAsia="Book Antiqua" w:hAnsi="Book Antiqua" w:cs="Book Antiqua"/>
          <w:color w:val="000000"/>
        </w:rPr>
        <w:t xml:space="preserve">, Palmer WC, Stancampiano FF. Gastric outlet obstruction: A red flag, potentially manageable. </w:t>
      </w:r>
      <w:r w:rsidRPr="00DD186A">
        <w:rPr>
          <w:rFonts w:ascii="Book Antiqua" w:eastAsia="Book Antiqua" w:hAnsi="Book Antiqua" w:cs="Book Antiqua"/>
          <w:i/>
          <w:iCs/>
          <w:color w:val="000000"/>
        </w:rPr>
        <w:t>Cleve Clin J Med</w:t>
      </w:r>
      <w:r w:rsidRPr="00DD186A">
        <w:rPr>
          <w:rFonts w:ascii="Book Antiqua" w:eastAsia="Book Antiqua" w:hAnsi="Book Antiqua" w:cs="Book Antiqua"/>
          <w:color w:val="000000"/>
        </w:rPr>
        <w:t xml:space="preserve"> 2019; </w:t>
      </w:r>
      <w:r w:rsidRPr="00DD186A">
        <w:rPr>
          <w:rFonts w:ascii="Book Antiqua" w:eastAsia="Book Antiqua" w:hAnsi="Book Antiqua" w:cs="Book Antiqua"/>
          <w:b/>
          <w:bCs/>
          <w:color w:val="000000"/>
        </w:rPr>
        <w:t>86</w:t>
      </w:r>
      <w:r w:rsidRPr="00DD186A">
        <w:rPr>
          <w:rFonts w:ascii="Book Antiqua" w:eastAsia="Book Antiqua" w:hAnsi="Book Antiqua" w:cs="Book Antiqua"/>
          <w:color w:val="000000"/>
        </w:rPr>
        <w:t>: 345-353 [PMID: 31066665 DOI: 10.3949/ccjm.86a.18035]</w:t>
      </w:r>
    </w:p>
    <w:p w14:paraId="6CB31B86"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 </w:t>
      </w:r>
      <w:r w:rsidRPr="00DD186A">
        <w:rPr>
          <w:rFonts w:ascii="Book Antiqua" w:eastAsia="Book Antiqua" w:hAnsi="Book Antiqua" w:cs="Book Antiqua"/>
          <w:b/>
          <w:bCs/>
          <w:color w:val="000000"/>
        </w:rPr>
        <w:t>Adler DG</w:t>
      </w:r>
      <w:r w:rsidRPr="00DD186A">
        <w:rPr>
          <w:rFonts w:ascii="Book Antiqua" w:eastAsia="Book Antiqua" w:hAnsi="Book Antiqua" w:cs="Book Antiqua"/>
          <w:color w:val="000000"/>
        </w:rPr>
        <w:t xml:space="preserve">, Baron TH. Endoscopic palliation of malignant gastric outlet obstruction using self-expanding metal stents: experience in 36 patients. </w:t>
      </w:r>
      <w:r w:rsidRPr="00DD186A">
        <w:rPr>
          <w:rFonts w:ascii="Book Antiqua" w:eastAsia="Book Antiqua" w:hAnsi="Book Antiqua" w:cs="Book Antiqua"/>
          <w:i/>
          <w:iCs/>
          <w:color w:val="000000"/>
        </w:rPr>
        <w:t>Am J Gastroenterol</w:t>
      </w:r>
      <w:r w:rsidRPr="00DD186A">
        <w:rPr>
          <w:rFonts w:ascii="Book Antiqua" w:eastAsia="Book Antiqua" w:hAnsi="Book Antiqua" w:cs="Book Antiqua"/>
          <w:color w:val="000000"/>
        </w:rPr>
        <w:t xml:space="preserve"> 2002; </w:t>
      </w:r>
      <w:r w:rsidRPr="00DD186A">
        <w:rPr>
          <w:rFonts w:ascii="Book Antiqua" w:eastAsia="Book Antiqua" w:hAnsi="Book Antiqua" w:cs="Book Antiqua"/>
          <w:b/>
          <w:bCs/>
          <w:color w:val="000000"/>
        </w:rPr>
        <w:t>97</w:t>
      </w:r>
      <w:r w:rsidRPr="00DD186A">
        <w:rPr>
          <w:rFonts w:ascii="Book Antiqua" w:eastAsia="Book Antiqua" w:hAnsi="Book Antiqua" w:cs="Book Antiqua"/>
          <w:color w:val="000000"/>
        </w:rPr>
        <w:t>: 72-78 [PMID: 11808972 DOI: 10.1016/S0002-9270(01)03985-5]</w:t>
      </w:r>
    </w:p>
    <w:p w14:paraId="2E33D66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4 </w:t>
      </w:r>
      <w:r w:rsidRPr="00DD186A">
        <w:rPr>
          <w:rFonts w:ascii="Book Antiqua" w:eastAsia="Book Antiqua" w:hAnsi="Book Antiqua" w:cs="Book Antiqua"/>
          <w:b/>
          <w:bCs/>
          <w:color w:val="000000"/>
        </w:rPr>
        <w:t>Adler DG</w:t>
      </w:r>
      <w:r w:rsidRPr="00DD186A">
        <w:rPr>
          <w:rFonts w:ascii="Book Antiqua" w:eastAsia="Book Antiqua" w:hAnsi="Book Antiqua" w:cs="Book Antiqua"/>
          <w:color w:val="000000"/>
        </w:rPr>
        <w:t xml:space="preserve">. Should Patients With Malignant Gastric Outlet Obstruction Receive Stents or Surgery? </w:t>
      </w:r>
      <w:r w:rsidRPr="00DD186A">
        <w:rPr>
          <w:rFonts w:ascii="Book Antiqua" w:eastAsia="Book Antiqua" w:hAnsi="Book Antiqua" w:cs="Book Antiqua"/>
          <w:i/>
          <w:iCs/>
          <w:color w:val="000000"/>
        </w:rPr>
        <w:t>Clin Gastroenterol Hepatol</w:t>
      </w:r>
      <w:r w:rsidRPr="00DD186A">
        <w:rPr>
          <w:rFonts w:ascii="Book Antiqua" w:eastAsia="Book Antiqua" w:hAnsi="Book Antiqua" w:cs="Book Antiqua"/>
          <w:color w:val="000000"/>
        </w:rPr>
        <w:t xml:space="preserve"> 2019; </w:t>
      </w:r>
      <w:r w:rsidRPr="00DD186A">
        <w:rPr>
          <w:rFonts w:ascii="Book Antiqua" w:eastAsia="Book Antiqua" w:hAnsi="Book Antiqua" w:cs="Book Antiqua"/>
          <w:b/>
          <w:bCs/>
          <w:color w:val="000000"/>
        </w:rPr>
        <w:t>17</w:t>
      </w:r>
      <w:r w:rsidRPr="00DD186A">
        <w:rPr>
          <w:rFonts w:ascii="Book Antiqua" w:eastAsia="Book Antiqua" w:hAnsi="Book Antiqua" w:cs="Book Antiqua"/>
          <w:color w:val="000000"/>
        </w:rPr>
        <w:t>: 1242-1244 [PMID: 30503965 DOI: 10.1016/j.cgh.2018.11.049]</w:t>
      </w:r>
    </w:p>
    <w:p w14:paraId="15B4BE2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5 </w:t>
      </w:r>
      <w:r w:rsidRPr="00DD186A">
        <w:rPr>
          <w:rFonts w:ascii="Book Antiqua" w:eastAsia="Book Antiqua" w:hAnsi="Book Antiqua" w:cs="Book Antiqua"/>
          <w:b/>
          <w:bCs/>
          <w:color w:val="000000"/>
        </w:rPr>
        <w:t>Miner TJ</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Jaques</w:t>
      </w:r>
      <w:proofErr w:type="spellEnd"/>
      <w:r w:rsidRPr="00DD186A">
        <w:rPr>
          <w:rFonts w:ascii="Book Antiqua" w:eastAsia="Book Antiqua" w:hAnsi="Book Antiqua" w:cs="Book Antiqua"/>
          <w:color w:val="000000"/>
        </w:rPr>
        <w:t xml:space="preserve"> DP, </w:t>
      </w:r>
      <w:proofErr w:type="spellStart"/>
      <w:r w:rsidRPr="00DD186A">
        <w:rPr>
          <w:rFonts w:ascii="Book Antiqua" w:eastAsia="Book Antiqua" w:hAnsi="Book Antiqua" w:cs="Book Antiqua"/>
          <w:color w:val="000000"/>
        </w:rPr>
        <w:t>Karpeh</w:t>
      </w:r>
      <w:proofErr w:type="spellEnd"/>
      <w:r w:rsidRPr="00DD186A">
        <w:rPr>
          <w:rFonts w:ascii="Book Antiqua" w:eastAsia="Book Antiqua" w:hAnsi="Book Antiqua" w:cs="Book Antiqua"/>
          <w:color w:val="000000"/>
        </w:rPr>
        <w:t xml:space="preserve"> MS, Brennan MF. Defining palliative surgery in patients receiving noncurative resections for gastric cancer. </w:t>
      </w:r>
      <w:r w:rsidRPr="00DD186A">
        <w:rPr>
          <w:rFonts w:ascii="Book Antiqua" w:eastAsia="Book Antiqua" w:hAnsi="Book Antiqua" w:cs="Book Antiqua"/>
          <w:i/>
          <w:iCs/>
          <w:color w:val="000000"/>
        </w:rPr>
        <w:t>J Am Coll Surg</w:t>
      </w:r>
      <w:r w:rsidRPr="00DD186A">
        <w:rPr>
          <w:rFonts w:ascii="Book Antiqua" w:eastAsia="Book Antiqua" w:hAnsi="Book Antiqua" w:cs="Book Antiqua"/>
          <w:color w:val="000000"/>
        </w:rPr>
        <w:t xml:space="preserve"> 2004; </w:t>
      </w:r>
      <w:r w:rsidRPr="00DD186A">
        <w:rPr>
          <w:rFonts w:ascii="Book Antiqua" w:eastAsia="Book Antiqua" w:hAnsi="Book Antiqua" w:cs="Book Antiqua"/>
          <w:b/>
          <w:bCs/>
          <w:color w:val="000000"/>
        </w:rPr>
        <w:t>198</w:t>
      </w:r>
      <w:r w:rsidRPr="00DD186A">
        <w:rPr>
          <w:rFonts w:ascii="Book Antiqua" w:eastAsia="Book Antiqua" w:hAnsi="Book Antiqua" w:cs="Book Antiqua"/>
          <w:color w:val="000000"/>
        </w:rPr>
        <w:t>: 1013-1021 [PMID: 15194084 DOI: 10.1016/j.jamcollsurg.2004.02.007]</w:t>
      </w:r>
    </w:p>
    <w:p w14:paraId="51EEBEDF" w14:textId="1FB282E0"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6 </w:t>
      </w:r>
      <w:r w:rsidRPr="00DD186A">
        <w:rPr>
          <w:rFonts w:ascii="Book Antiqua" w:eastAsia="Book Antiqua" w:hAnsi="Book Antiqua" w:cs="Book Antiqua"/>
          <w:b/>
          <w:bCs/>
          <w:color w:val="000000"/>
        </w:rPr>
        <w:t>Quinn PL,</w:t>
      </w:r>
      <w:r w:rsidRPr="00DD186A">
        <w:rPr>
          <w:rFonts w:ascii="Book Antiqua" w:eastAsia="Book Antiqua" w:hAnsi="Book Antiqua" w:cs="Book Antiqua"/>
          <w:color w:val="000000"/>
        </w:rPr>
        <w:t xml:space="preserve"> Babu A, Xia W, </w:t>
      </w:r>
      <w:proofErr w:type="spellStart"/>
      <w:r w:rsidRPr="00DD186A">
        <w:rPr>
          <w:rFonts w:ascii="Book Antiqua" w:eastAsia="Book Antiqua" w:hAnsi="Book Antiqua" w:cs="Book Antiqua"/>
          <w:color w:val="000000"/>
        </w:rPr>
        <w:t>Chokshi</w:t>
      </w:r>
      <w:proofErr w:type="spellEnd"/>
      <w:r w:rsidRPr="00DD186A">
        <w:rPr>
          <w:rFonts w:ascii="Book Antiqua" w:eastAsia="Book Antiqua" w:hAnsi="Book Antiqua" w:cs="Book Antiqua"/>
          <w:color w:val="000000"/>
        </w:rPr>
        <w:t xml:space="preserve"> RJ. Surgical outcomes for palliative gastrojejunostomy by tumor origin for malignant gastric outlet obstruction. </w:t>
      </w:r>
      <w:r w:rsidRPr="00813BB0">
        <w:rPr>
          <w:rFonts w:ascii="Book Antiqua" w:eastAsia="Book Antiqua" w:hAnsi="Book Antiqua" w:cs="Book Antiqua"/>
          <w:i/>
          <w:color w:val="000000"/>
        </w:rPr>
        <w:t>H</w:t>
      </w:r>
      <w:r w:rsidRPr="00813BB0">
        <w:rPr>
          <w:rFonts w:ascii="Book Antiqua" w:eastAsia="Book Antiqua" w:hAnsi="Book Antiqua" w:cs="Book Antiqua"/>
          <w:i/>
          <w:caps/>
          <w:color w:val="000000"/>
        </w:rPr>
        <w:t>pb</w:t>
      </w:r>
      <w:r w:rsidRPr="00DD186A">
        <w:rPr>
          <w:rFonts w:ascii="Book Antiqua" w:eastAsia="Book Antiqua" w:hAnsi="Book Antiqua" w:cs="Book Antiqua"/>
          <w:color w:val="000000"/>
        </w:rPr>
        <w:t xml:space="preserve"> 2020;</w:t>
      </w:r>
      <w:r w:rsidR="00813BB0">
        <w:rPr>
          <w:rFonts w:ascii="Book Antiqua" w:eastAsia="Book Antiqua" w:hAnsi="Book Antiqua" w:cs="Book Antiqua"/>
          <w:color w:val="000000"/>
        </w:rPr>
        <w:t xml:space="preserve"> </w:t>
      </w:r>
      <w:r w:rsidRPr="00813BB0">
        <w:rPr>
          <w:rFonts w:ascii="Book Antiqua" w:eastAsia="Book Antiqua" w:hAnsi="Book Antiqua" w:cs="Book Antiqua"/>
          <w:b/>
          <w:color w:val="000000"/>
        </w:rPr>
        <w:t>22</w:t>
      </w:r>
      <w:r w:rsidRPr="00DD186A">
        <w:rPr>
          <w:rFonts w:ascii="Book Antiqua" w:eastAsia="Book Antiqua" w:hAnsi="Book Antiqua" w:cs="Book Antiqua"/>
          <w:color w:val="000000"/>
        </w:rPr>
        <w:t>: S89</w:t>
      </w:r>
      <w:r w:rsidR="00813BB0">
        <w:rPr>
          <w:rFonts w:ascii="Book Antiqua" w:eastAsia="Book Antiqua" w:hAnsi="Book Antiqua" w:cs="Book Antiqua"/>
          <w:color w:val="000000"/>
        </w:rPr>
        <w:t xml:space="preserve"> </w:t>
      </w:r>
      <w:r w:rsidRPr="00DD186A">
        <w:rPr>
          <w:rFonts w:ascii="Book Antiqua" w:eastAsia="Book Antiqua" w:hAnsi="Book Antiqua" w:cs="Book Antiqua"/>
          <w:color w:val="000000"/>
        </w:rPr>
        <w:t>[DOI: 10.1016/j.hpb.2020.04.570]</w:t>
      </w:r>
    </w:p>
    <w:p w14:paraId="4F1D4468"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7 </w:t>
      </w:r>
      <w:r w:rsidRPr="00DD186A">
        <w:rPr>
          <w:rFonts w:ascii="Book Antiqua" w:eastAsia="Book Antiqua" w:hAnsi="Book Antiqua" w:cs="Book Antiqua"/>
          <w:b/>
          <w:bCs/>
          <w:color w:val="000000"/>
        </w:rPr>
        <w:t>Takeno A</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Takiguchi</w:t>
      </w:r>
      <w:proofErr w:type="spellEnd"/>
      <w:r w:rsidRPr="00DD186A">
        <w:rPr>
          <w:rFonts w:ascii="Book Antiqua" w:eastAsia="Book Antiqua" w:hAnsi="Book Antiqua" w:cs="Book Antiqua"/>
          <w:color w:val="000000"/>
        </w:rPr>
        <w:t xml:space="preserve"> S, Fujita J, Tamura S, Imamura H, </w:t>
      </w:r>
      <w:proofErr w:type="spellStart"/>
      <w:r w:rsidRPr="00DD186A">
        <w:rPr>
          <w:rFonts w:ascii="Book Antiqua" w:eastAsia="Book Antiqua" w:hAnsi="Book Antiqua" w:cs="Book Antiqua"/>
          <w:color w:val="000000"/>
        </w:rPr>
        <w:t>Fujitani</w:t>
      </w:r>
      <w:proofErr w:type="spellEnd"/>
      <w:r w:rsidRPr="00DD186A">
        <w:rPr>
          <w:rFonts w:ascii="Book Antiqua" w:eastAsia="Book Antiqua" w:hAnsi="Book Antiqua" w:cs="Book Antiqua"/>
          <w:color w:val="000000"/>
        </w:rPr>
        <w:t xml:space="preserve"> K, Matsuyama J, Mori M, </w:t>
      </w:r>
      <w:proofErr w:type="spellStart"/>
      <w:r w:rsidRPr="00DD186A">
        <w:rPr>
          <w:rFonts w:ascii="Book Antiqua" w:eastAsia="Book Antiqua" w:hAnsi="Book Antiqua" w:cs="Book Antiqua"/>
          <w:color w:val="000000"/>
        </w:rPr>
        <w:t>Doki</w:t>
      </w:r>
      <w:proofErr w:type="spellEnd"/>
      <w:r w:rsidRPr="00DD186A">
        <w:rPr>
          <w:rFonts w:ascii="Book Antiqua" w:eastAsia="Book Antiqua" w:hAnsi="Book Antiqua" w:cs="Book Antiqua"/>
          <w:color w:val="000000"/>
        </w:rPr>
        <w:t xml:space="preserve"> Y; Clinical Study Group of Osaka University (CSGO), Upper GI Group. Clinical outcome and indications for palliative gastrojejunostomy in unresectable advanced gastric cancer: multi-institutional retrospective analysis. </w:t>
      </w:r>
      <w:r w:rsidRPr="00DD186A">
        <w:rPr>
          <w:rFonts w:ascii="Book Antiqua" w:eastAsia="Book Antiqua" w:hAnsi="Book Antiqua" w:cs="Book Antiqua"/>
          <w:i/>
          <w:iCs/>
          <w:color w:val="000000"/>
        </w:rPr>
        <w:t>Ann Surg Oncol</w:t>
      </w:r>
      <w:r w:rsidRPr="00DD186A">
        <w:rPr>
          <w:rFonts w:ascii="Book Antiqua" w:eastAsia="Book Antiqua" w:hAnsi="Book Antiqua" w:cs="Book Antiqua"/>
          <w:color w:val="000000"/>
        </w:rPr>
        <w:t xml:space="preserve"> 2013; </w:t>
      </w:r>
      <w:r w:rsidRPr="00DD186A">
        <w:rPr>
          <w:rFonts w:ascii="Book Antiqua" w:eastAsia="Book Antiqua" w:hAnsi="Book Antiqua" w:cs="Book Antiqua"/>
          <w:b/>
          <w:bCs/>
          <w:color w:val="000000"/>
        </w:rPr>
        <w:t>20</w:t>
      </w:r>
      <w:r w:rsidRPr="00DD186A">
        <w:rPr>
          <w:rFonts w:ascii="Book Antiqua" w:eastAsia="Book Antiqua" w:hAnsi="Book Antiqua" w:cs="Book Antiqua"/>
          <w:color w:val="000000"/>
        </w:rPr>
        <w:t>: 3527-3533 [PMID: 23715966 DOI: 10.1245/s10434-013-3033-3]</w:t>
      </w:r>
    </w:p>
    <w:p w14:paraId="30D629FE"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8 </w:t>
      </w:r>
      <w:r w:rsidRPr="00DD186A">
        <w:rPr>
          <w:rFonts w:ascii="Book Antiqua" w:eastAsia="Book Antiqua" w:hAnsi="Book Antiqua" w:cs="Book Antiqua"/>
          <w:b/>
          <w:bCs/>
          <w:color w:val="000000"/>
        </w:rPr>
        <w:t xml:space="preserve">van </w:t>
      </w:r>
      <w:proofErr w:type="spellStart"/>
      <w:r w:rsidRPr="00DD186A">
        <w:rPr>
          <w:rFonts w:ascii="Book Antiqua" w:eastAsia="Book Antiqua" w:hAnsi="Book Antiqua" w:cs="Book Antiqua"/>
          <w:b/>
          <w:bCs/>
          <w:color w:val="000000"/>
        </w:rPr>
        <w:t>Hooft</w:t>
      </w:r>
      <w:proofErr w:type="spellEnd"/>
      <w:r w:rsidRPr="00DD186A">
        <w:rPr>
          <w:rFonts w:ascii="Book Antiqua" w:eastAsia="Book Antiqua" w:hAnsi="Book Antiqua" w:cs="Book Antiqua"/>
          <w:b/>
          <w:bCs/>
          <w:color w:val="000000"/>
        </w:rPr>
        <w:t xml:space="preserve"> JE</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Dijkgraaf</w:t>
      </w:r>
      <w:proofErr w:type="spellEnd"/>
      <w:r w:rsidRPr="00DD186A">
        <w:rPr>
          <w:rFonts w:ascii="Book Antiqua" w:eastAsia="Book Antiqua" w:hAnsi="Book Antiqua" w:cs="Book Antiqua"/>
          <w:color w:val="000000"/>
        </w:rPr>
        <w:t xml:space="preserve"> MG, </w:t>
      </w:r>
      <w:proofErr w:type="spellStart"/>
      <w:r w:rsidRPr="00DD186A">
        <w:rPr>
          <w:rFonts w:ascii="Book Antiqua" w:eastAsia="Book Antiqua" w:hAnsi="Book Antiqua" w:cs="Book Antiqua"/>
          <w:color w:val="000000"/>
        </w:rPr>
        <w:t>Timmer</w:t>
      </w:r>
      <w:proofErr w:type="spellEnd"/>
      <w:r w:rsidRPr="00DD186A">
        <w:rPr>
          <w:rFonts w:ascii="Book Antiqua" w:eastAsia="Book Antiqua" w:hAnsi="Book Antiqua" w:cs="Book Antiqua"/>
          <w:color w:val="000000"/>
        </w:rPr>
        <w:t xml:space="preserve"> R, </w:t>
      </w:r>
      <w:proofErr w:type="spellStart"/>
      <w:r w:rsidRPr="00DD186A">
        <w:rPr>
          <w:rFonts w:ascii="Book Antiqua" w:eastAsia="Book Antiqua" w:hAnsi="Book Antiqua" w:cs="Book Antiqua"/>
          <w:color w:val="000000"/>
        </w:rPr>
        <w:t>Siersema</w:t>
      </w:r>
      <w:proofErr w:type="spellEnd"/>
      <w:r w:rsidRPr="00DD186A">
        <w:rPr>
          <w:rFonts w:ascii="Book Antiqua" w:eastAsia="Book Antiqua" w:hAnsi="Book Antiqua" w:cs="Book Antiqua"/>
          <w:color w:val="000000"/>
        </w:rPr>
        <w:t xml:space="preserve"> PD, </w:t>
      </w:r>
      <w:proofErr w:type="spellStart"/>
      <w:r w:rsidRPr="00DD186A">
        <w:rPr>
          <w:rFonts w:ascii="Book Antiqua" w:eastAsia="Book Antiqua" w:hAnsi="Book Antiqua" w:cs="Book Antiqua"/>
          <w:color w:val="000000"/>
        </w:rPr>
        <w:t>Fockens</w:t>
      </w:r>
      <w:proofErr w:type="spellEnd"/>
      <w:r w:rsidRPr="00DD186A">
        <w:rPr>
          <w:rFonts w:ascii="Book Antiqua" w:eastAsia="Book Antiqua" w:hAnsi="Book Antiqua" w:cs="Book Antiqua"/>
          <w:color w:val="000000"/>
        </w:rPr>
        <w:t xml:space="preserve"> P. Independent predictors of survival in patients with incurable malignant gastric outlet obstruction: a multicenter prospective observational study. </w:t>
      </w:r>
      <w:proofErr w:type="spellStart"/>
      <w:r w:rsidRPr="00DD186A">
        <w:rPr>
          <w:rFonts w:ascii="Book Antiqua" w:eastAsia="Book Antiqua" w:hAnsi="Book Antiqua" w:cs="Book Antiqua"/>
          <w:i/>
          <w:iCs/>
          <w:color w:val="000000"/>
        </w:rPr>
        <w:t>Scand</w:t>
      </w:r>
      <w:proofErr w:type="spellEnd"/>
      <w:r w:rsidRPr="00DD186A">
        <w:rPr>
          <w:rFonts w:ascii="Book Antiqua" w:eastAsia="Book Antiqua" w:hAnsi="Book Antiqua" w:cs="Book Antiqua"/>
          <w:i/>
          <w:iCs/>
          <w:color w:val="000000"/>
        </w:rPr>
        <w:t xml:space="preserve"> J </w:t>
      </w:r>
      <w:proofErr w:type="spellStart"/>
      <w:r w:rsidRPr="00DD186A">
        <w:rPr>
          <w:rFonts w:ascii="Book Antiqua" w:eastAsia="Book Antiqua" w:hAnsi="Book Antiqua" w:cs="Book Antiqua"/>
          <w:i/>
          <w:iCs/>
          <w:color w:val="000000"/>
        </w:rPr>
        <w:t>Gastroenterol</w:t>
      </w:r>
      <w:proofErr w:type="spellEnd"/>
      <w:r w:rsidRPr="00DD186A">
        <w:rPr>
          <w:rFonts w:ascii="Book Antiqua" w:eastAsia="Book Antiqua" w:hAnsi="Book Antiqua" w:cs="Book Antiqua"/>
          <w:color w:val="000000"/>
        </w:rPr>
        <w:t xml:space="preserve"> 2010; </w:t>
      </w:r>
      <w:r w:rsidRPr="00DD186A">
        <w:rPr>
          <w:rFonts w:ascii="Book Antiqua" w:eastAsia="Book Antiqua" w:hAnsi="Book Antiqua" w:cs="Book Antiqua"/>
          <w:b/>
          <w:bCs/>
          <w:color w:val="000000"/>
        </w:rPr>
        <w:t>45</w:t>
      </w:r>
      <w:r w:rsidRPr="00DD186A">
        <w:rPr>
          <w:rFonts w:ascii="Book Antiqua" w:eastAsia="Book Antiqua" w:hAnsi="Book Antiqua" w:cs="Book Antiqua"/>
          <w:color w:val="000000"/>
        </w:rPr>
        <w:t>: 1217-1222 [PMID: 20459356 DOI: 10.3109/00365521.2010.487916]</w:t>
      </w:r>
    </w:p>
    <w:p w14:paraId="2315B17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lastRenderedPageBreak/>
        <w:t xml:space="preserve">9 </w:t>
      </w:r>
      <w:r w:rsidRPr="00DD186A">
        <w:rPr>
          <w:rFonts w:ascii="Book Antiqua" w:eastAsia="Book Antiqua" w:hAnsi="Book Antiqua" w:cs="Book Antiqua"/>
          <w:b/>
          <w:bCs/>
          <w:color w:val="000000"/>
        </w:rPr>
        <w:t>Medina-Franco H</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Abarca</w:t>
      </w:r>
      <w:proofErr w:type="spellEnd"/>
      <w:r w:rsidRPr="00DD186A">
        <w:rPr>
          <w:rFonts w:ascii="Book Antiqua" w:eastAsia="Book Antiqua" w:hAnsi="Book Antiqua" w:cs="Book Antiqua"/>
          <w:color w:val="000000"/>
        </w:rPr>
        <w:t xml:space="preserve">-Pérez L, </w:t>
      </w:r>
      <w:proofErr w:type="spellStart"/>
      <w:r w:rsidRPr="00DD186A">
        <w:rPr>
          <w:rFonts w:ascii="Book Antiqua" w:eastAsia="Book Antiqua" w:hAnsi="Book Antiqua" w:cs="Book Antiqua"/>
          <w:color w:val="000000"/>
        </w:rPr>
        <w:t>España</w:t>
      </w:r>
      <w:proofErr w:type="spellEnd"/>
      <w:r w:rsidRPr="00DD186A">
        <w:rPr>
          <w:rFonts w:ascii="Book Antiqua" w:eastAsia="Book Antiqua" w:hAnsi="Book Antiqua" w:cs="Book Antiqua"/>
          <w:color w:val="000000"/>
        </w:rPr>
        <w:t>-Gómez N, Salgado-</w:t>
      </w:r>
      <w:proofErr w:type="spellStart"/>
      <w:r w:rsidRPr="00DD186A">
        <w:rPr>
          <w:rFonts w:ascii="Book Antiqua" w:eastAsia="Book Antiqua" w:hAnsi="Book Antiqua" w:cs="Book Antiqua"/>
          <w:color w:val="000000"/>
        </w:rPr>
        <w:t>Nesme</w:t>
      </w:r>
      <w:proofErr w:type="spellEnd"/>
      <w:r w:rsidRPr="00DD186A">
        <w:rPr>
          <w:rFonts w:ascii="Book Antiqua" w:eastAsia="Book Antiqua" w:hAnsi="Book Antiqua" w:cs="Book Antiqua"/>
          <w:color w:val="000000"/>
        </w:rPr>
        <w:t xml:space="preserve"> N, Ortiz-</w:t>
      </w:r>
      <w:proofErr w:type="spellStart"/>
      <w:r w:rsidRPr="00DD186A">
        <w:rPr>
          <w:rFonts w:ascii="Book Antiqua" w:eastAsia="Book Antiqua" w:hAnsi="Book Antiqua" w:cs="Book Antiqua"/>
          <w:color w:val="000000"/>
        </w:rPr>
        <w:t>López</w:t>
      </w:r>
      <w:proofErr w:type="spellEnd"/>
      <w:r w:rsidRPr="00DD186A">
        <w:rPr>
          <w:rFonts w:ascii="Book Antiqua" w:eastAsia="Book Antiqua" w:hAnsi="Book Antiqua" w:cs="Book Antiqua"/>
          <w:color w:val="000000"/>
        </w:rPr>
        <w:t xml:space="preserve"> LJ, García-Alvarez MN. Morbidity-associated factors after gastrojejunostomy for malignant gastric outlet obstruction. </w:t>
      </w:r>
      <w:r w:rsidRPr="00DD186A">
        <w:rPr>
          <w:rFonts w:ascii="Book Antiqua" w:eastAsia="Book Antiqua" w:hAnsi="Book Antiqua" w:cs="Book Antiqua"/>
          <w:i/>
          <w:iCs/>
          <w:color w:val="000000"/>
        </w:rPr>
        <w:t>Am Surg</w:t>
      </w:r>
      <w:r w:rsidRPr="00DD186A">
        <w:rPr>
          <w:rFonts w:ascii="Book Antiqua" w:eastAsia="Book Antiqua" w:hAnsi="Book Antiqua" w:cs="Book Antiqua"/>
          <w:color w:val="000000"/>
        </w:rPr>
        <w:t xml:space="preserve"> 2007; </w:t>
      </w:r>
      <w:r w:rsidRPr="00DD186A">
        <w:rPr>
          <w:rFonts w:ascii="Book Antiqua" w:eastAsia="Book Antiqua" w:hAnsi="Book Antiqua" w:cs="Book Antiqua"/>
          <w:b/>
          <w:bCs/>
          <w:color w:val="000000"/>
        </w:rPr>
        <w:t>73</w:t>
      </w:r>
      <w:r w:rsidRPr="00DD186A">
        <w:rPr>
          <w:rFonts w:ascii="Book Antiqua" w:eastAsia="Book Antiqua" w:hAnsi="Book Antiqua" w:cs="Book Antiqua"/>
          <w:color w:val="000000"/>
        </w:rPr>
        <w:t>: 871-875 [PMID: 17939415]</w:t>
      </w:r>
    </w:p>
    <w:p w14:paraId="1245106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10 </w:t>
      </w:r>
      <w:proofErr w:type="spellStart"/>
      <w:r w:rsidRPr="00DD186A">
        <w:rPr>
          <w:rFonts w:ascii="Book Antiqua" w:eastAsia="Book Antiqua" w:hAnsi="Book Antiqua" w:cs="Book Antiqua"/>
          <w:b/>
          <w:bCs/>
          <w:color w:val="000000"/>
        </w:rPr>
        <w:t>Potz</w:t>
      </w:r>
      <w:proofErr w:type="spellEnd"/>
      <w:r w:rsidRPr="00DD186A">
        <w:rPr>
          <w:rFonts w:ascii="Book Antiqua" w:eastAsia="Book Antiqua" w:hAnsi="Book Antiqua" w:cs="Book Antiqua"/>
          <w:b/>
          <w:bCs/>
          <w:color w:val="000000"/>
        </w:rPr>
        <w:t xml:space="preserve"> BA</w:t>
      </w:r>
      <w:r w:rsidRPr="00DD186A">
        <w:rPr>
          <w:rFonts w:ascii="Book Antiqua" w:eastAsia="Book Antiqua" w:hAnsi="Book Antiqua" w:cs="Book Antiqua"/>
          <w:color w:val="000000"/>
        </w:rPr>
        <w:t xml:space="preserve">, Miner TJ. Surgical palliation of gastric outlet obstruction in advanced malignancy. </w:t>
      </w:r>
      <w:r w:rsidRPr="00DD186A">
        <w:rPr>
          <w:rFonts w:ascii="Book Antiqua" w:eastAsia="Book Antiqua" w:hAnsi="Book Antiqua" w:cs="Book Antiqua"/>
          <w:i/>
          <w:iCs/>
          <w:color w:val="000000"/>
        </w:rPr>
        <w:t xml:space="preserve">World J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Surg</w:t>
      </w:r>
      <w:proofErr w:type="spellEnd"/>
      <w:r w:rsidRPr="00DD186A">
        <w:rPr>
          <w:rFonts w:ascii="Book Antiqua" w:eastAsia="Book Antiqua" w:hAnsi="Book Antiqua" w:cs="Book Antiqua"/>
          <w:color w:val="000000"/>
        </w:rPr>
        <w:t xml:space="preserve"> 2016; </w:t>
      </w:r>
      <w:r w:rsidRPr="00DD186A">
        <w:rPr>
          <w:rFonts w:ascii="Book Antiqua" w:eastAsia="Book Antiqua" w:hAnsi="Book Antiqua" w:cs="Book Antiqua"/>
          <w:b/>
          <w:bCs/>
          <w:color w:val="000000"/>
        </w:rPr>
        <w:t>8</w:t>
      </w:r>
      <w:r w:rsidRPr="00DD186A">
        <w:rPr>
          <w:rFonts w:ascii="Book Antiqua" w:eastAsia="Book Antiqua" w:hAnsi="Book Antiqua" w:cs="Book Antiqua"/>
          <w:color w:val="000000"/>
        </w:rPr>
        <w:t>: 545-555 [PMID: 27648158 DOI: 10.4240/wjgs.v8.i8.545]</w:t>
      </w:r>
    </w:p>
    <w:p w14:paraId="7E93C6F0"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11 </w:t>
      </w:r>
      <w:proofErr w:type="spellStart"/>
      <w:r w:rsidRPr="00DD186A">
        <w:rPr>
          <w:rFonts w:ascii="Book Antiqua" w:eastAsia="Book Antiqua" w:hAnsi="Book Antiqua" w:cs="Book Antiqua"/>
          <w:b/>
          <w:bCs/>
          <w:color w:val="000000"/>
        </w:rPr>
        <w:t>Dormann</w:t>
      </w:r>
      <w:proofErr w:type="spellEnd"/>
      <w:r w:rsidRPr="00DD186A">
        <w:rPr>
          <w:rFonts w:ascii="Book Antiqua" w:eastAsia="Book Antiqua" w:hAnsi="Book Antiqua" w:cs="Book Antiqua"/>
          <w:b/>
          <w:bCs/>
          <w:color w:val="000000"/>
        </w:rPr>
        <w:t xml:space="preserve"> A</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Meisner</w:t>
      </w:r>
      <w:proofErr w:type="spellEnd"/>
      <w:r w:rsidRPr="00DD186A">
        <w:rPr>
          <w:rFonts w:ascii="Book Antiqua" w:eastAsia="Book Antiqua" w:hAnsi="Book Antiqua" w:cs="Book Antiqua"/>
          <w:color w:val="000000"/>
        </w:rPr>
        <w:t xml:space="preserve"> S, </w:t>
      </w:r>
      <w:proofErr w:type="spellStart"/>
      <w:r w:rsidRPr="00DD186A">
        <w:rPr>
          <w:rFonts w:ascii="Book Antiqua" w:eastAsia="Book Antiqua" w:hAnsi="Book Antiqua" w:cs="Book Antiqua"/>
          <w:color w:val="000000"/>
        </w:rPr>
        <w:t>Verin</w:t>
      </w:r>
      <w:proofErr w:type="spellEnd"/>
      <w:r w:rsidRPr="00DD186A">
        <w:rPr>
          <w:rFonts w:ascii="Book Antiqua" w:eastAsia="Book Antiqua" w:hAnsi="Book Antiqua" w:cs="Book Antiqua"/>
          <w:color w:val="000000"/>
        </w:rPr>
        <w:t xml:space="preserve"> N, </w:t>
      </w:r>
      <w:proofErr w:type="spellStart"/>
      <w:r w:rsidRPr="00DD186A">
        <w:rPr>
          <w:rFonts w:ascii="Book Antiqua" w:eastAsia="Book Antiqua" w:hAnsi="Book Antiqua" w:cs="Book Antiqua"/>
          <w:color w:val="000000"/>
        </w:rPr>
        <w:t>Wenk</w:t>
      </w:r>
      <w:proofErr w:type="spellEnd"/>
      <w:r w:rsidRPr="00DD186A">
        <w:rPr>
          <w:rFonts w:ascii="Book Antiqua" w:eastAsia="Book Antiqua" w:hAnsi="Book Antiqua" w:cs="Book Antiqua"/>
          <w:color w:val="000000"/>
        </w:rPr>
        <w:t xml:space="preserve"> Lang A. Self-expanding metal stents for gastroduodenal malignancies: systematic review of their clinical effectiveness. </w:t>
      </w:r>
      <w:r w:rsidRPr="00DD186A">
        <w:rPr>
          <w:rFonts w:ascii="Book Antiqua" w:eastAsia="Book Antiqua" w:hAnsi="Book Antiqua" w:cs="Book Antiqua"/>
          <w:i/>
          <w:iCs/>
          <w:color w:val="000000"/>
        </w:rPr>
        <w:t>Endoscopy</w:t>
      </w:r>
      <w:r w:rsidRPr="00DD186A">
        <w:rPr>
          <w:rFonts w:ascii="Book Antiqua" w:eastAsia="Book Antiqua" w:hAnsi="Book Antiqua" w:cs="Book Antiqua"/>
          <w:color w:val="000000"/>
        </w:rPr>
        <w:t xml:space="preserve"> 2004; </w:t>
      </w:r>
      <w:r w:rsidRPr="00DD186A">
        <w:rPr>
          <w:rFonts w:ascii="Book Antiqua" w:eastAsia="Book Antiqua" w:hAnsi="Book Antiqua" w:cs="Book Antiqua"/>
          <w:b/>
          <w:bCs/>
          <w:color w:val="000000"/>
        </w:rPr>
        <w:t>36</w:t>
      </w:r>
      <w:r w:rsidRPr="00DD186A">
        <w:rPr>
          <w:rFonts w:ascii="Book Antiqua" w:eastAsia="Book Antiqua" w:hAnsi="Book Antiqua" w:cs="Book Antiqua"/>
          <w:color w:val="000000"/>
        </w:rPr>
        <w:t>: 543-550 [PMID: 15202052 DOI: 10.1055/s-2004-814434]</w:t>
      </w:r>
    </w:p>
    <w:p w14:paraId="0643DEE0"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12 </w:t>
      </w:r>
      <w:proofErr w:type="spellStart"/>
      <w:r w:rsidRPr="00DD186A">
        <w:rPr>
          <w:rFonts w:ascii="Book Antiqua" w:eastAsia="Book Antiqua" w:hAnsi="Book Antiqua" w:cs="Book Antiqua"/>
          <w:b/>
          <w:bCs/>
          <w:color w:val="000000"/>
        </w:rPr>
        <w:t>Jeurnink</w:t>
      </w:r>
      <w:proofErr w:type="spellEnd"/>
      <w:r w:rsidRPr="00DD186A">
        <w:rPr>
          <w:rFonts w:ascii="Book Antiqua" w:eastAsia="Book Antiqua" w:hAnsi="Book Antiqua" w:cs="Book Antiqua"/>
          <w:b/>
          <w:bCs/>
          <w:color w:val="000000"/>
        </w:rPr>
        <w:t xml:space="preserve"> SM</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Polinder</w:t>
      </w:r>
      <w:proofErr w:type="spellEnd"/>
      <w:r w:rsidRPr="00DD186A">
        <w:rPr>
          <w:rFonts w:ascii="Book Antiqua" w:eastAsia="Book Antiqua" w:hAnsi="Book Antiqua" w:cs="Book Antiqua"/>
          <w:color w:val="000000"/>
        </w:rPr>
        <w:t xml:space="preserve"> S, </w:t>
      </w:r>
      <w:proofErr w:type="spellStart"/>
      <w:r w:rsidRPr="00DD186A">
        <w:rPr>
          <w:rFonts w:ascii="Book Antiqua" w:eastAsia="Book Antiqua" w:hAnsi="Book Antiqua" w:cs="Book Antiqua"/>
          <w:color w:val="000000"/>
        </w:rPr>
        <w:t>Steyerberg</w:t>
      </w:r>
      <w:proofErr w:type="spellEnd"/>
      <w:r w:rsidRPr="00DD186A">
        <w:rPr>
          <w:rFonts w:ascii="Book Antiqua" w:eastAsia="Book Antiqua" w:hAnsi="Book Antiqua" w:cs="Book Antiqua"/>
          <w:color w:val="000000"/>
        </w:rPr>
        <w:t xml:space="preserve"> EW, </w:t>
      </w:r>
      <w:proofErr w:type="spellStart"/>
      <w:r w:rsidRPr="00DD186A">
        <w:rPr>
          <w:rFonts w:ascii="Book Antiqua" w:eastAsia="Book Antiqua" w:hAnsi="Book Antiqua" w:cs="Book Antiqua"/>
          <w:color w:val="000000"/>
        </w:rPr>
        <w:t>Kuipers</w:t>
      </w:r>
      <w:proofErr w:type="spellEnd"/>
      <w:r w:rsidRPr="00DD186A">
        <w:rPr>
          <w:rFonts w:ascii="Book Antiqua" w:eastAsia="Book Antiqua" w:hAnsi="Book Antiqua" w:cs="Book Antiqua"/>
          <w:color w:val="000000"/>
        </w:rPr>
        <w:t xml:space="preserve"> EJ, </w:t>
      </w:r>
      <w:proofErr w:type="spellStart"/>
      <w:r w:rsidRPr="00DD186A">
        <w:rPr>
          <w:rFonts w:ascii="Book Antiqua" w:eastAsia="Book Antiqua" w:hAnsi="Book Antiqua" w:cs="Book Antiqua"/>
          <w:color w:val="000000"/>
        </w:rPr>
        <w:t>Siersema</w:t>
      </w:r>
      <w:proofErr w:type="spellEnd"/>
      <w:r w:rsidRPr="00DD186A">
        <w:rPr>
          <w:rFonts w:ascii="Book Antiqua" w:eastAsia="Book Antiqua" w:hAnsi="Book Antiqua" w:cs="Book Antiqua"/>
          <w:color w:val="000000"/>
        </w:rPr>
        <w:t xml:space="preserve"> PD. Cost comparison of gastrojejunostomy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duodenal stent placement for malignant gastric outlet obstruction. </w:t>
      </w:r>
      <w:r w:rsidRPr="00DD186A">
        <w:rPr>
          <w:rFonts w:ascii="Book Antiqua" w:eastAsia="Book Antiqua" w:hAnsi="Book Antiqua" w:cs="Book Antiqua"/>
          <w:i/>
          <w:iCs/>
          <w:color w:val="000000"/>
        </w:rPr>
        <w:t>J Gastroenterol</w:t>
      </w:r>
      <w:r w:rsidRPr="00DD186A">
        <w:rPr>
          <w:rFonts w:ascii="Book Antiqua" w:eastAsia="Book Antiqua" w:hAnsi="Book Antiqua" w:cs="Book Antiqua"/>
          <w:color w:val="000000"/>
        </w:rPr>
        <w:t xml:space="preserve"> 2010; </w:t>
      </w:r>
      <w:r w:rsidRPr="00DD186A">
        <w:rPr>
          <w:rFonts w:ascii="Book Antiqua" w:eastAsia="Book Antiqua" w:hAnsi="Book Antiqua" w:cs="Book Antiqua"/>
          <w:b/>
          <w:bCs/>
          <w:color w:val="000000"/>
        </w:rPr>
        <w:t>45</w:t>
      </w:r>
      <w:r w:rsidRPr="00DD186A">
        <w:rPr>
          <w:rFonts w:ascii="Book Antiqua" w:eastAsia="Book Antiqua" w:hAnsi="Book Antiqua" w:cs="Book Antiqua"/>
          <w:color w:val="000000"/>
        </w:rPr>
        <w:t>: 537-543 [PMID: 20033227 DOI: 10.1007/s00535-009-0181-0]</w:t>
      </w:r>
    </w:p>
    <w:p w14:paraId="74C9EA40"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13 </w:t>
      </w:r>
      <w:r w:rsidRPr="00DD186A">
        <w:rPr>
          <w:rFonts w:ascii="Book Antiqua" w:eastAsia="Book Antiqua" w:hAnsi="Book Antiqua" w:cs="Book Antiqua"/>
          <w:b/>
          <w:bCs/>
          <w:color w:val="000000"/>
        </w:rPr>
        <w:t>Truong S</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Bohndorf</w:t>
      </w:r>
      <w:proofErr w:type="spellEnd"/>
      <w:r w:rsidRPr="00DD186A">
        <w:rPr>
          <w:rFonts w:ascii="Book Antiqua" w:eastAsia="Book Antiqua" w:hAnsi="Book Antiqua" w:cs="Book Antiqua"/>
          <w:color w:val="000000"/>
        </w:rPr>
        <w:t xml:space="preserve"> V, Geller H, </w:t>
      </w:r>
      <w:proofErr w:type="spellStart"/>
      <w:r w:rsidRPr="00DD186A">
        <w:rPr>
          <w:rFonts w:ascii="Book Antiqua" w:eastAsia="Book Antiqua" w:hAnsi="Book Antiqua" w:cs="Book Antiqua"/>
          <w:color w:val="000000"/>
        </w:rPr>
        <w:t>Schumpèlick</w:t>
      </w:r>
      <w:proofErr w:type="spellEnd"/>
      <w:r w:rsidRPr="00DD186A">
        <w:rPr>
          <w:rFonts w:ascii="Book Antiqua" w:eastAsia="Book Antiqua" w:hAnsi="Book Antiqua" w:cs="Book Antiqua"/>
          <w:color w:val="000000"/>
        </w:rPr>
        <w:t xml:space="preserve"> V, </w:t>
      </w:r>
      <w:proofErr w:type="spellStart"/>
      <w:r w:rsidRPr="00DD186A">
        <w:rPr>
          <w:rFonts w:ascii="Book Antiqua" w:eastAsia="Book Antiqua" w:hAnsi="Book Antiqua" w:cs="Book Antiqua"/>
          <w:color w:val="000000"/>
        </w:rPr>
        <w:t>Günther</w:t>
      </w:r>
      <w:proofErr w:type="spellEnd"/>
      <w:r w:rsidRPr="00DD186A">
        <w:rPr>
          <w:rFonts w:ascii="Book Antiqua" w:eastAsia="Book Antiqua" w:hAnsi="Book Antiqua" w:cs="Book Antiqua"/>
          <w:color w:val="000000"/>
        </w:rPr>
        <w:t xml:space="preserve"> RW. Self-expanding metal stents for palliation of malignant gastric outlet obstruction. </w:t>
      </w:r>
      <w:r w:rsidRPr="00DD186A">
        <w:rPr>
          <w:rFonts w:ascii="Book Antiqua" w:eastAsia="Book Antiqua" w:hAnsi="Book Antiqua" w:cs="Book Antiqua"/>
          <w:i/>
          <w:iCs/>
          <w:color w:val="000000"/>
        </w:rPr>
        <w:t>Endoscopy</w:t>
      </w:r>
      <w:r w:rsidRPr="00DD186A">
        <w:rPr>
          <w:rFonts w:ascii="Book Antiqua" w:eastAsia="Book Antiqua" w:hAnsi="Book Antiqua" w:cs="Book Antiqua"/>
          <w:color w:val="000000"/>
        </w:rPr>
        <w:t xml:space="preserve"> 1992; </w:t>
      </w:r>
      <w:r w:rsidRPr="00DD186A">
        <w:rPr>
          <w:rFonts w:ascii="Book Antiqua" w:eastAsia="Book Antiqua" w:hAnsi="Book Antiqua" w:cs="Book Antiqua"/>
          <w:b/>
          <w:bCs/>
          <w:color w:val="000000"/>
        </w:rPr>
        <w:t>24</w:t>
      </w:r>
      <w:r w:rsidRPr="00DD186A">
        <w:rPr>
          <w:rFonts w:ascii="Book Antiqua" w:eastAsia="Book Antiqua" w:hAnsi="Book Antiqua" w:cs="Book Antiqua"/>
          <w:color w:val="000000"/>
        </w:rPr>
        <w:t>: 433-435 [PMID: 1380448 DOI: 10.1055/s-2007-1010515]</w:t>
      </w:r>
    </w:p>
    <w:p w14:paraId="012C7FE8"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14 </w:t>
      </w:r>
      <w:r w:rsidRPr="00DD186A">
        <w:rPr>
          <w:rFonts w:ascii="Book Antiqua" w:eastAsia="Book Antiqua" w:hAnsi="Book Antiqua" w:cs="Book Antiqua"/>
          <w:b/>
          <w:bCs/>
          <w:color w:val="000000"/>
        </w:rPr>
        <w:t>Upchurch E</w:t>
      </w:r>
      <w:r w:rsidRPr="00DD186A">
        <w:rPr>
          <w:rFonts w:ascii="Book Antiqua" w:eastAsia="Book Antiqua" w:hAnsi="Book Antiqua" w:cs="Book Antiqua"/>
          <w:color w:val="000000"/>
        </w:rPr>
        <w:t xml:space="preserve">, Ragusa M, </w:t>
      </w:r>
      <w:proofErr w:type="spellStart"/>
      <w:r w:rsidRPr="00DD186A">
        <w:rPr>
          <w:rFonts w:ascii="Book Antiqua" w:eastAsia="Book Antiqua" w:hAnsi="Book Antiqua" w:cs="Book Antiqua"/>
          <w:color w:val="000000"/>
        </w:rPr>
        <w:t>Cirocchi</w:t>
      </w:r>
      <w:proofErr w:type="spellEnd"/>
      <w:r w:rsidRPr="00DD186A">
        <w:rPr>
          <w:rFonts w:ascii="Book Antiqua" w:eastAsia="Book Antiqua" w:hAnsi="Book Antiqua" w:cs="Book Antiqua"/>
          <w:color w:val="000000"/>
        </w:rPr>
        <w:t xml:space="preserve"> R. Stent placement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surgical palliation for adults with malignant gastric outlet obstruction. </w:t>
      </w:r>
      <w:r w:rsidRPr="00DD186A">
        <w:rPr>
          <w:rFonts w:ascii="Book Antiqua" w:eastAsia="Book Antiqua" w:hAnsi="Book Antiqua" w:cs="Book Antiqua"/>
          <w:i/>
          <w:iCs/>
          <w:color w:val="000000"/>
        </w:rPr>
        <w:t>Cochrane Database Syst Rev</w:t>
      </w:r>
      <w:r w:rsidRPr="00DD186A">
        <w:rPr>
          <w:rFonts w:ascii="Book Antiqua" w:eastAsia="Book Antiqua" w:hAnsi="Book Antiqua" w:cs="Book Antiqua"/>
          <w:color w:val="000000"/>
        </w:rPr>
        <w:t xml:space="preserve"> 2018; </w:t>
      </w:r>
      <w:r w:rsidRPr="00DD186A">
        <w:rPr>
          <w:rFonts w:ascii="Book Antiqua" w:eastAsia="Book Antiqua" w:hAnsi="Book Antiqua" w:cs="Book Antiqua"/>
          <w:b/>
          <w:bCs/>
          <w:color w:val="000000"/>
        </w:rPr>
        <w:t>5</w:t>
      </w:r>
      <w:r w:rsidRPr="00DD186A">
        <w:rPr>
          <w:rFonts w:ascii="Book Antiqua" w:eastAsia="Book Antiqua" w:hAnsi="Book Antiqua" w:cs="Book Antiqua"/>
          <w:color w:val="000000"/>
        </w:rPr>
        <w:t>: CD012506 [PMID: 29845610 DOI: 10.1002/14651858.CD012506.pub2]</w:t>
      </w:r>
    </w:p>
    <w:p w14:paraId="2333951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15 </w:t>
      </w:r>
      <w:proofErr w:type="spellStart"/>
      <w:r w:rsidRPr="00DD186A">
        <w:rPr>
          <w:rFonts w:ascii="Book Antiqua" w:eastAsia="Book Antiqua" w:hAnsi="Book Antiqua" w:cs="Book Antiqua"/>
          <w:b/>
          <w:bCs/>
          <w:color w:val="000000"/>
        </w:rPr>
        <w:t>Gaidos</w:t>
      </w:r>
      <w:proofErr w:type="spellEnd"/>
      <w:r w:rsidRPr="00DD186A">
        <w:rPr>
          <w:rFonts w:ascii="Book Antiqua" w:eastAsia="Book Antiqua" w:hAnsi="Book Antiqua" w:cs="Book Antiqua"/>
          <w:b/>
          <w:bCs/>
          <w:color w:val="000000"/>
        </w:rPr>
        <w:t xml:space="preserve"> JK</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Draganov</w:t>
      </w:r>
      <w:proofErr w:type="spellEnd"/>
      <w:r w:rsidRPr="00DD186A">
        <w:rPr>
          <w:rFonts w:ascii="Book Antiqua" w:eastAsia="Book Antiqua" w:hAnsi="Book Antiqua" w:cs="Book Antiqua"/>
          <w:color w:val="000000"/>
        </w:rPr>
        <w:t xml:space="preserve"> PV. Treatment of malignant gastric outlet obstruction with endoscopically placed self-expandable metal stents. </w:t>
      </w:r>
      <w:r w:rsidRPr="00DD186A">
        <w:rPr>
          <w:rFonts w:ascii="Book Antiqua" w:eastAsia="Book Antiqua" w:hAnsi="Book Antiqua" w:cs="Book Antiqua"/>
          <w:i/>
          <w:iCs/>
          <w:color w:val="000000"/>
        </w:rPr>
        <w:t>World J Gastroenterol</w:t>
      </w:r>
      <w:r w:rsidRPr="00DD186A">
        <w:rPr>
          <w:rFonts w:ascii="Book Antiqua" w:eastAsia="Book Antiqua" w:hAnsi="Book Antiqua" w:cs="Book Antiqua"/>
          <w:color w:val="000000"/>
        </w:rPr>
        <w:t xml:space="preserve"> 2009; </w:t>
      </w:r>
      <w:r w:rsidRPr="00DD186A">
        <w:rPr>
          <w:rFonts w:ascii="Book Antiqua" w:eastAsia="Book Antiqua" w:hAnsi="Book Antiqua" w:cs="Book Antiqua"/>
          <w:b/>
          <w:bCs/>
          <w:color w:val="000000"/>
        </w:rPr>
        <w:t>15</w:t>
      </w:r>
      <w:r w:rsidRPr="00DD186A">
        <w:rPr>
          <w:rFonts w:ascii="Book Antiqua" w:eastAsia="Book Antiqua" w:hAnsi="Book Antiqua" w:cs="Book Antiqua"/>
          <w:color w:val="000000"/>
        </w:rPr>
        <w:t>: 4365-4371 [PMID: 19764086 DOI: 10.3748/wjg.15.4365]</w:t>
      </w:r>
    </w:p>
    <w:p w14:paraId="0CEA5FF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16 </w:t>
      </w:r>
      <w:r w:rsidRPr="00DD186A">
        <w:rPr>
          <w:rFonts w:ascii="Book Antiqua" w:eastAsia="Book Antiqua" w:hAnsi="Book Antiqua" w:cs="Book Antiqua"/>
          <w:b/>
          <w:bCs/>
          <w:color w:val="000000"/>
        </w:rPr>
        <w:t>Park JC</w:t>
      </w:r>
      <w:r w:rsidRPr="00DD186A">
        <w:rPr>
          <w:rFonts w:ascii="Book Antiqua" w:eastAsia="Book Antiqua" w:hAnsi="Book Antiqua" w:cs="Book Antiqua"/>
          <w:color w:val="000000"/>
        </w:rPr>
        <w:t xml:space="preserve">, Park JJ, </w:t>
      </w:r>
      <w:proofErr w:type="spellStart"/>
      <w:r w:rsidRPr="00DD186A">
        <w:rPr>
          <w:rFonts w:ascii="Book Antiqua" w:eastAsia="Book Antiqua" w:hAnsi="Book Antiqua" w:cs="Book Antiqua"/>
          <w:color w:val="000000"/>
        </w:rPr>
        <w:t>Cheoi</w:t>
      </w:r>
      <w:proofErr w:type="spellEnd"/>
      <w:r w:rsidRPr="00DD186A">
        <w:rPr>
          <w:rFonts w:ascii="Book Antiqua" w:eastAsia="Book Antiqua" w:hAnsi="Book Antiqua" w:cs="Book Antiqua"/>
          <w:color w:val="000000"/>
        </w:rPr>
        <w:t xml:space="preserve"> K, Chung H, Lee H, Shin SK, Lee SK, Lee YC. Clinical outcomes of secondary stent-in-stent self-expanding metal stent placement for primary stent malfunction in malignant gastric outlet obstruction. </w:t>
      </w:r>
      <w:r w:rsidRPr="00DD186A">
        <w:rPr>
          <w:rFonts w:ascii="Book Antiqua" w:eastAsia="Book Antiqua" w:hAnsi="Book Antiqua" w:cs="Book Antiqua"/>
          <w:i/>
          <w:iCs/>
          <w:color w:val="000000"/>
        </w:rPr>
        <w:t>Dig Liver Dis</w:t>
      </w:r>
      <w:r w:rsidRPr="00DD186A">
        <w:rPr>
          <w:rFonts w:ascii="Book Antiqua" w:eastAsia="Book Antiqua" w:hAnsi="Book Antiqua" w:cs="Book Antiqua"/>
          <w:color w:val="000000"/>
        </w:rPr>
        <w:t xml:space="preserve"> 2012; </w:t>
      </w:r>
      <w:r w:rsidRPr="00DD186A">
        <w:rPr>
          <w:rFonts w:ascii="Book Antiqua" w:eastAsia="Book Antiqua" w:hAnsi="Book Antiqua" w:cs="Book Antiqua"/>
          <w:b/>
          <w:bCs/>
          <w:color w:val="000000"/>
        </w:rPr>
        <w:t>44</w:t>
      </w:r>
      <w:r w:rsidRPr="00DD186A">
        <w:rPr>
          <w:rFonts w:ascii="Book Antiqua" w:eastAsia="Book Antiqua" w:hAnsi="Book Antiqua" w:cs="Book Antiqua"/>
          <w:color w:val="000000"/>
        </w:rPr>
        <w:t>: 999-1005 [PMID: 22835857 DOI: 10.1016/j.dld.2012.06.019]</w:t>
      </w:r>
    </w:p>
    <w:p w14:paraId="1670E502"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17 </w:t>
      </w:r>
      <w:r w:rsidRPr="00DD186A">
        <w:rPr>
          <w:rFonts w:ascii="Book Antiqua" w:eastAsia="Book Antiqua" w:hAnsi="Book Antiqua" w:cs="Book Antiqua"/>
          <w:b/>
          <w:bCs/>
          <w:color w:val="000000"/>
        </w:rPr>
        <w:t>Graber I</w:t>
      </w:r>
      <w:r w:rsidRPr="00DD186A">
        <w:rPr>
          <w:rFonts w:ascii="Book Antiqua" w:eastAsia="Book Antiqua" w:hAnsi="Book Antiqua" w:cs="Book Antiqua"/>
          <w:color w:val="000000"/>
        </w:rPr>
        <w:t xml:space="preserve">, Dumas R, </w:t>
      </w:r>
      <w:proofErr w:type="spellStart"/>
      <w:r w:rsidRPr="00DD186A">
        <w:rPr>
          <w:rFonts w:ascii="Book Antiqua" w:eastAsia="Book Antiqua" w:hAnsi="Book Antiqua" w:cs="Book Antiqua"/>
          <w:color w:val="000000"/>
        </w:rPr>
        <w:t>Filoche</w:t>
      </w:r>
      <w:proofErr w:type="spellEnd"/>
      <w:r w:rsidRPr="00DD186A">
        <w:rPr>
          <w:rFonts w:ascii="Book Antiqua" w:eastAsia="Book Antiqua" w:hAnsi="Book Antiqua" w:cs="Book Antiqua"/>
          <w:color w:val="000000"/>
        </w:rPr>
        <w:t xml:space="preserve"> B, Boyer J, </w:t>
      </w:r>
      <w:proofErr w:type="spellStart"/>
      <w:r w:rsidRPr="00DD186A">
        <w:rPr>
          <w:rFonts w:ascii="Book Antiqua" w:eastAsia="Book Antiqua" w:hAnsi="Book Antiqua" w:cs="Book Antiqua"/>
          <w:color w:val="000000"/>
        </w:rPr>
        <w:t>Coumaros</w:t>
      </w:r>
      <w:proofErr w:type="spellEnd"/>
      <w:r w:rsidRPr="00DD186A">
        <w:rPr>
          <w:rFonts w:ascii="Book Antiqua" w:eastAsia="Book Antiqua" w:hAnsi="Book Antiqua" w:cs="Book Antiqua"/>
          <w:color w:val="000000"/>
        </w:rPr>
        <w:t xml:space="preserve"> D, </w:t>
      </w:r>
      <w:proofErr w:type="spellStart"/>
      <w:r w:rsidRPr="00DD186A">
        <w:rPr>
          <w:rFonts w:ascii="Book Antiqua" w:eastAsia="Book Antiqua" w:hAnsi="Book Antiqua" w:cs="Book Antiqua"/>
          <w:color w:val="000000"/>
        </w:rPr>
        <w:t>Lamouliatte</w:t>
      </w:r>
      <w:proofErr w:type="spellEnd"/>
      <w:r w:rsidRPr="00DD186A">
        <w:rPr>
          <w:rFonts w:ascii="Book Antiqua" w:eastAsia="Book Antiqua" w:hAnsi="Book Antiqua" w:cs="Book Antiqua"/>
          <w:color w:val="000000"/>
        </w:rPr>
        <w:t xml:space="preserve"> H, </w:t>
      </w:r>
      <w:proofErr w:type="spellStart"/>
      <w:r w:rsidRPr="00DD186A">
        <w:rPr>
          <w:rFonts w:ascii="Book Antiqua" w:eastAsia="Book Antiqua" w:hAnsi="Book Antiqua" w:cs="Book Antiqua"/>
          <w:color w:val="000000"/>
        </w:rPr>
        <w:t>Legoux</w:t>
      </w:r>
      <w:proofErr w:type="spellEnd"/>
      <w:r w:rsidRPr="00DD186A">
        <w:rPr>
          <w:rFonts w:ascii="Book Antiqua" w:eastAsia="Book Antiqua" w:hAnsi="Book Antiqua" w:cs="Book Antiqua"/>
          <w:color w:val="000000"/>
        </w:rPr>
        <w:t xml:space="preserve"> JL, Napoléon B, </w:t>
      </w:r>
      <w:proofErr w:type="spellStart"/>
      <w:r w:rsidRPr="00DD186A">
        <w:rPr>
          <w:rFonts w:ascii="Book Antiqua" w:eastAsia="Book Antiqua" w:hAnsi="Book Antiqua" w:cs="Book Antiqua"/>
          <w:color w:val="000000"/>
        </w:rPr>
        <w:t>Ponchon</w:t>
      </w:r>
      <w:proofErr w:type="spellEnd"/>
      <w:r w:rsidRPr="00DD186A">
        <w:rPr>
          <w:rFonts w:ascii="Book Antiqua" w:eastAsia="Book Antiqua" w:hAnsi="Book Antiqua" w:cs="Book Antiqua"/>
          <w:color w:val="000000"/>
        </w:rPr>
        <w:t xml:space="preserve"> T; </w:t>
      </w:r>
      <w:proofErr w:type="spellStart"/>
      <w:r w:rsidRPr="00DD186A">
        <w:rPr>
          <w:rFonts w:ascii="Book Antiqua" w:eastAsia="Book Antiqua" w:hAnsi="Book Antiqua" w:cs="Book Antiqua"/>
          <w:color w:val="000000"/>
        </w:rPr>
        <w:t>Société</w:t>
      </w:r>
      <w:proofErr w:type="spellEnd"/>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Française</w:t>
      </w:r>
      <w:proofErr w:type="spellEnd"/>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d'Endoscopie</w:t>
      </w:r>
      <w:proofErr w:type="spellEnd"/>
      <w:r w:rsidRPr="00DD186A">
        <w:rPr>
          <w:rFonts w:ascii="Book Antiqua" w:eastAsia="Book Antiqua" w:hAnsi="Book Antiqua" w:cs="Book Antiqua"/>
          <w:color w:val="000000"/>
        </w:rPr>
        <w:t xml:space="preserve"> Digestive (SFED). The efficacy </w:t>
      </w:r>
      <w:r w:rsidRPr="00DD186A">
        <w:rPr>
          <w:rFonts w:ascii="Book Antiqua" w:eastAsia="Book Antiqua" w:hAnsi="Book Antiqua" w:cs="Book Antiqua"/>
          <w:color w:val="000000"/>
        </w:rPr>
        <w:lastRenderedPageBreak/>
        <w:t xml:space="preserve">and safety of duodenal stenting: a prospective multicenter study. </w:t>
      </w:r>
      <w:r w:rsidRPr="00DD186A">
        <w:rPr>
          <w:rFonts w:ascii="Book Antiqua" w:eastAsia="Book Antiqua" w:hAnsi="Book Antiqua" w:cs="Book Antiqua"/>
          <w:i/>
          <w:iCs/>
          <w:color w:val="000000"/>
        </w:rPr>
        <w:t>Endoscopy</w:t>
      </w:r>
      <w:r w:rsidRPr="00DD186A">
        <w:rPr>
          <w:rFonts w:ascii="Book Antiqua" w:eastAsia="Book Antiqua" w:hAnsi="Book Antiqua" w:cs="Book Antiqua"/>
          <w:color w:val="000000"/>
        </w:rPr>
        <w:t xml:space="preserve"> 2007; </w:t>
      </w:r>
      <w:r w:rsidRPr="00DD186A">
        <w:rPr>
          <w:rFonts w:ascii="Book Antiqua" w:eastAsia="Book Antiqua" w:hAnsi="Book Antiqua" w:cs="Book Antiqua"/>
          <w:b/>
          <w:bCs/>
          <w:color w:val="000000"/>
        </w:rPr>
        <w:t>39</w:t>
      </w:r>
      <w:r w:rsidRPr="00DD186A">
        <w:rPr>
          <w:rFonts w:ascii="Book Antiqua" w:eastAsia="Book Antiqua" w:hAnsi="Book Antiqua" w:cs="Book Antiqua"/>
          <w:color w:val="000000"/>
        </w:rPr>
        <w:t>: 784-787 [PMID: 17703386 DOI: 10.1055/s-2007-966594.]</w:t>
      </w:r>
    </w:p>
    <w:p w14:paraId="040E3E22"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18 </w:t>
      </w:r>
      <w:r w:rsidRPr="00DD186A">
        <w:rPr>
          <w:rFonts w:ascii="Book Antiqua" w:eastAsia="Book Antiqua" w:hAnsi="Book Antiqua" w:cs="Book Antiqua"/>
          <w:b/>
          <w:bCs/>
          <w:color w:val="000000"/>
        </w:rPr>
        <w:t>Schneider E</w:t>
      </w:r>
      <w:r w:rsidRPr="00DD186A">
        <w:rPr>
          <w:rFonts w:ascii="Book Antiqua" w:eastAsia="Book Antiqua" w:hAnsi="Book Antiqua" w:cs="Book Antiqua"/>
          <w:color w:val="000000"/>
        </w:rPr>
        <w:t xml:space="preserve">, Dy M. Activation of macrophages. </w:t>
      </w:r>
      <w:r w:rsidRPr="00DD186A">
        <w:rPr>
          <w:rFonts w:ascii="Book Antiqua" w:eastAsia="Book Antiqua" w:hAnsi="Book Antiqua" w:cs="Book Antiqua"/>
          <w:i/>
          <w:iCs/>
          <w:color w:val="000000"/>
        </w:rPr>
        <w:t>Comp Immunol Microbiol Infect Dis</w:t>
      </w:r>
      <w:r w:rsidRPr="00DD186A">
        <w:rPr>
          <w:rFonts w:ascii="Book Antiqua" w:eastAsia="Book Antiqua" w:hAnsi="Book Antiqua" w:cs="Book Antiqua"/>
          <w:color w:val="000000"/>
        </w:rPr>
        <w:t xml:space="preserve"> 1985; </w:t>
      </w:r>
      <w:r w:rsidRPr="00DD186A">
        <w:rPr>
          <w:rFonts w:ascii="Book Antiqua" w:eastAsia="Book Antiqua" w:hAnsi="Book Antiqua" w:cs="Book Antiqua"/>
          <w:b/>
          <w:bCs/>
          <w:color w:val="000000"/>
        </w:rPr>
        <w:t>8</w:t>
      </w:r>
      <w:r w:rsidRPr="00DD186A">
        <w:rPr>
          <w:rFonts w:ascii="Book Antiqua" w:eastAsia="Book Antiqua" w:hAnsi="Book Antiqua" w:cs="Book Antiqua"/>
          <w:color w:val="000000"/>
        </w:rPr>
        <w:t>: 135-146 [PMID: 3002713 DOI: 10.1016/j.vgie.2017.07.016]</w:t>
      </w:r>
    </w:p>
    <w:p w14:paraId="3172434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19 </w:t>
      </w:r>
      <w:proofErr w:type="spellStart"/>
      <w:r w:rsidRPr="00DD186A">
        <w:rPr>
          <w:rFonts w:ascii="Book Antiqua" w:eastAsia="Book Antiqua" w:hAnsi="Book Antiqua" w:cs="Book Antiqua"/>
          <w:b/>
          <w:bCs/>
          <w:color w:val="000000"/>
        </w:rPr>
        <w:t>Troncone</w:t>
      </w:r>
      <w:proofErr w:type="spellEnd"/>
      <w:r w:rsidRPr="00DD186A">
        <w:rPr>
          <w:rFonts w:ascii="Book Antiqua" w:eastAsia="Book Antiqua" w:hAnsi="Book Antiqua" w:cs="Book Antiqua"/>
          <w:b/>
          <w:bCs/>
          <w:color w:val="000000"/>
        </w:rPr>
        <w:t xml:space="preserve"> E</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Fugazza</w:t>
      </w:r>
      <w:proofErr w:type="spellEnd"/>
      <w:r w:rsidRPr="00DD186A">
        <w:rPr>
          <w:rFonts w:ascii="Book Antiqua" w:eastAsia="Book Antiqua" w:hAnsi="Book Antiqua" w:cs="Book Antiqua"/>
          <w:color w:val="000000"/>
        </w:rPr>
        <w:t xml:space="preserve"> A, Cappello A, Del </w:t>
      </w:r>
      <w:proofErr w:type="spellStart"/>
      <w:r w:rsidRPr="00DD186A">
        <w:rPr>
          <w:rFonts w:ascii="Book Antiqua" w:eastAsia="Book Antiqua" w:hAnsi="Book Antiqua" w:cs="Book Antiqua"/>
          <w:color w:val="000000"/>
        </w:rPr>
        <w:t>Vecchio</w:t>
      </w:r>
      <w:proofErr w:type="spellEnd"/>
      <w:r w:rsidRPr="00DD186A">
        <w:rPr>
          <w:rFonts w:ascii="Book Antiqua" w:eastAsia="Book Antiqua" w:hAnsi="Book Antiqua" w:cs="Book Antiqua"/>
          <w:color w:val="000000"/>
        </w:rPr>
        <w:t xml:space="preserve"> Blanco G, </w:t>
      </w:r>
      <w:proofErr w:type="spellStart"/>
      <w:r w:rsidRPr="00DD186A">
        <w:rPr>
          <w:rFonts w:ascii="Book Antiqua" w:eastAsia="Book Antiqua" w:hAnsi="Book Antiqua" w:cs="Book Antiqua"/>
          <w:color w:val="000000"/>
        </w:rPr>
        <w:t>Monteleone</w:t>
      </w:r>
      <w:proofErr w:type="spellEnd"/>
      <w:r w:rsidRPr="00DD186A">
        <w:rPr>
          <w:rFonts w:ascii="Book Antiqua" w:eastAsia="Book Antiqua" w:hAnsi="Book Antiqua" w:cs="Book Antiqua"/>
          <w:color w:val="000000"/>
        </w:rPr>
        <w:t xml:space="preserve"> G, </w:t>
      </w:r>
      <w:proofErr w:type="spellStart"/>
      <w:r w:rsidRPr="00DD186A">
        <w:rPr>
          <w:rFonts w:ascii="Book Antiqua" w:eastAsia="Book Antiqua" w:hAnsi="Book Antiqua" w:cs="Book Antiqua"/>
          <w:color w:val="000000"/>
        </w:rPr>
        <w:t>Repici</w:t>
      </w:r>
      <w:proofErr w:type="spellEnd"/>
      <w:r w:rsidRPr="00DD186A">
        <w:rPr>
          <w:rFonts w:ascii="Book Antiqua" w:eastAsia="Book Antiqua" w:hAnsi="Book Antiqua" w:cs="Book Antiqua"/>
          <w:color w:val="000000"/>
        </w:rPr>
        <w:t xml:space="preserve"> A, Teoh AYB, </w:t>
      </w:r>
      <w:proofErr w:type="spellStart"/>
      <w:r w:rsidRPr="00DD186A">
        <w:rPr>
          <w:rFonts w:ascii="Book Antiqua" w:eastAsia="Book Antiqua" w:hAnsi="Book Antiqua" w:cs="Book Antiqua"/>
          <w:color w:val="000000"/>
        </w:rPr>
        <w:t>Anderloni</w:t>
      </w:r>
      <w:proofErr w:type="spellEnd"/>
      <w:r w:rsidRPr="00DD186A">
        <w:rPr>
          <w:rFonts w:ascii="Book Antiqua" w:eastAsia="Book Antiqua" w:hAnsi="Book Antiqua" w:cs="Book Antiqua"/>
          <w:color w:val="000000"/>
        </w:rPr>
        <w:t xml:space="preserve"> A. Malignant gastric outlet obstruction: Which is the best therapeutic option? </w:t>
      </w:r>
      <w:r w:rsidRPr="00DD186A">
        <w:rPr>
          <w:rFonts w:ascii="Book Antiqua" w:eastAsia="Book Antiqua" w:hAnsi="Book Antiqua" w:cs="Book Antiqua"/>
          <w:i/>
          <w:iCs/>
          <w:color w:val="000000"/>
        </w:rPr>
        <w:t>World J Gastroenterol</w:t>
      </w:r>
      <w:r w:rsidRPr="00DD186A">
        <w:rPr>
          <w:rFonts w:ascii="Book Antiqua" w:eastAsia="Book Antiqua" w:hAnsi="Book Antiqua" w:cs="Book Antiqua"/>
          <w:color w:val="000000"/>
        </w:rPr>
        <w:t xml:space="preserve"> 2020; </w:t>
      </w:r>
      <w:r w:rsidRPr="00DD186A">
        <w:rPr>
          <w:rFonts w:ascii="Book Antiqua" w:eastAsia="Book Antiqua" w:hAnsi="Book Antiqua" w:cs="Book Antiqua"/>
          <w:b/>
          <w:bCs/>
          <w:color w:val="000000"/>
        </w:rPr>
        <w:t>26</w:t>
      </w:r>
      <w:r w:rsidRPr="00DD186A">
        <w:rPr>
          <w:rFonts w:ascii="Book Antiqua" w:eastAsia="Book Antiqua" w:hAnsi="Book Antiqua" w:cs="Book Antiqua"/>
          <w:color w:val="000000"/>
        </w:rPr>
        <w:t>: 1847-1860 [PMID: 32390697 DOI: 10.3748/WJG.V26.]</w:t>
      </w:r>
    </w:p>
    <w:p w14:paraId="078AECD8"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20 </w:t>
      </w:r>
      <w:proofErr w:type="spellStart"/>
      <w:r w:rsidRPr="00DD186A">
        <w:rPr>
          <w:rFonts w:ascii="Book Antiqua" w:eastAsia="Book Antiqua" w:hAnsi="Book Antiqua" w:cs="Book Antiqua"/>
          <w:b/>
          <w:bCs/>
          <w:color w:val="000000"/>
        </w:rPr>
        <w:t>Jeong</w:t>
      </w:r>
      <w:proofErr w:type="spellEnd"/>
      <w:r w:rsidRPr="00DD186A">
        <w:rPr>
          <w:rFonts w:ascii="Book Antiqua" w:eastAsia="Book Antiqua" w:hAnsi="Book Antiqua" w:cs="Book Antiqua"/>
          <w:b/>
          <w:bCs/>
          <w:color w:val="000000"/>
        </w:rPr>
        <w:t xml:space="preserve"> SJ</w:t>
      </w:r>
      <w:r w:rsidRPr="00DD186A">
        <w:rPr>
          <w:rFonts w:ascii="Book Antiqua" w:eastAsia="Book Antiqua" w:hAnsi="Book Antiqua" w:cs="Book Antiqua"/>
          <w:color w:val="000000"/>
        </w:rPr>
        <w:t xml:space="preserve">, Lee J. Management of gastric outlet obstruction: Focusing on endoscopic approach. </w:t>
      </w:r>
      <w:r w:rsidRPr="00DD186A">
        <w:rPr>
          <w:rFonts w:ascii="Book Antiqua" w:eastAsia="Book Antiqua" w:hAnsi="Book Antiqua" w:cs="Book Antiqua"/>
          <w:i/>
          <w:iCs/>
          <w:color w:val="000000"/>
        </w:rPr>
        <w:t xml:space="preserve">World J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Pharmacol</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Ther</w:t>
      </w:r>
      <w:proofErr w:type="spellEnd"/>
      <w:r w:rsidRPr="00DD186A">
        <w:rPr>
          <w:rFonts w:ascii="Book Antiqua" w:eastAsia="Book Antiqua" w:hAnsi="Book Antiqua" w:cs="Book Antiqua"/>
          <w:color w:val="000000"/>
        </w:rPr>
        <w:t xml:space="preserve"> 2020; </w:t>
      </w:r>
      <w:r w:rsidRPr="00DD186A">
        <w:rPr>
          <w:rFonts w:ascii="Book Antiqua" w:eastAsia="Book Antiqua" w:hAnsi="Book Antiqua" w:cs="Book Antiqua"/>
          <w:b/>
          <w:bCs/>
          <w:color w:val="000000"/>
        </w:rPr>
        <w:t>11</w:t>
      </w:r>
      <w:r w:rsidRPr="00DD186A">
        <w:rPr>
          <w:rFonts w:ascii="Book Antiqua" w:eastAsia="Book Antiqua" w:hAnsi="Book Antiqua" w:cs="Book Antiqua"/>
          <w:color w:val="000000"/>
        </w:rPr>
        <w:t>: 8-16 [PMID: 32550041 DOI: 10.4292/wjgpt.v11.i2.8]</w:t>
      </w:r>
    </w:p>
    <w:p w14:paraId="77ACDC97"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21 </w:t>
      </w:r>
      <w:r w:rsidRPr="00DD186A">
        <w:rPr>
          <w:rFonts w:ascii="Book Antiqua" w:eastAsia="Book Antiqua" w:hAnsi="Book Antiqua" w:cs="Book Antiqua"/>
          <w:b/>
          <w:bCs/>
          <w:color w:val="000000"/>
        </w:rPr>
        <w:t>Cherian PT</w:t>
      </w:r>
      <w:r w:rsidRPr="00DD186A">
        <w:rPr>
          <w:rFonts w:ascii="Book Antiqua" w:eastAsia="Book Antiqua" w:hAnsi="Book Antiqua" w:cs="Book Antiqua"/>
          <w:color w:val="000000"/>
        </w:rPr>
        <w:t xml:space="preserve">, Cherian S, Singh P. Long-term follow-up of patients with gastric outlet obstruction related to peptic ulcer disease treated with endoscopic balloon dilatation and drug therapy.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2007; </w:t>
      </w:r>
      <w:r w:rsidRPr="00DD186A">
        <w:rPr>
          <w:rFonts w:ascii="Book Antiqua" w:eastAsia="Book Antiqua" w:hAnsi="Book Antiqua" w:cs="Book Antiqua"/>
          <w:b/>
          <w:bCs/>
          <w:color w:val="000000"/>
        </w:rPr>
        <w:t>66</w:t>
      </w:r>
      <w:r w:rsidRPr="00DD186A">
        <w:rPr>
          <w:rFonts w:ascii="Book Antiqua" w:eastAsia="Book Antiqua" w:hAnsi="Book Antiqua" w:cs="Book Antiqua"/>
          <w:color w:val="000000"/>
        </w:rPr>
        <w:t>: 491-497 [PMID: 17640640 DOI: 10.1016/j.gie.2006.11.016]</w:t>
      </w:r>
    </w:p>
    <w:p w14:paraId="3D97854E"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22 </w:t>
      </w:r>
      <w:proofErr w:type="spellStart"/>
      <w:r w:rsidRPr="00DD186A">
        <w:rPr>
          <w:rFonts w:ascii="Book Antiqua" w:eastAsia="Book Antiqua" w:hAnsi="Book Antiqua" w:cs="Book Antiqua"/>
          <w:b/>
          <w:bCs/>
          <w:color w:val="000000"/>
        </w:rPr>
        <w:t>Kochhar</w:t>
      </w:r>
      <w:proofErr w:type="spellEnd"/>
      <w:r w:rsidRPr="00DD186A">
        <w:rPr>
          <w:rFonts w:ascii="Book Antiqua" w:eastAsia="Book Antiqua" w:hAnsi="Book Antiqua" w:cs="Book Antiqua"/>
          <w:b/>
          <w:bCs/>
          <w:color w:val="000000"/>
        </w:rPr>
        <w:t xml:space="preserve"> R</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Sethy</w:t>
      </w:r>
      <w:proofErr w:type="spellEnd"/>
      <w:r w:rsidRPr="00DD186A">
        <w:rPr>
          <w:rFonts w:ascii="Book Antiqua" w:eastAsia="Book Antiqua" w:hAnsi="Book Antiqua" w:cs="Book Antiqua"/>
          <w:color w:val="000000"/>
        </w:rPr>
        <w:t xml:space="preserve"> PK, </w:t>
      </w:r>
      <w:proofErr w:type="spellStart"/>
      <w:r w:rsidRPr="00DD186A">
        <w:rPr>
          <w:rFonts w:ascii="Book Antiqua" w:eastAsia="Book Antiqua" w:hAnsi="Book Antiqua" w:cs="Book Antiqua"/>
          <w:color w:val="000000"/>
        </w:rPr>
        <w:t>Nagi</w:t>
      </w:r>
      <w:proofErr w:type="spellEnd"/>
      <w:r w:rsidRPr="00DD186A">
        <w:rPr>
          <w:rFonts w:ascii="Book Antiqua" w:eastAsia="Book Antiqua" w:hAnsi="Book Antiqua" w:cs="Book Antiqua"/>
          <w:color w:val="000000"/>
        </w:rPr>
        <w:t xml:space="preserve"> B, Wig JD. Endoscopic balloon dilatation of benign gastric outlet obstruction. </w:t>
      </w:r>
      <w:r w:rsidRPr="00DD186A">
        <w:rPr>
          <w:rFonts w:ascii="Book Antiqua" w:eastAsia="Book Antiqua" w:hAnsi="Book Antiqua" w:cs="Book Antiqua"/>
          <w:i/>
          <w:iCs/>
          <w:color w:val="000000"/>
        </w:rPr>
        <w:t>J Gastroenterol Hepatol</w:t>
      </w:r>
      <w:r w:rsidRPr="00DD186A">
        <w:rPr>
          <w:rFonts w:ascii="Book Antiqua" w:eastAsia="Book Antiqua" w:hAnsi="Book Antiqua" w:cs="Book Antiqua"/>
          <w:color w:val="000000"/>
        </w:rPr>
        <w:t xml:space="preserve"> 2004; </w:t>
      </w:r>
      <w:r w:rsidRPr="00DD186A">
        <w:rPr>
          <w:rFonts w:ascii="Book Antiqua" w:eastAsia="Book Antiqua" w:hAnsi="Book Antiqua" w:cs="Book Antiqua"/>
          <w:b/>
          <w:bCs/>
          <w:color w:val="000000"/>
        </w:rPr>
        <w:t>19</w:t>
      </w:r>
      <w:r w:rsidRPr="00DD186A">
        <w:rPr>
          <w:rFonts w:ascii="Book Antiqua" w:eastAsia="Book Antiqua" w:hAnsi="Book Antiqua" w:cs="Book Antiqua"/>
          <w:color w:val="000000"/>
        </w:rPr>
        <w:t>: 418-422 [PMID: 15012779 DOI: 10.1111/j.1440-1746.2003.03283.x]</w:t>
      </w:r>
    </w:p>
    <w:p w14:paraId="78E1C78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23 </w:t>
      </w:r>
      <w:proofErr w:type="spellStart"/>
      <w:r w:rsidRPr="00DD186A">
        <w:rPr>
          <w:rFonts w:ascii="Book Antiqua" w:eastAsia="Book Antiqua" w:hAnsi="Book Antiqua" w:cs="Book Antiqua"/>
          <w:b/>
          <w:bCs/>
          <w:color w:val="000000"/>
        </w:rPr>
        <w:t>Perng</w:t>
      </w:r>
      <w:proofErr w:type="spellEnd"/>
      <w:r w:rsidRPr="00DD186A">
        <w:rPr>
          <w:rFonts w:ascii="Book Antiqua" w:eastAsia="Book Antiqua" w:hAnsi="Book Antiqua" w:cs="Book Antiqua"/>
          <w:b/>
          <w:bCs/>
          <w:color w:val="000000"/>
        </w:rPr>
        <w:t xml:space="preserve"> CL</w:t>
      </w:r>
      <w:r w:rsidRPr="00DD186A">
        <w:rPr>
          <w:rFonts w:ascii="Book Antiqua" w:eastAsia="Book Antiqua" w:hAnsi="Book Antiqua" w:cs="Book Antiqua"/>
          <w:color w:val="000000"/>
        </w:rPr>
        <w:t xml:space="preserve">, Lin HJ, Lo WC, Lai CR, Guo WS, Lee SD. Characteristics of patients with benign gastric outlet obstruction requiring surgery after endoscopic balloon dilation. </w:t>
      </w:r>
      <w:r w:rsidRPr="00DD186A">
        <w:rPr>
          <w:rFonts w:ascii="Book Antiqua" w:eastAsia="Book Antiqua" w:hAnsi="Book Antiqua" w:cs="Book Antiqua"/>
          <w:i/>
          <w:iCs/>
          <w:color w:val="000000"/>
        </w:rPr>
        <w:t>Am J Gastroenterol</w:t>
      </w:r>
      <w:r w:rsidRPr="00DD186A">
        <w:rPr>
          <w:rFonts w:ascii="Book Antiqua" w:eastAsia="Book Antiqua" w:hAnsi="Book Antiqua" w:cs="Book Antiqua"/>
          <w:color w:val="000000"/>
        </w:rPr>
        <w:t xml:space="preserve"> 1996; </w:t>
      </w:r>
      <w:r w:rsidRPr="00DD186A">
        <w:rPr>
          <w:rFonts w:ascii="Book Antiqua" w:eastAsia="Book Antiqua" w:hAnsi="Book Antiqua" w:cs="Book Antiqua"/>
          <w:b/>
          <w:bCs/>
          <w:color w:val="000000"/>
        </w:rPr>
        <w:t>91</w:t>
      </w:r>
      <w:r w:rsidRPr="00DD186A">
        <w:rPr>
          <w:rFonts w:ascii="Book Antiqua" w:eastAsia="Book Antiqua" w:hAnsi="Book Antiqua" w:cs="Book Antiqua"/>
          <w:color w:val="000000"/>
        </w:rPr>
        <w:t>: 987-990 [PMID: 8633593]</w:t>
      </w:r>
    </w:p>
    <w:p w14:paraId="08B100E8"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24 </w:t>
      </w:r>
      <w:proofErr w:type="spellStart"/>
      <w:r w:rsidRPr="00DD186A">
        <w:rPr>
          <w:rFonts w:ascii="Book Antiqua" w:eastAsia="Book Antiqua" w:hAnsi="Book Antiqua" w:cs="Book Antiqua"/>
          <w:b/>
          <w:bCs/>
          <w:color w:val="000000"/>
        </w:rPr>
        <w:t>McNeice</w:t>
      </w:r>
      <w:proofErr w:type="spellEnd"/>
      <w:r w:rsidRPr="00DD186A">
        <w:rPr>
          <w:rFonts w:ascii="Book Antiqua" w:eastAsia="Book Antiqua" w:hAnsi="Book Antiqua" w:cs="Book Antiqua"/>
          <w:b/>
          <w:bCs/>
          <w:color w:val="000000"/>
        </w:rPr>
        <w:t xml:space="preserve"> A</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Tham</w:t>
      </w:r>
      <w:proofErr w:type="spellEnd"/>
      <w:r w:rsidRPr="00DD186A">
        <w:rPr>
          <w:rFonts w:ascii="Book Antiqua" w:eastAsia="Book Antiqua" w:hAnsi="Book Antiqua" w:cs="Book Antiqua"/>
          <w:color w:val="000000"/>
        </w:rPr>
        <w:t xml:space="preserve"> TC. Endoscopic balloon dilation for benign gastric outlet obstruction: Does etiology matter?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2018; </w:t>
      </w:r>
      <w:r w:rsidRPr="00DD186A">
        <w:rPr>
          <w:rFonts w:ascii="Book Antiqua" w:eastAsia="Book Antiqua" w:hAnsi="Book Antiqua" w:cs="Book Antiqua"/>
          <w:b/>
          <w:bCs/>
          <w:color w:val="000000"/>
        </w:rPr>
        <w:t>88</w:t>
      </w:r>
      <w:r w:rsidRPr="00DD186A">
        <w:rPr>
          <w:rFonts w:ascii="Book Antiqua" w:eastAsia="Book Antiqua" w:hAnsi="Book Antiqua" w:cs="Book Antiqua"/>
          <w:color w:val="000000"/>
        </w:rPr>
        <w:t>: 909-911 [PMID: 30449403 DOI: 10.1016/j.gie.2018.08.007]</w:t>
      </w:r>
    </w:p>
    <w:p w14:paraId="097C7CD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25 </w:t>
      </w:r>
      <w:proofErr w:type="spellStart"/>
      <w:r w:rsidRPr="00DD186A">
        <w:rPr>
          <w:rFonts w:ascii="Book Antiqua" w:eastAsia="Book Antiqua" w:hAnsi="Book Antiqua" w:cs="Book Antiqua"/>
          <w:b/>
          <w:bCs/>
          <w:color w:val="000000"/>
        </w:rPr>
        <w:t>Tonozuka</w:t>
      </w:r>
      <w:proofErr w:type="spellEnd"/>
      <w:r w:rsidRPr="00DD186A">
        <w:rPr>
          <w:rFonts w:ascii="Book Antiqua" w:eastAsia="Book Antiqua" w:hAnsi="Book Antiqua" w:cs="Book Antiqua"/>
          <w:b/>
          <w:bCs/>
          <w:color w:val="000000"/>
        </w:rPr>
        <w:t xml:space="preserve"> R</w:t>
      </w:r>
      <w:r w:rsidRPr="00DD186A">
        <w:rPr>
          <w:rFonts w:ascii="Book Antiqua" w:eastAsia="Book Antiqua" w:hAnsi="Book Antiqua" w:cs="Book Antiqua"/>
          <w:color w:val="000000"/>
        </w:rPr>
        <w:t xml:space="preserve">, Tsuchiya T, Mukai S, </w:t>
      </w:r>
      <w:proofErr w:type="spellStart"/>
      <w:r w:rsidRPr="00DD186A">
        <w:rPr>
          <w:rFonts w:ascii="Book Antiqua" w:eastAsia="Book Antiqua" w:hAnsi="Book Antiqua" w:cs="Book Antiqua"/>
          <w:color w:val="000000"/>
        </w:rPr>
        <w:t>Nagakawa</w:t>
      </w:r>
      <w:proofErr w:type="spellEnd"/>
      <w:r w:rsidRPr="00DD186A">
        <w:rPr>
          <w:rFonts w:ascii="Book Antiqua" w:eastAsia="Book Antiqua" w:hAnsi="Book Antiqua" w:cs="Book Antiqua"/>
          <w:color w:val="000000"/>
        </w:rPr>
        <w:t xml:space="preserve"> Y, </w:t>
      </w:r>
      <w:proofErr w:type="spellStart"/>
      <w:r w:rsidRPr="00DD186A">
        <w:rPr>
          <w:rFonts w:ascii="Book Antiqua" w:eastAsia="Book Antiqua" w:hAnsi="Book Antiqua" w:cs="Book Antiqua"/>
          <w:color w:val="000000"/>
        </w:rPr>
        <w:t>Itoi</w:t>
      </w:r>
      <w:proofErr w:type="spellEnd"/>
      <w:r w:rsidRPr="00DD186A">
        <w:rPr>
          <w:rFonts w:ascii="Book Antiqua" w:eastAsia="Book Antiqua" w:hAnsi="Book Antiqua" w:cs="Book Antiqua"/>
          <w:color w:val="000000"/>
        </w:rPr>
        <w:t xml:space="preserve"> T. Endoscopic Ultrasonography-Guided Gastroenterostomy Techniques for Treatment of Malignant Gastric Outlet Obstruction. </w:t>
      </w:r>
      <w:proofErr w:type="spellStart"/>
      <w:r w:rsidRPr="00DD186A">
        <w:rPr>
          <w:rFonts w:ascii="Book Antiqua" w:eastAsia="Book Antiqua" w:hAnsi="Book Antiqua" w:cs="Book Antiqua"/>
          <w:i/>
          <w:iCs/>
          <w:color w:val="000000"/>
        </w:rPr>
        <w:t>Clin</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2020; </w:t>
      </w:r>
      <w:r w:rsidRPr="00DD186A">
        <w:rPr>
          <w:rFonts w:ascii="Book Antiqua" w:eastAsia="Book Antiqua" w:hAnsi="Book Antiqua" w:cs="Book Antiqua"/>
          <w:b/>
          <w:bCs/>
          <w:color w:val="000000"/>
        </w:rPr>
        <w:t>53</w:t>
      </w:r>
      <w:r w:rsidRPr="00DD186A">
        <w:rPr>
          <w:rFonts w:ascii="Book Antiqua" w:eastAsia="Book Antiqua" w:hAnsi="Book Antiqua" w:cs="Book Antiqua"/>
          <w:color w:val="000000"/>
        </w:rPr>
        <w:t>: 510-518 [PMID: 32962331 DOI: 10.5946/CE.2020.151]</w:t>
      </w:r>
    </w:p>
    <w:p w14:paraId="07CE965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lastRenderedPageBreak/>
        <w:t xml:space="preserve">26 </w:t>
      </w:r>
      <w:proofErr w:type="spellStart"/>
      <w:r w:rsidRPr="00DD186A">
        <w:rPr>
          <w:rFonts w:ascii="Book Antiqua" w:eastAsia="Book Antiqua" w:hAnsi="Book Antiqua" w:cs="Book Antiqua"/>
          <w:b/>
          <w:bCs/>
          <w:color w:val="000000"/>
        </w:rPr>
        <w:t>Itoi</w:t>
      </w:r>
      <w:proofErr w:type="spellEnd"/>
      <w:r w:rsidRPr="00DD186A">
        <w:rPr>
          <w:rFonts w:ascii="Book Antiqua" w:eastAsia="Book Antiqua" w:hAnsi="Book Antiqua" w:cs="Book Antiqua"/>
          <w:b/>
          <w:bCs/>
          <w:color w:val="000000"/>
        </w:rPr>
        <w:t xml:space="preserve"> T</w:t>
      </w:r>
      <w:r w:rsidRPr="00DD186A">
        <w:rPr>
          <w:rFonts w:ascii="Book Antiqua" w:eastAsia="Book Antiqua" w:hAnsi="Book Antiqua" w:cs="Book Antiqua"/>
          <w:color w:val="000000"/>
        </w:rPr>
        <w:t xml:space="preserve">, Baron TH, </w:t>
      </w:r>
      <w:proofErr w:type="spellStart"/>
      <w:r w:rsidRPr="00DD186A">
        <w:rPr>
          <w:rFonts w:ascii="Book Antiqua" w:eastAsia="Book Antiqua" w:hAnsi="Book Antiqua" w:cs="Book Antiqua"/>
          <w:color w:val="000000"/>
        </w:rPr>
        <w:t>Khashab</w:t>
      </w:r>
      <w:proofErr w:type="spellEnd"/>
      <w:r w:rsidRPr="00DD186A">
        <w:rPr>
          <w:rFonts w:ascii="Book Antiqua" w:eastAsia="Book Antiqua" w:hAnsi="Book Antiqua" w:cs="Book Antiqua"/>
          <w:color w:val="000000"/>
        </w:rPr>
        <w:t xml:space="preserve"> MA, Tsuchiya T, </w:t>
      </w:r>
      <w:proofErr w:type="spellStart"/>
      <w:r w:rsidRPr="00DD186A">
        <w:rPr>
          <w:rFonts w:ascii="Book Antiqua" w:eastAsia="Book Antiqua" w:hAnsi="Book Antiqua" w:cs="Book Antiqua"/>
          <w:color w:val="000000"/>
        </w:rPr>
        <w:t>Irani</w:t>
      </w:r>
      <w:proofErr w:type="spellEnd"/>
      <w:r w:rsidRPr="00DD186A">
        <w:rPr>
          <w:rFonts w:ascii="Book Antiqua" w:eastAsia="Book Antiqua" w:hAnsi="Book Antiqua" w:cs="Book Antiqua"/>
          <w:color w:val="000000"/>
        </w:rPr>
        <w:t xml:space="preserve"> S, </w:t>
      </w:r>
      <w:proofErr w:type="spellStart"/>
      <w:r w:rsidRPr="00DD186A">
        <w:rPr>
          <w:rFonts w:ascii="Book Antiqua" w:eastAsia="Book Antiqua" w:hAnsi="Book Antiqua" w:cs="Book Antiqua"/>
          <w:color w:val="000000"/>
        </w:rPr>
        <w:t>Dhir</w:t>
      </w:r>
      <w:proofErr w:type="spellEnd"/>
      <w:r w:rsidRPr="00DD186A">
        <w:rPr>
          <w:rFonts w:ascii="Book Antiqua" w:eastAsia="Book Antiqua" w:hAnsi="Book Antiqua" w:cs="Book Antiqua"/>
          <w:color w:val="000000"/>
        </w:rPr>
        <w:t xml:space="preserve"> V, Bun Teoh AY. Technical review of endoscopic ultrasonography-guided gastroenterostomy in 2017. </w:t>
      </w:r>
      <w:r w:rsidRPr="00DD186A">
        <w:rPr>
          <w:rFonts w:ascii="Book Antiqua" w:eastAsia="Book Antiqua" w:hAnsi="Book Antiqua" w:cs="Book Antiqua"/>
          <w:i/>
          <w:iCs/>
          <w:color w:val="000000"/>
        </w:rPr>
        <w:t xml:space="preserve">Dig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2017; </w:t>
      </w:r>
      <w:r w:rsidRPr="00DD186A">
        <w:rPr>
          <w:rFonts w:ascii="Book Antiqua" w:eastAsia="Book Antiqua" w:hAnsi="Book Antiqua" w:cs="Book Antiqua"/>
          <w:b/>
          <w:bCs/>
          <w:color w:val="000000"/>
        </w:rPr>
        <w:t>29</w:t>
      </w:r>
      <w:r w:rsidRPr="00DD186A">
        <w:rPr>
          <w:rFonts w:ascii="Book Antiqua" w:eastAsia="Book Antiqua" w:hAnsi="Book Antiqua" w:cs="Book Antiqua"/>
          <w:color w:val="000000"/>
        </w:rPr>
        <w:t>: 495-502 [PMID: 28032663 DOI: 10.1111/den.12794]</w:t>
      </w:r>
    </w:p>
    <w:p w14:paraId="1B6AEEC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27 </w:t>
      </w:r>
      <w:proofErr w:type="spellStart"/>
      <w:r w:rsidRPr="00DD186A">
        <w:rPr>
          <w:rFonts w:ascii="Book Antiqua" w:eastAsia="Book Antiqua" w:hAnsi="Book Antiqua" w:cs="Book Antiqua"/>
          <w:b/>
          <w:bCs/>
          <w:color w:val="000000"/>
        </w:rPr>
        <w:t>Wannhoff</w:t>
      </w:r>
      <w:proofErr w:type="spellEnd"/>
      <w:r w:rsidRPr="00DD186A">
        <w:rPr>
          <w:rFonts w:ascii="Book Antiqua" w:eastAsia="Book Antiqua" w:hAnsi="Book Antiqua" w:cs="Book Antiqua"/>
          <w:b/>
          <w:bCs/>
          <w:color w:val="000000"/>
        </w:rPr>
        <w:t xml:space="preserve"> A</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Ruh</w:t>
      </w:r>
      <w:proofErr w:type="spellEnd"/>
      <w:r w:rsidRPr="00DD186A">
        <w:rPr>
          <w:rFonts w:ascii="Book Antiqua" w:eastAsia="Book Antiqua" w:hAnsi="Book Antiqua" w:cs="Book Antiqua"/>
          <w:color w:val="000000"/>
        </w:rPr>
        <w:t xml:space="preserve"> N, Meier B, </w:t>
      </w:r>
      <w:proofErr w:type="spellStart"/>
      <w:r w:rsidRPr="00DD186A">
        <w:rPr>
          <w:rFonts w:ascii="Book Antiqua" w:eastAsia="Book Antiqua" w:hAnsi="Book Antiqua" w:cs="Book Antiqua"/>
          <w:color w:val="000000"/>
        </w:rPr>
        <w:t>Riecken</w:t>
      </w:r>
      <w:proofErr w:type="spellEnd"/>
      <w:r w:rsidRPr="00DD186A">
        <w:rPr>
          <w:rFonts w:ascii="Book Antiqua" w:eastAsia="Book Antiqua" w:hAnsi="Book Antiqua" w:cs="Book Antiqua"/>
          <w:color w:val="000000"/>
        </w:rPr>
        <w:t xml:space="preserve"> B, Caca K. Endoscopic gastrointestinal anastomoses with lumen-apposing metal stents: predictors of technical success. </w:t>
      </w:r>
      <w:proofErr w:type="spellStart"/>
      <w:r w:rsidRPr="00DD186A">
        <w:rPr>
          <w:rFonts w:ascii="Book Antiqua" w:eastAsia="Book Antiqua" w:hAnsi="Book Antiqua" w:cs="Book Antiqua"/>
          <w:i/>
          <w:iCs/>
          <w:color w:val="000000"/>
        </w:rPr>
        <w:t>Surg</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2021; </w:t>
      </w:r>
      <w:r w:rsidRPr="00DD186A">
        <w:rPr>
          <w:rFonts w:ascii="Book Antiqua" w:eastAsia="Book Antiqua" w:hAnsi="Book Antiqua" w:cs="Book Antiqua"/>
          <w:b/>
          <w:bCs/>
          <w:color w:val="000000"/>
        </w:rPr>
        <w:t>35</w:t>
      </w:r>
      <w:r w:rsidRPr="00DD186A">
        <w:rPr>
          <w:rFonts w:ascii="Book Antiqua" w:eastAsia="Book Antiqua" w:hAnsi="Book Antiqua" w:cs="Book Antiqua"/>
          <w:color w:val="000000"/>
        </w:rPr>
        <w:t>: 1997-2004 [PMID: 32358692 DOI: 10.1007/s00464-020-07594-5]</w:t>
      </w:r>
    </w:p>
    <w:p w14:paraId="7056702D"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28 </w:t>
      </w:r>
      <w:proofErr w:type="spellStart"/>
      <w:r w:rsidRPr="00DD186A">
        <w:rPr>
          <w:rFonts w:ascii="Book Antiqua" w:eastAsia="Book Antiqua" w:hAnsi="Book Antiqua" w:cs="Book Antiqua"/>
          <w:b/>
          <w:bCs/>
          <w:color w:val="000000"/>
        </w:rPr>
        <w:t>Mussetto</w:t>
      </w:r>
      <w:proofErr w:type="spellEnd"/>
      <w:r w:rsidRPr="00DD186A">
        <w:rPr>
          <w:rFonts w:ascii="Book Antiqua" w:eastAsia="Book Antiqua" w:hAnsi="Book Antiqua" w:cs="Book Antiqua"/>
          <w:b/>
          <w:bCs/>
          <w:color w:val="000000"/>
        </w:rPr>
        <w:t xml:space="preserve"> A</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Fugazza</w:t>
      </w:r>
      <w:proofErr w:type="spellEnd"/>
      <w:r w:rsidRPr="00DD186A">
        <w:rPr>
          <w:rFonts w:ascii="Book Antiqua" w:eastAsia="Book Antiqua" w:hAnsi="Book Antiqua" w:cs="Book Antiqua"/>
          <w:color w:val="000000"/>
        </w:rPr>
        <w:t xml:space="preserve"> A, </w:t>
      </w:r>
      <w:proofErr w:type="spellStart"/>
      <w:r w:rsidRPr="00DD186A">
        <w:rPr>
          <w:rFonts w:ascii="Book Antiqua" w:eastAsia="Book Antiqua" w:hAnsi="Book Antiqua" w:cs="Book Antiqua"/>
          <w:color w:val="000000"/>
        </w:rPr>
        <w:t>Fuccio</w:t>
      </w:r>
      <w:proofErr w:type="spellEnd"/>
      <w:r w:rsidRPr="00DD186A">
        <w:rPr>
          <w:rFonts w:ascii="Book Antiqua" w:eastAsia="Book Antiqua" w:hAnsi="Book Antiqua" w:cs="Book Antiqua"/>
          <w:color w:val="000000"/>
        </w:rPr>
        <w:t xml:space="preserve"> L, </w:t>
      </w:r>
      <w:proofErr w:type="spellStart"/>
      <w:r w:rsidRPr="00DD186A">
        <w:rPr>
          <w:rFonts w:ascii="Book Antiqua" w:eastAsia="Book Antiqua" w:hAnsi="Book Antiqua" w:cs="Book Antiqua"/>
          <w:color w:val="000000"/>
        </w:rPr>
        <w:t>Triossi</w:t>
      </w:r>
      <w:proofErr w:type="spellEnd"/>
      <w:r w:rsidRPr="00DD186A">
        <w:rPr>
          <w:rFonts w:ascii="Book Antiqua" w:eastAsia="Book Antiqua" w:hAnsi="Book Antiqua" w:cs="Book Antiqua"/>
          <w:color w:val="000000"/>
        </w:rPr>
        <w:t xml:space="preserve"> O, </w:t>
      </w:r>
      <w:proofErr w:type="spellStart"/>
      <w:r w:rsidRPr="00DD186A">
        <w:rPr>
          <w:rFonts w:ascii="Book Antiqua" w:eastAsia="Book Antiqua" w:hAnsi="Book Antiqua" w:cs="Book Antiqua"/>
          <w:color w:val="000000"/>
        </w:rPr>
        <w:t>Repici</w:t>
      </w:r>
      <w:proofErr w:type="spellEnd"/>
      <w:r w:rsidRPr="00DD186A">
        <w:rPr>
          <w:rFonts w:ascii="Book Antiqua" w:eastAsia="Book Antiqua" w:hAnsi="Book Antiqua" w:cs="Book Antiqua"/>
          <w:color w:val="000000"/>
        </w:rPr>
        <w:t xml:space="preserve"> A, </w:t>
      </w:r>
      <w:proofErr w:type="spellStart"/>
      <w:r w:rsidRPr="00DD186A">
        <w:rPr>
          <w:rFonts w:ascii="Book Antiqua" w:eastAsia="Book Antiqua" w:hAnsi="Book Antiqua" w:cs="Book Antiqua"/>
          <w:color w:val="000000"/>
        </w:rPr>
        <w:t>Anderloni</w:t>
      </w:r>
      <w:proofErr w:type="spellEnd"/>
      <w:r w:rsidRPr="00DD186A">
        <w:rPr>
          <w:rFonts w:ascii="Book Antiqua" w:eastAsia="Book Antiqua" w:hAnsi="Book Antiqua" w:cs="Book Antiqua"/>
          <w:color w:val="000000"/>
        </w:rPr>
        <w:t xml:space="preserve"> A. Current uses and outcomes of lumen-apposing metal stents. </w:t>
      </w:r>
      <w:r w:rsidRPr="00DD186A">
        <w:rPr>
          <w:rFonts w:ascii="Book Antiqua" w:eastAsia="Book Antiqua" w:hAnsi="Book Antiqua" w:cs="Book Antiqua"/>
          <w:i/>
          <w:iCs/>
          <w:color w:val="000000"/>
        </w:rPr>
        <w:t>Ann Gastroenterol</w:t>
      </w:r>
      <w:r w:rsidRPr="00DD186A">
        <w:rPr>
          <w:rFonts w:ascii="Book Antiqua" w:eastAsia="Book Antiqua" w:hAnsi="Book Antiqua" w:cs="Book Antiqua"/>
          <w:color w:val="000000"/>
        </w:rPr>
        <w:t xml:space="preserve"> 2018; </w:t>
      </w:r>
      <w:r w:rsidRPr="00DD186A">
        <w:rPr>
          <w:rFonts w:ascii="Book Antiqua" w:eastAsia="Book Antiqua" w:hAnsi="Book Antiqua" w:cs="Book Antiqua"/>
          <w:b/>
          <w:bCs/>
          <w:color w:val="000000"/>
        </w:rPr>
        <w:t>31</w:t>
      </w:r>
      <w:r w:rsidRPr="00DD186A">
        <w:rPr>
          <w:rFonts w:ascii="Book Antiqua" w:eastAsia="Book Antiqua" w:hAnsi="Book Antiqua" w:cs="Book Antiqua"/>
          <w:color w:val="000000"/>
        </w:rPr>
        <w:t>: 535-540 [PMID: 30174389 DOI: 10.20524/aog.2018.0287]</w:t>
      </w:r>
    </w:p>
    <w:p w14:paraId="3F1A572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29 </w:t>
      </w:r>
      <w:r w:rsidRPr="00DD186A">
        <w:rPr>
          <w:rFonts w:ascii="Book Antiqua" w:eastAsia="Book Antiqua" w:hAnsi="Book Antiqua" w:cs="Book Antiqua"/>
          <w:b/>
          <w:bCs/>
          <w:color w:val="000000"/>
        </w:rPr>
        <w:t>Sharma P</w:t>
      </w:r>
      <w:r w:rsidRPr="00DD186A">
        <w:rPr>
          <w:rFonts w:ascii="Book Antiqua" w:eastAsia="Book Antiqua" w:hAnsi="Book Antiqua" w:cs="Book Antiqua"/>
          <w:color w:val="000000"/>
        </w:rPr>
        <w:t xml:space="preserve">, McCarty TR, </w:t>
      </w:r>
      <w:proofErr w:type="spellStart"/>
      <w:r w:rsidRPr="00DD186A">
        <w:rPr>
          <w:rFonts w:ascii="Book Antiqua" w:eastAsia="Book Antiqua" w:hAnsi="Book Antiqua" w:cs="Book Antiqua"/>
          <w:color w:val="000000"/>
        </w:rPr>
        <w:t>Chhoda</w:t>
      </w:r>
      <w:proofErr w:type="spellEnd"/>
      <w:r w:rsidRPr="00DD186A">
        <w:rPr>
          <w:rFonts w:ascii="Book Antiqua" w:eastAsia="Book Antiqua" w:hAnsi="Book Antiqua" w:cs="Book Antiqua"/>
          <w:color w:val="000000"/>
        </w:rPr>
        <w:t xml:space="preserve"> A, Costantino A, </w:t>
      </w:r>
      <w:proofErr w:type="spellStart"/>
      <w:r w:rsidRPr="00DD186A">
        <w:rPr>
          <w:rFonts w:ascii="Book Antiqua" w:eastAsia="Book Antiqua" w:hAnsi="Book Antiqua" w:cs="Book Antiqua"/>
          <w:color w:val="000000"/>
        </w:rPr>
        <w:t>Loeser</w:t>
      </w:r>
      <w:proofErr w:type="spellEnd"/>
      <w:r w:rsidRPr="00DD186A">
        <w:rPr>
          <w:rFonts w:ascii="Book Antiqua" w:eastAsia="Book Antiqua" w:hAnsi="Book Antiqua" w:cs="Book Antiqua"/>
          <w:color w:val="000000"/>
        </w:rPr>
        <w:t xml:space="preserve"> C, </w:t>
      </w:r>
      <w:proofErr w:type="spellStart"/>
      <w:r w:rsidRPr="00DD186A">
        <w:rPr>
          <w:rFonts w:ascii="Book Antiqua" w:eastAsia="Book Antiqua" w:hAnsi="Book Antiqua" w:cs="Book Antiqua"/>
          <w:color w:val="000000"/>
        </w:rPr>
        <w:t>Muniraj</w:t>
      </w:r>
      <w:proofErr w:type="spellEnd"/>
      <w:r w:rsidRPr="00DD186A">
        <w:rPr>
          <w:rFonts w:ascii="Book Antiqua" w:eastAsia="Book Antiqua" w:hAnsi="Book Antiqua" w:cs="Book Antiqua"/>
          <w:color w:val="000000"/>
        </w:rPr>
        <w:t xml:space="preserve"> T, </w:t>
      </w:r>
      <w:proofErr w:type="spellStart"/>
      <w:r w:rsidRPr="00DD186A">
        <w:rPr>
          <w:rFonts w:ascii="Book Antiqua" w:eastAsia="Book Antiqua" w:hAnsi="Book Antiqua" w:cs="Book Antiqua"/>
          <w:color w:val="000000"/>
        </w:rPr>
        <w:t>Ryou</w:t>
      </w:r>
      <w:proofErr w:type="spellEnd"/>
      <w:r w:rsidRPr="00DD186A">
        <w:rPr>
          <w:rFonts w:ascii="Book Antiqua" w:eastAsia="Book Antiqua" w:hAnsi="Book Antiqua" w:cs="Book Antiqua"/>
          <w:color w:val="000000"/>
        </w:rPr>
        <w:t xml:space="preserve"> M, Thompson CC. Alternative uses of lumen apposing metal stents. </w:t>
      </w:r>
      <w:r w:rsidRPr="00DD186A">
        <w:rPr>
          <w:rFonts w:ascii="Book Antiqua" w:eastAsia="Book Antiqua" w:hAnsi="Book Antiqua" w:cs="Book Antiqua"/>
          <w:i/>
          <w:iCs/>
          <w:color w:val="000000"/>
        </w:rPr>
        <w:t>World J Gastroenterol</w:t>
      </w:r>
      <w:r w:rsidRPr="00DD186A">
        <w:rPr>
          <w:rFonts w:ascii="Book Antiqua" w:eastAsia="Book Antiqua" w:hAnsi="Book Antiqua" w:cs="Book Antiqua"/>
          <w:color w:val="000000"/>
        </w:rPr>
        <w:t xml:space="preserve"> 2020; </w:t>
      </w:r>
      <w:r w:rsidRPr="00DD186A">
        <w:rPr>
          <w:rFonts w:ascii="Book Antiqua" w:eastAsia="Book Antiqua" w:hAnsi="Book Antiqua" w:cs="Book Antiqua"/>
          <w:b/>
          <w:bCs/>
          <w:color w:val="000000"/>
        </w:rPr>
        <w:t>26</w:t>
      </w:r>
      <w:r w:rsidRPr="00DD186A">
        <w:rPr>
          <w:rFonts w:ascii="Book Antiqua" w:eastAsia="Book Antiqua" w:hAnsi="Book Antiqua" w:cs="Book Antiqua"/>
          <w:color w:val="000000"/>
        </w:rPr>
        <w:t>: 2715-2728 [PMID: 32550749 DOI: 10.3748/wjg.v26.i21.2715]</w:t>
      </w:r>
    </w:p>
    <w:p w14:paraId="708F115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30 </w:t>
      </w:r>
      <w:proofErr w:type="spellStart"/>
      <w:r w:rsidRPr="00DD186A">
        <w:rPr>
          <w:rFonts w:ascii="Book Antiqua" w:eastAsia="Book Antiqua" w:hAnsi="Book Antiqua" w:cs="Book Antiqua"/>
          <w:b/>
          <w:bCs/>
          <w:color w:val="000000"/>
        </w:rPr>
        <w:t>Itoi</w:t>
      </w:r>
      <w:proofErr w:type="spellEnd"/>
      <w:r w:rsidRPr="00DD186A">
        <w:rPr>
          <w:rFonts w:ascii="Book Antiqua" w:eastAsia="Book Antiqua" w:hAnsi="Book Antiqua" w:cs="Book Antiqua"/>
          <w:b/>
          <w:bCs/>
          <w:color w:val="000000"/>
        </w:rPr>
        <w:t xml:space="preserve"> T</w:t>
      </w:r>
      <w:r w:rsidRPr="00DD186A">
        <w:rPr>
          <w:rFonts w:ascii="Book Antiqua" w:eastAsia="Book Antiqua" w:hAnsi="Book Antiqua" w:cs="Book Antiqua"/>
          <w:color w:val="000000"/>
        </w:rPr>
        <w:t xml:space="preserve">, Ishii K, </w:t>
      </w:r>
      <w:proofErr w:type="spellStart"/>
      <w:r w:rsidRPr="00DD186A">
        <w:rPr>
          <w:rFonts w:ascii="Book Antiqua" w:eastAsia="Book Antiqua" w:hAnsi="Book Antiqua" w:cs="Book Antiqua"/>
          <w:color w:val="000000"/>
        </w:rPr>
        <w:t>Ikeuchi</w:t>
      </w:r>
      <w:proofErr w:type="spellEnd"/>
      <w:r w:rsidRPr="00DD186A">
        <w:rPr>
          <w:rFonts w:ascii="Book Antiqua" w:eastAsia="Book Antiqua" w:hAnsi="Book Antiqua" w:cs="Book Antiqua"/>
          <w:color w:val="000000"/>
        </w:rPr>
        <w:t xml:space="preserve"> N, </w:t>
      </w:r>
      <w:proofErr w:type="spellStart"/>
      <w:r w:rsidRPr="00DD186A">
        <w:rPr>
          <w:rFonts w:ascii="Book Antiqua" w:eastAsia="Book Antiqua" w:hAnsi="Book Antiqua" w:cs="Book Antiqua"/>
          <w:color w:val="000000"/>
        </w:rPr>
        <w:t>Sofuni</w:t>
      </w:r>
      <w:proofErr w:type="spellEnd"/>
      <w:r w:rsidRPr="00DD186A">
        <w:rPr>
          <w:rFonts w:ascii="Book Antiqua" w:eastAsia="Book Antiqua" w:hAnsi="Book Antiqua" w:cs="Book Antiqua"/>
          <w:color w:val="000000"/>
        </w:rPr>
        <w:t xml:space="preserve"> A, </w:t>
      </w:r>
      <w:proofErr w:type="spellStart"/>
      <w:r w:rsidRPr="00DD186A">
        <w:rPr>
          <w:rFonts w:ascii="Book Antiqua" w:eastAsia="Book Antiqua" w:hAnsi="Book Antiqua" w:cs="Book Antiqua"/>
          <w:color w:val="000000"/>
        </w:rPr>
        <w:t>Gotoda</w:t>
      </w:r>
      <w:proofErr w:type="spellEnd"/>
      <w:r w:rsidRPr="00DD186A">
        <w:rPr>
          <w:rFonts w:ascii="Book Antiqua" w:eastAsia="Book Antiqua" w:hAnsi="Book Antiqua" w:cs="Book Antiqua"/>
          <w:color w:val="000000"/>
        </w:rPr>
        <w:t xml:space="preserve"> T, </w:t>
      </w:r>
      <w:proofErr w:type="spellStart"/>
      <w:r w:rsidRPr="00DD186A">
        <w:rPr>
          <w:rFonts w:ascii="Book Antiqua" w:eastAsia="Book Antiqua" w:hAnsi="Book Antiqua" w:cs="Book Antiqua"/>
          <w:color w:val="000000"/>
        </w:rPr>
        <w:t>Moriyasu</w:t>
      </w:r>
      <w:proofErr w:type="spellEnd"/>
      <w:r w:rsidRPr="00DD186A">
        <w:rPr>
          <w:rFonts w:ascii="Book Antiqua" w:eastAsia="Book Antiqua" w:hAnsi="Book Antiqua" w:cs="Book Antiqua"/>
          <w:color w:val="000000"/>
        </w:rPr>
        <w:t xml:space="preserve"> F, </w:t>
      </w:r>
      <w:proofErr w:type="spellStart"/>
      <w:r w:rsidRPr="00DD186A">
        <w:rPr>
          <w:rFonts w:ascii="Book Antiqua" w:eastAsia="Book Antiqua" w:hAnsi="Book Antiqua" w:cs="Book Antiqua"/>
          <w:color w:val="000000"/>
        </w:rPr>
        <w:t>Dhir</w:t>
      </w:r>
      <w:proofErr w:type="spellEnd"/>
      <w:r w:rsidRPr="00DD186A">
        <w:rPr>
          <w:rFonts w:ascii="Book Antiqua" w:eastAsia="Book Antiqua" w:hAnsi="Book Antiqua" w:cs="Book Antiqua"/>
          <w:color w:val="000000"/>
        </w:rPr>
        <w:t xml:space="preserve"> V, Teoh AY, </w:t>
      </w:r>
      <w:proofErr w:type="spellStart"/>
      <w:r w:rsidRPr="00DD186A">
        <w:rPr>
          <w:rFonts w:ascii="Book Antiqua" w:eastAsia="Book Antiqua" w:hAnsi="Book Antiqua" w:cs="Book Antiqua"/>
          <w:color w:val="000000"/>
        </w:rPr>
        <w:t>Binmoeller</w:t>
      </w:r>
      <w:proofErr w:type="spellEnd"/>
      <w:r w:rsidRPr="00DD186A">
        <w:rPr>
          <w:rFonts w:ascii="Book Antiqua" w:eastAsia="Book Antiqua" w:hAnsi="Book Antiqua" w:cs="Book Antiqua"/>
          <w:color w:val="000000"/>
        </w:rPr>
        <w:t xml:space="preserve"> KF. Prospective evaluation of endoscopic ultrasonography-guided double-balloon-occluded gastrojejunostomy bypass (EPASS) for malignant gastric outlet obstruction. </w:t>
      </w:r>
      <w:r w:rsidRPr="00DD186A">
        <w:rPr>
          <w:rFonts w:ascii="Book Antiqua" w:eastAsia="Book Antiqua" w:hAnsi="Book Antiqua" w:cs="Book Antiqua"/>
          <w:i/>
          <w:iCs/>
          <w:color w:val="000000"/>
        </w:rPr>
        <w:t>Gut</w:t>
      </w:r>
      <w:r w:rsidRPr="00DD186A">
        <w:rPr>
          <w:rFonts w:ascii="Book Antiqua" w:eastAsia="Book Antiqua" w:hAnsi="Book Antiqua" w:cs="Book Antiqua"/>
          <w:color w:val="000000"/>
        </w:rPr>
        <w:t xml:space="preserve"> 2016; </w:t>
      </w:r>
      <w:r w:rsidRPr="00DD186A">
        <w:rPr>
          <w:rFonts w:ascii="Book Antiqua" w:eastAsia="Book Antiqua" w:hAnsi="Book Antiqua" w:cs="Book Antiqua"/>
          <w:b/>
          <w:bCs/>
          <w:color w:val="000000"/>
        </w:rPr>
        <w:t>65</w:t>
      </w:r>
      <w:r w:rsidRPr="00DD186A">
        <w:rPr>
          <w:rFonts w:ascii="Book Antiqua" w:eastAsia="Book Antiqua" w:hAnsi="Book Antiqua" w:cs="Book Antiqua"/>
          <w:color w:val="000000"/>
        </w:rPr>
        <w:t>: 193-195 [PMID: 26282674 DOI: 10.1136/gutjnl-2015-310348]</w:t>
      </w:r>
    </w:p>
    <w:p w14:paraId="3B98449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31 </w:t>
      </w:r>
      <w:proofErr w:type="spellStart"/>
      <w:r w:rsidRPr="00DD186A">
        <w:rPr>
          <w:rFonts w:ascii="Book Antiqua" w:eastAsia="Book Antiqua" w:hAnsi="Book Antiqua" w:cs="Book Antiqua"/>
          <w:b/>
          <w:bCs/>
          <w:color w:val="000000"/>
        </w:rPr>
        <w:t>Tringali</w:t>
      </w:r>
      <w:proofErr w:type="spellEnd"/>
      <w:r w:rsidRPr="00DD186A">
        <w:rPr>
          <w:rFonts w:ascii="Book Antiqua" w:eastAsia="Book Antiqua" w:hAnsi="Book Antiqua" w:cs="Book Antiqua"/>
          <w:b/>
          <w:bCs/>
          <w:color w:val="000000"/>
        </w:rPr>
        <w:t xml:space="preserve"> A</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Giannetti</w:t>
      </w:r>
      <w:proofErr w:type="spellEnd"/>
      <w:r w:rsidRPr="00DD186A">
        <w:rPr>
          <w:rFonts w:ascii="Book Antiqua" w:eastAsia="Book Antiqua" w:hAnsi="Book Antiqua" w:cs="Book Antiqua"/>
          <w:color w:val="000000"/>
        </w:rPr>
        <w:t xml:space="preserve"> A, Adler DG. Endoscopic management of gastric outlet obstruction disease. </w:t>
      </w:r>
      <w:r w:rsidRPr="00DD186A">
        <w:rPr>
          <w:rFonts w:ascii="Book Antiqua" w:eastAsia="Book Antiqua" w:hAnsi="Book Antiqua" w:cs="Book Antiqua"/>
          <w:i/>
          <w:iCs/>
          <w:color w:val="000000"/>
        </w:rPr>
        <w:t>Ann Gastroenterol</w:t>
      </w:r>
      <w:r w:rsidRPr="00DD186A">
        <w:rPr>
          <w:rFonts w:ascii="Book Antiqua" w:eastAsia="Book Antiqua" w:hAnsi="Book Antiqua" w:cs="Book Antiqua"/>
          <w:color w:val="000000"/>
        </w:rPr>
        <w:t xml:space="preserve"> 2019; </w:t>
      </w:r>
      <w:r w:rsidRPr="00DD186A">
        <w:rPr>
          <w:rFonts w:ascii="Book Antiqua" w:eastAsia="Book Antiqua" w:hAnsi="Book Antiqua" w:cs="Book Antiqua"/>
          <w:b/>
          <w:bCs/>
          <w:color w:val="000000"/>
        </w:rPr>
        <w:t>32</w:t>
      </w:r>
      <w:r w:rsidRPr="00DD186A">
        <w:rPr>
          <w:rFonts w:ascii="Book Antiqua" w:eastAsia="Book Antiqua" w:hAnsi="Book Antiqua" w:cs="Book Antiqua"/>
          <w:color w:val="000000"/>
        </w:rPr>
        <w:t>: 330-337 [PMID: 31263354 DOI: 10.20524/aog.2019]</w:t>
      </w:r>
    </w:p>
    <w:p w14:paraId="5B8B372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32 </w:t>
      </w:r>
      <w:r w:rsidRPr="00DD186A">
        <w:rPr>
          <w:rFonts w:ascii="Book Antiqua" w:eastAsia="Book Antiqua" w:hAnsi="Book Antiqua" w:cs="Book Antiqua"/>
          <w:b/>
          <w:bCs/>
          <w:color w:val="000000"/>
        </w:rPr>
        <w:t>Hashimoto T</w:t>
      </w:r>
      <w:r w:rsidRPr="00DD186A">
        <w:rPr>
          <w:rFonts w:ascii="Book Antiqua" w:eastAsia="Book Antiqua" w:hAnsi="Book Antiqua" w:cs="Book Antiqua"/>
          <w:color w:val="000000"/>
        </w:rPr>
        <w:t xml:space="preserve">, Adachi K, </w:t>
      </w:r>
      <w:proofErr w:type="spellStart"/>
      <w:r w:rsidRPr="00DD186A">
        <w:rPr>
          <w:rFonts w:ascii="Book Antiqua" w:eastAsia="Book Antiqua" w:hAnsi="Book Antiqua" w:cs="Book Antiqua"/>
          <w:color w:val="000000"/>
        </w:rPr>
        <w:t>Ishimura</w:t>
      </w:r>
      <w:proofErr w:type="spellEnd"/>
      <w:r w:rsidRPr="00DD186A">
        <w:rPr>
          <w:rFonts w:ascii="Book Antiqua" w:eastAsia="Book Antiqua" w:hAnsi="Book Antiqua" w:cs="Book Antiqua"/>
          <w:color w:val="000000"/>
        </w:rPr>
        <w:t xml:space="preserve"> N, </w:t>
      </w:r>
      <w:proofErr w:type="spellStart"/>
      <w:r w:rsidRPr="00DD186A">
        <w:rPr>
          <w:rFonts w:ascii="Book Antiqua" w:eastAsia="Book Antiqua" w:hAnsi="Book Antiqua" w:cs="Book Antiqua"/>
          <w:color w:val="000000"/>
        </w:rPr>
        <w:t>Hirakawa</w:t>
      </w:r>
      <w:proofErr w:type="spellEnd"/>
      <w:r w:rsidRPr="00DD186A">
        <w:rPr>
          <w:rFonts w:ascii="Book Antiqua" w:eastAsia="Book Antiqua" w:hAnsi="Book Antiqua" w:cs="Book Antiqua"/>
          <w:color w:val="000000"/>
        </w:rPr>
        <w:t xml:space="preserve"> K, </w:t>
      </w:r>
      <w:proofErr w:type="spellStart"/>
      <w:r w:rsidRPr="00DD186A">
        <w:rPr>
          <w:rFonts w:ascii="Book Antiqua" w:eastAsia="Book Antiqua" w:hAnsi="Book Antiqua" w:cs="Book Antiqua"/>
          <w:color w:val="000000"/>
        </w:rPr>
        <w:t>Katsube</w:t>
      </w:r>
      <w:proofErr w:type="spellEnd"/>
      <w:r w:rsidRPr="00DD186A">
        <w:rPr>
          <w:rFonts w:ascii="Book Antiqua" w:eastAsia="Book Antiqua" w:hAnsi="Book Antiqua" w:cs="Book Antiqua"/>
          <w:color w:val="000000"/>
        </w:rPr>
        <w:t xml:space="preserve"> T, </w:t>
      </w:r>
      <w:proofErr w:type="spellStart"/>
      <w:r w:rsidRPr="00DD186A">
        <w:rPr>
          <w:rFonts w:ascii="Book Antiqua" w:eastAsia="Book Antiqua" w:hAnsi="Book Antiqua" w:cs="Book Antiqua"/>
          <w:color w:val="000000"/>
        </w:rPr>
        <w:t>Kurotani</w:t>
      </w:r>
      <w:proofErr w:type="spellEnd"/>
      <w:r w:rsidRPr="00DD186A">
        <w:rPr>
          <w:rFonts w:ascii="Book Antiqua" w:eastAsia="Book Antiqua" w:hAnsi="Book Antiqua" w:cs="Book Antiqua"/>
          <w:color w:val="000000"/>
        </w:rPr>
        <w:t xml:space="preserve"> A, Hattori S, Kinoshita Y. Safety and efficacy of glucagon as a premedication for upper gastrointestinal endoscopy--a comparative study with butyl scopolamine bromide. </w:t>
      </w:r>
      <w:r w:rsidRPr="00DD186A">
        <w:rPr>
          <w:rFonts w:ascii="Book Antiqua" w:eastAsia="Book Antiqua" w:hAnsi="Book Antiqua" w:cs="Book Antiqua"/>
          <w:i/>
          <w:iCs/>
          <w:color w:val="000000"/>
        </w:rPr>
        <w:t xml:space="preserve">Aliment </w:t>
      </w:r>
      <w:proofErr w:type="spellStart"/>
      <w:r w:rsidRPr="00DD186A">
        <w:rPr>
          <w:rFonts w:ascii="Book Antiqua" w:eastAsia="Book Antiqua" w:hAnsi="Book Antiqua" w:cs="Book Antiqua"/>
          <w:i/>
          <w:iCs/>
          <w:color w:val="000000"/>
        </w:rPr>
        <w:t>Pharmacol</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Ther</w:t>
      </w:r>
      <w:proofErr w:type="spellEnd"/>
      <w:r w:rsidRPr="00DD186A">
        <w:rPr>
          <w:rFonts w:ascii="Book Antiqua" w:eastAsia="Book Antiqua" w:hAnsi="Book Antiqua" w:cs="Book Antiqua"/>
          <w:color w:val="000000"/>
        </w:rPr>
        <w:t xml:space="preserve"> 2002; </w:t>
      </w:r>
      <w:r w:rsidRPr="00DD186A">
        <w:rPr>
          <w:rFonts w:ascii="Book Antiqua" w:eastAsia="Book Antiqua" w:hAnsi="Book Antiqua" w:cs="Book Antiqua"/>
          <w:b/>
          <w:bCs/>
          <w:color w:val="000000"/>
        </w:rPr>
        <w:t>16</w:t>
      </w:r>
      <w:r w:rsidRPr="00DD186A">
        <w:rPr>
          <w:rFonts w:ascii="Book Antiqua" w:eastAsia="Book Antiqua" w:hAnsi="Book Antiqua" w:cs="Book Antiqua"/>
          <w:color w:val="000000"/>
        </w:rPr>
        <w:t>: 111-118 [PMID: 11856085 DOI: 10.1046/j.1365-2036.2002.01148.x]</w:t>
      </w:r>
    </w:p>
    <w:p w14:paraId="06CEDFA2"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33 </w:t>
      </w:r>
      <w:r w:rsidRPr="00DD186A">
        <w:rPr>
          <w:rFonts w:ascii="Book Antiqua" w:eastAsia="Book Antiqua" w:hAnsi="Book Antiqua" w:cs="Book Antiqua"/>
          <w:b/>
          <w:bCs/>
          <w:color w:val="000000"/>
        </w:rPr>
        <w:t>Iqbal U</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Khara</w:t>
      </w:r>
      <w:proofErr w:type="spellEnd"/>
      <w:r w:rsidRPr="00DD186A">
        <w:rPr>
          <w:rFonts w:ascii="Book Antiqua" w:eastAsia="Book Antiqua" w:hAnsi="Book Antiqua" w:cs="Book Antiqua"/>
          <w:color w:val="000000"/>
        </w:rPr>
        <w:t xml:space="preserve"> HS, Hu Y, Kumar V, Tufail K, Confer B, Diehl DL. EUS-guided gastroenterostomy for the management of gastric outlet obstruction: A systematic review and meta-analysis.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i/>
          <w:iCs/>
          <w:color w:val="000000"/>
        </w:rPr>
        <w:t xml:space="preserve"> Ultrasound</w:t>
      </w:r>
      <w:r w:rsidRPr="00DD186A">
        <w:rPr>
          <w:rFonts w:ascii="Book Antiqua" w:eastAsia="Book Antiqua" w:hAnsi="Book Antiqua" w:cs="Book Antiqua"/>
          <w:color w:val="000000"/>
        </w:rPr>
        <w:t xml:space="preserve"> 2020; </w:t>
      </w:r>
      <w:r w:rsidRPr="00DD186A">
        <w:rPr>
          <w:rFonts w:ascii="Book Antiqua" w:eastAsia="Book Antiqua" w:hAnsi="Book Antiqua" w:cs="Book Antiqua"/>
          <w:b/>
          <w:bCs/>
          <w:color w:val="000000"/>
        </w:rPr>
        <w:t>9</w:t>
      </w:r>
      <w:r w:rsidRPr="00DD186A">
        <w:rPr>
          <w:rFonts w:ascii="Book Antiqua" w:eastAsia="Book Antiqua" w:hAnsi="Book Antiqua" w:cs="Book Antiqua"/>
          <w:color w:val="000000"/>
        </w:rPr>
        <w:t>: 16-23 [PMID: 31898587 DOI: 10.4103/eus.eus_70_19]</w:t>
      </w:r>
    </w:p>
    <w:p w14:paraId="4965F9E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lastRenderedPageBreak/>
        <w:t xml:space="preserve">34 </w:t>
      </w:r>
      <w:r w:rsidRPr="00DD186A">
        <w:rPr>
          <w:rFonts w:ascii="Book Antiqua" w:eastAsia="Book Antiqua" w:hAnsi="Book Antiqua" w:cs="Book Antiqua"/>
          <w:b/>
          <w:bCs/>
          <w:color w:val="000000"/>
        </w:rPr>
        <w:t>McCarty TR</w:t>
      </w:r>
      <w:r w:rsidRPr="00DD186A">
        <w:rPr>
          <w:rFonts w:ascii="Book Antiqua" w:eastAsia="Book Antiqua" w:hAnsi="Book Antiqua" w:cs="Book Antiqua"/>
          <w:color w:val="000000"/>
        </w:rPr>
        <w:t xml:space="preserve">, Garg R, Thompson CC, </w:t>
      </w:r>
      <w:proofErr w:type="spellStart"/>
      <w:r w:rsidRPr="00DD186A">
        <w:rPr>
          <w:rFonts w:ascii="Book Antiqua" w:eastAsia="Book Antiqua" w:hAnsi="Book Antiqua" w:cs="Book Antiqua"/>
          <w:color w:val="000000"/>
        </w:rPr>
        <w:t>Rustagi</w:t>
      </w:r>
      <w:proofErr w:type="spellEnd"/>
      <w:r w:rsidRPr="00DD186A">
        <w:rPr>
          <w:rFonts w:ascii="Book Antiqua" w:eastAsia="Book Antiqua" w:hAnsi="Book Antiqua" w:cs="Book Antiqua"/>
          <w:color w:val="000000"/>
        </w:rPr>
        <w:t xml:space="preserve"> T. Efficacy and safety of EUS-guided gastroenterostomy for benign and malignant gastric outlet obstruction: a systematic review and meta-analysis.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Int</w:t>
      </w:r>
      <w:proofErr w:type="spellEnd"/>
      <w:r w:rsidRPr="00DD186A">
        <w:rPr>
          <w:rFonts w:ascii="Book Antiqua" w:eastAsia="Book Antiqua" w:hAnsi="Book Antiqua" w:cs="Book Antiqua"/>
          <w:i/>
          <w:iCs/>
          <w:color w:val="000000"/>
        </w:rPr>
        <w:t xml:space="preserve"> Open</w:t>
      </w:r>
      <w:r w:rsidRPr="00DD186A">
        <w:rPr>
          <w:rFonts w:ascii="Book Antiqua" w:eastAsia="Book Antiqua" w:hAnsi="Book Antiqua" w:cs="Book Antiqua"/>
          <w:color w:val="000000"/>
        </w:rPr>
        <w:t xml:space="preserve"> 2019; </w:t>
      </w:r>
      <w:r w:rsidRPr="00DD186A">
        <w:rPr>
          <w:rFonts w:ascii="Book Antiqua" w:eastAsia="Book Antiqua" w:hAnsi="Book Antiqua" w:cs="Book Antiqua"/>
          <w:b/>
          <w:bCs/>
          <w:color w:val="000000"/>
        </w:rPr>
        <w:t>7</w:t>
      </w:r>
      <w:r w:rsidRPr="00DD186A">
        <w:rPr>
          <w:rFonts w:ascii="Book Antiqua" w:eastAsia="Book Antiqua" w:hAnsi="Book Antiqua" w:cs="Book Antiqua"/>
          <w:color w:val="000000"/>
        </w:rPr>
        <w:t>: E1474-E1482 [PMID: 31673620 DOI: 10.1055/a-0996-8178]</w:t>
      </w:r>
    </w:p>
    <w:p w14:paraId="68301722"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35 </w:t>
      </w:r>
      <w:proofErr w:type="spellStart"/>
      <w:r w:rsidRPr="00DD186A">
        <w:rPr>
          <w:rFonts w:ascii="Book Antiqua" w:eastAsia="Book Antiqua" w:hAnsi="Book Antiqua" w:cs="Book Antiqua"/>
          <w:b/>
          <w:bCs/>
          <w:color w:val="000000"/>
        </w:rPr>
        <w:t>Tyberg</w:t>
      </w:r>
      <w:proofErr w:type="spellEnd"/>
      <w:r w:rsidRPr="00DD186A">
        <w:rPr>
          <w:rFonts w:ascii="Book Antiqua" w:eastAsia="Book Antiqua" w:hAnsi="Book Antiqua" w:cs="Book Antiqua"/>
          <w:b/>
          <w:bCs/>
          <w:color w:val="000000"/>
        </w:rPr>
        <w:t xml:space="preserve"> A</w:t>
      </w:r>
      <w:r w:rsidRPr="00DD186A">
        <w:rPr>
          <w:rFonts w:ascii="Book Antiqua" w:eastAsia="Book Antiqua" w:hAnsi="Book Antiqua" w:cs="Book Antiqua"/>
          <w:color w:val="000000"/>
        </w:rPr>
        <w:t>, Perez-Miranda M, Sanchez-</w:t>
      </w:r>
      <w:proofErr w:type="spellStart"/>
      <w:r w:rsidRPr="00DD186A">
        <w:rPr>
          <w:rFonts w:ascii="Book Antiqua" w:eastAsia="Book Antiqua" w:hAnsi="Book Antiqua" w:cs="Book Antiqua"/>
          <w:color w:val="000000"/>
        </w:rPr>
        <w:t>Ocaña</w:t>
      </w:r>
      <w:proofErr w:type="spellEnd"/>
      <w:r w:rsidRPr="00DD186A">
        <w:rPr>
          <w:rFonts w:ascii="Book Antiqua" w:eastAsia="Book Antiqua" w:hAnsi="Book Antiqua" w:cs="Book Antiqua"/>
          <w:color w:val="000000"/>
        </w:rPr>
        <w:t xml:space="preserve"> R, </w:t>
      </w:r>
      <w:proofErr w:type="spellStart"/>
      <w:r w:rsidRPr="00DD186A">
        <w:rPr>
          <w:rFonts w:ascii="Book Antiqua" w:eastAsia="Book Antiqua" w:hAnsi="Book Antiqua" w:cs="Book Antiqua"/>
          <w:color w:val="000000"/>
        </w:rPr>
        <w:t>Peñas</w:t>
      </w:r>
      <w:proofErr w:type="spellEnd"/>
      <w:r w:rsidRPr="00DD186A">
        <w:rPr>
          <w:rFonts w:ascii="Book Antiqua" w:eastAsia="Book Antiqua" w:hAnsi="Book Antiqua" w:cs="Book Antiqua"/>
          <w:color w:val="000000"/>
        </w:rPr>
        <w:t xml:space="preserve"> I, de la Serna C, Shah J, </w:t>
      </w:r>
      <w:proofErr w:type="spellStart"/>
      <w:r w:rsidRPr="00DD186A">
        <w:rPr>
          <w:rFonts w:ascii="Book Antiqua" w:eastAsia="Book Antiqua" w:hAnsi="Book Antiqua" w:cs="Book Antiqua"/>
          <w:color w:val="000000"/>
        </w:rPr>
        <w:t>Binmoeller</w:t>
      </w:r>
      <w:proofErr w:type="spellEnd"/>
      <w:r w:rsidRPr="00DD186A">
        <w:rPr>
          <w:rFonts w:ascii="Book Antiqua" w:eastAsia="Book Antiqua" w:hAnsi="Book Antiqua" w:cs="Book Antiqua"/>
          <w:color w:val="000000"/>
        </w:rPr>
        <w:t xml:space="preserve"> K, </w:t>
      </w:r>
      <w:proofErr w:type="spellStart"/>
      <w:r w:rsidRPr="00DD186A">
        <w:rPr>
          <w:rFonts w:ascii="Book Antiqua" w:eastAsia="Book Antiqua" w:hAnsi="Book Antiqua" w:cs="Book Antiqua"/>
          <w:color w:val="000000"/>
        </w:rPr>
        <w:t>Gaidhane</w:t>
      </w:r>
      <w:proofErr w:type="spellEnd"/>
      <w:r w:rsidRPr="00DD186A">
        <w:rPr>
          <w:rFonts w:ascii="Book Antiqua" w:eastAsia="Book Antiqua" w:hAnsi="Book Antiqua" w:cs="Book Antiqua"/>
          <w:color w:val="000000"/>
        </w:rPr>
        <w:t xml:space="preserve"> M, Grimm I, Baron T, </w:t>
      </w:r>
      <w:proofErr w:type="spellStart"/>
      <w:r w:rsidRPr="00DD186A">
        <w:rPr>
          <w:rFonts w:ascii="Book Antiqua" w:eastAsia="Book Antiqua" w:hAnsi="Book Antiqua" w:cs="Book Antiqua"/>
          <w:color w:val="000000"/>
        </w:rPr>
        <w:t>Kahaleh</w:t>
      </w:r>
      <w:proofErr w:type="spellEnd"/>
      <w:r w:rsidRPr="00DD186A">
        <w:rPr>
          <w:rFonts w:ascii="Book Antiqua" w:eastAsia="Book Antiqua" w:hAnsi="Book Antiqua" w:cs="Book Antiqua"/>
          <w:color w:val="000000"/>
        </w:rPr>
        <w:t xml:space="preserve"> M. Endoscopic ultrasound-guided gastrojejunostomy with a lumen-apposing metal stent: a multicenter, international experience.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Int</w:t>
      </w:r>
      <w:proofErr w:type="spellEnd"/>
      <w:r w:rsidRPr="00DD186A">
        <w:rPr>
          <w:rFonts w:ascii="Book Antiqua" w:eastAsia="Book Antiqua" w:hAnsi="Book Antiqua" w:cs="Book Antiqua"/>
          <w:i/>
          <w:iCs/>
          <w:color w:val="000000"/>
        </w:rPr>
        <w:t xml:space="preserve"> Open</w:t>
      </w:r>
      <w:r w:rsidRPr="00DD186A">
        <w:rPr>
          <w:rFonts w:ascii="Book Antiqua" w:eastAsia="Book Antiqua" w:hAnsi="Book Antiqua" w:cs="Book Antiqua"/>
          <w:color w:val="000000"/>
        </w:rPr>
        <w:t xml:space="preserve"> 2016; </w:t>
      </w:r>
      <w:r w:rsidRPr="00DD186A">
        <w:rPr>
          <w:rFonts w:ascii="Book Antiqua" w:eastAsia="Book Antiqua" w:hAnsi="Book Antiqua" w:cs="Book Antiqua"/>
          <w:b/>
          <w:bCs/>
          <w:color w:val="000000"/>
        </w:rPr>
        <w:t>4</w:t>
      </w:r>
      <w:r w:rsidRPr="00DD186A">
        <w:rPr>
          <w:rFonts w:ascii="Book Antiqua" w:eastAsia="Book Antiqua" w:hAnsi="Book Antiqua" w:cs="Book Antiqua"/>
          <w:color w:val="000000"/>
        </w:rPr>
        <w:t>: E276-E281 [PMID: 27004243 DOI: 10.1055/s-0042-101789]</w:t>
      </w:r>
    </w:p>
    <w:p w14:paraId="17F470DC"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36 </w:t>
      </w:r>
      <w:r w:rsidRPr="00DD186A">
        <w:rPr>
          <w:rFonts w:ascii="Book Antiqua" w:eastAsia="Book Antiqua" w:hAnsi="Book Antiqua" w:cs="Book Antiqua"/>
          <w:b/>
          <w:bCs/>
          <w:color w:val="000000"/>
        </w:rPr>
        <w:t>Chen YI</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Kunda</w:t>
      </w:r>
      <w:proofErr w:type="spellEnd"/>
      <w:r w:rsidRPr="00DD186A">
        <w:rPr>
          <w:rFonts w:ascii="Book Antiqua" w:eastAsia="Book Antiqua" w:hAnsi="Book Antiqua" w:cs="Book Antiqua"/>
          <w:color w:val="000000"/>
        </w:rPr>
        <w:t xml:space="preserve"> R, Storm AC, </w:t>
      </w:r>
      <w:proofErr w:type="spellStart"/>
      <w:r w:rsidRPr="00DD186A">
        <w:rPr>
          <w:rFonts w:ascii="Book Antiqua" w:eastAsia="Book Antiqua" w:hAnsi="Book Antiqua" w:cs="Book Antiqua"/>
          <w:color w:val="000000"/>
        </w:rPr>
        <w:t>Aridi</w:t>
      </w:r>
      <w:proofErr w:type="spellEnd"/>
      <w:r w:rsidRPr="00DD186A">
        <w:rPr>
          <w:rFonts w:ascii="Book Antiqua" w:eastAsia="Book Antiqua" w:hAnsi="Book Antiqua" w:cs="Book Antiqua"/>
          <w:color w:val="000000"/>
        </w:rPr>
        <w:t xml:space="preserve"> HD, Thompson CC, Nieto J, James T, Irani S, Bukhari M, Gutierrez OB, Agarwal A, </w:t>
      </w:r>
      <w:proofErr w:type="spellStart"/>
      <w:r w:rsidRPr="00DD186A">
        <w:rPr>
          <w:rFonts w:ascii="Book Antiqua" w:eastAsia="Book Antiqua" w:hAnsi="Book Antiqua" w:cs="Book Antiqua"/>
          <w:color w:val="000000"/>
        </w:rPr>
        <w:t>Fayad</w:t>
      </w:r>
      <w:proofErr w:type="spellEnd"/>
      <w:r w:rsidRPr="00DD186A">
        <w:rPr>
          <w:rFonts w:ascii="Book Antiqua" w:eastAsia="Book Antiqua" w:hAnsi="Book Antiqua" w:cs="Book Antiqua"/>
          <w:color w:val="000000"/>
        </w:rPr>
        <w:t xml:space="preserve"> L, Moran R, </w:t>
      </w:r>
      <w:proofErr w:type="spellStart"/>
      <w:r w:rsidRPr="00DD186A">
        <w:rPr>
          <w:rFonts w:ascii="Book Antiqua" w:eastAsia="Book Antiqua" w:hAnsi="Book Antiqua" w:cs="Book Antiqua"/>
          <w:color w:val="000000"/>
        </w:rPr>
        <w:t>Alammar</w:t>
      </w:r>
      <w:proofErr w:type="spellEnd"/>
      <w:r w:rsidRPr="00DD186A">
        <w:rPr>
          <w:rFonts w:ascii="Book Antiqua" w:eastAsia="Book Antiqua" w:hAnsi="Book Antiqua" w:cs="Book Antiqua"/>
          <w:color w:val="000000"/>
        </w:rPr>
        <w:t xml:space="preserve"> N, </w:t>
      </w:r>
      <w:proofErr w:type="spellStart"/>
      <w:r w:rsidRPr="00DD186A">
        <w:rPr>
          <w:rFonts w:ascii="Book Antiqua" w:eastAsia="Book Antiqua" w:hAnsi="Book Antiqua" w:cs="Book Antiqua"/>
          <w:color w:val="000000"/>
        </w:rPr>
        <w:t>Sanaei</w:t>
      </w:r>
      <w:proofErr w:type="spellEnd"/>
      <w:r w:rsidRPr="00DD186A">
        <w:rPr>
          <w:rFonts w:ascii="Book Antiqua" w:eastAsia="Book Antiqua" w:hAnsi="Book Antiqua" w:cs="Book Antiqua"/>
          <w:color w:val="000000"/>
        </w:rPr>
        <w:t xml:space="preserve"> O, Canto MI, Singh VK, Baron TH, </w:t>
      </w:r>
      <w:proofErr w:type="spellStart"/>
      <w:r w:rsidRPr="00DD186A">
        <w:rPr>
          <w:rFonts w:ascii="Book Antiqua" w:eastAsia="Book Antiqua" w:hAnsi="Book Antiqua" w:cs="Book Antiqua"/>
          <w:color w:val="000000"/>
        </w:rPr>
        <w:t>Khashab</w:t>
      </w:r>
      <w:proofErr w:type="spellEnd"/>
      <w:r w:rsidRPr="00DD186A">
        <w:rPr>
          <w:rFonts w:ascii="Book Antiqua" w:eastAsia="Book Antiqua" w:hAnsi="Book Antiqua" w:cs="Book Antiqua"/>
          <w:color w:val="000000"/>
        </w:rPr>
        <w:t xml:space="preserve"> MA. EUS-guided gastroenterostomy: a multicenter study comparing the direct and balloon-assisted techniques.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2018; </w:t>
      </w:r>
      <w:r w:rsidRPr="00DD186A">
        <w:rPr>
          <w:rFonts w:ascii="Book Antiqua" w:eastAsia="Book Antiqua" w:hAnsi="Book Antiqua" w:cs="Book Antiqua"/>
          <w:b/>
          <w:bCs/>
          <w:color w:val="000000"/>
        </w:rPr>
        <w:t>87</w:t>
      </w:r>
      <w:r w:rsidRPr="00DD186A">
        <w:rPr>
          <w:rFonts w:ascii="Book Antiqua" w:eastAsia="Book Antiqua" w:hAnsi="Book Antiqua" w:cs="Book Antiqua"/>
          <w:color w:val="000000"/>
        </w:rPr>
        <w:t>: 1215-1221 [PMID: 28750837 DOI: 10.1016/j.gie.2017.07.030]</w:t>
      </w:r>
    </w:p>
    <w:p w14:paraId="179A64E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37 </w:t>
      </w:r>
      <w:r w:rsidRPr="00DD186A">
        <w:rPr>
          <w:rFonts w:ascii="Book Antiqua" w:eastAsia="Book Antiqua" w:hAnsi="Book Antiqua" w:cs="Book Antiqua"/>
          <w:b/>
          <w:bCs/>
          <w:color w:val="000000"/>
        </w:rPr>
        <w:t>Ge PS</w:t>
      </w:r>
      <w:r w:rsidRPr="00DD186A">
        <w:rPr>
          <w:rFonts w:ascii="Book Antiqua" w:eastAsia="Book Antiqua" w:hAnsi="Book Antiqua" w:cs="Book Antiqua"/>
          <w:color w:val="000000"/>
        </w:rPr>
        <w:t xml:space="preserve">, Young JY, Dong W, Thompson CC. EUS-guided gastroenterostomy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enteral stent placement for palliation of malignant gastric outlet obstruction. </w:t>
      </w:r>
      <w:proofErr w:type="spellStart"/>
      <w:r w:rsidRPr="00DD186A">
        <w:rPr>
          <w:rFonts w:ascii="Book Antiqua" w:eastAsia="Book Antiqua" w:hAnsi="Book Antiqua" w:cs="Book Antiqua"/>
          <w:i/>
          <w:iCs/>
          <w:color w:val="000000"/>
        </w:rPr>
        <w:t>Surg</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2019; </w:t>
      </w:r>
      <w:r w:rsidRPr="00DD186A">
        <w:rPr>
          <w:rFonts w:ascii="Book Antiqua" w:eastAsia="Book Antiqua" w:hAnsi="Book Antiqua" w:cs="Book Antiqua"/>
          <w:b/>
          <w:bCs/>
          <w:color w:val="000000"/>
        </w:rPr>
        <w:t>33</w:t>
      </w:r>
      <w:r w:rsidRPr="00DD186A">
        <w:rPr>
          <w:rFonts w:ascii="Book Antiqua" w:eastAsia="Book Antiqua" w:hAnsi="Book Antiqua" w:cs="Book Antiqua"/>
          <w:color w:val="000000"/>
        </w:rPr>
        <w:t>: 3404-3411 [PMID: 30725254 DOI: 10.1007/s00464-018-06636-3]</w:t>
      </w:r>
    </w:p>
    <w:p w14:paraId="191E394E"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38 </w:t>
      </w:r>
      <w:proofErr w:type="spellStart"/>
      <w:r w:rsidRPr="00DD186A">
        <w:rPr>
          <w:rFonts w:ascii="Book Antiqua" w:eastAsia="Book Antiqua" w:hAnsi="Book Antiqua" w:cs="Book Antiqua"/>
          <w:b/>
          <w:bCs/>
          <w:color w:val="000000"/>
        </w:rPr>
        <w:t>Kerdsirichairat</w:t>
      </w:r>
      <w:proofErr w:type="spellEnd"/>
      <w:r w:rsidRPr="00DD186A">
        <w:rPr>
          <w:rFonts w:ascii="Book Antiqua" w:eastAsia="Book Antiqua" w:hAnsi="Book Antiqua" w:cs="Book Antiqua"/>
          <w:b/>
          <w:bCs/>
          <w:color w:val="000000"/>
        </w:rPr>
        <w:t xml:space="preserve"> T</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Irani</w:t>
      </w:r>
      <w:proofErr w:type="spellEnd"/>
      <w:r w:rsidRPr="00DD186A">
        <w:rPr>
          <w:rFonts w:ascii="Book Antiqua" w:eastAsia="Book Antiqua" w:hAnsi="Book Antiqua" w:cs="Book Antiqua"/>
          <w:color w:val="000000"/>
        </w:rPr>
        <w:t xml:space="preserve"> S, Yang J, Brewer Gutierrez OI, Moran R, </w:t>
      </w:r>
      <w:proofErr w:type="spellStart"/>
      <w:r w:rsidRPr="00DD186A">
        <w:rPr>
          <w:rFonts w:ascii="Book Antiqua" w:eastAsia="Book Antiqua" w:hAnsi="Book Antiqua" w:cs="Book Antiqua"/>
          <w:color w:val="000000"/>
        </w:rPr>
        <w:t>Sanaei</w:t>
      </w:r>
      <w:proofErr w:type="spellEnd"/>
      <w:r w:rsidRPr="00DD186A">
        <w:rPr>
          <w:rFonts w:ascii="Book Antiqua" w:eastAsia="Book Antiqua" w:hAnsi="Book Antiqua" w:cs="Book Antiqua"/>
          <w:color w:val="000000"/>
        </w:rPr>
        <w:t xml:space="preserve"> O, </w:t>
      </w:r>
      <w:proofErr w:type="spellStart"/>
      <w:r w:rsidRPr="00DD186A">
        <w:rPr>
          <w:rFonts w:ascii="Book Antiqua" w:eastAsia="Book Antiqua" w:hAnsi="Book Antiqua" w:cs="Book Antiqua"/>
          <w:color w:val="000000"/>
        </w:rPr>
        <w:t>Dbouk</w:t>
      </w:r>
      <w:proofErr w:type="spellEnd"/>
      <w:r w:rsidRPr="00DD186A">
        <w:rPr>
          <w:rFonts w:ascii="Book Antiqua" w:eastAsia="Book Antiqua" w:hAnsi="Book Antiqua" w:cs="Book Antiqua"/>
          <w:color w:val="000000"/>
        </w:rPr>
        <w:t xml:space="preserve"> M, </w:t>
      </w:r>
      <w:proofErr w:type="spellStart"/>
      <w:r w:rsidRPr="00DD186A">
        <w:rPr>
          <w:rFonts w:ascii="Book Antiqua" w:eastAsia="Book Antiqua" w:hAnsi="Book Antiqua" w:cs="Book Antiqua"/>
          <w:color w:val="000000"/>
        </w:rPr>
        <w:t>Kumbhari</w:t>
      </w:r>
      <w:proofErr w:type="spellEnd"/>
      <w:r w:rsidRPr="00DD186A">
        <w:rPr>
          <w:rFonts w:ascii="Book Antiqua" w:eastAsia="Book Antiqua" w:hAnsi="Book Antiqua" w:cs="Book Antiqua"/>
          <w:color w:val="000000"/>
        </w:rPr>
        <w:t xml:space="preserve"> V, Singh VK, </w:t>
      </w:r>
      <w:proofErr w:type="spellStart"/>
      <w:r w:rsidRPr="00DD186A">
        <w:rPr>
          <w:rFonts w:ascii="Book Antiqua" w:eastAsia="Book Antiqua" w:hAnsi="Book Antiqua" w:cs="Book Antiqua"/>
          <w:color w:val="000000"/>
        </w:rPr>
        <w:t>Kalloo</w:t>
      </w:r>
      <w:proofErr w:type="spellEnd"/>
      <w:r w:rsidRPr="00DD186A">
        <w:rPr>
          <w:rFonts w:ascii="Book Antiqua" w:eastAsia="Book Antiqua" w:hAnsi="Book Antiqua" w:cs="Book Antiqua"/>
          <w:color w:val="000000"/>
        </w:rPr>
        <w:t xml:space="preserve"> AN, </w:t>
      </w:r>
      <w:proofErr w:type="spellStart"/>
      <w:r w:rsidRPr="00DD186A">
        <w:rPr>
          <w:rFonts w:ascii="Book Antiqua" w:eastAsia="Book Antiqua" w:hAnsi="Book Antiqua" w:cs="Book Antiqua"/>
          <w:color w:val="000000"/>
        </w:rPr>
        <w:t>Khashab</w:t>
      </w:r>
      <w:proofErr w:type="spellEnd"/>
      <w:r w:rsidRPr="00DD186A">
        <w:rPr>
          <w:rFonts w:ascii="Book Antiqua" w:eastAsia="Book Antiqua" w:hAnsi="Book Antiqua" w:cs="Book Antiqua"/>
          <w:color w:val="000000"/>
        </w:rPr>
        <w:t xml:space="preserve"> MA. Durability and long-term outcomes of direct EUS-guided gastroenterostomy using lumen-apposing metal stents for gastric outlet obstruction.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Int</w:t>
      </w:r>
      <w:proofErr w:type="spellEnd"/>
      <w:r w:rsidRPr="00DD186A">
        <w:rPr>
          <w:rFonts w:ascii="Book Antiqua" w:eastAsia="Book Antiqua" w:hAnsi="Book Antiqua" w:cs="Book Antiqua"/>
          <w:i/>
          <w:iCs/>
          <w:color w:val="000000"/>
        </w:rPr>
        <w:t xml:space="preserve"> Open</w:t>
      </w:r>
      <w:r w:rsidRPr="00DD186A">
        <w:rPr>
          <w:rFonts w:ascii="Book Antiqua" w:eastAsia="Book Antiqua" w:hAnsi="Book Antiqua" w:cs="Book Antiqua"/>
          <w:color w:val="000000"/>
        </w:rPr>
        <w:t xml:space="preserve"> 2019; </w:t>
      </w:r>
      <w:r w:rsidRPr="00DD186A">
        <w:rPr>
          <w:rFonts w:ascii="Book Antiqua" w:eastAsia="Book Antiqua" w:hAnsi="Book Antiqua" w:cs="Book Antiqua"/>
          <w:b/>
          <w:bCs/>
          <w:color w:val="000000"/>
        </w:rPr>
        <w:t>7</w:t>
      </w:r>
      <w:r w:rsidRPr="00DD186A">
        <w:rPr>
          <w:rFonts w:ascii="Book Antiqua" w:eastAsia="Book Antiqua" w:hAnsi="Book Antiqua" w:cs="Book Antiqua"/>
          <w:color w:val="000000"/>
        </w:rPr>
        <w:t>: E144-E150 [PMID: 30705945 DOI: 10.1055/a-0799-9939]</w:t>
      </w:r>
    </w:p>
    <w:p w14:paraId="3789261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39 </w:t>
      </w:r>
      <w:r w:rsidRPr="00DD186A">
        <w:rPr>
          <w:rFonts w:ascii="Book Antiqua" w:eastAsia="Book Antiqua" w:hAnsi="Book Antiqua" w:cs="Book Antiqua"/>
          <w:b/>
          <w:bCs/>
          <w:color w:val="000000"/>
        </w:rPr>
        <w:t>Jovani M</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Ichkhanian</w:t>
      </w:r>
      <w:proofErr w:type="spellEnd"/>
      <w:r w:rsidRPr="00DD186A">
        <w:rPr>
          <w:rFonts w:ascii="Book Antiqua" w:eastAsia="Book Antiqua" w:hAnsi="Book Antiqua" w:cs="Book Antiqua"/>
          <w:color w:val="000000"/>
        </w:rPr>
        <w:t xml:space="preserve"> Y, </w:t>
      </w:r>
      <w:proofErr w:type="spellStart"/>
      <w:r w:rsidRPr="00DD186A">
        <w:rPr>
          <w:rFonts w:ascii="Book Antiqua" w:eastAsia="Book Antiqua" w:hAnsi="Book Antiqua" w:cs="Book Antiqua"/>
          <w:color w:val="000000"/>
        </w:rPr>
        <w:t>Parsa</w:t>
      </w:r>
      <w:proofErr w:type="spellEnd"/>
      <w:r w:rsidRPr="00DD186A">
        <w:rPr>
          <w:rFonts w:ascii="Book Antiqua" w:eastAsia="Book Antiqua" w:hAnsi="Book Antiqua" w:cs="Book Antiqua"/>
          <w:color w:val="000000"/>
        </w:rPr>
        <w:t xml:space="preserve"> N, Singh S, Brewer Gutierrez OI, Keane MG, Al </w:t>
      </w:r>
      <w:proofErr w:type="spellStart"/>
      <w:r w:rsidRPr="00DD186A">
        <w:rPr>
          <w:rFonts w:ascii="Book Antiqua" w:eastAsia="Book Antiqua" w:hAnsi="Book Antiqua" w:cs="Book Antiqua"/>
          <w:color w:val="000000"/>
        </w:rPr>
        <w:t>Ghamdi</w:t>
      </w:r>
      <w:proofErr w:type="spellEnd"/>
      <w:r w:rsidRPr="00DD186A">
        <w:rPr>
          <w:rFonts w:ascii="Book Antiqua" w:eastAsia="Book Antiqua" w:hAnsi="Book Antiqua" w:cs="Book Antiqua"/>
          <w:color w:val="000000"/>
        </w:rPr>
        <w:t xml:space="preserve"> SS, </w:t>
      </w:r>
      <w:proofErr w:type="spellStart"/>
      <w:r w:rsidRPr="00DD186A">
        <w:rPr>
          <w:rFonts w:ascii="Book Antiqua" w:eastAsia="Book Antiqua" w:hAnsi="Book Antiqua" w:cs="Book Antiqua"/>
          <w:color w:val="000000"/>
        </w:rPr>
        <w:t>Ngamruengphong</w:t>
      </w:r>
      <w:proofErr w:type="spellEnd"/>
      <w:r w:rsidRPr="00DD186A">
        <w:rPr>
          <w:rFonts w:ascii="Book Antiqua" w:eastAsia="Book Antiqua" w:hAnsi="Book Antiqua" w:cs="Book Antiqua"/>
          <w:color w:val="000000"/>
        </w:rPr>
        <w:t xml:space="preserve"> S, </w:t>
      </w:r>
      <w:proofErr w:type="spellStart"/>
      <w:r w:rsidRPr="00DD186A">
        <w:rPr>
          <w:rFonts w:ascii="Book Antiqua" w:eastAsia="Book Antiqua" w:hAnsi="Book Antiqua" w:cs="Book Antiqua"/>
          <w:color w:val="000000"/>
        </w:rPr>
        <w:t>Kumbhari</w:t>
      </w:r>
      <w:proofErr w:type="spellEnd"/>
      <w:r w:rsidRPr="00DD186A">
        <w:rPr>
          <w:rFonts w:ascii="Book Antiqua" w:eastAsia="Book Antiqua" w:hAnsi="Book Antiqua" w:cs="Book Antiqua"/>
          <w:color w:val="000000"/>
        </w:rPr>
        <w:t xml:space="preserve"> V, </w:t>
      </w:r>
      <w:proofErr w:type="spellStart"/>
      <w:r w:rsidRPr="00DD186A">
        <w:rPr>
          <w:rFonts w:ascii="Book Antiqua" w:eastAsia="Book Antiqua" w:hAnsi="Book Antiqua" w:cs="Book Antiqua"/>
          <w:color w:val="000000"/>
        </w:rPr>
        <w:t>Khashab</w:t>
      </w:r>
      <w:proofErr w:type="spellEnd"/>
      <w:r w:rsidRPr="00DD186A">
        <w:rPr>
          <w:rFonts w:ascii="Book Antiqua" w:eastAsia="Book Antiqua" w:hAnsi="Book Antiqua" w:cs="Book Antiqua"/>
          <w:color w:val="000000"/>
        </w:rPr>
        <w:t xml:space="preserve"> MA. Assessment of the learning curve for EUS-guided gastroenterostomy for a single operator.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2021; </w:t>
      </w:r>
      <w:r w:rsidRPr="00DD186A">
        <w:rPr>
          <w:rFonts w:ascii="Book Antiqua" w:eastAsia="Book Antiqua" w:hAnsi="Book Antiqua" w:cs="Book Antiqua"/>
          <w:b/>
          <w:bCs/>
          <w:color w:val="000000"/>
        </w:rPr>
        <w:t>93</w:t>
      </w:r>
      <w:r w:rsidRPr="00DD186A">
        <w:rPr>
          <w:rFonts w:ascii="Book Antiqua" w:eastAsia="Book Antiqua" w:hAnsi="Book Antiqua" w:cs="Book Antiqua"/>
          <w:color w:val="000000"/>
        </w:rPr>
        <w:t>: 1088-1093 [PMID: 32991868 DOI: 10.1016/j.gie.2020.09.041]</w:t>
      </w:r>
    </w:p>
    <w:p w14:paraId="23867E5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40 </w:t>
      </w:r>
      <w:r w:rsidRPr="00DD186A">
        <w:rPr>
          <w:rFonts w:ascii="Book Antiqua" w:eastAsia="Book Antiqua" w:hAnsi="Book Antiqua" w:cs="Book Antiqua"/>
          <w:b/>
          <w:bCs/>
          <w:color w:val="000000"/>
        </w:rPr>
        <w:t>James TW</w:t>
      </w:r>
      <w:r w:rsidRPr="00DD186A">
        <w:rPr>
          <w:rFonts w:ascii="Book Antiqua" w:eastAsia="Book Antiqua" w:hAnsi="Book Antiqua" w:cs="Book Antiqua"/>
          <w:color w:val="000000"/>
        </w:rPr>
        <w:t xml:space="preserve">, Greenberg S, Grimm IS, Baron TH. EUS-guided gastroenteric anastomosis as a bridge to definitive treatment in benign gastric outlet obstruction. </w:t>
      </w:r>
      <w:proofErr w:type="spellStart"/>
      <w:r w:rsidRPr="00DD186A">
        <w:rPr>
          <w:rFonts w:ascii="Book Antiqua" w:eastAsia="Book Antiqua" w:hAnsi="Book Antiqua" w:cs="Book Antiqua"/>
          <w:i/>
          <w:iCs/>
          <w:color w:val="000000"/>
        </w:rPr>
        <w:t>Gastrointest</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2020; </w:t>
      </w:r>
      <w:r w:rsidRPr="00DD186A">
        <w:rPr>
          <w:rFonts w:ascii="Book Antiqua" w:eastAsia="Book Antiqua" w:hAnsi="Book Antiqua" w:cs="Book Antiqua"/>
          <w:b/>
          <w:bCs/>
          <w:color w:val="000000"/>
        </w:rPr>
        <w:t>91</w:t>
      </w:r>
      <w:r w:rsidRPr="00DD186A">
        <w:rPr>
          <w:rFonts w:ascii="Book Antiqua" w:eastAsia="Book Antiqua" w:hAnsi="Book Antiqua" w:cs="Book Antiqua"/>
          <w:color w:val="000000"/>
        </w:rPr>
        <w:t>: 537-542 [PMID: 31759034 DOI: 10.1016/j.gie.2019.11.017]</w:t>
      </w:r>
    </w:p>
    <w:p w14:paraId="79A9CED5"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lastRenderedPageBreak/>
        <w:t xml:space="preserve">41 </w:t>
      </w:r>
      <w:proofErr w:type="spellStart"/>
      <w:r w:rsidRPr="00DD186A">
        <w:rPr>
          <w:rFonts w:ascii="Book Antiqua" w:eastAsia="Book Antiqua" w:hAnsi="Book Antiqua" w:cs="Book Antiqua"/>
          <w:b/>
          <w:bCs/>
          <w:color w:val="000000"/>
        </w:rPr>
        <w:t>Khashab</w:t>
      </w:r>
      <w:proofErr w:type="spellEnd"/>
      <w:r w:rsidRPr="00DD186A">
        <w:rPr>
          <w:rFonts w:ascii="Book Antiqua" w:eastAsia="Book Antiqua" w:hAnsi="Book Antiqua" w:cs="Book Antiqua"/>
          <w:b/>
          <w:bCs/>
          <w:color w:val="000000"/>
        </w:rPr>
        <w:t xml:space="preserve"> MA</w:t>
      </w:r>
      <w:r w:rsidRPr="00DD186A">
        <w:rPr>
          <w:rFonts w:ascii="Book Antiqua" w:eastAsia="Book Antiqua" w:hAnsi="Book Antiqua" w:cs="Book Antiqua"/>
          <w:color w:val="000000"/>
        </w:rPr>
        <w:t xml:space="preserve">, Bukhari M, Baron TH, Nieto J, El Zein M, Chen YI, Chavez YH, </w:t>
      </w:r>
      <w:proofErr w:type="spellStart"/>
      <w:r w:rsidRPr="00DD186A">
        <w:rPr>
          <w:rFonts w:ascii="Book Antiqua" w:eastAsia="Book Antiqua" w:hAnsi="Book Antiqua" w:cs="Book Antiqua"/>
          <w:color w:val="000000"/>
        </w:rPr>
        <w:t>Ngamruengphong</w:t>
      </w:r>
      <w:proofErr w:type="spellEnd"/>
      <w:r w:rsidRPr="00DD186A">
        <w:rPr>
          <w:rFonts w:ascii="Book Antiqua" w:eastAsia="Book Antiqua" w:hAnsi="Book Antiqua" w:cs="Book Antiqua"/>
          <w:color w:val="000000"/>
        </w:rPr>
        <w:t xml:space="preserve"> S, </w:t>
      </w:r>
      <w:proofErr w:type="spellStart"/>
      <w:r w:rsidRPr="00DD186A">
        <w:rPr>
          <w:rFonts w:ascii="Book Antiqua" w:eastAsia="Book Antiqua" w:hAnsi="Book Antiqua" w:cs="Book Antiqua"/>
          <w:color w:val="000000"/>
        </w:rPr>
        <w:t>Alawad</w:t>
      </w:r>
      <w:proofErr w:type="spellEnd"/>
      <w:r w:rsidRPr="00DD186A">
        <w:rPr>
          <w:rFonts w:ascii="Book Antiqua" w:eastAsia="Book Antiqua" w:hAnsi="Book Antiqua" w:cs="Book Antiqua"/>
          <w:color w:val="000000"/>
        </w:rPr>
        <w:t xml:space="preserve"> AS, </w:t>
      </w:r>
      <w:proofErr w:type="spellStart"/>
      <w:r w:rsidRPr="00DD186A">
        <w:rPr>
          <w:rFonts w:ascii="Book Antiqua" w:eastAsia="Book Antiqua" w:hAnsi="Book Antiqua" w:cs="Book Antiqua"/>
          <w:color w:val="000000"/>
        </w:rPr>
        <w:t>Kumbhari</w:t>
      </w:r>
      <w:proofErr w:type="spellEnd"/>
      <w:r w:rsidRPr="00DD186A">
        <w:rPr>
          <w:rFonts w:ascii="Book Antiqua" w:eastAsia="Book Antiqua" w:hAnsi="Book Antiqua" w:cs="Book Antiqua"/>
          <w:color w:val="000000"/>
        </w:rPr>
        <w:t xml:space="preserve"> V, </w:t>
      </w:r>
      <w:proofErr w:type="spellStart"/>
      <w:r w:rsidRPr="00DD186A">
        <w:rPr>
          <w:rFonts w:ascii="Book Antiqua" w:eastAsia="Book Antiqua" w:hAnsi="Book Antiqua" w:cs="Book Antiqua"/>
          <w:color w:val="000000"/>
        </w:rPr>
        <w:t>Itoi</w:t>
      </w:r>
      <w:proofErr w:type="spellEnd"/>
      <w:r w:rsidRPr="00DD186A">
        <w:rPr>
          <w:rFonts w:ascii="Book Antiqua" w:eastAsia="Book Antiqua" w:hAnsi="Book Antiqua" w:cs="Book Antiqua"/>
          <w:color w:val="000000"/>
        </w:rPr>
        <w:t xml:space="preserve"> T. International multicenter comparative trial of endoscopic ultrasonography-guided gastroenterostomy </w:t>
      </w:r>
      <w:r w:rsidRPr="00DD186A">
        <w:rPr>
          <w:rFonts w:ascii="Book Antiqua" w:eastAsia="Book Antiqua" w:hAnsi="Book Antiqua" w:cs="Book Antiqua"/>
          <w:i/>
          <w:iCs/>
          <w:color w:val="000000"/>
        </w:rPr>
        <w:t>vs</w:t>
      </w:r>
      <w:r w:rsidRPr="00DD186A">
        <w:rPr>
          <w:rFonts w:ascii="Book Antiqua" w:eastAsia="Book Antiqua" w:hAnsi="Book Antiqua" w:cs="Book Antiqua"/>
          <w:color w:val="000000"/>
        </w:rPr>
        <w:t xml:space="preserve"> surgical gastrojejunostomy for the treatment of malignant gastric outlet obstruction.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Int</w:t>
      </w:r>
      <w:proofErr w:type="spellEnd"/>
      <w:r w:rsidRPr="00DD186A">
        <w:rPr>
          <w:rFonts w:ascii="Book Antiqua" w:eastAsia="Book Antiqua" w:hAnsi="Book Antiqua" w:cs="Book Antiqua"/>
          <w:i/>
          <w:iCs/>
          <w:color w:val="000000"/>
        </w:rPr>
        <w:t xml:space="preserve"> Open</w:t>
      </w:r>
      <w:r w:rsidRPr="00DD186A">
        <w:rPr>
          <w:rFonts w:ascii="Book Antiqua" w:eastAsia="Book Antiqua" w:hAnsi="Book Antiqua" w:cs="Book Antiqua"/>
          <w:color w:val="000000"/>
        </w:rPr>
        <w:t xml:space="preserve"> 2017; </w:t>
      </w:r>
      <w:r w:rsidRPr="00DD186A">
        <w:rPr>
          <w:rFonts w:ascii="Book Antiqua" w:eastAsia="Book Antiqua" w:hAnsi="Book Antiqua" w:cs="Book Antiqua"/>
          <w:b/>
          <w:bCs/>
          <w:color w:val="000000"/>
        </w:rPr>
        <w:t>5</w:t>
      </w:r>
      <w:r w:rsidRPr="00DD186A">
        <w:rPr>
          <w:rFonts w:ascii="Book Antiqua" w:eastAsia="Book Antiqua" w:hAnsi="Book Antiqua" w:cs="Book Antiqua"/>
          <w:color w:val="000000"/>
        </w:rPr>
        <w:t>: E275-E281 [PMID: 28382326 DOI: 10.1055/s-0043-101695]</w:t>
      </w:r>
    </w:p>
    <w:p w14:paraId="0270AB8E"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42 </w:t>
      </w:r>
      <w:r w:rsidRPr="00DD186A">
        <w:rPr>
          <w:rFonts w:ascii="Book Antiqua" w:eastAsia="Book Antiqua" w:hAnsi="Book Antiqua" w:cs="Book Antiqua"/>
          <w:b/>
          <w:bCs/>
          <w:color w:val="000000"/>
        </w:rPr>
        <w:t>Perez-Miranda M</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Tyberg</w:t>
      </w:r>
      <w:proofErr w:type="spellEnd"/>
      <w:r w:rsidRPr="00DD186A">
        <w:rPr>
          <w:rFonts w:ascii="Book Antiqua" w:eastAsia="Book Antiqua" w:hAnsi="Book Antiqua" w:cs="Book Antiqua"/>
          <w:color w:val="000000"/>
        </w:rPr>
        <w:t xml:space="preserve"> A, </w:t>
      </w:r>
      <w:proofErr w:type="spellStart"/>
      <w:r w:rsidRPr="00DD186A">
        <w:rPr>
          <w:rFonts w:ascii="Book Antiqua" w:eastAsia="Book Antiqua" w:hAnsi="Book Antiqua" w:cs="Book Antiqua"/>
          <w:color w:val="000000"/>
        </w:rPr>
        <w:t>Poletto</w:t>
      </w:r>
      <w:proofErr w:type="spellEnd"/>
      <w:r w:rsidRPr="00DD186A">
        <w:rPr>
          <w:rFonts w:ascii="Book Antiqua" w:eastAsia="Book Antiqua" w:hAnsi="Book Antiqua" w:cs="Book Antiqua"/>
          <w:color w:val="000000"/>
        </w:rPr>
        <w:t xml:space="preserve"> D, </w:t>
      </w:r>
      <w:proofErr w:type="spellStart"/>
      <w:r w:rsidRPr="00DD186A">
        <w:rPr>
          <w:rFonts w:ascii="Book Antiqua" w:eastAsia="Book Antiqua" w:hAnsi="Book Antiqua" w:cs="Book Antiqua"/>
          <w:color w:val="000000"/>
        </w:rPr>
        <w:t>Toscano</w:t>
      </w:r>
      <w:proofErr w:type="spellEnd"/>
      <w:r w:rsidRPr="00DD186A">
        <w:rPr>
          <w:rFonts w:ascii="Book Antiqua" w:eastAsia="Book Antiqua" w:hAnsi="Book Antiqua" w:cs="Book Antiqua"/>
          <w:color w:val="000000"/>
        </w:rPr>
        <w:t xml:space="preserve"> E, </w:t>
      </w:r>
      <w:proofErr w:type="spellStart"/>
      <w:r w:rsidRPr="00DD186A">
        <w:rPr>
          <w:rFonts w:ascii="Book Antiqua" w:eastAsia="Book Antiqua" w:hAnsi="Book Antiqua" w:cs="Book Antiqua"/>
          <w:color w:val="000000"/>
        </w:rPr>
        <w:t>Gaidhane</w:t>
      </w:r>
      <w:proofErr w:type="spellEnd"/>
      <w:r w:rsidRPr="00DD186A">
        <w:rPr>
          <w:rFonts w:ascii="Book Antiqua" w:eastAsia="Book Antiqua" w:hAnsi="Book Antiqua" w:cs="Book Antiqua"/>
          <w:color w:val="000000"/>
        </w:rPr>
        <w:t xml:space="preserve"> M, Desai AP, </w:t>
      </w:r>
      <w:proofErr w:type="spellStart"/>
      <w:r w:rsidRPr="00DD186A">
        <w:rPr>
          <w:rFonts w:ascii="Book Antiqua" w:eastAsia="Book Antiqua" w:hAnsi="Book Antiqua" w:cs="Book Antiqua"/>
          <w:color w:val="000000"/>
        </w:rPr>
        <w:t>Kumta</w:t>
      </w:r>
      <w:proofErr w:type="spellEnd"/>
      <w:r w:rsidRPr="00DD186A">
        <w:rPr>
          <w:rFonts w:ascii="Book Antiqua" w:eastAsia="Book Antiqua" w:hAnsi="Book Antiqua" w:cs="Book Antiqua"/>
          <w:color w:val="000000"/>
        </w:rPr>
        <w:t xml:space="preserve"> NA, </w:t>
      </w:r>
      <w:proofErr w:type="spellStart"/>
      <w:r w:rsidRPr="00DD186A">
        <w:rPr>
          <w:rFonts w:ascii="Book Antiqua" w:eastAsia="Book Antiqua" w:hAnsi="Book Antiqua" w:cs="Book Antiqua"/>
          <w:color w:val="000000"/>
        </w:rPr>
        <w:t>Fayad</w:t>
      </w:r>
      <w:proofErr w:type="spellEnd"/>
      <w:r w:rsidRPr="00DD186A">
        <w:rPr>
          <w:rFonts w:ascii="Book Antiqua" w:eastAsia="Book Antiqua" w:hAnsi="Book Antiqua" w:cs="Book Antiqua"/>
          <w:color w:val="000000"/>
        </w:rPr>
        <w:t xml:space="preserve"> L, Nieto J, </w:t>
      </w:r>
      <w:proofErr w:type="spellStart"/>
      <w:r w:rsidRPr="00DD186A">
        <w:rPr>
          <w:rFonts w:ascii="Book Antiqua" w:eastAsia="Book Antiqua" w:hAnsi="Book Antiqua" w:cs="Book Antiqua"/>
          <w:color w:val="000000"/>
        </w:rPr>
        <w:t>Barthet</w:t>
      </w:r>
      <w:proofErr w:type="spellEnd"/>
      <w:r w:rsidRPr="00DD186A">
        <w:rPr>
          <w:rFonts w:ascii="Book Antiqua" w:eastAsia="Book Antiqua" w:hAnsi="Book Antiqua" w:cs="Book Antiqua"/>
          <w:color w:val="000000"/>
        </w:rPr>
        <w:t xml:space="preserve"> M, Shah R, </w:t>
      </w:r>
      <w:proofErr w:type="spellStart"/>
      <w:r w:rsidRPr="00DD186A">
        <w:rPr>
          <w:rFonts w:ascii="Book Antiqua" w:eastAsia="Book Antiqua" w:hAnsi="Book Antiqua" w:cs="Book Antiqua"/>
          <w:color w:val="000000"/>
        </w:rPr>
        <w:t>Brauer</w:t>
      </w:r>
      <w:proofErr w:type="spellEnd"/>
      <w:r w:rsidRPr="00DD186A">
        <w:rPr>
          <w:rFonts w:ascii="Book Antiqua" w:eastAsia="Book Antiqua" w:hAnsi="Book Antiqua" w:cs="Book Antiqua"/>
          <w:color w:val="000000"/>
        </w:rPr>
        <w:t xml:space="preserve"> BC, </w:t>
      </w:r>
      <w:proofErr w:type="spellStart"/>
      <w:r w:rsidRPr="00DD186A">
        <w:rPr>
          <w:rFonts w:ascii="Book Antiqua" w:eastAsia="Book Antiqua" w:hAnsi="Book Antiqua" w:cs="Book Antiqua"/>
          <w:color w:val="000000"/>
        </w:rPr>
        <w:t>Sharaiha</w:t>
      </w:r>
      <w:proofErr w:type="spellEnd"/>
      <w:r w:rsidRPr="00DD186A">
        <w:rPr>
          <w:rFonts w:ascii="Book Antiqua" w:eastAsia="Book Antiqua" w:hAnsi="Book Antiqua" w:cs="Book Antiqua"/>
          <w:color w:val="000000"/>
        </w:rPr>
        <w:t xml:space="preserve"> RZ, </w:t>
      </w:r>
      <w:proofErr w:type="spellStart"/>
      <w:r w:rsidRPr="00DD186A">
        <w:rPr>
          <w:rFonts w:ascii="Book Antiqua" w:eastAsia="Book Antiqua" w:hAnsi="Book Antiqua" w:cs="Book Antiqua"/>
          <w:color w:val="000000"/>
        </w:rPr>
        <w:t>Kahaleh</w:t>
      </w:r>
      <w:proofErr w:type="spellEnd"/>
      <w:r w:rsidRPr="00DD186A">
        <w:rPr>
          <w:rFonts w:ascii="Book Antiqua" w:eastAsia="Book Antiqua" w:hAnsi="Book Antiqua" w:cs="Book Antiqua"/>
          <w:color w:val="000000"/>
        </w:rPr>
        <w:t xml:space="preserve"> M. EUS-guided Gastrojejunostomy Versus Laparoscopic Gastrojejunostomy: An International Collaborative Study. </w:t>
      </w:r>
      <w:r w:rsidRPr="00DD186A">
        <w:rPr>
          <w:rFonts w:ascii="Book Antiqua" w:eastAsia="Book Antiqua" w:hAnsi="Book Antiqua" w:cs="Book Antiqua"/>
          <w:i/>
          <w:iCs/>
          <w:color w:val="000000"/>
        </w:rPr>
        <w:t>J Clin Gastroenterol</w:t>
      </w:r>
      <w:r w:rsidRPr="00DD186A">
        <w:rPr>
          <w:rFonts w:ascii="Book Antiqua" w:eastAsia="Book Antiqua" w:hAnsi="Book Antiqua" w:cs="Book Antiqua"/>
          <w:color w:val="000000"/>
        </w:rPr>
        <w:t xml:space="preserve"> 2017; </w:t>
      </w:r>
      <w:r w:rsidRPr="00DD186A">
        <w:rPr>
          <w:rFonts w:ascii="Book Antiqua" w:eastAsia="Book Antiqua" w:hAnsi="Book Antiqua" w:cs="Book Antiqua"/>
          <w:b/>
          <w:bCs/>
          <w:color w:val="000000"/>
        </w:rPr>
        <w:t>51</w:t>
      </w:r>
      <w:r w:rsidRPr="00DD186A">
        <w:rPr>
          <w:rFonts w:ascii="Book Antiqua" w:eastAsia="Book Antiqua" w:hAnsi="Book Antiqua" w:cs="Book Antiqua"/>
          <w:color w:val="000000"/>
        </w:rPr>
        <w:t>: 896-899 [PMID: 28697151 DOI: 10.1097/MCG.0000000000000887]</w:t>
      </w:r>
    </w:p>
    <w:p w14:paraId="377228E6"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43 </w:t>
      </w:r>
      <w:r w:rsidRPr="00DD186A">
        <w:rPr>
          <w:rFonts w:ascii="Book Antiqua" w:eastAsia="Book Antiqua" w:hAnsi="Book Antiqua" w:cs="Book Antiqua"/>
          <w:b/>
          <w:bCs/>
          <w:color w:val="000000"/>
        </w:rPr>
        <w:t>Chen YI</w:t>
      </w:r>
      <w:r w:rsidRPr="00DD186A">
        <w:rPr>
          <w:rFonts w:ascii="Book Antiqua" w:eastAsia="Book Antiqua" w:hAnsi="Book Antiqua" w:cs="Book Antiqua"/>
          <w:color w:val="000000"/>
        </w:rPr>
        <w:t xml:space="preserve">, </w:t>
      </w:r>
      <w:proofErr w:type="spellStart"/>
      <w:r w:rsidRPr="00DD186A">
        <w:rPr>
          <w:rFonts w:ascii="Book Antiqua" w:eastAsia="Book Antiqua" w:hAnsi="Book Antiqua" w:cs="Book Antiqua"/>
          <w:color w:val="000000"/>
        </w:rPr>
        <w:t>Itoi</w:t>
      </w:r>
      <w:proofErr w:type="spellEnd"/>
      <w:r w:rsidRPr="00DD186A">
        <w:rPr>
          <w:rFonts w:ascii="Book Antiqua" w:eastAsia="Book Antiqua" w:hAnsi="Book Antiqua" w:cs="Book Antiqua"/>
          <w:color w:val="000000"/>
        </w:rPr>
        <w:t xml:space="preserve"> T, Baron TH, Nieto J, </w:t>
      </w:r>
      <w:proofErr w:type="spellStart"/>
      <w:r w:rsidRPr="00DD186A">
        <w:rPr>
          <w:rFonts w:ascii="Book Antiqua" w:eastAsia="Book Antiqua" w:hAnsi="Book Antiqua" w:cs="Book Antiqua"/>
          <w:color w:val="000000"/>
        </w:rPr>
        <w:t>Haito</w:t>
      </w:r>
      <w:proofErr w:type="spellEnd"/>
      <w:r w:rsidRPr="00DD186A">
        <w:rPr>
          <w:rFonts w:ascii="Book Antiqua" w:eastAsia="Book Antiqua" w:hAnsi="Book Antiqua" w:cs="Book Antiqua"/>
          <w:color w:val="000000"/>
        </w:rPr>
        <w:t xml:space="preserve">-Chavez Y, Grimm IS, Ismail A, </w:t>
      </w:r>
      <w:proofErr w:type="spellStart"/>
      <w:r w:rsidRPr="00DD186A">
        <w:rPr>
          <w:rFonts w:ascii="Book Antiqua" w:eastAsia="Book Antiqua" w:hAnsi="Book Antiqua" w:cs="Book Antiqua"/>
          <w:color w:val="000000"/>
        </w:rPr>
        <w:t>Ngamruengphong</w:t>
      </w:r>
      <w:proofErr w:type="spellEnd"/>
      <w:r w:rsidRPr="00DD186A">
        <w:rPr>
          <w:rFonts w:ascii="Book Antiqua" w:eastAsia="Book Antiqua" w:hAnsi="Book Antiqua" w:cs="Book Antiqua"/>
          <w:color w:val="000000"/>
        </w:rPr>
        <w:t xml:space="preserve"> S, Bukhari M, </w:t>
      </w:r>
      <w:proofErr w:type="spellStart"/>
      <w:r w:rsidRPr="00DD186A">
        <w:rPr>
          <w:rFonts w:ascii="Book Antiqua" w:eastAsia="Book Antiqua" w:hAnsi="Book Antiqua" w:cs="Book Antiqua"/>
          <w:color w:val="000000"/>
        </w:rPr>
        <w:t>Hajiyeva</w:t>
      </w:r>
      <w:proofErr w:type="spellEnd"/>
      <w:r w:rsidRPr="00DD186A">
        <w:rPr>
          <w:rFonts w:ascii="Book Antiqua" w:eastAsia="Book Antiqua" w:hAnsi="Book Antiqua" w:cs="Book Antiqua"/>
          <w:color w:val="000000"/>
        </w:rPr>
        <w:t xml:space="preserve"> G, </w:t>
      </w:r>
      <w:proofErr w:type="spellStart"/>
      <w:r w:rsidRPr="00DD186A">
        <w:rPr>
          <w:rFonts w:ascii="Book Antiqua" w:eastAsia="Book Antiqua" w:hAnsi="Book Antiqua" w:cs="Book Antiqua"/>
          <w:color w:val="000000"/>
        </w:rPr>
        <w:t>Alawad</w:t>
      </w:r>
      <w:proofErr w:type="spellEnd"/>
      <w:r w:rsidRPr="00DD186A">
        <w:rPr>
          <w:rFonts w:ascii="Book Antiqua" w:eastAsia="Book Antiqua" w:hAnsi="Book Antiqua" w:cs="Book Antiqua"/>
          <w:color w:val="000000"/>
        </w:rPr>
        <w:t xml:space="preserve"> AS, </w:t>
      </w:r>
      <w:proofErr w:type="spellStart"/>
      <w:r w:rsidRPr="00DD186A">
        <w:rPr>
          <w:rFonts w:ascii="Book Antiqua" w:eastAsia="Book Antiqua" w:hAnsi="Book Antiqua" w:cs="Book Antiqua"/>
          <w:color w:val="000000"/>
        </w:rPr>
        <w:t>Kumbhari</w:t>
      </w:r>
      <w:proofErr w:type="spellEnd"/>
      <w:r w:rsidRPr="00DD186A">
        <w:rPr>
          <w:rFonts w:ascii="Book Antiqua" w:eastAsia="Book Antiqua" w:hAnsi="Book Antiqua" w:cs="Book Antiqua"/>
          <w:color w:val="000000"/>
        </w:rPr>
        <w:t xml:space="preserve"> V, </w:t>
      </w:r>
      <w:proofErr w:type="spellStart"/>
      <w:r w:rsidRPr="00DD186A">
        <w:rPr>
          <w:rFonts w:ascii="Book Antiqua" w:eastAsia="Book Antiqua" w:hAnsi="Book Antiqua" w:cs="Book Antiqua"/>
          <w:color w:val="000000"/>
        </w:rPr>
        <w:t>Khashab</w:t>
      </w:r>
      <w:proofErr w:type="spellEnd"/>
      <w:r w:rsidRPr="00DD186A">
        <w:rPr>
          <w:rFonts w:ascii="Book Antiqua" w:eastAsia="Book Antiqua" w:hAnsi="Book Antiqua" w:cs="Book Antiqua"/>
          <w:color w:val="000000"/>
        </w:rPr>
        <w:t xml:space="preserve"> MA. EUS-guided gastroenterostomy is comparable to enteral stenting with fewer re-interventions in malignant gastric outlet obstruction. </w:t>
      </w:r>
      <w:proofErr w:type="spellStart"/>
      <w:r w:rsidRPr="00DD186A">
        <w:rPr>
          <w:rFonts w:ascii="Book Antiqua" w:eastAsia="Book Antiqua" w:hAnsi="Book Antiqua" w:cs="Book Antiqua"/>
          <w:i/>
          <w:iCs/>
          <w:color w:val="000000"/>
        </w:rPr>
        <w:t>Surg</w:t>
      </w:r>
      <w:proofErr w:type="spellEnd"/>
      <w:r w:rsidRPr="00DD186A">
        <w:rPr>
          <w:rFonts w:ascii="Book Antiqua" w:eastAsia="Book Antiqua" w:hAnsi="Book Antiqua" w:cs="Book Antiqua"/>
          <w:i/>
          <w:iCs/>
          <w:color w:val="000000"/>
        </w:rPr>
        <w:t xml:space="preserve"> </w:t>
      </w:r>
      <w:proofErr w:type="spellStart"/>
      <w:r w:rsidRPr="00DD186A">
        <w:rPr>
          <w:rFonts w:ascii="Book Antiqua" w:eastAsia="Book Antiqua" w:hAnsi="Book Antiqua" w:cs="Book Antiqua"/>
          <w:i/>
          <w:iCs/>
          <w:color w:val="000000"/>
        </w:rPr>
        <w:t>Endosc</w:t>
      </w:r>
      <w:proofErr w:type="spellEnd"/>
      <w:r w:rsidRPr="00DD186A">
        <w:rPr>
          <w:rFonts w:ascii="Book Antiqua" w:eastAsia="Book Antiqua" w:hAnsi="Book Antiqua" w:cs="Book Antiqua"/>
          <w:color w:val="000000"/>
        </w:rPr>
        <w:t xml:space="preserve"> 2017; </w:t>
      </w:r>
      <w:r w:rsidRPr="00DD186A">
        <w:rPr>
          <w:rFonts w:ascii="Book Antiqua" w:eastAsia="Book Antiqua" w:hAnsi="Book Antiqua" w:cs="Book Antiqua"/>
          <w:b/>
          <w:bCs/>
          <w:color w:val="000000"/>
        </w:rPr>
        <w:t>31</w:t>
      </w:r>
      <w:r w:rsidRPr="00DD186A">
        <w:rPr>
          <w:rFonts w:ascii="Book Antiqua" w:eastAsia="Book Antiqua" w:hAnsi="Book Antiqua" w:cs="Book Antiqua"/>
          <w:color w:val="000000"/>
        </w:rPr>
        <w:t>: 2946-2952 [PMID: 27834024 DOI: 10.1007/s00464-016-5311-1]</w:t>
      </w:r>
    </w:p>
    <w:p w14:paraId="3197CFE2"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 xml:space="preserve">44 </w:t>
      </w:r>
      <w:proofErr w:type="spellStart"/>
      <w:r w:rsidRPr="00DD186A">
        <w:rPr>
          <w:rFonts w:ascii="Book Antiqua" w:eastAsia="Book Antiqua" w:hAnsi="Book Antiqua" w:cs="Book Antiqua"/>
          <w:b/>
          <w:bCs/>
          <w:color w:val="000000"/>
        </w:rPr>
        <w:t>Heo</w:t>
      </w:r>
      <w:proofErr w:type="spellEnd"/>
      <w:r w:rsidRPr="00DD186A">
        <w:rPr>
          <w:rFonts w:ascii="Book Antiqua" w:eastAsia="Book Antiqua" w:hAnsi="Book Antiqua" w:cs="Book Antiqua"/>
          <w:b/>
          <w:bCs/>
          <w:color w:val="000000"/>
        </w:rPr>
        <w:t xml:space="preserve"> J</w:t>
      </w:r>
      <w:r w:rsidRPr="00DD186A">
        <w:rPr>
          <w:rFonts w:ascii="Book Antiqua" w:eastAsia="Book Antiqua" w:hAnsi="Book Antiqua" w:cs="Book Antiqua"/>
          <w:color w:val="000000"/>
        </w:rPr>
        <w:t xml:space="preserve">, Jung MK. Safety and efficacy of a partially covered self-expandable metal stent in benign pyloric obstruction. </w:t>
      </w:r>
      <w:r w:rsidRPr="00DD186A">
        <w:rPr>
          <w:rFonts w:ascii="Book Antiqua" w:eastAsia="Book Antiqua" w:hAnsi="Book Antiqua" w:cs="Book Antiqua"/>
          <w:i/>
          <w:iCs/>
          <w:color w:val="000000"/>
        </w:rPr>
        <w:t>World J Gastroenterol</w:t>
      </w:r>
      <w:r w:rsidRPr="00DD186A">
        <w:rPr>
          <w:rFonts w:ascii="Book Antiqua" w:eastAsia="Book Antiqua" w:hAnsi="Book Antiqua" w:cs="Book Antiqua"/>
          <w:color w:val="000000"/>
        </w:rPr>
        <w:t xml:space="preserve"> 2014; </w:t>
      </w:r>
      <w:r w:rsidRPr="00DD186A">
        <w:rPr>
          <w:rFonts w:ascii="Book Antiqua" w:eastAsia="Book Antiqua" w:hAnsi="Book Antiqua" w:cs="Book Antiqua"/>
          <w:b/>
          <w:bCs/>
          <w:color w:val="000000"/>
        </w:rPr>
        <w:t>20</w:t>
      </w:r>
      <w:r w:rsidRPr="00DD186A">
        <w:rPr>
          <w:rFonts w:ascii="Book Antiqua" w:eastAsia="Book Antiqua" w:hAnsi="Book Antiqua" w:cs="Book Antiqua"/>
          <w:color w:val="000000"/>
        </w:rPr>
        <w:t>: 16721-16725 [PMID: 25469043 DOI: 10.3748/wjg.v20.i44.16721]</w:t>
      </w:r>
    </w:p>
    <w:p w14:paraId="280ED0CB" w14:textId="77777777" w:rsidR="00A77B3E" w:rsidRPr="00DD186A" w:rsidRDefault="00A77B3E">
      <w:pPr>
        <w:spacing w:line="360" w:lineRule="auto"/>
        <w:jc w:val="both"/>
        <w:rPr>
          <w:rFonts w:ascii="Book Antiqua" w:hAnsi="Book Antiqua"/>
        </w:rPr>
        <w:sectPr w:rsidR="00A77B3E" w:rsidRPr="00DD186A">
          <w:pgSz w:w="12240" w:h="15840"/>
          <w:pgMar w:top="1440" w:right="1440" w:bottom="1440" w:left="1440" w:header="720" w:footer="720" w:gutter="0"/>
          <w:cols w:space="720"/>
          <w:docGrid w:linePitch="360"/>
        </w:sectPr>
      </w:pPr>
    </w:p>
    <w:p w14:paraId="5B6CBE5B"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lastRenderedPageBreak/>
        <w:t>Footnotes</w:t>
      </w:r>
    </w:p>
    <w:p w14:paraId="75CF954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Conflict-of-interest statement: </w:t>
      </w:r>
      <w:r w:rsidRPr="00DD186A">
        <w:rPr>
          <w:rFonts w:ascii="Book Antiqua" w:eastAsia="Book Antiqua" w:hAnsi="Book Antiqua" w:cs="Book Antiqua"/>
          <w:color w:val="000000"/>
        </w:rPr>
        <w:t>The authors declare that there are no any conflicts of interest.</w:t>
      </w:r>
    </w:p>
    <w:p w14:paraId="379DC38B" w14:textId="77777777" w:rsidR="00A77B3E" w:rsidRPr="00DD186A" w:rsidRDefault="00A77B3E">
      <w:pPr>
        <w:spacing w:line="360" w:lineRule="auto"/>
        <w:jc w:val="both"/>
        <w:rPr>
          <w:rFonts w:ascii="Book Antiqua" w:hAnsi="Book Antiqua"/>
        </w:rPr>
      </w:pPr>
    </w:p>
    <w:p w14:paraId="3A6378BF"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bCs/>
          <w:color w:val="000000"/>
        </w:rPr>
        <w:t xml:space="preserve">Open-Access: </w:t>
      </w:r>
      <w:r w:rsidRPr="00DD186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1C1BA5" w14:textId="77777777" w:rsidR="00A77B3E" w:rsidRPr="00DD186A" w:rsidRDefault="00A77B3E">
      <w:pPr>
        <w:spacing w:line="360" w:lineRule="auto"/>
        <w:jc w:val="both"/>
        <w:rPr>
          <w:rFonts w:ascii="Book Antiqua" w:hAnsi="Book Antiqua"/>
        </w:rPr>
      </w:pPr>
    </w:p>
    <w:p w14:paraId="725D3DC3" w14:textId="71D9E6F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Manuscript source: </w:t>
      </w:r>
      <w:r w:rsidRPr="00DD186A">
        <w:rPr>
          <w:rFonts w:ascii="Book Antiqua" w:eastAsia="Book Antiqua" w:hAnsi="Book Antiqua" w:cs="Book Antiqua"/>
          <w:color w:val="000000"/>
        </w:rPr>
        <w:t xml:space="preserve">Invited </w:t>
      </w:r>
      <w:r w:rsidR="00B5634C" w:rsidRPr="00DD186A">
        <w:rPr>
          <w:rFonts w:ascii="Book Antiqua" w:eastAsia="Book Antiqua" w:hAnsi="Book Antiqua" w:cs="Book Antiqua"/>
          <w:color w:val="000000"/>
        </w:rPr>
        <w:t>m</w:t>
      </w:r>
      <w:r w:rsidRPr="00DD186A">
        <w:rPr>
          <w:rFonts w:ascii="Book Antiqua" w:eastAsia="Book Antiqua" w:hAnsi="Book Antiqua" w:cs="Book Antiqua"/>
          <w:color w:val="000000"/>
        </w:rPr>
        <w:t>anuscript</w:t>
      </w:r>
    </w:p>
    <w:p w14:paraId="7E176436" w14:textId="77777777" w:rsidR="00A77B3E" w:rsidRPr="00DD186A" w:rsidRDefault="00A77B3E">
      <w:pPr>
        <w:spacing w:line="360" w:lineRule="auto"/>
        <w:jc w:val="both"/>
        <w:rPr>
          <w:rFonts w:ascii="Book Antiqua" w:hAnsi="Book Antiqua"/>
        </w:rPr>
      </w:pPr>
    </w:p>
    <w:p w14:paraId="626C6DE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Peer-review started: </w:t>
      </w:r>
      <w:r w:rsidRPr="00DD186A">
        <w:rPr>
          <w:rFonts w:ascii="Book Antiqua" w:eastAsia="Book Antiqua" w:hAnsi="Book Antiqua" w:cs="Book Antiqua"/>
          <w:color w:val="000000"/>
        </w:rPr>
        <w:t>January 30, 2021</w:t>
      </w:r>
    </w:p>
    <w:p w14:paraId="74C1A569"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First decision: </w:t>
      </w:r>
      <w:r w:rsidRPr="00DD186A">
        <w:rPr>
          <w:rFonts w:ascii="Book Antiqua" w:eastAsia="Book Antiqua" w:hAnsi="Book Antiqua" w:cs="Book Antiqua"/>
          <w:color w:val="000000"/>
        </w:rPr>
        <w:t>May 10, 2021</w:t>
      </w:r>
    </w:p>
    <w:p w14:paraId="43F3B391"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Article in press: </w:t>
      </w:r>
    </w:p>
    <w:p w14:paraId="773C966B" w14:textId="77777777" w:rsidR="00A77B3E" w:rsidRPr="00DD186A" w:rsidRDefault="00A77B3E">
      <w:pPr>
        <w:spacing w:line="360" w:lineRule="auto"/>
        <w:jc w:val="both"/>
        <w:rPr>
          <w:rFonts w:ascii="Book Antiqua" w:hAnsi="Book Antiqua"/>
        </w:rPr>
      </w:pPr>
    </w:p>
    <w:p w14:paraId="6A63716B" w14:textId="454F2B4D"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Specialty type: </w:t>
      </w:r>
      <w:r w:rsidRPr="00DD186A">
        <w:rPr>
          <w:rFonts w:ascii="Book Antiqua" w:eastAsia="Book Antiqua" w:hAnsi="Book Antiqua" w:cs="Book Antiqua"/>
          <w:color w:val="000000"/>
        </w:rPr>
        <w:t xml:space="preserve">Gastroenterology and </w:t>
      </w:r>
      <w:r w:rsidR="00314711" w:rsidRPr="00DD186A">
        <w:rPr>
          <w:rFonts w:ascii="Book Antiqua" w:eastAsia="Book Antiqua" w:hAnsi="Book Antiqua" w:cs="Book Antiqua"/>
          <w:color w:val="000000"/>
        </w:rPr>
        <w:t>h</w:t>
      </w:r>
      <w:r w:rsidRPr="00DD186A">
        <w:rPr>
          <w:rFonts w:ascii="Book Antiqua" w:eastAsia="Book Antiqua" w:hAnsi="Book Antiqua" w:cs="Book Antiqua"/>
          <w:color w:val="000000"/>
        </w:rPr>
        <w:t>epatology</w:t>
      </w:r>
    </w:p>
    <w:p w14:paraId="0402FB1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 xml:space="preserve">Country/Territory of origin: </w:t>
      </w:r>
      <w:r w:rsidRPr="00DD186A">
        <w:rPr>
          <w:rFonts w:ascii="Book Antiqua" w:eastAsia="Book Antiqua" w:hAnsi="Book Antiqua" w:cs="Book Antiqua"/>
          <w:color w:val="000000"/>
        </w:rPr>
        <w:t>United States</w:t>
      </w:r>
    </w:p>
    <w:p w14:paraId="0167D723"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b/>
          <w:color w:val="000000"/>
        </w:rPr>
        <w:t>Peer-review report’s scientific quality classification</w:t>
      </w:r>
    </w:p>
    <w:p w14:paraId="07B50028"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Grade A (Excellent): A</w:t>
      </w:r>
    </w:p>
    <w:p w14:paraId="45D3B8FA"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Grade B (Very good): 0</w:t>
      </w:r>
    </w:p>
    <w:p w14:paraId="666C27DF"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Grade C (Good): C</w:t>
      </w:r>
    </w:p>
    <w:p w14:paraId="5E427E76"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Grade D (Fair): 0</w:t>
      </w:r>
    </w:p>
    <w:p w14:paraId="37FA56A6" w14:textId="77777777" w:rsidR="00A77B3E" w:rsidRPr="00DD186A" w:rsidRDefault="00D0221A">
      <w:pPr>
        <w:spacing w:line="360" w:lineRule="auto"/>
        <w:jc w:val="both"/>
        <w:rPr>
          <w:rFonts w:ascii="Book Antiqua" w:hAnsi="Book Antiqua"/>
        </w:rPr>
      </w:pPr>
      <w:r w:rsidRPr="00DD186A">
        <w:rPr>
          <w:rFonts w:ascii="Book Antiqua" w:eastAsia="Book Antiqua" w:hAnsi="Book Antiqua" w:cs="Book Antiqua"/>
          <w:color w:val="000000"/>
        </w:rPr>
        <w:t>Grade E (Poor): 0</w:t>
      </w:r>
    </w:p>
    <w:p w14:paraId="19DAF9B8" w14:textId="77777777" w:rsidR="00A77B3E" w:rsidRPr="00DD186A" w:rsidRDefault="00A77B3E">
      <w:pPr>
        <w:spacing w:line="360" w:lineRule="auto"/>
        <w:jc w:val="both"/>
        <w:rPr>
          <w:rFonts w:ascii="Book Antiqua" w:hAnsi="Book Antiqua"/>
        </w:rPr>
      </w:pPr>
    </w:p>
    <w:p w14:paraId="00AAD267" w14:textId="77777777" w:rsidR="00A77B3E" w:rsidRDefault="00D0221A">
      <w:pPr>
        <w:spacing w:line="360" w:lineRule="auto"/>
        <w:jc w:val="both"/>
        <w:rPr>
          <w:rFonts w:ascii="Book Antiqua" w:eastAsia="Book Antiqua" w:hAnsi="Book Antiqua" w:cs="Book Antiqua"/>
          <w:b/>
          <w:color w:val="000000"/>
        </w:rPr>
      </w:pPr>
      <w:r w:rsidRPr="00DD186A">
        <w:rPr>
          <w:rFonts w:ascii="Book Antiqua" w:eastAsia="Book Antiqua" w:hAnsi="Book Antiqua" w:cs="Book Antiqua"/>
          <w:b/>
          <w:color w:val="000000"/>
        </w:rPr>
        <w:t xml:space="preserve">P-Reviewer: </w:t>
      </w:r>
      <w:r w:rsidRPr="00DD186A">
        <w:rPr>
          <w:rFonts w:ascii="Book Antiqua" w:eastAsia="Book Antiqua" w:hAnsi="Book Antiqua" w:cs="Book Antiqua"/>
          <w:color w:val="000000"/>
        </w:rPr>
        <w:t>Mangiavillano B, Zhao H</w:t>
      </w:r>
      <w:r w:rsidRPr="00DD186A">
        <w:rPr>
          <w:rFonts w:ascii="Book Antiqua" w:eastAsia="Book Antiqua" w:hAnsi="Book Antiqua" w:cs="Book Antiqua"/>
          <w:b/>
          <w:color w:val="000000"/>
        </w:rPr>
        <w:t xml:space="preserve"> S-Editor: </w:t>
      </w:r>
      <w:r w:rsidRPr="00DD186A">
        <w:rPr>
          <w:rFonts w:ascii="Book Antiqua" w:eastAsia="Book Antiqua" w:hAnsi="Book Antiqua" w:cs="Book Antiqua"/>
          <w:color w:val="000000"/>
        </w:rPr>
        <w:t>Ma YJ</w:t>
      </w:r>
      <w:r w:rsidRPr="00DD186A">
        <w:rPr>
          <w:rFonts w:ascii="Book Antiqua" w:eastAsia="Book Antiqua" w:hAnsi="Book Antiqua" w:cs="Book Antiqua"/>
          <w:b/>
          <w:color w:val="000000"/>
        </w:rPr>
        <w:t xml:space="preserve"> L-Editor:  P-Editor: </w:t>
      </w:r>
    </w:p>
    <w:p w14:paraId="093D14E0" w14:textId="77777777" w:rsidR="00314711" w:rsidRPr="00DD186A" w:rsidRDefault="00314711">
      <w:pPr>
        <w:spacing w:line="360" w:lineRule="auto"/>
        <w:jc w:val="both"/>
        <w:rPr>
          <w:rFonts w:ascii="Book Antiqua" w:hAnsi="Book Antiqua"/>
        </w:rPr>
        <w:sectPr w:rsidR="00314711" w:rsidRPr="00DD186A">
          <w:pgSz w:w="12240" w:h="15840"/>
          <w:pgMar w:top="1440" w:right="1440" w:bottom="1440" w:left="1440" w:header="720" w:footer="720" w:gutter="0"/>
          <w:cols w:space="720"/>
          <w:docGrid w:linePitch="360"/>
        </w:sectPr>
      </w:pPr>
    </w:p>
    <w:p w14:paraId="345662A1" w14:textId="77777777" w:rsidR="00A77B3E" w:rsidRPr="00DD186A" w:rsidRDefault="00D0221A">
      <w:pPr>
        <w:spacing w:line="360" w:lineRule="auto"/>
        <w:jc w:val="both"/>
        <w:rPr>
          <w:rFonts w:ascii="Book Antiqua" w:hAnsi="Book Antiqua" w:cs="Book Antiqua"/>
          <w:b/>
          <w:color w:val="000000"/>
          <w:lang w:eastAsia="zh-CN"/>
        </w:rPr>
      </w:pPr>
      <w:r w:rsidRPr="00DD186A">
        <w:rPr>
          <w:rFonts w:ascii="Book Antiqua" w:eastAsia="Book Antiqua" w:hAnsi="Book Antiqua" w:cs="Book Antiqua"/>
          <w:b/>
          <w:color w:val="000000"/>
        </w:rPr>
        <w:lastRenderedPageBreak/>
        <w:t>Figure Legends</w:t>
      </w:r>
    </w:p>
    <w:p w14:paraId="71129094" w14:textId="77777777" w:rsidR="007945BE" w:rsidRPr="00DD186A" w:rsidRDefault="007945BE">
      <w:pPr>
        <w:spacing w:line="360" w:lineRule="auto"/>
        <w:jc w:val="both"/>
        <w:rPr>
          <w:rFonts w:ascii="Book Antiqua" w:hAnsi="Book Antiqua"/>
          <w:lang w:eastAsia="zh-CN"/>
        </w:rPr>
      </w:pPr>
      <w:r w:rsidRPr="00DD186A">
        <w:rPr>
          <w:rFonts w:ascii="Book Antiqua" w:hAnsi="Book Antiqua"/>
          <w:noProof/>
          <w:lang w:eastAsia="zh-CN"/>
        </w:rPr>
        <w:drawing>
          <wp:inline distT="0" distB="0" distL="0" distR="0" wp14:anchorId="65778F7B" wp14:editId="372175F1">
            <wp:extent cx="5953431" cy="3124862"/>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8786" cy="3127673"/>
                    </a:xfrm>
                    <a:prstGeom prst="rect">
                      <a:avLst/>
                    </a:prstGeom>
                  </pic:spPr>
                </pic:pic>
              </a:graphicData>
            </a:graphic>
          </wp:inline>
        </w:drawing>
      </w:r>
    </w:p>
    <w:p w14:paraId="70417E27" w14:textId="77777777" w:rsidR="00A77B3E" w:rsidRPr="00DD186A" w:rsidRDefault="00D0221A">
      <w:pPr>
        <w:spacing w:line="360" w:lineRule="auto"/>
        <w:jc w:val="both"/>
        <w:rPr>
          <w:rFonts w:ascii="Book Antiqua" w:hAnsi="Book Antiqua" w:cs="Book Antiqua"/>
          <w:color w:val="000000"/>
          <w:lang w:eastAsia="zh-CN"/>
        </w:rPr>
      </w:pPr>
      <w:r w:rsidRPr="00DD186A">
        <w:rPr>
          <w:rFonts w:ascii="Book Antiqua" w:eastAsia="Book Antiqua" w:hAnsi="Book Antiqua" w:cs="Book Antiqua"/>
          <w:b/>
          <w:bCs/>
          <w:color w:val="000000"/>
        </w:rPr>
        <w:t xml:space="preserve">Figure 1 Schematic representation of different endoscopic ultrasound-gastrojejunostomy techniques. </w:t>
      </w:r>
      <w:r w:rsidRPr="00DD186A">
        <w:rPr>
          <w:rFonts w:ascii="Book Antiqua" w:eastAsia="Book Antiqua" w:hAnsi="Book Antiqua" w:cs="Book Antiqua"/>
          <w:color w:val="000000"/>
        </w:rPr>
        <w:t xml:space="preserve">A: Direct technique; B: Retrograde technique; C: Rendezvous technique; D: Balloon-assisted technique; E: Nasobiliary-assisted technique; F: </w:t>
      </w:r>
      <w:r w:rsidRPr="00DD186A">
        <w:rPr>
          <w:rFonts w:ascii="Book Antiqua" w:eastAsia="Book Antiqua" w:hAnsi="Book Antiqua" w:cs="Book Antiqua"/>
          <w:caps/>
          <w:color w:val="000000"/>
        </w:rPr>
        <w:t>e</w:t>
      </w:r>
      <w:r w:rsidRPr="00DD186A">
        <w:rPr>
          <w:rFonts w:ascii="Book Antiqua" w:eastAsia="Book Antiqua" w:hAnsi="Book Antiqua" w:cs="Book Antiqua"/>
          <w:color w:val="000000"/>
        </w:rPr>
        <w:t>ndoscopic ultrasound-guided double balloon-occluded gastrojejunostomy bypass. LAMS: Lumen apposing metal stent.</w:t>
      </w:r>
    </w:p>
    <w:p w14:paraId="1B91947B" w14:textId="77777777" w:rsidR="007945BE" w:rsidRPr="00DD186A" w:rsidRDefault="007945BE">
      <w:pPr>
        <w:spacing w:line="360" w:lineRule="auto"/>
        <w:jc w:val="both"/>
        <w:rPr>
          <w:rFonts w:ascii="Book Antiqua" w:hAnsi="Book Antiqua"/>
          <w:lang w:eastAsia="zh-CN"/>
        </w:rPr>
      </w:pPr>
      <w:r w:rsidRPr="00DD186A">
        <w:rPr>
          <w:rFonts w:ascii="Book Antiqua" w:hAnsi="Book Antiqua" w:cs="Book Antiqua"/>
          <w:color w:val="000000"/>
          <w:lang w:eastAsia="zh-CN"/>
        </w:rPr>
        <w:br w:type="page"/>
      </w:r>
      <w:r w:rsidRPr="00DD186A">
        <w:rPr>
          <w:rFonts w:ascii="Book Antiqua" w:hAnsi="Book Antiqua" w:cs="Book Antiqua"/>
          <w:noProof/>
          <w:color w:val="000000"/>
          <w:lang w:eastAsia="zh-CN"/>
        </w:rPr>
        <w:lastRenderedPageBreak/>
        <w:drawing>
          <wp:inline distT="0" distB="0" distL="0" distR="0" wp14:anchorId="3B60ECB0" wp14:editId="030749F9">
            <wp:extent cx="5486400" cy="3673475"/>
            <wp:effectExtent l="0" t="0" r="0" b="3175"/>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76DC528-280D-D44E-95EF-496FD5A7D942}"/>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76DC528-280D-D44E-95EF-496FD5A7D942}"/>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73475"/>
                    </a:xfrm>
                    <a:prstGeom prst="rect">
                      <a:avLst/>
                    </a:prstGeom>
                  </pic:spPr>
                </pic:pic>
              </a:graphicData>
            </a:graphic>
          </wp:inline>
        </w:drawing>
      </w:r>
    </w:p>
    <w:p w14:paraId="49AD8CF1" w14:textId="77777777" w:rsidR="007830F1" w:rsidRDefault="00D0221A">
      <w:pPr>
        <w:spacing w:line="360" w:lineRule="auto"/>
        <w:jc w:val="both"/>
        <w:rPr>
          <w:rFonts w:ascii="Book Antiqua" w:eastAsia="Book Antiqua" w:hAnsi="Book Antiqua" w:cs="Book Antiqua"/>
          <w:color w:val="000000"/>
        </w:rPr>
      </w:pPr>
      <w:r w:rsidRPr="00DD186A">
        <w:rPr>
          <w:rFonts w:ascii="Book Antiqua" w:eastAsia="Book Antiqua" w:hAnsi="Book Antiqua" w:cs="Book Antiqua"/>
          <w:b/>
          <w:bCs/>
          <w:color w:val="000000"/>
        </w:rPr>
        <w:t>Figure 2 Endoscopic ultrasound-guided gastrojejunostomy</w:t>
      </w:r>
      <w:r w:rsidR="008F52FF">
        <w:rPr>
          <w:rFonts w:ascii="Book Antiqua" w:eastAsia="Book Antiqua" w:hAnsi="Book Antiqua" w:cs="Book Antiqua"/>
          <w:b/>
          <w:bCs/>
          <w:color w:val="000000"/>
        </w:rPr>
        <w:t xml:space="preserve"> </w:t>
      </w:r>
      <w:r w:rsidRPr="00DD186A">
        <w:rPr>
          <w:rFonts w:ascii="Book Antiqua" w:eastAsia="Book Antiqua" w:hAnsi="Book Antiqua" w:cs="Book Antiqua"/>
          <w:b/>
          <w:bCs/>
          <w:color w:val="000000"/>
        </w:rPr>
        <w:t>using the nasobiliary drain assisted technique.</w:t>
      </w:r>
      <w:r w:rsidRPr="00DD186A">
        <w:rPr>
          <w:rFonts w:ascii="Book Antiqua" w:eastAsia="Book Antiqua" w:hAnsi="Book Antiqua" w:cs="Book Antiqua"/>
          <w:color w:val="000000"/>
        </w:rPr>
        <w:t xml:space="preserve"> A: Endoscopic view of the severe luminal obstruction in the proximal duodenum secondary to advanced pancreatic cancer; B: A percutaneous transhepatic biliary drain previously placed for jaundice can be identified on fluoroscopy. A therapeutic endoscope was used to advance and coil a 0.035” guidewire across the obstruction in the distal unobstructed bowel under fluoroscopic guidance; C: A nasobiliary catheter drain was then advanced through the channel of the scope over the guidewire across the obstruction. Contrast was injected under fluoroscopy to identify the target jejunal loop for endoscopic ultrasound (EUS)-guided gastrojejunostomy</w:t>
      </w:r>
      <w:r w:rsidR="008F52FF">
        <w:rPr>
          <w:rFonts w:ascii="Book Antiqua" w:eastAsia="Book Antiqua" w:hAnsi="Book Antiqua" w:cs="Book Antiqua"/>
          <w:color w:val="000000"/>
        </w:rPr>
        <w:t xml:space="preserve"> </w:t>
      </w:r>
      <w:r w:rsidRPr="00DD186A">
        <w:rPr>
          <w:rFonts w:ascii="Book Antiqua" w:eastAsia="Book Antiqua" w:hAnsi="Book Antiqua" w:cs="Book Antiqua"/>
          <w:color w:val="000000"/>
        </w:rPr>
        <w:t xml:space="preserve">using; D: The target loop is distended with continuous infusion of fluid </w:t>
      </w:r>
      <w:r w:rsidRPr="00DD186A">
        <w:rPr>
          <w:rFonts w:ascii="Book Antiqua" w:eastAsia="Book Antiqua" w:hAnsi="Book Antiqua" w:cs="Book Antiqua"/>
          <w:i/>
          <w:iCs/>
          <w:color w:val="000000"/>
        </w:rPr>
        <w:t>via</w:t>
      </w:r>
      <w:r w:rsidRPr="00DD186A">
        <w:rPr>
          <w:rFonts w:ascii="Book Antiqua" w:eastAsia="Book Antiqua" w:hAnsi="Book Antiqua" w:cs="Book Antiqua"/>
          <w:color w:val="000000"/>
        </w:rPr>
        <w:t xml:space="preserve"> the nasobiliary drain assisting with visualization under EUS; E: Successful EUS puncture of the target loop under EUS for lumen-apposing metal stent (LAMS) placement; F: Fluoroscopic image of the LAMS with adequate apposition of the gastric and jejunal lumen; G: Endoscopic view of the LAMS with confirmation of position by the visualization of the blue dyed water (methylene blue) infused through the nasobiliary drain. </w:t>
      </w:r>
    </w:p>
    <w:p w14:paraId="6BDFC36F" w14:textId="025970C4" w:rsidR="007945BE" w:rsidRPr="00DD186A" w:rsidRDefault="007945BE">
      <w:pPr>
        <w:spacing w:line="360" w:lineRule="auto"/>
        <w:jc w:val="both"/>
        <w:rPr>
          <w:rFonts w:ascii="Book Antiqua" w:hAnsi="Book Antiqua" w:cs="Book Antiqua"/>
          <w:color w:val="000000"/>
          <w:lang w:eastAsia="zh-CN"/>
        </w:rPr>
      </w:pPr>
      <w:r w:rsidRPr="00DD186A">
        <w:rPr>
          <w:rFonts w:ascii="Book Antiqua" w:hAnsi="Book Antiqua"/>
          <w:noProof/>
          <w:lang w:eastAsia="zh-CN"/>
        </w:rPr>
        <w:lastRenderedPageBreak/>
        <w:drawing>
          <wp:inline distT="0" distB="0" distL="0" distR="0" wp14:anchorId="0B0212CE" wp14:editId="4A7B8D3F">
            <wp:extent cx="5946773" cy="3872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0980" cy="3875025"/>
                    </a:xfrm>
                    <a:prstGeom prst="rect">
                      <a:avLst/>
                    </a:prstGeom>
                  </pic:spPr>
                </pic:pic>
              </a:graphicData>
            </a:graphic>
          </wp:inline>
        </w:drawing>
      </w:r>
    </w:p>
    <w:p w14:paraId="24AB4EC5" w14:textId="77777777" w:rsidR="00A77B3E" w:rsidRPr="00DD186A" w:rsidRDefault="00D0221A">
      <w:pPr>
        <w:spacing w:line="360" w:lineRule="auto"/>
        <w:jc w:val="both"/>
        <w:rPr>
          <w:rFonts w:ascii="Book Antiqua" w:hAnsi="Book Antiqua" w:cs="Book Antiqua"/>
          <w:color w:val="000000"/>
          <w:lang w:eastAsia="zh-CN"/>
        </w:rPr>
      </w:pPr>
      <w:r w:rsidRPr="00DD186A">
        <w:rPr>
          <w:rFonts w:ascii="Book Antiqua" w:eastAsia="Book Antiqua" w:hAnsi="Book Antiqua" w:cs="Book Antiqua"/>
          <w:b/>
          <w:bCs/>
          <w:color w:val="000000"/>
        </w:rPr>
        <w:t xml:space="preserve">Figure 3 Approach to a patient with malignant gastric outlet obstruction syndrome. </w:t>
      </w:r>
      <w:r w:rsidRPr="00DD186A">
        <w:rPr>
          <w:rFonts w:ascii="Book Antiqua" w:eastAsia="Book Antiqua" w:hAnsi="Book Antiqua" w:cs="Book Antiqua"/>
          <w:color w:val="000000"/>
        </w:rPr>
        <w:t>ERCP: Endoscopic retrograde cholangiopancreatography; EUS: Endoscopic ultrasound.</w:t>
      </w:r>
    </w:p>
    <w:p w14:paraId="5AF99A94" w14:textId="77777777" w:rsidR="00897BF5" w:rsidRPr="00DD186A" w:rsidRDefault="007945BE" w:rsidP="00897BF5">
      <w:pPr>
        <w:spacing w:line="360" w:lineRule="auto"/>
        <w:jc w:val="both"/>
        <w:rPr>
          <w:rFonts w:ascii="Book Antiqua" w:hAnsi="Book Antiqua" w:cstheme="minorHAnsi"/>
          <w:b/>
          <w:bCs/>
          <w:color w:val="000000" w:themeColor="text1"/>
          <w:lang w:eastAsia="zh-CN"/>
        </w:rPr>
      </w:pPr>
      <w:r w:rsidRPr="00DD186A">
        <w:rPr>
          <w:rFonts w:ascii="Book Antiqua" w:hAnsi="Book Antiqua" w:cs="Book Antiqua"/>
          <w:color w:val="000000"/>
          <w:lang w:eastAsia="zh-CN"/>
        </w:rPr>
        <w:br w:type="page"/>
      </w:r>
      <w:r w:rsidR="00897BF5" w:rsidRPr="00DD186A">
        <w:rPr>
          <w:rFonts w:ascii="Book Antiqua" w:eastAsia="Times New Roman" w:hAnsi="Book Antiqua" w:cstheme="minorHAnsi"/>
          <w:b/>
          <w:bCs/>
          <w:color w:val="000000" w:themeColor="text1"/>
        </w:rPr>
        <w:lastRenderedPageBreak/>
        <w:t>Table 1</w:t>
      </w:r>
      <w:r w:rsidR="00897BF5" w:rsidRPr="00DD186A">
        <w:rPr>
          <w:rFonts w:ascii="Book Antiqua" w:hAnsi="Book Antiqua" w:cstheme="minorHAnsi"/>
          <w:b/>
          <w:bCs/>
          <w:color w:val="000000" w:themeColor="text1"/>
          <w:lang w:eastAsia="zh-CN"/>
        </w:rPr>
        <w:t xml:space="preserve"> </w:t>
      </w:r>
      <w:r w:rsidR="00897BF5" w:rsidRPr="00DD186A">
        <w:rPr>
          <w:rFonts w:ascii="Book Antiqua" w:eastAsia="Times New Roman" w:hAnsi="Book Antiqua" w:cstheme="minorHAnsi"/>
          <w:b/>
          <w:bCs/>
          <w:color w:val="000000" w:themeColor="text1"/>
        </w:rPr>
        <w:t xml:space="preserve">Etiology of gastric outlet </w:t>
      </w:r>
      <w:proofErr w:type="gramStart"/>
      <w:r w:rsidR="00897BF5" w:rsidRPr="00DD186A">
        <w:rPr>
          <w:rFonts w:ascii="Book Antiqua" w:eastAsia="Times New Roman" w:hAnsi="Book Antiqua" w:cstheme="minorHAnsi"/>
          <w:b/>
          <w:bCs/>
          <w:color w:val="000000" w:themeColor="text1"/>
        </w:rPr>
        <w:t>obstruction</w:t>
      </w:r>
      <w:r w:rsidR="00897BF5" w:rsidRPr="00DD186A">
        <w:rPr>
          <w:rFonts w:ascii="Book Antiqua" w:eastAsia="Times New Roman" w:hAnsi="Book Antiqua" w:cstheme="minorHAnsi"/>
          <w:b/>
          <w:bCs/>
          <w:color w:val="000000" w:themeColor="text1"/>
          <w:vertAlign w:val="superscript"/>
        </w:rPr>
        <w:t>[</w:t>
      </w:r>
      <w:proofErr w:type="gramEnd"/>
      <w:r w:rsidR="00897BF5" w:rsidRPr="00DD186A">
        <w:rPr>
          <w:rFonts w:ascii="Book Antiqua" w:eastAsia="Times New Roman" w:hAnsi="Book Antiqua" w:cstheme="minorHAnsi"/>
          <w:b/>
          <w:bCs/>
          <w:color w:val="000000" w:themeColor="text1"/>
          <w:vertAlign w:val="superscript"/>
        </w:rPr>
        <w:fldChar w:fldCharType="begin"/>
      </w:r>
      <w:r w:rsidR="00897BF5" w:rsidRPr="00DD186A">
        <w:rPr>
          <w:rFonts w:ascii="Book Antiqua" w:eastAsia="Times New Roman" w:hAnsi="Book Antiqua" w:cstheme="minorHAnsi"/>
          <w:b/>
          <w:bCs/>
          <w:color w:val="000000" w:themeColor="text1"/>
          <w:vertAlign w:val="superscript"/>
        </w:rPr>
        <w:instrText xml:space="preserve"> REF _Ref57308918 \r \h  \* MERGEFORMAT </w:instrText>
      </w:r>
      <w:r w:rsidR="00897BF5" w:rsidRPr="00DD186A">
        <w:rPr>
          <w:rFonts w:ascii="Book Antiqua" w:eastAsia="Times New Roman" w:hAnsi="Book Antiqua" w:cstheme="minorHAnsi"/>
          <w:b/>
          <w:bCs/>
          <w:color w:val="000000" w:themeColor="text1"/>
          <w:vertAlign w:val="superscript"/>
        </w:rPr>
      </w:r>
      <w:r w:rsidR="00897BF5" w:rsidRPr="00DD186A">
        <w:rPr>
          <w:rFonts w:ascii="Book Antiqua" w:eastAsia="Times New Roman" w:hAnsi="Book Antiqua" w:cstheme="minorHAnsi"/>
          <w:b/>
          <w:bCs/>
          <w:color w:val="000000" w:themeColor="text1"/>
          <w:vertAlign w:val="superscript"/>
        </w:rPr>
        <w:fldChar w:fldCharType="separate"/>
      </w:r>
      <w:r w:rsidR="00897BF5" w:rsidRPr="00DD186A">
        <w:rPr>
          <w:rFonts w:ascii="Book Antiqua" w:eastAsia="Times New Roman" w:hAnsi="Book Antiqua" w:cstheme="minorHAnsi"/>
          <w:b/>
          <w:bCs/>
          <w:color w:val="000000" w:themeColor="text1"/>
          <w:vertAlign w:val="superscript"/>
        </w:rPr>
        <w:t>1</w:t>
      </w:r>
      <w:r w:rsidR="00897BF5" w:rsidRPr="00DD186A">
        <w:rPr>
          <w:rFonts w:ascii="Book Antiqua" w:eastAsia="Times New Roman" w:hAnsi="Book Antiqua" w:cstheme="minorHAnsi"/>
          <w:b/>
          <w:bCs/>
          <w:color w:val="000000" w:themeColor="text1"/>
          <w:vertAlign w:val="superscript"/>
        </w:rPr>
        <w:fldChar w:fldCharType="end"/>
      </w:r>
      <w:r w:rsidR="00897BF5" w:rsidRPr="00DD186A">
        <w:rPr>
          <w:rFonts w:ascii="Book Antiqua" w:eastAsia="Times New Roman" w:hAnsi="Book Antiqua" w:cstheme="minorHAnsi"/>
          <w:b/>
          <w:bCs/>
          <w:color w:val="000000" w:themeColor="text1"/>
          <w:vertAlign w:val="superscript"/>
        </w:rPr>
        <w:t>,</w:t>
      </w:r>
      <w:r w:rsidR="00897BF5" w:rsidRPr="00DD186A">
        <w:rPr>
          <w:rFonts w:ascii="Book Antiqua" w:eastAsia="Times New Roman" w:hAnsi="Book Antiqua" w:cstheme="minorHAnsi"/>
          <w:b/>
          <w:bCs/>
          <w:color w:val="000000" w:themeColor="text1"/>
          <w:vertAlign w:val="superscript"/>
        </w:rPr>
        <w:fldChar w:fldCharType="begin"/>
      </w:r>
      <w:r w:rsidR="00897BF5" w:rsidRPr="00DD186A">
        <w:rPr>
          <w:rFonts w:ascii="Book Antiqua" w:eastAsia="Times New Roman" w:hAnsi="Book Antiqua" w:cstheme="minorHAnsi"/>
          <w:b/>
          <w:bCs/>
          <w:color w:val="000000" w:themeColor="text1"/>
          <w:vertAlign w:val="superscript"/>
        </w:rPr>
        <w:instrText xml:space="preserve"> REF _Ref58967136 \r \h </w:instrText>
      </w:r>
      <w:r w:rsidR="00DD186A" w:rsidRPr="00DD186A">
        <w:rPr>
          <w:rFonts w:ascii="Book Antiqua" w:eastAsia="Times New Roman" w:hAnsi="Book Antiqua" w:cstheme="minorHAnsi"/>
          <w:b/>
          <w:bCs/>
          <w:color w:val="000000" w:themeColor="text1"/>
          <w:vertAlign w:val="superscript"/>
        </w:rPr>
        <w:instrText xml:space="preserve"> \* MERGEFORMAT </w:instrText>
      </w:r>
      <w:r w:rsidR="00897BF5" w:rsidRPr="00DD186A">
        <w:rPr>
          <w:rFonts w:ascii="Book Antiqua" w:eastAsia="Times New Roman" w:hAnsi="Book Antiqua" w:cstheme="minorHAnsi"/>
          <w:b/>
          <w:bCs/>
          <w:color w:val="000000" w:themeColor="text1"/>
          <w:vertAlign w:val="superscript"/>
        </w:rPr>
      </w:r>
      <w:r w:rsidR="00897BF5" w:rsidRPr="00DD186A">
        <w:rPr>
          <w:rFonts w:ascii="Book Antiqua" w:eastAsia="Times New Roman" w:hAnsi="Book Antiqua" w:cstheme="minorHAnsi"/>
          <w:b/>
          <w:bCs/>
          <w:color w:val="000000" w:themeColor="text1"/>
          <w:vertAlign w:val="superscript"/>
        </w:rPr>
        <w:fldChar w:fldCharType="separate"/>
      </w:r>
      <w:r w:rsidR="00897BF5" w:rsidRPr="00DD186A">
        <w:rPr>
          <w:rFonts w:ascii="Book Antiqua" w:eastAsia="Times New Roman" w:hAnsi="Book Antiqua" w:cstheme="minorHAnsi"/>
          <w:b/>
          <w:bCs/>
          <w:color w:val="000000" w:themeColor="text1"/>
          <w:vertAlign w:val="superscript"/>
        </w:rPr>
        <w:t>2</w:t>
      </w:r>
      <w:r w:rsidR="00897BF5" w:rsidRPr="00DD186A">
        <w:rPr>
          <w:rFonts w:ascii="Book Antiqua" w:eastAsia="Times New Roman" w:hAnsi="Book Antiqua" w:cstheme="minorHAnsi"/>
          <w:b/>
          <w:bCs/>
          <w:color w:val="000000" w:themeColor="text1"/>
          <w:vertAlign w:val="superscript"/>
        </w:rPr>
        <w:fldChar w:fldCharType="end"/>
      </w:r>
      <w:r w:rsidR="00897BF5" w:rsidRPr="00DD186A">
        <w:rPr>
          <w:rFonts w:ascii="Book Antiqua" w:eastAsia="Times New Roman" w:hAnsi="Book Antiqua" w:cstheme="minorHAnsi"/>
          <w:b/>
          <w:bCs/>
          <w:color w:val="000000" w:themeColor="text1"/>
          <w:vertAlign w:val="superscript"/>
        </w:rPr>
        <w:t>]</w:t>
      </w:r>
    </w:p>
    <w:tbl>
      <w:tblPr>
        <w:tblStyle w:val="PlainTable41"/>
        <w:tblW w:w="9178" w:type="dxa"/>
        <w:tblLook w:val="04A0" w:firstRow="1" w:lastRow="0" w:firstColumn="1" w:lastColumn="0" w:noHBand="0" w:noVBand="1"/>
      </w:tblPr>
      <w:tblGrid>
        <w:gridCol w:w="4098"/>
        <w:gridCol w:w="5080"/>
      </w:tblGrid>
      <w:tr w:rsidR="00897BF5" w:rsidRPr="00DD186A" w14:paraId="7AC6DE0A" w14:textId="77777777" w:rsidTr="00AC216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4AC16C1" w14:textId="77777777" w:rsidR="00897BF5" w:rsidRPr="00DD186A" w:rsidRDefault="00897BF5" w:rsidP="00C0450A">
            <w:pPr>
              <w:spacing w:line="360" w:lineRule="auto"/>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Malignant Causes</w:t>
            </w:r>
          </w:p>
        </w:tc>
        <w:tc>
          <w:tcPr>
            <w:tcW w:w="5080" w:type="dxa"/>
            <w:tcBorders>
              <w:top w:val="single" w:sz="4" w:space="0" w:color="auto"/>
              <w:bottom w:val="single" w:sz="4" w:space="0" w:color="auto"/>
            </w:tcBorders>
            <w:shd w:val="clear" w:color="auto" w:fill="auto"/>
          </w:tcPr>
          <w:p w14:paraId="48F1AEAC"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Benign causes</w:t>
            </w:r>
          </w:p>
        </w:tc>
      </w:tr>
      <w:tr w:rsidR="00897BF5" w:rsidRPr="00DD186A" w14:paraId="71A067F9" w14:textId="77777777" w:rsidTr="00AC216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3A411281"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Pancreatic cancer</w:t>
            </w:r>
          </w:p>
        </w:tc>
        <w:tc>
          <w:tcPr>
            <w:tcW w:w="5080" w:type="dxa"/>
            <w:tcBorders>
              <w:top w:val="single" w:sz="4" w:space="0" w:color="auto"/>
            </w:tcBorders>
            <w:shd w:val="clear" w:color="auto" w:fill="auto"/>
          </w:tcPr>
          <w:p w14:paraId="6D6FB5D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Peptic ulcer </w:t>
            </w:r>
          </w:p>
        </w:tc>
      </w:tr>
      <w:tr w:rsidR="00897BF5" w:rsidRPr="00DD186A" w14:paraId="407D6D80" w14:textId="77777777" w:rsidTr="00AC2162">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1BE5C"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Gastric cancer</w:t>
            </w:r>
          </w:p>
        </w:tc>
        <w:tc>
          <w:tcPr>
            <w:tcW w:w="5080" w:type="dxa"/>
            <w:shd w:val="clear" w:color="auto" w:fill="auto"/>
          </w:tcPr>
          <w:p w14:paraId="70B08F7C"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Hypertrophic pyloric obstruction</w:t>
            </w:r>
          </w:p>
        </w:tc>
      </w:tr>
      <w:tr w:rsidR="00897BF5" w:rsidRPr="00DD186A" w14:paraId="3AF3E03F" w14:textId="77777777" w:rsidTr="00AC216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E9F3E"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Cholangiocarcinoma</w:t>
            </w:r>
          </w:p>
        </w:tc>
        <w:tc>
          <w:tcPr>
            <w:tcW w:w="5080" w:type="dxa"/>
            <w:shd w:val="clear" w:color="auto" w:fill="auto"/>
          </w:tcPr>
          <w:p w14:paraId="458FDBE6"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Gastric polyp</w:t>
            </w:r>
          </w:p>
        </w:tc>
      </w:tr>
      <w:tr w:rsidR="00897BF5" w:rsidRPr="00DD186A" w14:paraId="2CE5E52B" w14:textId="77777777" w:rsidTr="00AC2162">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E949F"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Gallbladder cancer</w:t>
            </w:r>
          </w:p>
        </w:tc>
        <w:tc>
          <w:tcPr>
            <w:tcW w:w="5080" w:type="dxa"/>
            <w:shd w:val="clear" w:color="auto" w:fill="auto"/>
          </w:tcPr>
          <w:p w14:paraId="33C87965"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Caustic ingestion</w:t>
            </w:r>
          </w:p>
        </w:tc>
      </w:tr>
      <w:tr w:rsidR="00897BF5" w:rsidRPr="00DD186A" w14:paraId="2E4581CD" w14:textId="77777777" w:rsidTr="00AC216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5756C"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Duodenal cancer</w:t>
            </w:r>
          </w:p>
        </w:tc>
        <w:tc>
          <w:tcPr>
            <w:tcW w:w="5080" w:type="dxa"/>
            <w:shd w:val="clear" w:color="auto" w:fill="auto"/>
          </w:tcPr>
          <w:p w14:paraId="22C658B3"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bookmarkStart w:id="0" w:name="_GoBack"/>
            <w:bookmarkEnd w:id="0"/>
            <w:r w:rsidRPr="00DD186A">
              <w:rPr>
                <w:rFonts w:ascii="Book Antiqua" w:eastAsia="Times New Roman" w:hAnsi="Book Antiqua" w:cstheme="minorHAnsi"/>
                <w:color w:val="000000" w:themeColor="text1"/>
              </w:rPr>
              <w:t>Iatrogenic</w:t>
            </w:r>
          </w:p>
        </w:tc>
      </w:tr>
      <w:tr w:rsidR="00897BF5" w:rsidRPr="00DD186A" w14:paraId="69CE450A" w14:textId="77777777" w:rsidTr="00AC2162">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166D8"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Ampullary cancer</w:t>
            </w:r>
          </w:p>
        </w:tc>
        <w:tc>
          <w:tcPr>
            <w:tcW w:w="5080" w:type="dxa"/>
            <w:shd w:val="clear" w:color="auto" w:fill="auto"/>
          </w:tcPr>
          <w:p w14:paraId="54235059"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Gastric/duodenal tuberculosis</w:t>
            </w:r>
          </w:p>
        </w:tc>
      </w:tr>
      <w:tr w:rsidR="00DD186A" w:rsidRPr="00DD186A" w14:paraId="53FB39A3" w14:textId="77777777" w:rsidTr="00AC216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293B8140" w14:textId="77777777" w:rsidR="00897BF5" w:rsidRPr="00DD186A" w:rsidRDefault="00897BF5" w:rsidP="00C0450A">
            <w:pPr>
              <w:spacing w:line="360" w:lineRule="auto"/>
              <w:rPr>
                <w:rFonts w:ascii="Book Antiqua" w:hAnsi="Book Antiqua" w:cstheme="minorHAnsi"/>
                <w:b w:val="0"/>
                <w:bCs w:val="0"/>
                <w:color w:val="000000" w:themeColor="text1"/>
                <w:lang w:eastAsia="zh-CN"/>
              </w:rPr>
            </w:pPr>
            <w:r w:rsidRPr="00DD186A">
              <w:rPr>
                <w:rFonts w:ascii="Book Antiqua" w:eastAsia="Times New Roman" w:hAnsi="Book Antiqua" w:cstheme="minorHAnsi"/>
                <w:b w:val="0"/>
                <w:bCs w:val="0"/>
                <w:color w:val="000000" w:themeColor="text1"/>
              </w:rPr>
              <w:t>Other</w:t>
            </w:r>
            <w:r w:rsidRPr="00DD186A">
              <w:rPr>
                <w:rFonts w:ascii="Book Antiqua" w:hAnsi="Book Antiqua" w:cstheme="minorHAnsi"/>
                <w:b w:val="0"/>
                <w:bCs w:val="0"/>
                <w:color w:val="000000" w:themeColor="text1"/>
                <w:vertAlign w:val="superscript"/>
                <w:lang w:eastAsia="zh-CN"/>
              </w:rPr>
              <w:t>1</w:t>
            </w:r>
          </w:p>
        </w:tc>
        <w:tc>
          <w:tcPr>
            <w:tcW w:w="5080" w:type="dxa"/>
            <w:tcBorders>
              <w:bottom w:val="single" w:sz="4" w:space="0" w:color="auto"/>
            </w:tcBorders>
            <w:shd w:val="clear" w:color="auto" w:fill="auto"/>
          </w:tcPr>
          <w:p w14:paraId="6ADA4E50"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Prepyloric web</w:t>
            </w:r>
          </w:p>
        </w:tc>
      </w:tr>
    </w:tbl>
    <w:p w14:paraId="67DF15AD" w14:textId="77777777" w:rsidR="00897BF5" w:rsidRPr="00DD186A" w:rsidRDefault="00897BF5" w:rsidP="00897BF5">
      <w:pPr>
        <w:spacing w:line="360" w:lineRule="auto"/>
        <w:jc w:val="both"/>
        <w:rPr>
          <w:rFonts w:ascii="Book Antiqua" w:eastAsia="Times New Roman" w:hAnsi="Book Antiqua" w:cstheme="minorHAnsi"/>
          <w:color w:val="000000" w:themeColor="text1"/>
        </w:rPr>
      </w:pPr>
      <w:r w:rsidRPr="00DD186A">
        <w:rPr>
          <w:rFonts w:ascii="Book Antiqua" w:hAnsi="Book Antiqua" w:cstheme="minorHAnsi"/>
          <w:color w:val="000000" w:themeColor="text1"/>
          <w:vertAlign w:val="superscript"/>
          <w:lang w:eastAsia="zh-CN"/>
        </w:rPr>
        <w:t>1</w:t>
      </w:r>
      <w:r w:rsidRPr="00DD186A">
        <w:rPr>
          <w:rFonts w:ascii="Book Antiqua" w:eastAsia="Times New Roman" w:hAnsi="Book Antiqua" w:cstheme="minorHAnsi"/>
          <w:color w:val="000000" w:themeColor="text1"/>
        </w:rPr>
        <w:t>Non-Hodgkin’s lymphoma, intraabdominal small cell sarcoma; metastatic and/or primary tumors of the lung, breast, ovary, kidney, urinary tract or colon; and tumor around the head of the pancreas</w:t>
      </w:r>
    </w:p>
    <w:p w14:paraId="744F8A87"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r w:rsidRPr="00DD186A">
        <w:rPr>
          <w:rFonts w:ascii="Book Antiqua" w:eastAsia="Times New Roman" w:hAnsi="Book Antiqua" w:cstheme="minorHAnsi"/>
          <w:b/>
          <w:bCs/>
          <w:color w:val="000000" w:themeColor="text1"/>
        </w:rPr>
        <w:br w:type="page"/>
      </w:r>
    </w:p>
    <w:p w14:paraId="2A824079" w14:textId="77777777" w:rsidR="00897BF5" w:rsidRPr="00DD186A" w:rsidRDefault="00897BF5" w:rsidP="00897BF5">
      <w:pPr>
        <w:spacing w:line="360" w:lineRule="auto"/>
        <w:jc w:val="both"/>
        <w:rPr>
          <w:rFonts w:ascii="Book Antiqua" w:hAnsi="Book Antiqua" w:cstheme="minorHAnsi"/>
          <w:color w:val="000000" w:themeColor="text1"/>
          <w:lang w:eastAsia="zh-CN"/>
        </w:rPr>
      </w:pPr>
      <w:r w:rsidRPr="00DD186A">
        <w:rPr>
          <w:rFonts w:ascii="Book Antiqua" w:eastAsia="Times New Roman" w:hAnsi="Book Antiqua" w:cstheme="minorHAnsi"/>
          <w:b/>
          <w:bCs/>
          <w:color w:val="000000" w:themeColor="text1"/>
        </w:rPr>
        <w:lastRenderedPageBreak/>
        <w:t>Table 2</w:t>
      </w:r>
      <w:r w:rsidRPr="00DD186A">
        <w:rPr>
          <w:rFonts w:ascii="Book Antiqua" w:hAnsi="Book Antiqua" w:cstheme="minorHAnsi"/>
          <w:b/>
          <w:bCs/>
          <w:color w:val="000000" w:themeColor="text1"/>
          <w:lang w:eastAsia="zh-CN"/>
        </w:rPr>
        <w:t xml:space="preserve"> </w:t>
      </w:r>
      <w:r w:rsidRPr="00DD186A">
        <w:rPr>
          <w:rFonts w:ascii="Book Antiqua" w:eastAsia="Times New Roman" w:hAnsi="Book Antiqua" w:cstheme="minorHAnsi"/>
          <w:b/>
          <w:bCs/>
          <w:color w:val="000000" w:themeColor="text1"/>
        </w:rPr>
        <w:t xml:space="preserve">Gastric outlet obstruction scoring </w:t>
      </w:r>
      <w:proofErr w:type="gramStart"/>
      <w:r w:rsidRPr="00DD186A">
        <w:rPr>
          <w:rFonts w:ascii="Book Antiqua" w:eastAsia="Times New Roman" w:hAnsi="Book Antiqua" w:cstheme="minorHAnsi"/>
          <w:b/>
          <w:bCs/>
          <w:color w:val="000000" w:themeColor="text1"/>
        </w:rPr>
        <w:t>system</w:t>
      </w:r>
      <w:r w:rsidRPr="00DD186A">
        <w:rPr>
          <w:rFonts w:ascii="Book Antiqua" w:eastAsia="Times New Roman" w:hAnsi="Book Antiqua" w:cstheme="minorHAnsi"/>
          <w:b/>
          <w:bCs/>
          <w:color w:val="000000" w:themeColor="text1"/>
          <w:vertAlign w:val="superscript"/>
        </w:rPr>
        <w:t>[</w:t>
      </w:r>
      <w:proofErr w:type="gramEnd"/>
      <w:r w:rsidRPr="00DD186A">
        <w:rPr>
          <w:rFonts w:ascii="Book Antiqua" w:eastAsia="Times New Roman" w:hAnsi="Book Antiqua" w:cstheme="minorHAnsi"/>
          <w:b/>
          <w:bCs/>
          <w:color w:val="000000" w:themeColor="text1"/>
          <w:vertAlign w:val="superscript"/>
        </w:rPr>
        <w:fldChar w:fldCharType="begin"/>
      </w:r>
      <w:r w:rsidRPr="00DD186A">
        <w:rPr>
          <w:rFonts w:ascii="Book Antiqua" w:eastAsia="Times New Roman" w:hAnsi="Book Antiqua" w:cstheme="minorHAnsi"/>
          <w:b/>
          <w:bCs/>
          <w:color w:val="000000" w:themeColor="text1"/>
          <w:vertAlign w:val="superscript"/>
        </w:rPr>
        <w:instrText xml:space="preserve"> REF _Ref58967186 \r \h </w:instrText>
      </w:r>
      <w:r w:rsidR="00DD186A" w:rsidRPr="00DD186A">
        <w:rPr>
          <w:rFonts w:ascii="Book Antiqua" w:eastAsia="Times New Roman" w:hAnsi="Book Antiqua" w:cstheme="minorHAnsi"/>
          <w:b/>
          <w:bCs/>
          <w:color w:val="000000" w:themeColor="text1"/>
          <w:vertAlign w:val="superscript"/>
        </w:rPr>
        <w:instrText xml:space="preserve"> \* MERGEFORMAT </w:instrText>
      </w:r>
      <w:r w:rsidRPr="00DD186A">
        <w:rPr>
          <w:rFonts w:ascii="Book Antiqua" w:eastAsia="Times New Roman" w:hAnsi="Book Antiqua" w:cstheme="minorHAnsi"/>
          <w:b/>
          <w:bCs/>
          <w:color w:val="000000" w:themeColor="text1"/>
          <w:vertAlign w:val="superscript"/>
        </w:rPr>
      </w:r>
      <w:r w:rsidRPr="00DD186A">
        <w:rPr>
          <w:rFonts w:ascii="Book Antiqua" w:eastAsia="Times New Roman" w:hAnsi="Book Antiqua" w:cstheme="minorHAnsi"/>
          <w:b/>
          <w:bCs/>
          <w:color w:val="000000" w:themeColor="text1"/>
          <w:vertAlign w:val="superscript"/>
        </w:rPr>
        <w:fldChar w:fldCharType="separate"/>
      </w:r>
      <w:r w:rsidRPr="00DD186A">
        <w:rPr>
          <w:rFonts w:ascii="Book Antiqua" w:eastAsia="Times New Roman" w:hAnsi="Book Antiqua" w:cstheme="minorHAnsi"/>
          <w:b/>
          <w:bCs/>
          <w:color w:val="000000" w:themeColor="text1"/>
          <w:vertAlign w:val="superscript"/>
        </w:rPr>
        <w:t>3</w:t>
      </w:r>
      <w:r w:rsidRPr="00DD186A">
        <w:rPr>
          <w:rFonts w:ascii="Book Antiqua" w:eastAsia="Times New Roman" w:hAnsi="Book Antiqua" w:cstheme="minorHAnsi"/>
          <w:b/>
          <w:bCs/>
          <w:color w:val="000000" w:themeColor="text1"/>
          <w:vertAlign w:val="superscript"/>
        </w:rPr>
        <w:fldChar w:fldCharType="end"/>
      </w:r>
      <w:r w:rsidRPr="00DD186A">
        <w:rPr>
          <w:rFonts w:ascii="Book Antiqua" w:eastAsia="Times New Roman" w:hAnsi="Book Antiqua" w:cstheme="minorHAnsi"/>
          <w:b/>
          <w:bCs/>
          <w:color w:val="000000" w:themeColor="text1"/>
          <w:vertAlign w:val="superscript"/>
        </w:rPr>
        <w:t>]</w:t>
      </w:r>
    </w:p>
    <w:tbl>
      <w:tblPr>
        <w:tblStyle w:val="PlainTable41"/>
        <w:tblpPr w:leftFromText="180" w:rightFromText="180" w:vertAnchor="text" w:horzAnchor="margin" w:tblpY="117"/>
        <w:tblW w:w="0" w:type="auto"/>
        <w:tblLook w:val="04A0" w:firstRow="1" w:lastRow="0" w:firstColumn="1" w:lastColumn="0" w:noHBand="0" w:noVBand="1"/>
      </w:tblPr>
      <w:tblGrid>
        <w:gridCol w:w="4421"/>
        <w:gridCol w:w="4421"/>
      </w:tblGrid>
      <w:tr w:rsidR="00DD186A" w:rsidRPr="00DD186A" w14:paraId="4E4D61DC" w14:textId="77777777" w:rsidTr="00C0450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21" w:type="dxa"/>
            <w:tcBorders>
              <w:top w:val="single" w:sz="4" w:space="0" w:color="auto"/>
              <w:bottom w:val="single" w:sz="4" w:space="0" w:color="auto"/>
            </w:tcBorders>
            <w:shd w:val="clear" w:color="auto" w:fill="auto"/>
          </w:tcPr>
          <w:p w14:paraId="61F03D4B" w14:textId="77777777" w:rsidR="00897BF5" w:rsidRPr="00DD186A" w:rsidRDefault="00897BF5" w:rsidP="00C0450A">
            <w:pPr>
              <w:spacing w:line="360" w:lineRule="auto"/>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Level of oral intake</w:t>
            </w:r>
          </w:p>
        </w:tc>
        <w:tc>
          <w:tcPr>
            <w:tcW w:w="4421" w:type="dxa"/>
            <w:tcBorders>
              <w:top w:val="single" w:sz="4" w:space="0" w:color="auto"/>
              <w:bottom w:val="single" w:sz="4" w:space="0" w:color="auto"/>
            </w:tcBorders>
            <w:shd w:val="clear" w:color="auto" w:fill="auto"/>
          </w:tcPr>
          <w:p w14:paraId="586C5032"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Score</w:t>
            </w:r>
          </w:p>
        </w:tc>
      </w:tr>
      <w:tr w:rsidR="00897BF5" w:rsidRPr="00DD186A" w14:paraId="0D525AFF" w14:textId="77777777" w:rsidTr="00C045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421" w:type="dxa"/>
            <w:tcBorders>
              <w:top w:val="single" w:sz="4" w:space="0" w:color="auto"/>
            </w:tcBorders>
            <w:shd w:val="clear" w:color="auto" w:fill="auto"/>
          </w:tcPr>
          <w:p w14:paraId="09B00AA5"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No oral intake</w:t>
            </w:r>
          </w:p>
        </w:tc>
        <w:tc>
          <w:tcPr>
            <w:tcW w:w="4421" w:type="dxa"/>
            <w:tcBorders>
              <w:top w:val="single" w:sz="4" w:space="0" w:color="auto"/>
            </w:tcBorders>
            <w:shd w:val="clear" w:color="auto" w:fill="auto"/>
          </w:tcPr>
          <w:p w14:paraId="419507A0"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0</w:t>
            </w:r>
          </w:p>
        </w:tc>
      </w:tr>
      <w:tr w:rsidR="00897BF5" w:rsidRPr="00DD186A" w14:paraId="1DC273AE" w14:textId="77777777" w:rsidTr="00C0450A">
        <w:trPr>
          <w:trHeight w:val="456"/>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2B79A242"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Liquids only</w:t>
            </w:r>
          </w:p>
        </w:tc>
        <w:tc>
          <w:tcPr>
            <w:tcW w:w="4421" w:type="dxa"/>
            <w:shd w:val="clear" w:color="auto" w:fill="auto"/>
          </w:tcPr>
          <w:p w14:paraId="74528B99"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w:t>
            </w:r>
          </w:p>
        </w:tc>
      </w:tr>
      <w:tr w:rsidR="00897BF5" w:rsidRPr="00DD186A" w14:paraId="0354A013" w14:textId="77777777" w:rsidTr="00C0450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47DCA0DE"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Soft solids</w:t>
            </w:r>
          </w:p>
        </w:tc>
        <w:tc>
          <w:tcPr>
            <w:tcW w:w="4421" w:type="dxa"/>
            <w:shd w:val="clear" w:color="auto" w:fill="auto"/>
          </w:tcPr>
          <w:p w14:paraId="76144980"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w:t>
            </w:r>
          </w:p>
        </w:tc>
      </w:tr>
      <w:tr w:rsidR="00897BF5" w:rsidRPr="00DD186A" w14:paraId="2EC1C9E3" w14:textId="77777777" w:rsidTr="00C0450A">
        <w:trPr>
          <w:trHeight w:val="468"/>
        </w:trPr>
        <w:tc>
          <w:tcPr>
            <w:cnfStyle w:val="001000000000" w:firstRow="0" w:lastRow="0" w:firstColumn="1" w:lastColumn="0" w:oddVBand="0" w:evenVBand="0" w:oddHBand="0" w:evenHBand="0" w:firstRowFirstColumn="0" w:firstRowLastColumn="0" w:lastRowFirstColumn="0" w:lastRowLastColumn="0"/>
            <w:tcW w:w="4421" w:type="dxa"/>
            <w:tcBorders>
              <w:bottom w:val="single" w:sz="4" w:space="0" w:color="auto"/>
            </w:tcBorders>
            <w:shd w:val="clear" w:color="auto" w:fill="auto"/>
          </w:tcPr>
          <w:p w14:paraId="608DB405" w14:textId="77777777" w:rsidR="00897BF5" w:rsidRPr="00DD186A" w:rsidRDefault="00897BF5" w:rsidP="00C0450A">
            <w:pPr>
              <w:spacing w:line="360" w:lineRule="auto"/>
              <w:rPr>
                <w:rFonts w:ascii="Book Antiqua" w:eastAsia="Times New Roman" w:hAnsi="Book Antiqua" w:cstheme="minorHAnsi"/>
                <w:b w:val="0"/>
                <w:bCs w:val="0"/>
                <w:color w:val="000000" w:themeColor="text1"/>
              </w:rPr>
            </w:pPr>
            <w:r w:rsidRPr="00DD186A">
              <w:rPr>
                <w:rFonts w:ascii="Book Antiqua" w:eastAsia="Times New Roman" w:hAnsi="Book Antiqua" w:cstheme="minorHAnsi"/>
                <w:b w:val="0"/>
                <w:bCs w:val="0"/>
                <w:color w:val="000000" w:themeColor="text1"/>
              </w:rPr>
              <w:t>Low residue or full diet</w:t>
            </w:r>
          </w:p>
        </w:tc>
        <w:tc>
          <w:tcPr>
            <w:tcW w:w="4421" w:type="dxa"/>
            <w:tcBorders>
              <w:bottom w:val="single" w:sz="4" w:space="0" w:color="auto"/>
            </w:tcBorders>
            <w:shd w:val="clear" w:color="auto" w:fill="auto"/>
          </w:tcPr>
          <w:p w14:paraId="374009B9"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3</w:t>
            </w:r>
          </w:p>
        </w:tc>
      </w:tr>
    </w:tbl>
    <w:p w14:paraId="5B6ACE79"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2B7FDCF6"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634C9D83"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0D4383C2"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722262CB"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2C35043A"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08EFEFED"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77D41C2E"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r w:rsidRPr="00DD186A">
        <w:rPr>
          <w:rFonts w:ascii="Book Antiqua" w:eastAsia="Times New Roman" w:hAnsi="Book Antiqua" w:cstheme="minorHAnsi"/>
          <w:b/>
          <w:bCs/>
          <w:color w:val="000000" w:themeColor="text1"/>
        </w:rPr>
        <w:br w:type="page"/>
      </w:r>
    </w:p>
    <w:p w14:paraId="1F49FCAF"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r w:rsidRPr="00DD186A">
        <w:rPr>
          <w:rFonts w:ascii="Book Antiqua" w:eastAsia="Times New Roman" w:hAnsi="Book Antiqua" w:cstheme="minorHAnsi"/>
          <w:b/>
          <w:bCs/>
          <w:color w:val="000000" w:themeColor="text1"/>
        </w:rPr>
        <w:lastRenderedPageBreak/>
        <w:t>Table 3</w:t>
      </w:r>
      <w:r w:rsidRPr="00DD186A">
        <w:rPr>
          <w:rFonts w:ascii="Book Antiqua" w:hAnsi="Book Antiqua" w:cstheme="minorHAnsi"/>
          <w:b/>
          <w:bCs/>
          <w:color w:val="000000" w:themeColor="text1"/>
          <w:lang w:eastAsia="zh-CN"/>
        </w:rPr>
        <w:t xml:space="preserve"> </w:t>
      </w:r>
      <w:r w:rsidRPr="00DD186A">
        <w:rPr>
          <w:rFonts w:ascii="Book Antiqua" w:eastAsia="Times New Roman" w:hAnsi="Book Antiqua" w:cstheme="minorHAnsi"/>
          <w:b/>
          <w:bCs/>
          <w:color w:val="000000" w:themeColor="text1"/>
        </w:rPr>
        <w:t xml:space="preserve">Types of lumen-apposing metal </w:t>
      </w:r>
      <w:proofErr w:type="gramStart"/>
      <w:r w:rsidRPr="00DD186A">
        <w:rPr>
          <w:rFonts w:ascii="Book Antiqua" w:eastAsia="Times New Roman" w:hAnsi="Book Antiqua" w:cstheme="minorHAnsi"/>
          <w:b/>
          <w:bCs/>
          <w:color w:val="000000" w:themeColor="text1"/>
        </w:rPr>
        <w:t>stents</w:t>
      </w:r>
      <w:r w:rsidRPr="00DD186A">
        <w:rPr>
          <w:rFonts w:ascii="Book Antiqua" w:eastAsia="Times New Roman" w:hAnsi="Book Antiqua" w:cstheme="minorHAnsi"/>
          <w:b/>
          <w:bCs/>
          <w:color w:val="000000" w:themeColor="text1"/>
          <w:vertAlign w:val="superscript"/>
        </w:rPr>
        <w:t>[</w:t>
      </w:r>
      <w:proofErr w:type="gramEnd"/>
      <w:r w:rsidRPr="00DD186A">
        <w:rPr>
          <w:rFonts w:ascii="Book Antiqua" w:eastAsia="Times New Roman" w:hAnsi="Book Antiqua" w:cstheme="minorHAnsi"/>
          <w:b/>
          <w:bCs/>
          <w:color w:val="000000" w:themeColor="text1"/>
          <w:vertAlign w:val="superscript"/>
        </w:rPr>
        <w:fldChar w:fldCharType="begin"/>
      </w:r>
      <w:r w:rsidRPr="00DD186A">
        <w:rPr>
          <w:rFonts w:ascii="Book Antiqua" w:eastAsia="Times New Roman" w:hAnsi="Book Antiqua" w:cstheme="minorHAnsi"/>
          <w:b/>
          <w:bCs/>
          <w:color w:val="000000" w:themeColor="text1"/>
          <w:vertAlign w:val="superscript"/>
        </w:rPr>
        <w:instrText xml:space="preserve"> REF _Ref61381824 \r \h </w:instrText>
      </w:r>
      <w:r w:rsidR="00DD186A" w:rsidRPr="00DD186A">
        <w:rPr>
          <w:rFonts w:ascii="Book Antiqua" w:eastAsia="Times New Roman" w:hAnsi="Book Antiqua" w:cstheme="minorHAnsi"/>
          <w:b/>
          <w:bCs/>
          <w:color w:val="000000" w:themeColor="text1"/>
          <w:vertAlign w:val="superscript"/>
        </w:rPr>
        <w:instrText xml:space="preserve"> \* MERGEFORMAT </w:instrText>
      </w:r>
      <w:r w:rsidRPr="00DD186A">
        <w:rPr>
          <w:rFonts w:ascii="Book Antiqua" w:eastAsia="Times New Roman" w:hAnsi="Book Antiqua" w:cstheme="minorHAnsi"/>
          <w:b/>
          <w:bCs/>
          <w:color w:val="000000" w:themeColor="text1"/>
          <w:vertAlign w:val="superscript"/>
        </w:rPr>
      </w:r>
      <w:r w:rsidRPr="00DD186A">
        <w:rPr>
          <w:rFonts w:ascii="Book Antiqua" w:eastAsia="Times New Roman" w:hAnsi="Book Antiqua" w:cstheme="minorHAnsi"/>
          <w:b/>
          <w:bCs/>
          <w:color w:val="000000" w:themeColor="text1"/>
          <w:vertAlign w:val="superscript"/>
        </w:rPr>
        <w:fldChar w:fldCharType="separate"/>
      </w:r>
      <w:r w:rsidRPr="00DD186A">
        <w:rPr>
          <w:rFonts w:ascii="Book Antiqua" w:eastAsia="Times New Roman" w:hAnsi="Book Antiqua" w:cstheme="minorHAnsi"/>
          <w:b/>
          <w:bCs/>
          <w:color w:val="000000" w:themeColor="text1"/>
          <w:vertAlign w:val="superscript"/>
        </w:rPr>
        <w:t>27</w:t>
      </w:r>
      <w:r w:rsidRPr="00DD186A">
        <w:rPr>
          <w:rFonts w:ascii="Book Antiqua" w:eastAsia="Times New Roman" w:hAnsi="Book Antiqua" w:cstheme="minorHAnsi"/>
          <w:b/>
          <w:bCs/>
          <w:color w:val="000000" w:themeColor="text1"/>
          <w:vertAlign w:val="superscript"/>
        </w:rPr>
        <w:fldChar w:fldCharType="end"/>
      </w:r>
      <w:r w:rsidRPr="00DD186A">
        <w:rPr>
          <w:rFonts w:ascii="Book Antiqua" w:hAnsi="Book Antiqua" w:cstheme="minorHAnsi"/>
          <w:b/>
          <w:bCs/>
          <w:color w:val="000000" w:themeColor="text1"/>
          <w:vertAlign w:val="superscript"/>
          <w:lang w:eastAsia="zh-CN"/>
        </w:rPr>
        <w:t>-</w:t>
      </w:r>
      <w:r w:rsidRPr="00DD186A">
        <w:rPr>
          <w:rFonts w:ascii="Book Antiqua" w:eastAsia="Times New Roman" w:hAnsi="Book Antiqua" w:cstheme="minorHAnsi"/>
          <w:b/>
          <w:bCs/>
          <w:color w:val="000000" w:themeColor="text1"/>
          <w:vertAlign w:val="superscript"/>
        </w:rPr>
        <w:fldChar w:fldCharType="begin"/>
      </w:r>
      <w:r w:rsidRPr="00DD186A">
        <w:rPr>
          <w:rFonts w:ascii="Book Antiqua" w:eastAsia="Times New Roman" w:hAnsi="Book Antiqua" w:cstheme="minorHAnsi"/>
          <w:b/>
          <w:bCs/>
          <w:color w:val="000000" w:themeColor="text1"/>
          <w:vertAlign w:val="superscript"/>
        </w:rPr>
        <w:instrText xml:space="preserve"> REF _Ref61980100 \r \h </w:instrText>
      </w:r>
      <w:r w:rsidR="00DD186A" w:rsidRPr="00DD186A">
        <w:rPr>
          <w:rFonts w:ascii="Book Antiqua" w:eastAsia="Times New Roman" w:hAnsi="Book Antiqua" w:cstheme="minorHAnsi"/>
          <w:b/>
          <w:bCs/>
          <w:color w:val="000000" w:themeColor="text1"/>
          <w:vertAlign w:val="superscript"/>
        </w:rPr>
        <w:instrText xml:space="preserve"> \* MERGEFORMAT </w:instrText>
      </w:r>
      <w:r w:rsidRPr="00DD186A">
        <w:rPr>
          <w:rFonts w:ascii="Book Antiqua" w:eastAsia="Times New Roman" w:hAnsi="Book Antiqua" w:cstheme="minorHAnsi"/>
          <w:b/>
          <w:bCs/>
          <w:color w:val="000000" w:themeColor="text1"/>
          <w:vertAlign w:val="superscript"/>
        </w:rPr>
      </w:r>
      <w:r w:rsidRPr="00DD186A">
        <w:rPr>
          <w:rFonts w:ascii="Book Antiqua" w:eastAsia="Times New Roman" w:hAnsi="Book Antiqua" w:cstheme="minorHAnsi"/>
          <w:b/>
          <w:bCs/>
          <w:color w:val="000000" w:themeColor="text1"/>
          <w:vertAlign w:val="superscript"/>
        </w:rPr>
        <w:fldChar w:fldCharType="separate"/>
      </w:r>
      <w:r w:rsidRPr="00DD186A">
        <w:rPr>
          <w:rFonts w:ascii="Book Antiqua" w:eastAsia="Times New Roman" w:hAnsi="Book Antiqua" w:cstheme="minorHAnsi"/>
          <w:b/>
          <w:bCs/>
          <w:color w:val="000000" w:themeColor="text1"/>
          <w:vertAlign w:val="superscript"/>
        </w:rPr>
        <w:t>29</w:t>
      </w:r>
      <w:r w:rsidRPr="00DD186A">
        <w:rPr>
          <w:rFonts w:ascii="Book Antiqua" w:eastAsia="Times New Roman" w:hAnsi="Book Antiqua" w:cstheme="minorHAnsi"/>
          <w:b/>
          <w:bCs/>
          <w:color w:val="000000" w:themeColor="text1"/>
          <w:vertAlign w:val="superscript"/>
        </w:rPr>
        <w:fldChar w:fldCharType="end"/>
      </w:r>
      <w:r w:rsidRPr="00DD186A">
        <w:rPr>
          <w:rFonts w:ascii="Book Antiqua" w:eastAsia="Times New Roman" w:hAnsi="Book Antiqua" w:cstheme="minorHAnsi"/>
          <w:b/>
          <w:bCs/>
          <w:color w:val="000000" w:themeColor="text1"/>
          <w:vertAlign w:val="superscript"/>
        </w:rPr>
        <w:t>]</w:t>
      </w:r>
    </w:p>
    <w:tbl>
      <w:tblPr>
        <w:tblStyle w:val="PlainTable41"/>
        <w:tblW w:w="10173" w:type="dxa"/>
        <w:tblLook w:val="04A0" w:firstRow="1" w:lastRow="0" w:firstColumn="1" w:lastColumn="0" w:noHBand="0" w:noVBand="1"/>
      </w:tblPr>
      <w:tblGrid>
        <w:gridCol w:w="2333"/>
        <w:gridCol w:w="1349"/>
        <w:gridCol w:w="1061"/>
        <w:gridCol w:w="1354"/>
        <w:gridCol w:w="1985"/>
        <w:gridCol w:w="2091"/>
      </w:tblGrid>
      <w:tr w:rsidR="00897BF5" w:rsidRPr="00DD186A" w14:paraId="09148130" w14:textId="77777777" w:rsidTr="00FB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746F95AB" w14:textId="77777777" w:rsidR="00897BF5" w:rsidRPr="00C0450A" w:rsidRDefault="00897BF5" w:rsidP="00C0450A">
            <w:pPr>
              <w:spacing w:line="360" w:lineRule="auto"/>
              <w:rPr>
                <w:rFonts w:ascii="Book Antiqua" w:eastAsia="Times New Roman" w:hAnsi="Book Antiqua" w:cstheme="minorHAnsi"/>
                <w:color w:val="000000" w:themeColor="text1"/>
              </w:rPr>
            </w:pPr>
            <w:r w:rsidRPr="00C0450A">
              <w:rPr>
                <w:rFonts w:ascii="Book Antiqua" w:eastAsia="Times New Roman" w:hAnsi="Book Antiqua" w:cstheme="minorHAnsi"/>
                <w:color w:val="000000" w:themeColor="text1"/>
              </w:rPr>
              <w:t>Stent</w:t>
            </w:r>
          </w:p>
        </w:tc>
        <w:tc>
          <w:tcPr>
            <w:tcW w:w="0" w:type="auto"/>
            <w:tcBorders>
              <w:top w:val="single" w:sz="4" w:space="0" w:color="auto"/>
              <w:bottom w:val="single" w:sz="4" w:space="0" w:color="auto"/>
            </w:tcBorders>
            <w:shd w:val="clear" w:color="auto" w:fill="auto"/>
          </w:tcPr>
          <w:p w14:paraId="77CDC7FD"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Flange diameter (mm)</w:t>
            </w:r>
          </w:p>
        </w:tc>
        <w:tc>
          <w:tcPr>
            <w:tcW w:w="0" w:type="auto"/>
            <w:tcBorders>
              <w:top w:val="single" w:sz="4" w:space="0" w:color="auto"/>
              <w:bottom w:val="single" w:sz="4" w:space="0" w:color="auto"/>
            </w:tcBorders>
            <w:shd w:val="clear" w:color="auto" w:fill="auto"/>
          </w:tcPr>
          <w:p w14:paraId="2C7E3351"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Length (mm)</w:t>
            </w:r>
          </w:p>
        </w:tc>
        <w:tc>
          <w:tcPr>
            <w:tcW w:w="0" w:type="auto"/>
            <w:tcBorders>
              <w:top w:val="single" w:sz="4" w:space="0" w:color="auto"/>
              <w:bottom w:val="single" w:sz="4" w:space="0" w:color="auto"/>
            </w:tcBorders>
            <w:shd w:val="clear" w:color="auto" w:fill="auto"/>
          </w:tcPr>
          <w:p w14:paraId="00836E64"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Lumen diameter (mm)</w:t>
            </w:r>
          </w:p>
        </w:tc>
        <w:tc>
          <w:tcPr>
            <w:tcW w:w="0" w:type="auto"/>
            <w:tcBorders>
              <w:top w:val="single" w:sz="4" w:space="0" w:color="auto"/>
              <w:bottom w:val="single" w:sz="4" w:space="0" w:color="auto"/>
            </w:tcBorders>
            <w:shd w:val="clear" w:color="auto" w:fill="auto"/>
          </w:tcPr>
          <w:p w14:paraId="4D2E9C23"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Electrocautery enhanced option </w:t>
            </w:r>
          </w:p>
        </w:tc>
        <w:tc>
          <w:tcPr>
            <w:tcW w:w="2091" w:type="dxa"/>
            <w:tcBorders>
              <w:top w:val="single" w:sz="4" w:space="0" w:color="auto"/>
              <w:bottom w:val="single" w:sz="4" w:space="0" w:color="auto"/>
            </w:tcBorders>
            <w:shd w:val="clear" w:color="auto" w:fill="auto"/>
          </w:tcPr>
          <w:p w14:paraId="1028D232"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Material</w:t>
            </w:r>
          </w:p>
        </w:tc>
      </w:tr>
      <w:tr w:rsidR="00897BF5" w:rsidRPr="00DD186A" w14:paraId="39EEC18A" w14:textId="77777777" w:rsidTr="00FB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72ACCAAD" w14:textId="77777777" w:rsidR="00897BF5" w:rsidRPr="00C0450A" w:rsidRDefault="00897BF5" w:rsidP="00C0450A">
            <w:pPr>
              <w:spacing w:line="360" w:lineRule="auto"/>
              <w:rPr>
                <w:rFonts w:ascii="Book Antiqua" w:eastAsia="Times New Roman" w:hAnsi="Book Antiqua" w:cstheme="minorHAnsi"/>
                <w:b w:val="0"/>
                <w:color w:val="000000" w:themeColor="text1"/>
              </w:rPr>
            </w:pPr>
            <w:r w:rsidRPr="00C0450A">
              <w:rPr>
                <w:rFonts w:ascii="Book Antiqua" w:eastAsia="Times New Roman" w:hAnsi="Book Antiqua" w:cstheme="minorHAnsi"/>
                <w:b w:val="0"/>
                <w:color w:val="000000" w:themeColor="text1"/>
              </w:rPr>
              <w:t>AXIOS</w:t>
            </w:r>
            <w:r w:rsidRPr="00C0450A">
              <w:rPr>
                <w:rFonts w:ascii="Book Antiqua" w:eastAsia="Times New Roman" w:hAnsi="Book Antiqua" w:cstheme="minorHAnsi"/>
                <w:b w:val="0"/>
                <w:color w:val="000000" w:themeColor="text1"/>
                <w:vertAlign w:val="superscript"/>
              </w:rPr>
              <w:t>TM</w:t>
            </w:r>
            <w:r w:rsidRPr="00C0450A">
              <w:rPr>
                <w:rFonts w:ascii="Book Antiqua" w:eastAsia="Times New Roman" w:hAnsi="Book Antiqua" w:cstheme="minorHAnsi"/>
                <w:b w:val="0"/>
                <w:color w:val="000000" w:themeColor="text1"/>
              </w:rPr>
              <w:t xml:space="preserve"> (Boston Scientific Corp., Marlborough, MA, U</w:t>
            </w:r>
            <w:r w:rsidRPr="00C0450A">
              <w:rPr>
                <w:rFonts w:ascii="Book Antiqua" w:hAnsi="Book Antiqua" w:cstheme="minorHAnsi"/>
                <w:b w:val="0"/>
                <w:color w:val="000000" w:themeColor="text1"/>
                <w:lang w:eastAsia="zh-CN"/>
              </w:rPr>
              <w:t>nited States</w:t>
            </w:r>
            <w:r w:rsidRPr="00C0450A">
              <w:rPr>
                <w:rFonts w:ascii="Book Antiqua" w:eastAsia="Times New Roman" w:hAnsi="Book Antiqua" w:cstheme="minorHAnsi"/>
                <w:b w:val="0"/>
                <w:color w:val="000000" w:themeColor="text1"/>
              </w:rPr>
              <w:t>)</w:t>
            </w:r>
          </w:p>
        </w:tc>
        <w:tc>
          <w:tcPr>
            <w:tcW w:w="0" w:type="auto"/>
            <w:tcBorders>
              <w:top w:val="single" w:sz="4" w:space="0" w:color="auto"/>
            </w:tcBorders>
            <w:shd w:val="clear" w:color="auto" w:fill="auto"/>
          </w:tcPr>
          <w:p w14:paraId="69E8508C"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21, 24, 29</w:t>
            </w:r>
          </w:p>
        </w:tc>
        <w:tc>
          <w:tcPr>
            <w:tcW w:w="0" w:type="auto"/>
            <w:tcBorders>
              <w:top w:val="single" w:sz="4" w:space="0" w:color="auto"/>
            </w:tcBorders>
            <w:shd w:val="clear" w:color="auto" w:fill="auto"/>
          </w:tcPr>
          <w:p w14:paraId="1066F4E3"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w:t>
            </w:r>
          </w:p>
        </w:tc>
        <w:tc>
          <w:tcPr>
            <w:tcW w:w="0" w:type="auto"/>
            <w:tcBorders>
              <w:top w:val="single" w:sz="4" w:space="0" w:color="auto"/>
            </w:tcBorders>
            <w:shd w:val="clear" w:color="auto" w:fill="auto"/>
          </w:tcPr>
          <w:p w14:paraId="58CD5CC3"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10, 15, 20</w:t>
            </w:r>
          </w:p>
        </w:tc>
        <w:tc>
          <w:tcPr>
            <w:tcW w:w="0" w:type="auto"/>
            <w:tcBorders>
              <w:top w:val="single" w:sz="4" w:space="0" w:color="auto"/>
            </w:tcBorders>
            <w:shd w:val="clear" w:color="auto" w:fill="auto"/>
          </w:tcPr>
          <w:p w14:paraId="596C9CCC"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Yes</w:t>
            </w:r>
          </w:p>
        </w:tc>
        <w:tc>
          <w:tcPr>
            <w:tcW w:w="2091" w:type="dxa"/>
            <w:tcBorders>
              <w:top w:val="single" w:sz="4" w:space="0" w:color="auto"/>
            </w:tcBorders>
            <w:shd w:val="clear" w:color="auto" w:fill="auto"/>
          </w:tcPr>
          <w:p w14:paraId="36C836E5"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Silicone-covered, nitinol-braided stent</w:t>
            </w:r>
          </w:p>
        </w:tc>
      </w:tr>
      <w:tr w:rsidR="00897BF5" w:rsidRPr="00DD186A" w14:paraId="447096C0" w14:textId="77777777" w:rsidTr="00FB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39683" w14:textId="77777777" w:rsidR="00897BF5" w:rsidRPr="00C0450A" w:rsidRDefault="00897BF5" w:rsidP="00C0450A">
            <w:pPr>
              <w:spacing w:line="360" w:lineRule="auto"/>
              <w:rPr>
                <w:rFonts w:ascii="Book Antiqua" w:eastAsia="Times New Roman" w:hAnsi="Book Antiqua" w:cstheme="minorHAnsi"/>
                <w:b w:val="0"/>
                <w:color w:val="000000" w:themeColor="text1"/>
              </w:rPr>
            </w:pPr>
            <w:r w:rsidRPr="00C0450A">
              <w:rPr>
                <w:rFonts w:ascii="Book Antiqua" w:eastAsia="Times New Roman" w:hAnsi="Book Antiqua" w:cstheme="minorHAnsi"/>
                <w:b w:val="0"/>
                <w:color w:val="000000" w:themeColor="text1"/>
              </w:rPr>
              <w:t>NAGI</w:t>
            </w:r>
            <w:r w:rsidRPr="00C0450A">
              <w:rPr>
                <w:rFonts w:ascii="Book Antiqua" w:eastAsia="Times New Roman" w:hAnsi="Book Antiqua" w:cstheme="minorHAnsi"/>
                <w:b w:val="0"/>
                <w:color w:val="000000" w:themeColor="text1"/>
                <w:vertAlign w:val="superscript"/>
              </w:rPr>
              <w:t>TM</w:t>
            </w:r>
            <w:r w:rsidRPr="00C0450A">
              <w:rPr>
                <w:rFonts w:ascii="Book Antiqua" w:eastAsia="Times New Roman" w:hAnsi="Book Antiqua" w:cstheme="minorHAnsi"/>
                <w:b w:val="0"/>
                <w:color w:val="000000" w:themeColor="text1"/>
              </w:rPr>
              <w:t xml:space="preserve"> (Taewoong Medical Co., Ltd., Goyang, </w:t>
            </w:r>
            <w:r w:rsidRPr="00C0450A">
              <w:rPr>
                <w:rFonts w:ascii="Book Antiqua" w:hAnsi="Book Antiqua" w:cstheme="minorHAnsi"/>
                <w:b w:val="0"/>
                <w:color w:val="000000" w:themeColor="text1"/>
                <w:lang w:eastAsia="zh-CN"/>
              </w:rPr>
              <w:t xml:space="preserve">South </w:t>
            </w:r>
            <w:r w:rsidRPr="00C0450A">
              <w:rPr>
                <w:rFonts w:ascii="Book Antiqua" w:eastAsia="Times New Roman" w:hAnsi="Book Antiqua" w:cstheme="minorHAnsi"/>
                <w:b w:val="0"/>
                <w:color w:val="000000" w:themeColor="text1"/>
              </w:rPr>
              <w:t>Korea)</w:t>
            </w:r>
          </w:p>
        </w:tc>
        <w:tc>
          <w:tcPr>
            <w:tcW w:w="0" w:type="auto"/>
            <w:shd w:val="clear" w:color="auto" w:fill="auto"/>
          </w:tcPr>
          <w:p w14:paraId="2E31EF17"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20</w:t>
            </w:r>
          </w:p>
        </w:tc>
        <w:tc>
          <w:tcPr>
            <w:tcW w:w="0" w:type="auto"/>
            <w:shd w:val="clear" w:color="auto" w:fill="auto"/>
          </w:tcPr>
          <w:p w14:paraId="4CAE147B"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10, 20, 30</w:t>
            </w:r>
          </w:p>
        </w:tc>
        <w:tc>
          <w:tcPr>
            <w:tcW w:w="0" w:type="auto"/>
            <w:shd w:val="clear" w:color="auto" w:fill="auto"/>
          </w:tcPr>
          <w:p w14:paraId="4D548554"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10, 12, 14, 16</w:t>
            </w:r>
          </w:p>
        </w:tc>
        <w:tc>
          <w:tcPr>
            <w:tcW w:w="0" w:type="auto"/>
            <w:shd w:val="clear" w:color="auto" w:fill="auto"/>
          </w:tcPr>
          <w:p w14:paraId="3E8BCEC4"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No</w:t>
            </w:r>
          </w:p>
        </w:tc>
        <w:tc>
          <w:tcPr>
            <w:tcW w:w="2091" w:type="dxa"/>
            <w:shd w:val="clear" w:color="auto" w:fill="auto"/>
          </w:tcPr>
          <w:p w14:paraId="14881A96"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Silicone-covered, Nitinol stent</w:t>
            </w:r>
          </w:p>
        </w:tc>
      </w:tr>
      <w:tr w:rsidR="00897BF5" w:rsidRPr="00DD186A" w14:paraId="5F4F0F69" w14:textId="77777777" w:rsidTr="00FB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42EAD" w14:textId="77777777" w:rsidR="00897BF5" w:rsidRPr="00C0450A" w:rsidRDefault="00897BF5" w:rsidP="00C0450A">
            <w:pPr>
              <w:spacing w:line="360" w:lineRule="auto"/>
              <w:rPr>
                <w:rFonts w:ascii="Book Antiqua" w:eastAsia="Times New Roman" w:hAnsi="Book Antiqua" w:cstheme="minorHAnsi"/>
                <w:b w:val="0"/>
                <w:color w:val="000000" w:themeColor="text1"/>
              </w:rPr>
            </w:pPr>
            <w:r w:rsidRPr="00C0450A">
              <w:rPr>
                <w:rFonts w:ascii="Book Antiqua" w:eastAsia="Times New Roman" w:hAnsi="Book Antiqua" w:cstheme="minorHAnsi"/>
                <w:b w:val="0"/>
                <w:color w:val="000000" w:themeColor="text1"/>
              </w:rPr>
              <w:t>Niti-S Spaxus</w:t>
            </w:r>
            <w:r w:rsidRPr="00C0450A">
              <w:rPr>
                <w:rFonts w:ascii="Book Antiqua" w:eastAsia="Times New Roman" w:hAnsi="Book Antiqua" w:cstheme="minorHAnsi"/>
                <w:b w:val="0"/>
                <w:color w:val="000000" w:themeColor="text1"/>
                <w:vertAlign w:val="superscript"/>
              </w:rPr>
              <w:t>TM</w:t>
            </w:r>
            <w:r w:rsidRPr="00C0450A">
              <w:rPr>
                <w:rFonts w:ascii="Book Antiqua" w:eastAsia="Times New Roman" w:hAnsi="Book Antiqua" w:cstheme="minorHAnsi"/>
                <w:b w:val="0"/>
                <w:color w:val="000000" w:themeColor="text1"/>
              </w:rPr>
              <w:t xml:space="preserve"> stent (Taewoong Medical Co., Ltd.)</w:t>
            </w:r>
          </w:p>
        </w:tc>
        <w:tc>
          <w:tcPr>
            <w:tcW w:w="0" w:type="auto"/>
            <w:shd w:val="clear" w:color="auto" w:fill="auto"/>
          </w:tcPr>
          <w:p w14:paraId="6E8F5E0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23, 25, 31</w:t>
            </w:r>
          </w:p>
        </w:tc>
        <w:tc>
          <w:tcPr>
            <w:tcW w:w="0" w:type="auto"/>
            <w:shd w:val="clear" w:color="auto" w:fill="auto"/>
          </w:tcPr>
          <w:p w14:paraId="0D179282"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20</w:t>
            </w:r>
          </w:p>
        </w:tc>
        <w:tc>
          <w:tcPr>
            <w:tcW w:w="0" w:type="auto"/>
            <w:shd w:val="clear" w:color="auto" w:fill="auto"/>
          </w:tcPr>
          <w:p w14:paraId="5C5C35DB"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8, 10, 16</w:t>
            </w:r>
          </w:p>
        </w:tc>
        <w:tc>
          <w:tcPr>
            <w:tcW w:w="0" w:type="auto"/>
            <w:shd w:val="clear" w:color="auto" w:fill="auto"/>
          </w:tcPr>
          <w:p w14:paraId="588AE7F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Yes</w:t>
            </w:r>
          </w:p>
        </w:tc>
        <w:tc>
          <w:tcPr>
            <w:tcW w:w="2091" w:type="dxa"/>
            <w:shd w:val="clear" w:color="auto" w:fill="auto"/>
          </w:tcPr>
          <w:p w14:paraId="63F23E5B"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Silicone-covered, Nitinol stent</w:t>
            </w:r>
          </w:p>
        </w:tc>
      </w:tr>
      <w:tr w:rsidR="00897BF5" w:rsidRPr="00DD186A" w14:paraId="4D8D124D" w14:textId="77777777" w:rsidTr="00FB2439">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770F0DA0" w14:textId="77777777" w:rsidR="00897BF5" w:rsidRPr="00C0450A" w:rsidRDefault="00897BF5" w:rsidP="00C0450A">
            <w:pPr>
              <w:spacing w:line="360" w:lineRule="auto"/>
              <w:rPr>
                <w:rFonts w:ascii="Book Antiqua" w:eastAsia="Times New Roman" w:hAnsi="Book Antiqua" w:cstheme="minorHAnsi"/>
                <w:b w:val="0"/>
                <w:color w:val="000000" w:themeColor="text1"/>
              </w:rPr>
            </w:pPr>
            <w:r w:rsidRPr="00C0450A">
              <w:rPr>
                <w:rFonts w:ascii="Book Antiqua" w:eastAsia="Times New Roman" w:hAnsi="Book Antiqua" w:cstheme="minorHAnsi"/>
                <w:b w:val="0"/>
                <w:color w:val="000000" w:themeColor="text1"/>
              </w:rPr>
              <w:t>HANARO</w:t>
            </w:r>
            <w:r w:rsidRPr="00C0450A">
              <w:rPr>
                <w:rFonts w:ascii="Book Antiqua" w:eastAsia="Times New Roman" w:hAnsi="Book Antiqua" w:cstheme="minorHAnsi"/>
                <w:b w:val="0"/>
                <w:color w:val="000000" w:themeColor="text1"/>
                <w:vertAlign w:val="superscript"/>
              </w:rPr>
              <w:t>TM</w:t>
            </w:r>
            <w:r w:rsidRPr="00C0450A">
              <w:rPr>
                <w:rFonts w:ascii="Book Antiqua" w:eastAsia="Times New Roman" w:hAnsi="Book Antiqua" w:cstheme="minorHAnsi"/>
                <w:b w:val="0"/>
                <w:color w:val="000000" w:themeColor="text1"/>
              </w:rPr>
              <w:t xml:space="preserve"> stent (M.I.Tech, Pyeongtaek, </w:t>
            </w:r>
            <w:r w:rsidRPr="00C0450A">
              <w:rPr>
                <w:rFonts w:ascii="Book Antiqua" w:hAnsi="Book Antiqua" w:cstheme="minorHAnsi"/>
                <w:b w:val="0"/>
                <w:color w:val="000000" w:themeColor="text1"/>
                <w:lang w:eastAsia="zh-CN"/>
              </w:rPr>
              <w:t xml:space="preserve">South </w:t>
            </w:r>
            <w:r w:rsidRPr="00C0450A">
              <w:rPr>
                <w:rFonts w:ascii="Book Antiqua" w:eastAsia="Times New Roman" w:hAnsi="Book Antiqua" w:cstheme="minorHAnsi"/>
                <w:b w:val="0"/>
                <w:color w:val="000000" w:themeColor="text1"/>
              </w:rPr>
              <w:t>Korea)</w:t>
            </w:r>
          </w:p>
        </w:tc>
        <w:tc>
          <w:tcPr>
            <w:tcW w:w="0" w:type="auto"/>
            <w:tcBorders>
              <w:bottom w:val="single" w:sz="4" w:space="0" w:color="auto"/>
            </w:tcBorders>
            <w:shd w:val="clear" w:color="auto" w:fill="auto"/>
          </w:tcPr>
          <w:p w14:paraId="178AB534"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22 - 28</w:t>
            </w:r>
          </w:p>
        </w:tc>
        <w:tc>
          <w:tcPr>
            <w:tcW w:w="0" w:type="auto"/>
            <w:tcBorders>
              <w:bottom w:val="single" w:sz="4" w:space="0" w:color="auto"/>
            </w:tcBorders>
            <w:shd w:val="clear" w:color="auto" w:fill="auto"/>
          </w:tcPr>
          <w:p w14:paraId="3F564BF4"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10, 30</w:t>
            </w:r>
          </w:p>
        </w:tc>
        <w:tc>
          <w:tcPr>
            <w:tcW w:w="0" w:type="auto"/>
            <w:tcBorders>
              <w:bottom w:val="single" w:sz="4" w:space="0" w:color="auto"/>
            </w:tcBorders>
            <w:shd w:val="clear" w:color="auto" w:fill="auto"/>
          </w:tcPr>
          <w:p w14:paraId="6CACB517"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10, 12, 14, 16</w:t>
            </w:r>
          </w:p>
        </w:tc>
        <w:tc>
          <w:tcPr>
            <w:tcW w:w="0" w:type="auto"/>
            <w:tcBorders>
              <w:bottom w:val="single" w:sz="4" w:space="0" w:color="auto"/>
            </w:tcBorders>
            <w:shd w:val="clear" w:color="auto" w:fill="auto"/>
          </w:tcPr>
          <w:p w14:paraId="38AC3150"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No</w:t>
            </w:r>
          </w:p>
        </w:tc>
        <w:tc>
          <w:tcPr>
            <w:tcW w:w="2091" w:type="dxa"/>
            <w:tcBorders>
              <w:bottom w:val="single" w:sz="4" w:space="0" w:color="auto"/>
            </w:tcBorders>
            <w:shd w:val="clear" w:color="auto" w:fill="auto"/>
          </w:tcPr>
          <w:p w14:paraId="40EC8A93"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Silicone-covered, Nitinol stent</w:t>
            </w:r>
          </w:p>
        </w:tc>
      </w:tr>
    </w:tbl>
    <w:p w14:paraId="3803F934" w14:textId="77777777" w:rsidR="00897BF5" w:rsidRPr="00DD186A" w:rsidRDefault="00897BF5" w:rsidP="00897BF5">
      <w:pPr>
        <w:spacing w:line="360" w:lineRule="auto"/>
        <w:jc w:val="both"/>
        <w:rPr>
          <w:rFonts w:ascii="Book Antiqua" w:eastAsia="Times New Roman" w:hAnsi="Book Antiqua" w:cstheme="minorHAnsi"/>
          <w:b/>
          <w:bCs/>
          <w:color w:val="000000" w:themeColor="text1"/>
        </w:rPr>
      </w:pPr>
    </w:p>
    <w:p w14:paraId="0B7C0295" w14:textId="77777777" w:rsidR="00DD186A" w:rsidRDefault="00DD186A" w:rsidP="00897BF5">
      <w:pPr>
        <w:pStyle w:val="a6"/>
        <w:spacing w:before="0" w:beforeAutospacing="0" w:after="0" w:afterAutospacing="0" w:line="360" w:lineRule="auto"/>
        <w:jc w:val="both"/>
        <w:rPr>
          <w:rFonts w:ascii="Book Antiqua" w:hAnsi="Book Antiqua" w:cstheme="minorHAnsi"/>
          <w:b/>
          <w:bCs/>
          <w:color w:val="000000" w:themeColor="text1"/>
        </w:rPr>
        <w:sectPr w:rsidR="00DD186A">
          <w:pgSz w:w="12240" w:h="15840"/>
          <w:pgMar w:top="1440" w:right="1440" w:bottom="1440" w:left="1440" w:header="720" w:footer="720" w:gutter="0"/>
          <w:cols w:space="720"/>
          <w:docGrid w:linePitch="360"/>
        </w:sectPr>
      </w:pPr>
    </w:p>
    <w:p w14:paraId="2F7BB492" w14:textId="77777777" w:rsidR="00897BF5" w:rsidRPr="00DD186A" w:rsidRDefault="00897BF5" w:rsidP="00897BF5">
      <w:pPr>
        <w:pStyle w:val="a6"/>
        <w:spacing w:before="0" w:beforeAutospacing="0" w:after="0" w:afterAutospacing="0" w:line="360" w:lineRule="auto"/>
        <w:jc w:val="both"/>
        <w:rPr>
          <w:rFonts w:ascii="Book Antiqua" w:hAnsi="Book Antiqua" w:cstheme="minorHAnsi"/>
          <w:b/>
          <w:bCs/>
          <w:color w:val="000000" w:themeColor="text1"/>
        </w:rPr>
      </w:pPr>
      <w:r w:rsidRPr="00DD186A">
        <w:rPr>
          <w:rFonts w:ascii="Book Antiqua" w:hAnsi="Book Antiqua" w:cstheme="minorHAnsi"/>
          <w:b/>
          <w:bCs/>
          <w:color w:val="000000" w:themeColor="text1"/>
        </w:rPr>
        <w:lastRenderedPageBreak/>
        <w:t>Table 4</w:t>
      </w:r>
      <w:r w:rsidRPr="00DD186A">
        <w:rPr>
          <w:rFonts w:ascii="Book Antiqua" w:eastAsiaTheme="minorEastAsia" w:hAnsi="Book Antiqua" w:cstheme="minorHAnsi"/>
          <w:b/>
          <w:bCs/>
          <w:color w:val="000000" w:themeColor="text1"/>
          <w:lang w:eastAsia="zh-CN"/>
        </w:rPr>
        <w:t xml:space="preserve"> </w:t>
      </w:r>
      <w:r w:rsidRPr="00DD186A">
        <w:rPr>
          <w:rFonts w:ascii="Book Antiqua" w:hAnsi="Book Antiqua"/>
          <w:b/>
          <w:bCs/>
        </w:rPr>
        <w:t xml:space="preserve">Outcomes of endoscopic ultrasonography-guided gastroenterostomy using a lumen-apposing self-expandable metal stent in benign and malignant gastric outlet </w:t>
      </w:r>
      <w:proofErr w:type="gramStart"/>
      <w:r w:rsidRPr="00DD186A">
        <w:rPr>
          <w:rFonts w:ascii="Book Antiqua" w:hAnsi="Book Antiqua"/>
          <w:b/>
          <w:bCs/>
        </w:rPr>
        <w:t>obstruction</w:t>
      </w:r>
      <w:r w:rsidRPr="00DD186A">
        <w:rPr>
          <w:rFonts w:ascii="Book Antiqua" w:hAnsi="Book Antiqua"/>
          <w:b/>
          <w:bCs/>
          <w:vertAlign w:val="superscript"/>
        </w:rPr>
        <w:t>[</w:t>
      </w:r>
      <w:proofErr w:type="gramEnd"/>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_Ref61381824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27</w:t>
      </w:r>
      <w:r w:rsidRPr="00DD186A">
        <w:rPr>
          <w:rFonts w:ascii="Book Antiqua" w:hAnsi="Book Antiqua"/>
          <w:b/>
          <w:bCs/>
          <w:vertAlign w:val="superscript"/>
        </w:rPr>
        <w:fldChar w:fldCharType="end"/>
      </w:r>
      <w:r w:rsidRPr="00DD186A">
        <w:rPr>
          <w:rFonts w:ascii="Book Antiqua" w:hAnsi="Book Antiqua"/>
          <w:b/>
          <w:bCs/>
          <w:vertAlign w:val="superscript"/>
        </w:rPr>
        <w:t>,</w:t>
      </w:r>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_Ref61364767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30</w:t>
      </w:r>
      <w:r w:rsidRPr="00DD186A">
        <w:rPr>
          <w:rFonts w:ascii="Book Antiqua" w:hAnsi="Book Antiqua"/>
          <w:b/>
          <w:bCs/>
          <w:vertAlign w:val="superscript"/>
        </w:rPr>
        <w:fldChar w:fldCharType="end"/>
      </w:r>
      <w:r w:rsidRPr="00DD186A">
        <w:rPr>
          <w:rFonts w:ascii="Book Antiqua" w:hAnsi="Book Antiqua"/>
          <w:b/>
          <w:bCs/>
          <w:vertAlign w:val="superscript"/>
        </w:rPr>
        <w:t>,</w:t>
      </w:r>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_Ref61291446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3</w:t>
      </w:r>
      <w:r w:rsidRPr="00DD186A">
        <w:rPr>
          <w:rFonts w:ascii="Book Antiqua" w:eastAsiaTheme="minorEastAsia" w:hAnsi="Book Antiqua"/>
          <w:b/>
          <w:bCs/>
          <w:vertAlign w:val="superscript"/>
          <w:lang w:eastAsia="zh-CN"/>
        </w:rPr>
        <w:t>5</w:t>
      </w:r>
      <w:r w:rsidRPr="00DD186A">
        <w:rPr>
          <w:rFonts w:ascii="Book Antiqua" w:hAnsi="Book Antiqua"/>
          <w:b/>
          <w:bCs/>
          <w:vertAlign w:val="superscript"/>
        </w:rPr>
        <w:fldChar w:fldCharType="end"/>
      </w:r>
      <w:r w:rsidRPr="00DD186A">
        <w:rPr>
          <w:rFonts w:ascii="Book Antiqua" w:hAnsi="Book Antiqua"/>
          <w:b/>
          <w:bCs/>
          <w:vertAlign w:val="superscript"/>
        </w:rPr>
        <w:t>-</w:t>
      </w:r>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_Ref71550539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40</w:t>
      </w:r>
      <w:r w:rsidRPr="00DD186A">
        <w:rPr>
          <w:rFonts w:ascii="Book Antiqua" w:hAnsi="Book Antiqua"/>
          <w:b/>
          <w:bCs/>
          <w:vertAlign w:val="superscript"/>
        </w:rPr>
        <w:fldChar w:fldCharType="end"/>
      </w:r>
      <w:r w:rsidRPr="00DD186A">
        <w:rPr>
          <w:rFonts w:ascii="Book Antiqua" w:hAnsi="Book Antiqua"/>
          <w:b/>
          <w:bCs/>
          <w:vertAlign w:val="superscript"/>
        </w:rPr>
        <w:t>]</w:t>
      </w:r>
    </w:p>
    <w:tbl>
      <w:tblPr>
        <w:tblStyle w:val="PlainTable41"/>
        <w:tblW w:w="15650" w:type="dxa"/>
        <w:tblInd w:w="-1322" w:type="dxa"/>
        <w:tblLook w:val="04A0" w:firstRow="1" w:lastRow="0" w:firstColumn="1" w:lastColumn="0" w:noHBand="0" w:noVBand="1"/>
      </w:tblPr>
      <w:tblGrid>
        <w:gridCol w:w="2070"/>
        <w:gridCol w:w="1453"/>
        <w:gridCol w:w="1662"/>
        <w:gridCol w:w="867"/>
        <w:gridCol w:w="1104"/>
        <w:gridCol w:w="1869"/>
        <w:gridCol w:w="1662"/>
        <w:gridCol w:w="1662"/>
        <w:gridCol w:w="1662"/>
        <w:gridCol w:w="1662"/>
      </w:tblGrid>
      <w:tr w:rsidR="00897BF5" w:rsidRPr="00DD186A" w14:paraId="78FF18E5" w14:textId="77777777" w:rsidTr="00DD186A">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7CAFF7C" w14:textId="77777777" w:rsidR="00897BF5" w:rsidRPr="00DD186A" w:rsidRDefault="00897BF5" w:rsidP="00AC2162">
            <w:pPr>
              <w:spacing w:line="360" w:lineRule="auto"/>
              <w:rPr>
                <w:rFonts w:ascii="Book Antiqua" w:eastAsia="Times New Roman" w:hAnsi="Book Antiqua" w:cstheme="minorHAnsi"/>
                <w:color w:val="000000" w:themeColor="text1"/>
              </w:rPr>
            </w:pPr>
            <w:bookmarkStart w:id="1" w:name="OLE_LINK1"/>
            <w:bookmarkStart w:id="2" w:name="OLE_LINK2"/>
          </w:p>
        </w:tc>
        <w:tc>
          <w:tcPr>
            <w:tcW w:w="0" w:type="auto"/>
            <w:tcBorders>
              <w:top w:val="single" w:sz="4" w:space="0" w:color="auto"/>
              <w:bottom w:val="single" w:sz="4" w:space="0" w:color="auto"/>
            </w:tcBorders>
            <w:shd w:val="clear" w:color="auto" w:fill="auto"/>
          </w:tcPr>
          <w:p w14:paraId="01B8059A"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0000" w:themeColor="text1"/>
                <w:lang w:eastAsia="zh-CN"/>
              </w:rPr>
            </w:pPr>
            <w:r w:rsidRPr="00DD186A">
              <w:rPr>
                <w:rFonts w:ascii="Book Antiqua" w:eastAsia="Times New Roman" w:hAnsi="Book Antiqua" w:cstheme="minorHAnsi"/>
                <w:color w:val="000000" w:themeColor="text1"/>
              </w:rPr>
              <w:t xml:space="preserve">Itoi </w:t>
            </w:r>
            <w:r w:rsidRPr="00DD186A">
              <w:rPr>
                <w:rFonts w:ascii="Book Antiqua" w:eastAsia="Times New Roman" w:hAnsi="Book Antiqua" w:cstheme="minorHAnsi"/>
                <w:i/>
                <w:color w:val="000000" w:themeColor="text1"/>
              </w:rPr>
              <w:t>et al</w:t>
            </w:r>
            <w:r w:rsidRPr="00DD186A">
              <w:rPr>
                <w:rFonts w:ascii="Book Antiqua" w:hAnsi="Book Antiqua" w:cstheme="minorHAnsi"/>
                <w:color w:val="000000" w:themeColor="text1"/>
                <w:vertAlign w:val="superscript"/>
                <w:lang w:eastAsia="zh-CN"/>
              </w:rPr>
              <w:t>[30]</w:t>
            </w:r>
          </w:p>
        </w:tc>
        <w:tc>
          <w:tcPr>
            <w:tcW w:w="0" w:type="auto"/>
            <w:tcBorders>
              <w:top w:val="single" w:sz="4" w:space="0" w:color="auto"/>
              <w:bottom w:val="single" w:sz="4" w:space="0" w:color="auto"/>
            </w:tcBorders>
            <w:shd w:val="clear" w:color="auto" w:fill="auto"/>
          </w:tcPr>
          <w:p w14:paraId="0BBB985A"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Tyberg </w:t>
            </w:r>
            <w:r w:rsidRPr="00DD186A">
              <w:rPr>
                <w:rFonts w:ascii="Book Antiqua" w:eastAsia="Times New Roman" w:hAnsi="Book Antiqua" w:cstheme="minorHAnsi"/>
                <w:i/>
                <w:color w:val="000000" w:themeColor="text1"/>
              </w:rPr>
              <w:t>et al</w:t>
            </w:r>
            <w:r w:rsidRPr="00DD186A">
              <w:rPr>
                <w:rFonts w:ascii="Book Antiqua" w:hAnsi="Book Antiqua" w:cstheme="minorHAnsi"/>
                <w:color w:val="000000" w:themeColor="text1"/>
                <w:vertAlign w:val="superscript"/>
                <w:lang w:eastAsia="zh-CN"/>
              </w:rPr>
              <w:t>[35]</w:t>
            </w:r>
          </w:p>
        </w:tc>
        <w:tc>
          <w:tcPr>
            <w:tcW w:w="0" w:type="auto"/>
            <w:gridSpan w:val="2"/>
            <w:tcBorders>
              <w:top w:val="single" w:sz="4" w:space="0" w:color="auto"/>
              <w:bottom w:val="single" w:sz="4" w:space="0" w:color="auto"/>
            </w:tcBorders>
            <w:shd w:val="clear" w:color="auto" w:fill="auto"/>
          </w:tcPr>
          <w:p w14:paraId="36D0590A"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Chen </w:t>
            </w:r>
            <w:r w:rsidRPr="00DD186A">
              <w:rPr>
                <w:rFonts w:ascii="Book Antiqua" w:eastAsia="Times New Roman" w:hAnsi="Book Antiqua" w:cstheme="minorHAnsi"/>
                <w:i/>
                <w:color w:val="000000" w:themeColor="text1"/>
              </w:rPr>
              <w:t>et al</w:t>
            </w:r>
            <w:r w:rsidRPr="00DD186A">
              <w:rPr>
                <w:rFonts w:ascii="Book Antiqua" w:hAnsi="Book Antiqua" w:cstheme="minorHAnsi"/>
                <w:color w:val="000000" w:themeColor="text1"/>
                <w:vertAlign w:val="superscript"/>
                <w:lang w:eastAsia="zh-CN"/>
              </w:rPr>
              <w:t>[36]</w:t>
            </w:r>
          </w:p>
        </w:tc>
        <w:tc>
          <w:tcPr>
            <w:tcW w:w="0" w:type="auto"/>
            <w:tcBorders>
              <w:top w:val="single" w:sz="4" w:space="0" w:color="auto"/>
              <w:bottom w:val="single" w:sz="4" w:space="0" w:color="auto"/>
            </w:tcBorders>
            <w:shd w:val="clear" w:color="auto" w:fill="auto"/>
          </w:tcPr>
          <w:p w14:paraId="71F4A2C5"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Kerdsirichairat </w:t>
            </w:r>
            <w:r w:rsidRPr="00DD186A">
              <w:rPr>
                <w:rFonts w:ascii="Book Antiqua" w:eastAsia="Times New Roman" w:hAnsi="Book Antiqua" w:cstheme="minorHAnsi"/>
                <w:i/>
                <w:color w:val="000000" w:themeColor="text1"/>
              </w:rPr>
              <w:t>et al</w:t>
            </w:r>
            <w:r w:rsidRPr="00DD186A">
              <w:rPr>
                <w:rFonts w:ascii="Book Antiqua" w:hAnsi="Book Antiqua" w:cstheme="minorHAnsi"/>
                <w:color w:val="000000" w:themeColor="text1"/>
                <w:vertAlign w:val="superscript"/>
                <w:lang w:eastAsia="zh-CN"/>
              </w:rPr>
              <w:t>[38]</w:t>
            </w:r>
            <w:r w:rsidRPr="00DD186A">
              <w:rPr>
                <w:rFonts w:ascii="Book Antiqua" w:eastAsia="Times New Roman" w:hAnsi="Book Antiqua" w:cstheme="minorHAnsi"/>
                <w:color w:val="000000" w:themeColor="text1"/>
              </w:rPr>
              <w:t xml:space="preserve"> </w:t>
            </w:r>
          </w:p>
        </w:tc>
        <w:tc>
          <w:tcPr>
            <w:tcW w:w="0" w:type="auto"/>
            <w:tcBorders>
              <w:top w:val="single" w:sz="4" w:space="0" w:color="auto"/>
              <w:bottom w:val="single" w:sz="4" w:space="0" w:color="auto"/>
            </w:tcBorders>
            <w:shd w:val="clear" w:color="auto" w:fill="auto"/>
          </w:tcPr>
          <w:p w14:paraId="511561CB"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Ge </w:t>
            </w:r>
            <w:r w:rsidRPr="00DD186A">
              <w:rPr>
                <w:rFonts w:ascii="Book Antiqua" w:eastAsia="Times New Roman" w:hAnsi="Book Antiqua" w:cstheme="minorHAnsi"/>
                <w:i/>
                <w:color w:val="000000" w:themeColor="text1"/>
              </w:rPr>
              <w:t>et al</w:t>
            </w:r>
            <w:r w:rsidRPr="00DD186A">
              <w:rPr>
                <w:rFonts w:ascii="Book Antiqua" w:hAnsi="Book Antiqua" w:cstheme="minorHAnsi"/>
                <w:color w:val="000000" w:themeColor="text1"/>
                <w:vertAlign w:val="superscript"/>
                <w:lang w:eastAsia="zh-CN"/>
              </w:rPr>
              <w:t>[37]</w:t>
            </w:r>
          </w:p>
        </w:tc>
        <w:tc>
          <w:tcPr>
            <w:tcW w:w="0" w:type="auto"/>
            <w:tcBorders>
              <w:top w:val="single" w:sz="4" w:space="0" w:color="auto"/>
              <w:bottom w:val="single" w:sz="4" w:space="0" w:color="auto"/>
            </w:tcBorders>
            <w:shd w:val="clear" w:color="auto" w:fill="auto"/>
          </w:tcPr>
          <w:p w14:paraId="3C5576E6"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Jovani </w:t>
            </w:r>
            <w:r w:rsidRPr="00DD186A">
              <w:rPr>
                <w:rFonts w:ascii="Book Antiqua" w:eastAsia="Times New Roman" w:hAnsi="Book Antiqua" w:cstheme="minorHAnsi"/>
                <w:i/>
                <w:color w:val="000000" w:themeColor="text1"/>
              </w:rPr>
              <w:t>et al</w:t>
            </w:r>
            <w:r w:rsidRPr="00DD186A">
              <w:rPr>
                <w:rFonts w:ascii="Book Antiqua" w:hAnsi="Book Antiqua" w:cstheme="minorHAnsi"/>
                <w:color w:val="000000" w:themeColor="text1"/>
                <w:vertAlign w:val="superscript"/>
                <w:lang w:eastAsia="zh-CN"/>
              </w:rPr>
              <w:t>[39]</w:t>
            </w:r>
          </w:p>
        </w:tc>
        <w:tc>
          <w:tcPr>
            <w:tcW w:w="0" w:type="auto"/>
            <w:tcBorders>
              <w:top w:val="single" w:sz="4" w:space="0" w:color="auto"/>
              <w:bottom w:val="single" w:sz="4" w:space="0" w:color="auto"/>
            </w:tcBorders>
            <w:shd w:val="clear" w:color="auto" w:fill="auto"/>
          </w:tcPr>
          <w:p w14:paraId="35BF1A57"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Book Antiqua" w:hAnsi="Book Antiqua" w:cs="Book Antiqua"/>
                <w:color w:val="000000"/>
              </w:rPr>
              <w:t xml:space="preserve">Wannhoff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[27]</w:t>
            </w:r>
          </w:p>
        </w:tc>
        <w:tc>
          <w:tcPr>
            <w:tcW w:w="0" w:type="auto"/>
            <w:tcBorders>
              <w:top w:val="single" w:sz="4" w:space="0" w:color="auto"/>
              <w:bottom w:val="single" w:sz="4" w:space="0" w:color="auto"/>
            </w:tcBorders>
            <w:shd w:val="clear" w:color="auto" w:fill="auto"/>
          </w:tcPr>
          <w:p w14:paraId="7F624BB3" w14:textId="77777777" w:rsidR="00897BF5" w:rsidRPr="00DD186A"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James </w:t>
            </w:r>
            <w:r w:rsidRPr="00DD186A">
              <w:rPr>
                <w:rFonts w:ascii="Book Antiqua" w:eastAsia="Book Antiqua" w:hAnsi="Book Antiqua" w:cs="Book Antiqua"/>
                <w:i/>
                <w:iCs/>
                <w:color w:val="000000"/>
              </w:rPr>
              <w:t>et al</w:t>
            </w:r>
            <w:r w:rsidRPr="00DD186A">
              <w:rPr>
                <w:rFonts w:ascii="Book Antiqua" w:eastAsia="Book Antiqua" w:hAnsi="Book Antiqua" w:cs="Book Antiqua"/>
                <w:color w:val="000000"/>
                <w:vertAlign w:val="superscript"/>
              </w:rPr>
              <w:t>[</w:t>
            </w:r>
            <w:r w:rsidRPr="00DD186A">
              <w:rPr>
                <w:rFonts w:ascii="Book Antiqua" w:hAnsi="Book Antiqua" w:cs="Book Antiqua"/>
                <w:color w:val="000000"/>
                <w:vertAlign w:val="superscript"/>
                <w:lang w:eastAsia="zh-CN"/>
              </w:rPr>
              <w:t>40</w:t>
            </w:r>
            <w:r w:rsidRPr="00DD186A">
              <w:rPr>
                <w:rFonts w:ascii="Book Antiqua" w:eastAsia="Book Antiqua" w:hAnsi="Book Antiqua" w:cs="Book Antiqua"/>
                <w:color w:val="000000"/>
                <w:vertAlign w:val="superscript"/>
              </w:rPr>
              <w:t>]</w:t>
            </w:r>
          </w:p>
        </w:tc>
      </w:tr>
      <w:tr w:rsidR="00897BF5" w:rsidRPr="00DD186A" w14:paraId="1FE40A1F" w14:textId="77777777" w:rsidTr="00DD186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6D6B0798"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Type of study</w:t>
            </w:r>
          </w:p>
        </w:tc>
        <w:tc>
          <w:tcPr>
            <w:tcW w:w="0" w:type="auto"/>
            <w:tcBorders>
              <w:top w:val="single" w:sz="4" w:space="0" w:color="auto"/>
            </w:tcBorders>
            <w:shd w:val="clear" w:color="auto" w:fill="auto"/>
          </w:tcPr>
          <w:p w14:paraId="3E0F3C8B"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Single-center, Prospective</w:t>
            </w:r>
          </w:p>
        </w:tc>
        <w:tc>
          <w:tcPr>
            <w:tcW w:w="0" w:type="auto"/>
            <w:tcBorders>
              <w:top w:val="single" w:sz="4" w:space="0" w:color="auto"/>
            </w:tcBorders>
            <w:shd w:val="clear" w:color="auto" w:fill="auto"/>
          </w:tcPr>
          <w:p w14:paraId="699270BE"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International, Retrospective</w:t>
            </w:r>
          </w:p>
        </w:tc>
        <w:tc>
          <w:tcPr>
            <w:tcW w:w="0" w:type="auto"/>
            <w:gridSpan w:val="2"/>
            <w:tcBorders>
              <w:top w:val="single" w:sz="4" w:space="0" w:color="auto"/>
            </w:tcBorders>
            <w:shd w:val="clear" w:color="auto" w:fill="auto"/>
          </w:tcPr>
          <w:p w14:paraId="31FC1778"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Multicenter, Retrospective</w:t>
            </w:r>
          </w:p>
        </w:tc>
        <w:tc>
          <w:tcPr>
            <w:tcW w:w="0" w:type="auto"/>
            <w:tcBorders>
              <w:top w:val="single" w:sz="4" w:space="0" w:color="auto"/>
            </w:tcBorders>
            <w:shd w:val="clear" w:color="auto" w:fill="auto"/>
          </w:tcPr>
          <w:p w14:paraId="2F1D2665"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Single-center, Retrospective</w:t>
            </w:r>
          </w:p>
        </w:tc>
        <w:tc>
          <w:tcPr>
            <w:tcW w:w="0" w:type="auto"/>
            <w:tcBorders>
              <w:top w:val="single" w:sz="4" w:space="0" w:color="auto"/>
            </w:tcBorders>
            <w:shd w:val="clear" w:color="auto" w:fill="auto"/>
          </w:tcPr>
          <w:p w14:paraId="0C56B554"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Single-center, Retrospective</w:t>
            </w:r>
          </w:p>
        </w:tc>
        <w:tc>
          <w:tcPr>
            <w:tcW w:w="0" w:type="auto"/>
            <w:tcBorders>
              <w:top w:val="single" w:sz="4" w:space="0" w:color="auto"/>
            </w:tcBorders>
            <w:shd w:val="clear" w:color="auto" w:fill="auto"/>
          </w:tcPr>
          <w:p w14:paraId="757719A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Single-center, Retrospective</w:t>
            </w:r>
          </w:p>
        </w:tc>
        <w:tc>
          <w:tcPr>
            <w:tcW w:w="0" w:type="auto"/>
            <w:tcBorders>
              <w:top w:val="single" w:sz="4" w:space="0" w:color="auto"/>
            </w:tcBorders>
            <w:shd w:val="clear" w:color="auto" w:fill="auto"/>
          </w:tcPr>
          <w:p w14:paraId="7520EA98"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Single-center, Retrospective</w:t>
            </w:r>
          </w:p>
        </w:tc>
        <w:tc>
          <w:tcPr>
            <w:tcW w:w="0" w:type="auto"/>
            <w:tcBorders>
              <w:top w:val="single" w:sz="4" w:space="0" w:color="auto"/>
            </w:tcBorders>
            <w:shd w:val="clear" w:color="auto" w:fill="auto"/>
          </w:tcPr>
          <w:p w14:paraId="0AD4C707"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Single-center, Retrospective</w:t>
            </w:r>
          </w:p>
        </w:tc>
      </w:tr>
      <w:tr w:rsidR="00897BF5" w:rsidRPr="00DD186A" w14:paraId="3FE589D9" w14:textId="77777777" w:rsidTr="00DD186A">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5120B"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Number of patients (</w:t>
            </w:r>
            <w:r w:rsidRPr="00D24B54">
              <w:rPr>
                <w:rFonts w:ascii="Book Antiqua" w:eastAsia="Times New Roman" w:hAnsi="Book Antiqua" w:cstheme="minorHAnsi"/>
                <w:b w:val="0"/>
                <w:i/>
                <w:color w:val="000000" w:themeColor="text1"/>
              </w:rPr>
              <w:t>n</w:t>
            </w:r>
            <w:r w:rsidRPr="00D24B54">
              <w:rPr>
                <w:rFonts w:ascii="Book Antiqua" w:eastAsia="Times New Roman" w:hAnsi="Book Antiqua" w:cstheme="minorHAnsi"/>
                <w:b w:val="0"/>
                <w:color w:val="000000" w:themeColor="text1"/>
              </w:rPr>
              <w:t>)</w:t>
            </w:r>
          </w:p>
        </w:tc>
        <w:tc>
          <w:tcPr>
            <w:tcW w:w="0" w:type="auto"/>
            <w:shd w:val="clear" w:color="auto" w:fill="auto"/>
          </w:tcPr>
          <w:p w14:paraId="6271EE1C"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20</w:t>
            </w:r>
          </w:p>
        </w:tc>
        <w:tc>
          <w:tcPr>
            <w:tcW w:w="0" w:type="auto"/>
            <w:shd w:val="clear" w:color="auto" w:fill="auto"/>
          </w:tcPr>
          <w:p w14:paraId="47C89844"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26</w:t>
            </w:r>
          </w:p>
        </w:tc>
        <w:tc>
          <w:tcPr>
            <w:tcW w:w="0" w:type="auto"/>
            <w:gridSpan w:val="2"/>
            <w:shd w:val="clear" w:color="auto" w:fill="auto"/>
          </w:tcPr>
          <w:p w14:paraId="75863859"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74</w:t>
            </w:r>
          </w:p>
        </w:tc>
        <w:tc>
          <w:tcPr>
            <w:tcW w:w="0" w:type="auto"/>
            <w:shd w:val="clear" w:color="auto" w:fill="auto"/>
          </w:tcPr>
          <w:p w14:paraId="392CB1C2"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57</w:t>
            </w:r>
          </w:p>
        </w:tc>
        <w:tc>
          <w:tcPr>
            <w:tcW w:w="0" w:type="auto"/>
            <w:shd w:val="clear" w:color="auto" w:fill="auto"/>
          </w:tcPr>
          <w:p w14:paraId="02AC2A09"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22</w:t>
            </w:r>
          </w:p>
        </w:tc>
        <w:tc>
          <w:tcPr>
            <w:tcW w:w="0" w:type="auto"/>
            <w:shd w:val="clear" w:color="auto" w:fill="auto"/>
          </w:tcPr>
          <w:p w14:paraId="21D5447B"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73</w:t>
            </w:r>
          </w:p>
        </w:tc>
        <w:tc>
          <w:tcPr>
            <w:tcW w:w="0" w:type="auto"/>
            <w:shd w:val="clear" w:color="auto" w:fill="auto"/>
          </w:tcPr>
          <w:p w14:paraId="0DB0F8C8"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35</w:t>
            </w:r>
          </w:p>
        </w:tc>
        <w:tc>
          <w:tcPr>
            <w:tcW w:w="0" w:type="auto"/>
            <w:shd w:val="clear" w:color="auto" w:fill="auto"/>
          </w:tcPr>
          <w:p w14:paraId="5944CFD2"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22</w:t>
            </w:r>
          </w:p>
        </w:tc>
      </w:tr>
      <w:tr w:rsidR="00897BF5" w:rsidRPr="00DD186A" w14:paraId="482CA592" w14:textId="77777777" w:rsidTr="00DD186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62C83"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Number of malignant obstructions</w:t>
            </w:r>
          </w:p>
        </w:tc>
        <w:tc>
          <w:tcPr>
            <w:tcW w:w="0" w:type="auto"/>
            <w:shd w:val="clear" w:color="auto" w:fill="auto"/>
          </w:tcPr>
          <w:p w14:paraId="10467FE6"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20</w:t>
            </w:r>
          </w:p>
        </w:tc>
        <w:tc>
          <w:tcPr>
            <w:tcW w:w="0" w:type="auto"/>
            <w:shd w:val="clear" w:color="auto" w:fill="auto"/>
          </w:tcPr>
          <w:p w14:paraId="7BA55A04"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17</w:t>
            </w:r>
          </w:p>
        </w:tc>
        <w:tc>
          <w:tcPr>
            <w:tcW w:w="0" w:type="auto"/>
            <w:gridSpan w:val="2"/>
            <w:shd w:val="clear" w:color="auto" w:fill="auto"/>
          </w:tcPr>
          <w:p w14:paraId="117B45E4"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49</w:t>
            </w:r>
          </w:p>
        </w:tc>
        <w:tc>
          <w:tcPr>
            <w:tcW w:w="0" w:type="auto"/>
            <w:shd w:val="clear" w:color="auto" w:fill="auto"/>
          </w:tcPr>
          <w:p w14:paraId="4134E7D0"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48</w:t>
            </w:r>
          </w:p>
        </w:tc>
        <w:tc>
          <w:tcPr>
            <w:tcW w:w="0" w:type="auto"/>
            <w:shd w:val="clear" w:color="auto" w:fill="auto"/>
          </w:tcPr>
          <w:p w14:paraId="25ADE1F1"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22</w:t>
            </w:r>
          </w:p>
        </w:tc>
        <w:tc>
          <w:tcPr>
            <w:tcW w:w="0" w:type="auto"/>
            <w:shd w:val="clear" w:color="auto" w:fill="auto"/>
          </w:tcPr>
          <w:p w14:paraId="1AC1AA0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64</w:t>
            </w:r>
          </w:p>
        </w:tc>
        <w:tc>
          <w:tcPr>
            <w:tcW w:w="0" w:type="auto"/>
            <w:shd w:val="clear" w:color="auto" w:fill="auto"/>
          </w:tcPr>
          <w:p w14:paraId="12A583DA"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33</w:t>
            </w:r>
          </w:p>
        </w:tc>
        <w:tc>
          <w:tcPr>
            <w:tcW w:w="0" w:type="auto"/>
            <w:shd w:val="clear" w:color="auto" w:fill="auto"/>
          </w:tcPr>
          <w:p w14:paraId="72BFEE7A"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0</w:t>
            </w:r>
          </w:p>
        </w:tc>
      </w:tr>
      <w:tr w:rsidR="00897BF5" w:rsidRPr="00DD186A" w14:paraId="3972CDA0" w14:textId="77777777" w:rsidTr="00DD186A">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8B790"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Number of benign obstructions</w:t>
            </w:r>
          </w:p>
        </w:tc>
        <w:tc>
          <w:tcPr>
            <w:tcW w:w="0" w:type="auto"/>
            <w:shd w:val="clear" w:color="auto" w:fill="auto"/>
          </w:tcPr>
          <w:p w14:paraId="5C07143C"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0</w:t>
            </w:r>
          </w:p>
        </w:tc>
        <w:tc>
          <w:tcPr>
            <w:tcW w:w="0" w:type="auto"/>
            <w:shd w:val="clear" w:color="auto" w:fill="auto"/>
          </w:tcPr>
          <w:p w14:paraId="16A024A1"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w:t>
            </w:r>
          </w:p>
        </w:tc>
        <w:tc>
          <w:tcPr>
            <w:tcW w:w="0" w:type="auto"/>
            <w:gridSpan w:val="2"/>
            <w:shd w:val="clear" w:color="auto" w:fill="auto"/>
          </w:tcPr>
          <w:p w14:paraId="18A9FE5F"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25</w:t>
            </w:r>
          </w:p>
        </w:tc>
        <w:tc>
          <w:tcPr>
            <w:tcW w:w="0" w:type="auto"/>
            <w:shd w:val="clear" w:color="auto" w:fill="auto"/>
          </w:tcPr>
          <w:p w14:paraId="4C9039BC"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w:t>
            </w:r>
          </w:p>
        </w:tc>
        <w:tc>
          <w:tcPr>
            <w:tcW w:w="0" w:type="auto"/>
            <w:shd w:val="clear" w:color="auto" w:fill="auto"/>
          </w:tcPr>
          <w:p w14:paraId="5403B61D"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0</w:t>
            </w:r>
          </w:p>
        </w:tc>
        <w:tc>
          <w:tcPr>
            <w:tcW w:w="0" w:type="auto"/>
            <w:shd w:val="clear" w:color="auto" w:fill="auto"/>
          </w:tcPr>
          <w:p w14:paraId="2D6E680E"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w:t>
            </w:r>
          </w:p>
        </w:tc>
        <w:tc>
          <w:tcPr>
            <w:tcW w:w="0" w:type="auto"/>
            <w:shd w:val="clear" w:color="auto" w:fill="auto"/>
          </w:tcPr>
          <w:p w14:paraId="7F9A9BAD"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w:t>
            </w:r>
          </w:p>
        </w:tc>
        <w:tc>
          <w:tcPr>
            <w:tcW w:w="0" w:type="auto"/>
            <w:shd w:val="clear" w:color="auto" w:fill="auto"/>
          </w:tcPr>
          <w:p w14:paraId="69533DB2"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22</w:t>
            </w:r>
          </w:p>
        </w:tc>
      </w:tr>
      <w:tr w:rsidR="00897BF5" w:rsidRPr="00DD186A" w14:paraId="515F5C2B" w14:textId="77777777" w:rsidTr="00DD18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7458D"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 xml:space="preserve">EUS-GJ </w:t>
            </w:r>
            <w:r w:rsidR="00DD186A" w:rsidRPr="00D24B54">
              <w:rPr>
                <w:rFonts w:ascii="Book Antiqua" w:eastAsia="Times New Roman" w:hAnsi="Book Antiqua" w:cstheme="minorHAnsi"/>
                <w:b w:val="0"/>
                <w:color w:val="000000" w:themeColor="text1"/>
              </w:rPr>
              <w:t>t</w:t>
            </w:r>
            <w:r w:rsidRPr="00D24B54">
              <w:rPr>
                <w:rFonts w:ascii="Book Antiqua" w:eastAsia="Times New Roman" w:hAnsi="Book Antiqua" w:cstheme="minorHAnsi"/>
                <w:b w:val="0"/>
                <w:color w:val="000000" w:themeColor="text1"/>
              </w:rPr>
              <w:t>echnique</w:t>
            </w:r>
            <w:r w:rsidR="00DD186A" w:rsidRPr="00D24B54">
              <w:rPr>
                <w:rFonts w:ascii="Book Antiqua" w:hAnsi="Book Antiqua" w:cstheme="minorHAnsi" w:hint="eastAsia"/>
                <w:b w:val="0"/>
                <w:color w:val="000000" w:themeColor="text1"/>
                <w:lang w:eastAsia="zh-CN"/>
              </w:rPr>
              <w:t>,</w:t>
            </w:r>
            <w:r w:rsidRPr="00D24B54">
              <w:rPr>
                <w:rFonts w:ascii="Book Antiqua" w:eastAsia="Times New Roman" w:hAnsi="Book Antiqua" w:cstheme="minorHAnsi"/>
                <w:b w:val="0"/>
                <w:color w:val="000000" w:themeColor="text1"/>
              </w:rPr>
              <w:t xml:space="preserve"> </w:t>
            </w:r>
            <w:r w:rsidRPr="00D24B54">
              <w:rPr>
                <w:rFonts w:ascii="Book Antiqua" w:eastAsia="Times New Roman" w:hAnsi="Book Antiqua" w:cstheme="minorHAnsi"/>
                <w:b w:val="0"/>
                <w:i/>
                <w:color w:val="000000" w:themeColor="text1"/>
              </w:rPr>
              <w:t>n</w:t>
            </w:r>
          </w:p>
        </w:tc>
        <w:tc>
          <w:tcPr>
            <w:tcW w:w="0" w:type="auto"/>
            <w:shd w:val="clear" w:color="auto" w:fill="auto"/>
          </w:tcPr>
          <w:p w14:paraId="3D43DE35"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EPASS </w:t>
            </w:r>
            <w:r w:rsidRPr="00DD186A">
              <w:rPr>
                <w:rFonts w:ascii="Book Antiqua" w:eastAsia="Times New Roman" w:hAnsi="Book Antiqua" w:cstheme="minorHAnsi"/>
                <w:i/>
                <w:color w:val="000000" w:themeColor="text1"/>
              </w:rPr>
              <w:t>n =</w:t>
            </w:r>
            <w:r w:rsidRPr="00DD186A">
              <w:rPr>
                <w:rFonts w:ascii="Book Antiqua" w:eastAsia="Times New Roman" w:hAnsi="Book Antiqua" w:cstheme="minorHAnsi"/>
                <w:color w:val="000000" w:themeColor="text1"/>
              </w:rPr>
              <w:t xml:space="preserve"> 20</w:t>
            </w:r>
          </w:p>
        </w:tc>
        <w:tc>
          <w:tcPr>
            <w:tcW w:w="0" w:type="auto"/>
            <w:shd w:val="clear" w:color="auto" w:fill="auto"/>
          </w:tcPr>
          <w:p w14:paraId="6FB062A1"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3,</w:t>
            </w:r>
          </w:p>
          <w:p w14:paraId="5CC4B059"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Balloon-assisted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13</w:t>
            </w:r>
          </w:p>
          <w:p w14:paraId="00AE3BE6"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Nasobiliary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3</w:t>
            </w:r>
          </w:p>
          <w:p w14:paraId="373C99CE"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Ultraslim scope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 xml:space="preserve">5, NOTES </w:t>
            </w:r>
            <w:r w:rsidRPr="00DD186A">
              <w:rPr>
                <w:rFonts w:ascii="Book Antiqua" w:eastAsia="Times New Roman" w:hAnsi="Book Antiqua" w:cstheme="minorHAnsi"/>
                <w:i/>
                <w:color w:val="000000" w:themeColor="text1"/>
              </w:rPr>
              <w:t>n =</w:t>
            </w:r>
            <w:r w:rsidRPr="00DD186A">
              <w:rPr>
                <w:rFonts w:ascii="Book Antiqua" w:eastAsia="Times New Roman" w:hAnsi="Book Antiqua" w:cstheme="minorHAnsi"/>
                <w:color w:val="000000" w:themeColor="text1"/>
              </w:rPr>
              <w:t>2</w:t>
            </w:r>
          </w:p>
        </w:tc>
        <w:tc>
          <w:tcPr>
            <w:tcW w:w="0" w:type="auto"/>
            <w:shd w:val="clear" w:color="auto" w:fill="auto"/>
          </w:tcPr>
          <w:p w14:paraId="2AE556F8"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n =</w:t>
            </w:r>
            <w:r w:rsidRPr="00DD186A">
              <w:rPr>
                <w:rFonts w:ascii="Book Antiqua" w:eastAsia="Times New Roman" w:hAnsi="Book Antiqua" w:cstheme="minorHAnsi"/>
                <w:color w:val="000000" w:themeColor="text1"/>
              </w:rPr>
              <w:t>52</w:t>
            </w:r>
          </w:p>
        </w:tc>
        <w:tc>
          <w:tcPr>
            <w:tcW w:w="0" w:type="auto"/>
            <w:shd w:val="clear" w:color="auto" w:fill="auto"/>
          </w:tcPr>
          <w:p w14:paraId="3B4632F3"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Balloon-assisted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22</w:t>
            </w:r>
          </w:p>
        </w:tc>
        <w:tc>
          <w:tcPr>
            <w:tcW w:w="0" w:type="auto"/>
            <w:shd w:val="clear" w:color="auto" w:fill="auto"/>
          </w:tcPr>
          <w:p w14:paraId="0F1D595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57</w:t>
            </w:r>
          </w:p>
          <w:p w14:paraId="73FA0A64"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p>
        </w:tc>
        <w:tc>
          <w:tcPr>
            <w:tcW w:w="0" w:type="auto"/>
            <w:shd w:val="clear" w:color="auto" w:fill="auto"/>
          </w:tcPr>
          <w:p w14:paraId="5A6D94B7"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24</w:t>
            </w:r>
          </w:p>
        </w:tc>
        <w:tc>
          <w:tcPr>
            <w:tcW w:w="0" w:type="auto"/>
            <w:shd w:val="clear" w:color="auto" w:fill="auto"/>
          </w:tcPr>
          <w:p w14:paraId="38EF0A05"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73</w:t>
            </w:r>
          </w:p>
        </w:tc>
        <w:tc>
          <w:tcPr>
            <w:tcW w:w="0" w:type="auto"/>
            <w:shd w:val="clear" w:color="auto" w:fill="auto"/>
          </w:tcPr>
          <w:p w14:paraId="45603DFA"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22,</w:t>
            </w:r>
          </w:p>
          <w:p w14:paraId="183689B2" w14:textId="2189A3E9"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Nasobiliary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10, other</w:t>
            </w:r>
            <w:r w:rsidR="00BA0985">
              <w:rPr>
                <w:rFonts w:ascii="Book Antiqua" w:eastAsia="Times New Roman" w:hAnsi="Book Antiqua" w:cstheme="minorHAnsi"/>
                <w:color w:val="000000" w:themeColor="text1"/>
              </w:rPr>
              <w:t xml:space="preserve"> </w:t>
            </w:r>
            <w:r w:rsidRPr="00DD186A">
              <w:rPr>
                <w:rFonts w:ascii="Book Antiqua" w:eastAsia="Times New Roman" w:hAnsi="Book Antiqua" w:cstheme="minorHAnsi"/>
                <w:color w:val="000000" w:themeColor="text1"/>
              </w:rPr>
              <w:t>=</w:t>
            </w:r>
            <w:r w:rsidR="00BA0985">
              <w:rPr>
                <w:rFonts w:ascii="Book Antiqua" w:eastAsia="Times New Roman" w:hAnsi="Book Antiqua" w:cstheme="minorHAnsi"/>
                <w:color w:val="000000" w:themeColor="text1"/>
              </w:rPr>
              <w:t xml:space="preserve"> </w:t>
            </w:r>
            <w:r w:rsidRPr="00DD186A">
              <w:rPr>
                <w:rFonts w:ascii="Book Antiqua" w:eastAsia="Times New Roman" w:hAnsi="Book Antiqua" w:cstheme="minorHAnsi"/>
                <w:color w:val="000000" w:themeColor="text1"/>
              </w:rPr>
              <w:t>3</w:t>
            </w:r>
          </w:p>
        </w:tc>
        <w:tc>
          <w:tcPr>
            <w:tcW w:w="0" w:type="auto"/>
            <w:shd w:val="clear" w:color="auto" w:fill="auto"/>
          </w:tcPr>
          <w:p w14:paraId="7F4D3E63"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 xml:space="preserve">Direct </w:t>
            </w:r>
            <w:r w:rsidRPr="00DD186A">
              <w:rPr>
                <w:rFonts w:ascii="Book Antiqua" w:eastAsia="Times New Roman" w:hAnsi="Book Antiqua" w:cstheme="minorHAnsi"/>
                <w:i/>
                <w:color w:val="000000" w:themeColor="text1"/>
              </w:rPr>
              <w:t xml:space="preserve">n = </w:t>
            </w:r>
            <w:r w:rsidRPr="00DD186A">
              <w:rPr>
                <w:rFonts w:ascii="Book Antiqua" w:eastAsia="Times New Roman" w:hAnsi="Book Antiqua" w:cstheme="minorHAnsi"/>
                <w:color w:val="000000" w:themeColor="text1"/>
              </w:rPr>
              <w:t>9, Orojejunal</w:t>
            </w:r>
            <w:r w:rsidRPr="00DD186A">
              <w:rPr>
                <w:rFonts w:ascii="Book Antiqua" w:hAnsi="Book Antiqua" w:cstheme="minorHAnsi"/>
                <w:color w:val="000000" w:themeColor="text1"/>
                <w:lang w:eastAsia="zh-CN"/>
              </w:rPr>
              <w:t xml:space="preserve"> </w:t>
            </w:r>
            <w:r w:rsidRPr="00DD186A">
              <w:rPr>
                <w:rFonts w:ascii="Book Antiqua" w:eastAsia="Times New Roman" w:hAnsi="Book Antiqua" w:cstheme="minorHAnsi"/>
                <w:color w:val="000000" w:themeColor="text1"/>
              </w:rPr>
              <w:t>=</w:t>
            </w:r>
            <w:r w:rsidRPr="00DD186A">
              <w:rPr>
                <w:rFonts w:ascii="Book Antiqua" w:hAnsi="Book Antiqua" w:cstheme="minorHAnsi"/>
                <w:color w:val="000000" w:themeColor="text1"/>
                <w:lang w:eastAsia="zh-CN"/>
              </w:rPr>
              <w:t xml:space="preserve"> </w:t>
            </w:r>
            <w:r w:rsidRPr="00DD186A">
              <w:rPr>
                <w:rFonts w:ascii="Book Antiqua" w:eastAsia="Times New Roman" w:hAnsi="Book Antiqua" w:cstheme="minorHAnsi"/>
                <w:color w:val="000000" w:themeColor="text1"/>
              </w:rPr>
              <w:t>5,</w:t>
            </w:r>
            <w:r w:rsidRPr="00DD186A">
              <w:rPr>
                <w:rFonts w:ascii="Book Antiqua" w:hAnsi="Book Antiqua" w:cstheme="minorHAnsi"/>
                <w:color w:val="000000" w:themeColor="text1"/>
                <w:lang w:eastAsia="zh-CN"/>
              </w:rPr>
              <w:t xml:space="preserve"> </w:t>
            </w:r>
            <w:r w:rsidRPr="00DD186A">
              <w:rPr>
                <w:rFonts w:ascii="Book Antiqua" w:eastAsia="Times New Roman" w:hAnsi="Book Antiqua" w:cstheme="minorHAnsi"/>
                <w:color w:val="000000" w:themeColor="text1"/>
              </w:rPr>
              <w:t>Balloon-assisted</w:t>
            </w:r>
            <w:r w:rsidRPr="00DD186A">
              <w:rPr>
                <w:rFonts w:ascii="Book Antiqua" w:hAnsi="Book Antiqua" w:cstheme="minorHAnsi"/>
                <w:color w:val="000000" w:themeColor="text1"/>
                <w:lang w:eastAsia="zh-CN"/>
              </w:rPr>
              <w:t xml:space="preserve"> </w:t>
            </w:r>
            <w:r w:rsidRPr="00DD186A">
              <w:rPr>
                <w:rFonts w:ascii="Book Antiqua" w:eastAsia="Times New Roman" w:hAnsi="Book Antiqua" w:cstheme="minorHAnsi"/>
                <w:color w:val="000000" w:themeColor="text1"/>
              </w:rPr>
              <w:t>=</w:t>
            </w:r>
            <w:r w:rsidRPr="00DD186A">
              <w:rPr>
                <w:rFonts w:ascii="Book Antiqua" w:hAnsi="Book Antiqua" w:cstheme="minorHAnsi"/>
                <w:color w:val="000000" w:themeColor="text1"/>
                <w:lang w:eastAsia="zh-CN"/>
              </w:rPr>
              <w:t xml:space="preserve"> </w:t>
            </w:r>
            <w:r w:rsidRPr="00DD186A">
              <w:rPr>
                <w:rFonts w:ascii="Book Antiqua" w:eastAsia="Times New Roman" w:hAnsi="Book Antiqua" w:cstheme="minorHAnsi"/>
                <w:color w:val="000000" w:themeColor="text1"/>
              </w:rPr>
              <w:t>8</w:t>
            </w:r>
          </w:p>
        </w:tc>
      </w:tr>
      <w:tr w:rsidR="00897BF5" w:rsidRPr="00DD186A" w14:paraId="3F70FF92" w14:textId="77777777" w:rsidTr="00DD186A">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FAF5E"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 xml:space="preserve">Technical </w:t>
            </w:r>
            <w:r w:rsidR="00DD186A" w:rsidRPr="00D24B54">
              <w:rPr>
                <w:rFonts w:ascii="Book Antiqua" w:eastAsia="Times New Roman" w:hAnsi="Book Antiqua" w:cstheme="minorHAnsi"/>
                <w:b w:val="0"/>
                <w:color w:val="000000" w:themeColor="text1"/>
              </w:rPr>
              <w:t>s</w:t>
            </w:r>
            <w:r w:rsidRPr="00D24B54">
              <w:rPr>
                <w:rFonts w:ascii="Book Antiqua" w:eastAsia="Times New Roman" w:hAnsi="Book Antiqua" w:cstheme="minorHAnsi"/>
                <w:b w:val="0"/>
                <w:color w:val="000000" w:themeColor="text1"/>
              </w:rPr>
              <w:t>uccess (%)</w:t>
            </w:r>
          </w:p>
        </w:tc>
        <w:tc>
          <w:tcPr>
            <w:tcW w:w="0" w:type="auto"/>
            <w:shd w:val="clear" w:color="auto" w:fill="auto"/>
          </w:tcPr>
          <w:p w14:paraId="3BD78982"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90</w:t>
            </w:r>
          </w:p>
        </w:tc>
        <w:tc>
          <w:tcPr>
            <w:tcW w:w="0" w:type="auto"/>
            <w:shd w:val="clear" w:color="auto" w:fill="auto"/>
          </w:tcPr>
          <w:p w14:paraId="56C30A54"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92</w:t>
            </w:r>
          </w:p>
        </w:tc>
        <w:tc>
          <w:tcPr>
            <w:tcW w:w="0" w:type="auto"/>
            <w:shd w:val="clear" w:color="auto" w:fill="auto"/>
          </w:tcPr>
          <w:p w14:paraId="13702B02"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94.2</w:t>
            </w:r>
          </w:p>
        </w:tc>
        <w:tc>
          <w:tcPr>
            <w:tcW w:w="0" w:type="auto"/>
            <w:shd w:val="clear" w:color="auto" w:fill="auto"/>
          </w:tcPr>
          <w:p w14:paraId="512EB42E"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90.9</w:t>
            </w:r>
          </w:p>
        </w:tc>
        <w:tc>
          <w:tcPr>
            <w:tcW w:w="0" w:type="auto"/>
            <w:shd w:val="clear" w:color="auto" w:fill="auto"/>
          </w:tcPr>
          <w:p w14:paraId="07C33B5B"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92.9</w:t>
            </w:r>
          </w:p>
        </w:tc>
        <w:tc>
          <w:tcPr>
            <w:tcW w:w="0" w:type="auto"/>
            <w:shd w:val="clear" w:color="auto" w:fill="auto"/>
          </w:tcPr>
          <w:p w14:paraId="67C8C216"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100</w:t>
            </w:r>
          </w:p>
        </w:tc>
        <w:tc>
          <w:tcPr>
            <w:tcW w:w="0" w:type="auto"/>
            <w:shd w:val="clear" w:color="auto" w:fill="auto"/>
          </w:tcPr>
          <w:p w14:paraId="1BCAB065"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93</w:t>
            </w:r>
          </w:p>
        </w:tc>
        <w:tc>
          <w:tcPr>
            <w:tcW w:w="0" w:type="auto"/>
            <w:shd w:val="clear" w:color="auto" w:fill="auto"/>
          </w:tcPr>
          <w:p w14:paraId="49DDC378"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80</w:t>
            </w:r>
          </w:p>
        </w:tc>
        <w:tc>
          <w:tcPr>
            <w:tcW w:w="0" w:type="auto"/>
            <w:shd w:val="clear" w:color="auto" w:fill="auto"/>
          </w:tcPr>
          <w:p w14:paraId="5BA0B5F3"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95.4</w:t>
            </w:r>
          </w:p>
        </w:tc>
      </w:tr>
      <w:tr w:rsidR="00897BF5" w:rsidRPr="00DD186A" w14:paraId="097311EB" w14:textId="77777777" w:rsidTr="00DD186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96B23"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 xml:space="preserve">Clinical </w:t>
            </w:r>
            <w:r w:rsidR="00DD186A" w:rsidRPr="00D24B54">
              <w:rPr>
                <w:rFonts w:ascii="Book Antiqua" w:eastAsia="Times New Roman" w:hAnsi="Book Antiqua" w:cstheme="minorHAnsi"/>
                <w:b w:val="0"/>
                <w:color w:val="000000" w:themeColor="text1"/>
              </w:rPr>
              <w:t>su</w:t>
            </w:r>
            <w:r w:rsidRPr="00D24B54">
              <w:rPr>
                <w:rFonts w:ascii="Book Antiqua" w:eastAsia="Times New Roman" w:hAnsi="Book Antiqua" w:cstheme="minorHAnsi"/>
                <w:b w:val="0"/>
                <w:color w:val="000000" w:themeColor="text1"/>
              </w:rPr>
              <w:t>ccess (%)</w:t>
            </w:r>
          </w:p>
        </w:tc>
        <w:tc>
          <w:tcPr>
            <w:tcW w:w="0" w:type="auto"/>
            <w:shd w:val="clear" w:color="auto" w:fill="auto"/>
          </w:tcPr>
          <w:p w14:paraId="1D601B86"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vertAlign w:val="superscript"/>
                <w:lang w:eastAsia="zh-CN"/>
              </w:rPr>
            </w:pPr>
            <w:r w:rsidRPr="00DD186A">
              <w:rPr>
                <w:rFonts w:ascii="Book Antiqua" w:eastAsia="Times New Roman" w:hAnsi="Book Antiqua" w:cstheme="minorHAnsi"/>
                <w:color w:val="000000" w:themeColor="text1"/>
              </w:rPr>
              <w:t>NA</w:t>
            </w:r>
          </w:p>
        </w:tc>
        <w:tc>
          <w:tcPr>
            <w:tcW w:w="0" w:type="auto"/>
            <w:shd w:val="clear" w:color="auto" w:fill="auto"/>
          </w:tcPr>
          <w:p w14:paraId="0B0C9643"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85</w:t>
            </w:r>
          </w:p>
        </w:tc>
        <w:tc>
          <w:tcPr>
            <w:tcW w:w="0" w:type="auto"/>
            <w:shd w:val="clear" w:color="auto" w:fill="auto"/>
          </w:tcPr>
          <w:p w14:paraId="7CED2CC0"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92.3</w:t>
            </w:r>
          </w:p>
        </w:tc>
        <w:tc>
          <w:tcPr>
            <w:tcW w:w="0" w:type="auto"/>
            <w:shd w:val="clear" w:color="auto" w:fill="auto"/>
          </w:tcPr>
          <w:p w14:paraId="31DACC98"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90.9</w:t>
            </w:r>
          </w:p>
        </w:tc>
        <w:tc>
          <w:tcPr>
            <w:tcW w:w="0" w:type="auto"/>
            <w:shd w:val="clear" w:color="auto" w:fill="auto"/>
          </w:tcPr>
          <w:p w14:paraId="31E7AD06"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89.5</w:t>
            </w:r>
          </w:p>
        </w:tc>
        <w:tc>
          <w:tcPr>
            <w:tcW w:w="0" w:type="auto"/>
            <w:shd w:val="clear" w:color="auto" w:fill="auto"/>
          </w:tcPr>
          <w:p w14:paraId="1FE595C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95.8</w:t>
            </w:r>
          </w:p>
        </w:tc>
        <w:tc>
          <w:tcPr>
            <w:tcW w:w="0" w:type="auto"/>
            <w:shd w:val="clear" w:color="auto" w:fill="auto"/>
          </w:tcPr>
          <w:p w14:paraId="45B08C0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97</w:t>
            </w:r>
          </w:p>
        </w:tc>
        <w:tc>
          <w:tcPr>
            <w:tcW w:w="0" w:type="auto"/>
            <w:shd w:val="clear" w:color="auto" w:fill="auto"/>
          </w:tcPr>
          <w:p w14:paraId="20F99981"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74.3</w:t>
            </w:r>
          </w:p>
        </w:tc>
        <w:tc>
          <w:tcPr>
            <w:tcW w:w="0" w:type="auto"/>
            <w:shd w:val="clear" w:color="auto" w:fill="auto"/>
          </w:tcPr>
          <w:p w14:paraId="2282A7FB"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vertAlign w:val="superscript"/>
                <w:lang w:eastAsia="zh-CN"/>
              </w:rPr>
            </w:pPr>
            <w:r w:rsidRPr="00DD186A">
              <w:rPr>
                <w:rFonts w:ascii="Book Antiqua" w:eastAsia="Times New Roman" w:hAnsi="Book Antiqua" w:cstheme="minorHAnsi"/>
                <w:color w:val="000000" w:themeColor="text1"/>
              </w:rPr>
              <w:t>NA</w:t>
            </w:r>
          </w:p>
        </w:tc>
      </w:tr>
      <w:tr w:rsidR="00897BF5" w:rsidRPr="00DD186A" w14:paraId="0186362A" w14:textId="77777777" w:rsidTr="00DD186A">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30DA9"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 xml:space="preserve">Adverse </w:t>
            </w:r>
            <w:r w:rsidR="00DD186A" w:rsidRPr="00D24B54">
              <w:rPr>
                <w:rFonts w:ascii="Book Antiqua" w:eastAsia="Times New Roman" w:hAnsi="Book Antiqua" w:cstheme="minorHAnsi"/>
                <w:b w:val="0"/>
                <w:color w:val="000000" w:themeColor="text1"/>
              </w:rPr>
              <w:t>e</w:t>
            </w:r>
            <w:r w:rsidRPr="00D24B54">
              <w:rPr>
                <w:rFonts w:ascii="Book Antiqua" w:eastAsia="Times New Roman" w:hAnsi="Book Antiqua" w:cstheme="minorHAnsi"/>
                <w:b w:val="0"/>
                <w:color w:val="000000" w:themeColor="text1"/>
              </w:rPr>
              <w:t>vents (%)</w:t>
            </w:r>
          </w:p>
        </w:tc>
        <w:tc>
          <w:tcPr>
            <w:tcW w:w="0" w:type="auto"/>
            <w:shd w:val="clear" w:color="auto" w:fill="auto"/>
          </w:tcPr>
          <w:p w14:paraId="24AFC318"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10</w:t>
            </w:r>
          </w:p>
        </w:tc>
        <w:tc>
          <w:tcPr>
            <w:tcW w:w="0" w:type="auto"/>
            <w:shd w:val="clear" w:color="auto" w:fill="auto"/>
          </w:tcPr>
          <w:p w14:paraId="05DC3A20"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11.5</w:t>
            </w:r>
          </w:p>
        </w:tc>
        <w:tc>
          <w:tcPr>
            <w:tcW w:w="0" w:type="auto"/>
            <w:shd w:val="clear" w:color="auto" w:fill="auto"/>
          </w:tcPr>
          <w:p w14:paraId="6CAE9F43"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5.8</w:t>
            </w:r>
          </w:p>
        </w:tc>
        <w:tc>
          <w:tcPr>
            <w:tcW w:w="0" w:type="auto"/>
            <w:shd w:val="clear" w:color="auto" w:fill="auto"/>
          </w:tcPr>
          <w:p w14:paraId="0220ABAE"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9.1</w:t>
            </w:r>
          </w:p>
        </w:tc>
        <w:tc>
          <w:tcPr>
            <w:tcW w:w="0" w:type="auto"/>
            <w:shd w:val="clear" w:color="auto" w:fill="auto"/>
          </w:tcPr>
          <w:p w14:paraId="3A66D9B3"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3.5</w:t>
            </w:r>
          </w:p>
        </w:tc>
        <w:tc>
          <w:tcPr>
            <w:tcW w:w="0" w:type="auto"/>
            <w:shd w:val="clear" w:color="auto" w:fill="auto"/>
          </w:tcPr>
          <w:p w14:paraId="16BA774F"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20.8</w:t>
            </w:r>
          </w:p>
        </w:tc>
        <w:tc>
          <w:tcPr>
            <w:tcW w:w="0" w:type="auto"/>
            <w:shd w:val="clear" w:color="auto" w:fill="auto"/>
          </w:tcPr>
          <w:p w14:paraId="0A7FBC90"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7.4</w:t>
            </w:r>
          </w:p>
        </w:tc>
        <w:tc>
          <w:tcPr>
            <w:tcW w:w="0" w:type="auto"/>
            <w:shd w:val="clear" w:color="auto" w:fill="auto"/>
          </w:tcPr>
          <w:p w14:paraId="61718FE4"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14.3</w:t>
            </w:r>
          </w:p>
        </w:tc>
        <w:tc>
          <w:tcPr>
            <w:tcW w:w="0" w:type="auto"/>
            <w:shd w:val="clear" w:color="auto" w:fill="auto"/>
          </w:tcPr>
          <w:p w14:paraId="5CAA04C7" w14:textId="77777777" w:rsidR="00897BF5" w:rsidRPr="00DD186A"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19</w:t>
            </w:r>
          </w:p>
        </w:tc>
      </w:tr>
      <w:tr w:rsidR="00897BF5" w:rsidRPr="00DD186A" w14:paraId="0DCF0554" w14:textId="77777777" w:rsidTr="00DD186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14D8A401" w14:textId="77777777" w:rsidR="00897BF5" w:rsidRPr="00D24B54" w:rsidRDefault="00897BF5" w:rsidP="00AC2162">
            <w:pPr>
              <w:spacing w:line="360" w:lineRule="auto"/>
              <w:rPr>
                <w:rFonts w:ascii="Book Antiqua" w:eastAsia="Times New Roman" w:hAnsi="Book Antiqua" w:cstheme="minorHAnsi"/>
                <w:b w:val="0"/>
                <w:color w:val="000000" w:themeColor="text1"/>
              </w:rPr>
            </w:pPr>
            <w:r w:rsidRPr="00D24B54">
              <w:rPr>
                <w:rFonts w:ascii="Book Antiqua" w:eastAsia="Times New Roman" w:hAnsi="Book Antiqua" w:cstheme="minorHAnsi"/>
                <w:b w:val="0"/>
                <w:color w:val="000000" w:themeColor="text1"/>
              </w:rPr>
              <w:t xml:space="preserve">Recurrence/need </w:t>
            </w:r>
            <w:r w:rsidRPr="00D24B54">
              <w:rPr>
                <w:rFonts w:ascii="Book Antiqua" w:eastAsia="Times New Roman" w:hAnsi="Book Antiqua" w:cstheme="minorHAnsi"/>
                <w:b w:val="0"/>
                <w:color w:val="000000" w:themeColor="text1"/>
              </w:rPr>
              <w:lastRenderedPageBreak/>
              <w:t>for Reintervention (%)</w:t>
            </w:r>
          </w:p>
        </w:tc>
        <w:tc>
          <w:tcPr>
            <w:tcW w:w="0" w:type="auto"/>
            <w:tcBorders>
              <w:bottom w:val="single" w:sz="4" w:space="0" w:color="auto"/>
            </w:tcBorders>
            <w:shd w:val="clear" w:color="auto" w:fill="auto"/>
          </w:tcPr>
          <w:p w14:paraId="56187D6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lastRenderedPageBreak/>
              <w:t>NA</w:t>
            </w:r>
          </w:p>
        </w:tc>
        <w:tc>
          <w:tcPr>
            <w:tcW w:w="0" w:type="auto"/>
            <w:tcBorders>
              <w:bottom w:val="single" w:sz="4" w:space="0" w:color="auto"/>
            </w:tcBorders>
            <w:shd w:val="clear" w:color="auto" w:fill="auto"/>
          </w:tcPr>
          <w:p w14:paraId="04909362"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3.8</w:t>
            </w:r>
          </w:p>
        </w:tc>
        <w:tc>
          <w:tcPr>
            <w:tcW w:w="0" w:type="auto"/>
            <w:tcBorders>
              <w:bottom w:val="single" w:sz="4" w:space="0" w:color="auto"/>
            </w:tcBorders>
            <w:shd w:val="clear" w:color="auto" w:fill="auto"/>
          </w:tcPr>
          <w:p w14:paraId="3972CB0D"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5.8</w:t>
            </w:r>
          </w:p>
        </w:tc>
        <w:tc>
          <w:tcPr>
            <w:tcW w:w="0" w:type="auto"/>
            <w:tcBorders>
              <w:bottom w:val="single" w:sz="4" w:space="0" w:color="auto"/>
            </w:tcBorders>
            <w:shd w:val="clear" w:color="auto" w:fill="auto"/>
          </w:tcPr>
          <w:p w14:paraId="03E49143"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18.2</w:t>
            </w:r>
          </w:p>
        </w:tc>
        <w:tc>
          <w:tcPr>
            <w:tcW w:w="0" w:type="auto"/>
            <w:tcBorders>
              <w:bottom w:val="single" w:sz="4" w:space="0" w:color="auto"/>
            </w:tcBorders>
            <w:shd w:val="clear" w:color="auto" w:fill="auto"/>
          </w:tcPr>
          <w:p w14:paraId="72A55B27"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15.1</w:t>
            </w:r>
          </w:p>
        </w:tc>
        <w:tc>
          <w:tcPr>
            <w:tcW w:w="0" w:type="auto"/>
            <w:tcBorders>
              <w:bottom w:val="single" w:sz="4" w:space="0" w:color="auto"/>
            </w:tcBorders>
            <w:shd w:val="clear" w:color="auto" w:fill="auto"/>
          </w:tcPr>
          <w:p w14:paraId="4CA6E0A0"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8</w:t>
            </w:r>
          </w:p>
        </w:tc>
        <w:tc>
          <w:tcPr>
            <w:tcW w:w="0" w:type="auto"/>
            <w:tcBorders>
              <w:bottom w:val="single" w:sz="4" w:space="0" w:color="auto"/>
            </w:tcBorders>
            <w:shd w:val="clear" w:color="auto" w:fill="auto"/>
          </w:tcPr>
          <w:p w14:paraId="390444E6"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15</w:t>
            </w:r>
          </w:p>
        </w:tc>
        <w:tc>
          <w:tcPr>
            <w:tcW w:w="0" w:type="auto"/>
            <w:tcBorders>
              <w:bottom w:val="single" w:sz="4" w:space="0" w:color="auto"/>
            </w:tcBorders>
            <w:shd w:val="clear" w:color="auto" w:fill="auto"/>
          </w:tcPr>
          <w:p w14:paraId="73D3FF2C"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NA</w:t>
            </w:r>
          </w:p>
        </w:tc>
        <w:tc>
          <w:tcPr>
            <w:tcW w:w="0" w:type="auto"/>
            <w:tcBorders>
              <w:bottom w:val="single" w:sz="4" w:space="0" w:color="auto"/>
            </w:tcBorders>
            <w:shd w:val="clear" w:color="auto" w:fill="auto"/>
          </w:tcPr>
          <w:p w14:paraId="26F13019" w14:textId="77777777" w:rsidR="00897BF5" w:rsidRPr="00DD186A"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DD186A">
              <w:rPr>
                <w:rFonts w:ascii="Book Antiqua" w:eastAsia="Times New Roman" w:hAnsi="Book Antiqua" w:cstheme="minorHAnsi"/>
                <w:color w:val="000000" w:themeColor="text1"/>
              </w:rPr>
              <w:t>23.8</w:t>
            </w:r>
          </w:p>
        </w:tc>
      </w:tr>
    </w:tbl>
    <w:bookmarkEnd w:id="1"/>
    <w:bookmarkEnd w:id="2"/>
    <w:p w14:paraId="5A0C1D9D" w14:textId="77777777" w:rsidR="00DD186A" w:rsidRPr="00DD186A" w:rsidRDefault="00897BF5" w:rsidP="00897BF5">
      <w:pPr>
        <w:spacing w:line="360" w:lineRule="auto"/>
        <w:jc w:val="both"/>
        <w:rPr>
          <w:rFonts w:ascii="Book Antiqua" w:hAnsi="Book Antiqua" w:cstheme="minorHAnsi"/>
          <w:b/>
          <w:bCs/>
          <w:color w:val="000000" w:themeColor="text1"/>
          <w:lang w:eastAsia="zh-CN"/>
        </w:rPr>
        <w:sectPr w:rsidR="00DD186A" w:rsidRPr="00DD186A" w:rsidSect="00DD186A">
          <w:pgSz w:w="15309" w:h="17010"/>
          <w:pgMar w:top="1440" w:right="1440" w:bottom="1440" w:left="1440" w:header="720" w:footer="720" w:gutter="0"/>
          <w:cols w:space="720"/>
          <w:docGrid w:linePitch="360"/>
        </w:sectPr>
      </w:pPr>
      <w:r w:rsidRPr="00DD186A">
        <w:rPr>
          <w:rFonts w:ascii="Book Antiqua" w:eastAsia="Times New Roman" w:hAnsi="Book Antiqua" w:cstheme="minorHAnsi"/>
          <w:color w:val="000000" w:themeColor="text1"/>
        </w:rPr>
        <w:t>EUS-GJ</w:t>
      </w:r>
      <w:r w:rsidRPr="00DD186A">
        <w:rPr>
          <w:rFonts w:ascii="Book Antiqua" w:hAnsi="Book Antiqua" w:cstheme="minorHAnsi"/>
          <w:color w:val="000000" w:themeColor="text1"/>
          <w:lang w:eastAsia="zh-CN"/>
        </w:rPr>
        <w:t>:</w:t>
      </w:r>
      <w:r w:rsidRPr="00DD186A">
        <w:rPr>
          <w:rFonts w:ascii="Book Antiqua" w:hAnsi="Book Antiqua"/>
        </w:rPr>
        <w:t xml:space="preserve"> Endoscopic ultrasound guided gastrojejunostomy</w:t>
      </w:r>
      <w:r w:rsidRPr="00DD186A">
        <w:rPr>
          <w:rFonts w:ascii="Book Antiqua" w:hAnsi="Book Antiqua"/>
          <w:lang w:eastAsia="zh-CN"/>
        </w:rPr>
        <w:t xml:space="preserve">; </w:t>
      </w:r>
      <w:r w:rsidRPr="00DD186A">
        <w:rPr>
          <w:rFonts w:ascii="Book Antiqua" w:eastAsia="Times New Roman" w:hAnsi="Book Antiqua" w:cstheme="minorHAnsi"/>
          <w:color w:val="000000" w:themeColor="text1"/>
        </w:rPr>
        <w:t>EPASS</w:t>
      </w:r>
      <w:r w:rsidRPr="00DD186A">
        <w:rPr>
          <w:rFonts w:ascii="Book Antiqua" w:hAnsi="Book Antiqua" w:cstheme="minorHAnsi"/>
          <w:color w:val="000000" w:themeColor="text1"/>
          <w:lang w:eastAsia="zh-CN"/>
        </w:rPr>
        <w:t xml:space="preserve">: </w:t>
      </w:r>
      <w:r w:rsidRPr="00DD186A">
        <w:rPr>
          <w:rFonts w:ascii="Book Antiqua" w:hAnsi="Book Antiqua"/>
        </w:rPr>
        <w:t>Endoscopic ultrasonography-guided double balloon-occluded gastrojejunostomy bypass</w:t>
      </w:r>
      <w:r w:rsidRPr="00DD186A">
        <w:rPr>
          <w:rFonts w:ascii="Book Antiqua" w:hAnsi="Book Antiqua"/>
          <w:lang w:eastAsia="zh-CN"/>
        </w:rPr>
        <w:t xml:space="preserve">; </w:t>
      </w:r>
      <w:r w:rsidRPr="00DD186A">
        <w:rPr>
          <w:rFonts w:ascii="Book Antiqua" w:eastAsia="Times New Roman" w:hAnsi="Book Antiqua" w:cstheme="minorHAnsi"/>
          <w:color w:val="000000" w:themeColor="text1"/>
        </w:rPr>
        <w:t>NOTES</w:t>
      </w:r>
      <w:r w:rsidRPr="00DD186A">
        <w:rPr>
          <w:rFonts w:ascii="Book Antiqua" w:hAnsi="Book Antiqua" w:cstheme="minorHAnsi"/>
          <w:color w:val="000000" w:themeColor="text1"/>
          <w:lang w:eastAsia="zh-CN"/>
        </w:rPr>
        <w:t>:</w:t>
      </w:r>
      <w:r w:rsidRPr="00DD186A">
        <w:rPr>
          <w:rFonts w:ascii="Book Antiqua" w:eastAsia="Times New Roman" w:hAnsi="Book Antiqua" w:cstheme="minorHAnsi"/>
          <w:color w:val="000000" w:themeColor="text1"/>
        </w:rPr>
        <w:t xml:space="preserve"> </w:t>
      </w:r>
      <w:r w:rsidRPr="00DD186A">
        <w:rPr>
          <w:rFonts w:ascii="Book Antiqua" w:hAnsi="Book Antiqua"/>
        </w:rPr>
        <w:t>Natural orifice transluminal endoscopic surgery</w:t>
      </w:r>
      <w:r w:rsidRPr="00DD186A">
        <w:rPr>
          <w:rFonts w:ascii="Book Antiqua" w:hAnsi="Book Antiqua"/>
          <w:lang w:eastAsia="zh-CN"/>
        </w:rPr>
        <w:t xml:space="preserve">; </w:t>
      </w:r>
      <w:r w:rsidRPr="00DD186A">
        <w:rPr>
          <w:rFonts w:ascii="Book Antiqua" w:eastAsia="Times New Roman" w:hAnsi="Book Antiqua" w:cstheme="minorHAnsi"/>
          <w:color w:val="000000" w:themeColor="text1"/>
        </w:rPr>
        <w:t>NA</w:t>
      </w:r>
      <w:r w:rsidRPr="00DD186A">
        <w:rPr>
          <w:rFonts w:ascii="Book Antiqua" w:hAnsi="Book Antiqua" w:cstheme="minorHAnsi"/>
          <w:color w:val="000000" w:themeColor="text1"/>
          <w:lang w:eastAsia="zh-CN"/>
        </w:rPr>
        <w:t>:</w:t>
      </w:r>
      <w:r w:rsidRPr="00DD186A">
        <w:rPr>
          <w:rFonts w:ascii="Book Antiqua" w:hAnsi="Book Antiqua"/>
        </w:rPr>
        <w:t xml:space="preserve"> Not applicable</w:t>
      </w:r>
      <w:r w:rsidRPr="00DD186A">
        <w:rPr>
          <w:rFonts w:ascii="Book Antiqua" w:hAnsi="Book Antiqua"/>
          <w:lang w:eastAsia="zh-CN"/>
        </w:rPr>
        <w:t>.</w:t>
      </w:r>
    </w:p>
    <w:p w14:paraId="1DD8EF6C" w14:textId="77777777" w:rsidR="00897BF5" w:rsidRPr="00DD186A" w:rsidRDefault="00897BF5" w:rsidP="00DD186A">
      <w:pPr>
        <w:spacing w:line="360" w:lineRule="auto"/>
        <w:jc w:val="both"/>
        <w:rPr>
          <w:rFonts w:ascii="Book Antiqua" w:eastAsia="Times New Roman" w:hAnsi="Book Antiqua" w:cstheme="minorHAnsi"/>
          <w:b/>
          <w:bCs/>
          <w:color w:val="000000" w:themeColor="text1"/>
        </w:rPr>
      </w:pPr>
      <w:r w:rsidRPr="00DD186A">
        <w:rPr>
          <w:rFonts w:ascii="Book Antiqua" w:eastAsia="Times New Roman" w:hAnsi="Book Antiqua" w:cstheme="minorHAnsi"/>
          <w:b/>
          <w:bCs/>
          <w:color w:val="000000" w:themeColor="text1"/>
        </w:rPr>
        <w:lastRenderedPageBreak/>
        <w:t xml:space="preserve">Table 5 </w:t>
      </w:r>
      <w:r w:rsidRPr="00DD186A">
        <w:rPr>
          <w:rFonts w:ascii="Book Antiqua" w:hAnsi="Book Antiqua"/>
          <w:b/>
          <w:bCs/>
        </w:rPr>
        <w:t xml:space="preserve">Outcomes of endoscopic ultrasonography-guided gastroenterostomy using a lumen-apposing self-expandable metal stent as compared to </w:t>
      </w:r>
      <w:proofErr w:type="gramStart"/>
      <w:r w:rsidRPr="00DD186A">
        <w:rPr>
          <w:rFonts w:ascii="Book Antiqua" w:hAnsi="Book Antiqua"/>
          <w:b/>
          <w:bCs/>
        </w:rPr>
        <w:t>surgery</w:t>
      </w:r>
      <w:r w:rsidRPr="00DD186A">
        <w:rPr>
          <w:rFonts w:ascii="Book Antiqua" w:hAnsi="Book Antiqua"/>
          <w:b/>
          <w:bCs/>
          <w:vertAlign w:val="superscript"/>
        </w:rPr>
        <w:t>[</w:t>
      </w:r>
      <w:proofErr w:type="gramEnd"/>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_Ref61382527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41</w:t>
      </w:r>
      <w:r w:rsidRPr="00DD186A">
        <w:rPr>
          <w:rFonts w:ascii="Book Antiqua" w:hAnsi="Book Antiqua"/>
          <w:b/>
          <w:bCs/>
          <w:vertAlign w:val="superscript"/>
        </w:rPr>
        <w:fldChar w:fldCharType="end"/>
      </w:r>
      <w:r w:rsidRPr="00DD186A">
        <w:rPr>
          <w:rFonts w:ascii="Book Antiqua" w:hAnsi="Book Antiqua"/>
          <w:b/>
          <w:bCs/>
          <w:vertAlign w:val="superscript"/>
        </w:rPr>
        <w:t>,</w:t>
      </w:r>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_Ref58966987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42</w:t>
      </w:r>
      <w:r w:rsidRPr="00DD186A">
        <w:rPr>
          <w:rFonts w:ascii="Book Antiqua" w:hAnsi="Book Antiqua"/>
          <w:b/>
          <w:bCs/>
          <w:vertAlign w:val="superscript"/>
        </w:rPr>
        <w:fldChar w:fldCharType="end"/>
      </w:r>
      <w:r w:rsidRPr="00DD186A">
        <w:rPr>
          <w:rFonts w:ascii="Book Antiqua" w:hAnsi="Book Antiqua"/>
          <w:b/>
          <w:bCs/>
          <w:vertAlign w:val="superscript"/>
        </w:rPr>
        <w:t>]</w:t>
      </w:r>
    </w:p>
    <w:tbl>
      <w:tblPr>
        <w:tblStyle w:val="PlainTable41"/>
        <w:tblW w:w="0" w:type="auto"/>
        <w:tblLook w:val="04A0" w:firstRow="1" w:lastRow="0" w:firstColumn="1" w:lastColumn="0" w:noHBand="0" w:noVBand="1"/>
      </w:tblPr>
      <w:tblGrid>
        <w:gridCol w:w="3275"/>
        <w:gridCol w:w="1940"/>
        <w:gridCol w:w="1269"/>
        <w:gridCol w:w="1299"/>
        <w:gridCol w:w="1793"/>
      </w:tblGrid>
      <w:tr w:rsidR="00897BF5" w:rsidRPr="00DD186A" w14:paraId="5B029FE1" w14:textId="77777777" w:rsidTr="00AC216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2665BE7B" w14:textId="77777777" w:rsidR="00897BF5" w:rsidRPr="00DD186A" w:rsidRDefault="00897BF5" w:rsidP="00AC2162">
            <w:pPr>
              <w:spacing w:line="360" w:lineRule="auto"/>
              <w:rPr>
                <w:rFonts w:ascii="Book Antiqua" w:hAnsi="Book Antiqua"/>
              </w:rPr>
            </w:pPr>
          </w:p>
        </w:tc>
        <w:tc>
          <w:tcPr>
            <w:tcW w:w="0" w:type="auto"/>
            <w:gridSpan w:val="2"/>
            <w:tcBorders>
              <w:top w:val="single" w:sz="4" w:space="0" w:color="auto"/>
              <w:bottom w:val="single" w:sz="4" w:space="0" w:color="auto"/>
            </w:tcBorders>
            <w:shd w:val="clear" w:color="auto" w:fill="auto"/>
          </w:tcPr>
          <w:p w14:paraId="284929A9"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DD186A">
              <w:rPr>
                <w:rFonts w:ascii="Book Antiqua" w:hAnsi="Book Antiqua"/>
              </w:rPr>
              <w:t xml:space="preserve">Khashab </w:t>
            </w:r>
            <w:r w:rsidRPr="00DD186A">
              <w:rPr>
                <w:rFonts w:ascii="Book Antiqua" w:hAnsi="Book Antiqua"/>
                <w:i/>
              </w:rPr>
              <w:t>et al</w:t>
            </w:r>
            <w:r w:rsidRPr="00DD186A">
              <w:rPr>
                <w:rFonts w:ascii="Book Antiqua" w:hAnsi="Book Antiqua"/>
                <w:vertAlign w:val="superscript"/>
                <w:lang w:eastAsia="zh-CN"/>
              </w:rPr>
              <w:t>[41]</w:t>
            </w:r>
          </w:p>
        </w:tc>
        <w:tc>
          <w:tcPr>
            <w:tcW w:w="0" w:type="auto"/>
            <w:gridSpan w:val="2"/>
            <w:tcBorders>
              <w:top w:val="single" w:sz="4" w:space="0" w:color="auto"/>
              <w:bottom w:val="single" w:sz="4" w:space="0" w:color="auto"/>
            </w:tcBorders>
            <w:shd w:val="clear" w:color="auto" w:fill="auto"/>
          </w:tcPr>
          <w:p w14:paraId="19CFFBFC"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 xml:space="preserve">Perez-Miranda </w:t>
            </w:r>
            <w:r w:rsidRPr="00DD186A">
              <w:rPr>
                <w:rFonts w:ascii="Book Antiqua" w:hAnsi="Book Antiqua"/>
                <w:i/>
              </w:rPr>
              <w:t>et al</w:t>
            </w:r>
            <w:r w:rsidRPr="00DD186A">
              <w:rPr>
                <w:rFonts w:ascii="Book Antiqua" w:hAnsi="Book Antiqua"/>
                <w:vertAlign w:val="superscript"/>
                <w:lang w:eastAsia="zh-CN"/>
              </w:rPr>
              <w:t>[42]</w:t>
            </w:r>
          </w:p>
        </w:tc>
      </w:tr>
      <w:tr w:rsidR="00897BF5" w:rsidRPr="00DD186A" w14:paraId="5272922A" w14:textId="77777777" w:rsidTr="00AC216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0EBC5076"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Type of study</w:t>
            </w:r>
          </w:p>
        </w:tc>
        <w:tc>
          <w:tcPr>
            <w:tcW w:w="0" w:type="auto"/>
            <w:gridSpan w:val="2"/>
            <w:tcBorders>
              <w:top w:val="single" w:sz="4" w:space="0" w:color="auto"/>
            </w:tcBorders>
            <w:shd w:val="clear" w:color="auto" w:fill="auto"/>
          </w:tcPr>
          <w:p w14:paraId="69676A8C"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 xml:space="preserve">Multicenter, retrospective </w:t>
            </w:r>
          </w:p>
          <w:p w14:paraId="3F6F7917"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0" w:type="auto"/>
            <w:gridSpan w:val="2"/>
            <w:tcBorders>
              <w:top w:val="single" w:sz="4" w:space="0" w:color="auto"/>
            </w:tcBorders>
            <w:shd w:val="clear" w:color="auto" w:fill="auto"/>
          </w:tcPr>
          <w:p w14:paraId="32854757"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 xml:space="preserve">Multicenter, retrospective </w:t>
            </w:r>
          </w:p>
          <w:p w14:paraId="3E0EA23B"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D186A" w:rsidRPr="00DD186A" w14:paraId="28FE904B" w14:textId="77777777" w:rsidTr="00AC2162">
        <w:trPr>
          <w:trHeight w:val="6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E4235"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Group</w:t>
            </w:r>
          </w:p>
        </w:tc>
        <w:tc>
          <w:tcPr>
            <w:tcW w:w="0" w:type="auto"/>
            <w:shd w:val="clear" w:color="auto" w:fill="auto"/>
          </w:tcPr>
          <w:p w14:paraId="0B1EA2C8"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EUS-GJ</w:t>
            </w:r>
          </w:p>
        </w:tc>
        <w:tc>
          <w:tcPr>
            <w:tcW w:w="0" w:type="auto"/>
            <w:shd w:val="clear" w:color="auto" w:fill="auto"/>
          </w:tcPr>
          <w:p w14:paraId="315776A0"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Surgery</w:t>
            </w:r>
          </w:p>
        </w:tc>
        <w:tc>
          <w:tcPr>
            <w:tcW w:w="0" w:type="auto"/>
            <w:shd w:val="clear" w:color="auto" w:fill="auto"/>
          </w:tcPr>
          <w:p w14:paraId="036E92CC"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EUS-GJ</w:t>
            </w:r>
          </w:p>
        </w:tc>
        <w:tc>
          <w:tcPr>
            <w:tcW w:w="0" w:type="auto"/>
            <w:shd w:val="clear" w:color="auto" w:fill="auto"/>
          </w:tcPr>
          <w:p w14:paraId="44025834"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Laparoscopic GJ</w:t>
            </w:r>
          </w:p>
        </w:tc>
      </w:tr>
      <w:tr w:rsidR="00897BF5" w:rsidRPr="00DD186A" w14:paraId="2DBAACDE"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25913"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 xml:space="preserve">Number of patients, </w:t>
            </w:r>
            <w:r w:rsidRPr="00BA0985">
              <w:rPr>
                <w:rFonts w:ascii="Book Antiqua" w:hAnsi="Book Antiqua"/>
                <w:b w:val="0"/>
                <w:i/>
              </w:rPr>
              <w:t>n</w:t>
            </w:r>
            <w:r w:rsidRPr="00BA0985">
              <w:rPr>
                <w:rFonts w:ascii="Book Antiqua" w:hAnsi="Book Antiqua"/>
                <w:b w:val="0"/>
                <w:lang w:eastAsia="zh-CN"/>
              </w:rPr>
              <w:t xml:space="preserve"> </w:t>
            </w:r>
            <w:r w:rsidRPr="00BA0985">
              <w:rPr>
                <w:rFonts w:ascii="Book Antiqua" w:hAnsi="Book Antiqua"/>
                <w:b w:val="0"/>
              </w:rPr>
              <w:t>(%)</w:t>
            </w:r>
          </w:p>
        </w:tc>
        <w:tc>
          <w:tcPr>
            <w:tcW w:w="0" w:type="auto"/>
            <w:shd w:val="clear" w:color="auto" w:fill="auto"/>
          </w:tcPr>
          <w:p w14:paraId="145000D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30/93 (32.3)</w:t>
            </w:r>
          </w:p>
        </w:tc>
        <w:tc>
          <w:tcPr>
            <w:tcW w:w="0" w:type="auto"/>
            <w:shd w:val="clear" w:color="auto" w:fill="auto"/>
          </w:tcPr>
          <w:p w14:paraId="5C3D6198"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63/93 (67.7)</w:t>
            </w:r>
          </w:p>
        </w:tc>
        <w:tc>
          <w:tcPr>
            <w:tcW w:w="0" w:type="auto"/>
            <w:shd w:val="clear" w:color="auto" w:fill="auto"/>
          </w:tcPr>
          <w:p w14:paraId="39D5D91D"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25/54 (46.3)</w:t>
            </w:r>
          </w:p>
        </w:tc>
        <w:tc>
          <w:tcPr>
            <w:tcW w:w="0" w:type="auto"/>
            <w:shd w:val="clear" w:color="auto" w:fill="auto"/>
          </w:tcPr>
          <w:p w14:paraId="5BF6FFA8"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29/54 (53.7)</w:t>
            </w:r>
          </w:p>
        </w:tc>
      </w:tr>
      <w:tr w:rsidR="00DD186A" w:rsidRPr="00DD186A" w14:paraId="5634EC7D" w14:textId="77777777" w:rsidTr="00AC2162">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69C82"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Technique</w:t>
            </w:r>
          </w:p>
        </w:tc>
        <w:tc>
          <w:tcPr>
            <w:tcW w:w="0" w:type="auto"/>
            <w:shd w:val="clear" w:color="auto" w:fill="auto"/>
          </w:tcPr>
          <w:p w14:paraId="602F1B97"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Direct;</w:t>
            </w:r>
          </w:p>
          <w:p w14:paraId="0A424D25" w14:textId="46979D83"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EPASS; Ball</w:t>
            </w:r>
            <w:r w:rsidR="008F52FF">
              <w:rPr>
                <w:rFonts w:ascii="Book Antiqua" w:hAnsi="Book Antiqua"/>
              </w:rPr>
              <w:t>o</w:t>
            </w:r>
            <w:r w:rsidRPr="00DD186A">
              <w:rPr>
                <w:rFonts w:ascii="Book Antiqua" w:hAnsi="Book Antiqua"/>
              </w:rPr>
              <w:t>on-assisted</w:t>
            </w:r>
          </w:p>
        </w:tc>
        <w:tc>
          <w:tcPr>
            <w:tcW w:w="0" w:type="auto"/>
            <w:shd w:val="clear" w:color="auto" w:fill="auto"/>
          </w:tcPr>
          <w:p w14:paraId="2C963D63"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Open GJ2</w:t>
            </w:r>
          </w:p>
        </w:tc>
        <w:tc>
          <w:tcPr>
            <w:tcW w:w="0" w:type="auto"/>
            <w:shd w:val="clear" w:color="auto" w:fill="auto"/>
          </w:tcPr>
          <w:p w14:paraId="1ABDDA9B"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Direct</w:t>
            </w:r>
          </w:p>
          <w:p w14:paraId="00782568"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Assisted</w:t>
            </w:r>
          </w:p>
        </w:tc>
        <w:tc>
          <w:tcPr>
            <w:tcW w:w="0" w:type="auto"/>
            <w:shd w:val="clear" w:color="auto" w:fill="auto"/>
          </w:tcPr>
          <w:p w14:paraId="1C3FC9FF"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Laparoscopic GJ</w:t>
            </w:r>
          </w:p>
        </w:tc>
      </w:tr>
      <w:tr w:rsidR="00897BF5" w:rsidRPr="00DD186A" w14:paraId="766B8041"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16D3C"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Technical success (%)</w:t>
            </w:r>
          </w:p>
        </w:tc>
        <w:tc>
          <w:tcPr>
            <w:tcW w:w="0" w:type="auto"/>
            <w:shd w:val="clear" w:color="auto" w:fill="auto"/>
          </w:tcPr>
          <w:p w14:paraId="7FA875A7"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87</w:t>
            </w:r>
          </w:p>
        </w:tc>
        <w:tc>
          <w:tcPr>
            <w:tcW w:w="0" w:type="auto"/>
            <w:shd w:val="clear" w:color="auto" w:fill="auto"/>
          </w:tcPr>
          <w:p w14:paraId="7CB68638"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100</w:t>
            </w:r>
          </w:p>
        </w:tc>
        <w:tc>
          <w:tcPr>
            <w:tcW w:w="0" w:type="auto"/>
            <w:shd w:val="clear" w:color="auto" w:fill="auto"/>
          </w:tcPr>
          <w:p w14:paraId="01480A9C"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88</w:t>
            </w:r>
          </w:p>
        </w:tc>
        <w:tc>
          <w:tcPr>
            <w:tcW w:w="0" w:type="auto"/>
            <w:shd w:val="clear" w:color="auto" w:fill="auto"/>
          </w:tcPr>
          <w:p w14:paraId="43CBA451"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100</w:t>
            </w:r>
          </w:p>
        </w:tc>
      </w:tr>
      <w:tr w:rsidR="00DD186A" w:rsidRPr="00DD186A" w14:paraId="6C671182"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43833"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Clinical success (%)</w:t>
            </w:r>
          </w:p>
        </w:tc>
        <w:tc>
          <w:tcPr>
            <w:tcW w:w="0" w:type="auto"/>
            <w:shd w:val="clear" w:color="auto" w:fill="auto"/>
          </w:tcPr>
          <w:p w14:paraId="298CB64C"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87</w:t>
            </w:r>
          </w:p>
        </w:tc>
        <w:tc>
          <w:tcPr>
            <w:tcW w:w="0" w:type="auto"/>
            <w:shd w:val="clear" w:color="auto" w:fill="auto"/>
          </w:tcPr>
          <w:p w14:paraId="163A5D2D"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90</w:t>
            </w:r>
          </w:p>
        </w:tc>
        <w:tc>
          <w:tcPr>
            <w:tcW w:w="0" w:type="auto"/>
            <w:shd w:val="clear" w:color="auto" w:fill="auto"/>
          </w:tcPr>
          <w:p w14:paraId="58153979"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84</w:t>
            </w:r>
          </w:p>
        </w:tc>
        <w:tc>
          <w:tcPr>
            <w:tcW w:w="0" w:type="auto"/>
            <w:shd w:val="clear" w:color="auto" w:fill="auto"/>
          </w:tcPr>
          <w:p w14:paraId="414AC4A7"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90</w:t>
            </w:r>
          </w:p>
        </w:tc>
      </w:tr>
      <w:tr w:rsidR="00897BF5" w:rsidRPr="00DD186A" w14:paraId="141E3173"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79612"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Adverse events (%)</w:t>
            </w:r>
          </w:p>
        </w:tc>
        <w:tc>
          <w:tcPr>
            <w:tcW w:w="0" w:type="auto"/>
            <w:shd w:val="clear" w:color="auto" w:fill="auto"/>
          </w:tcPr>
          <w:p w14:paraId="28E51578"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16</w:t>
            </w:r>
          </w:p>
        </w:tc>
        <w:tc>
          <w:tcPr>
            <w:tcW w:w="0" w:type="auto"/>
            <w:shd w:val="clear" w:color="auto" w:fill="auto"/>
          </w:tcPr>
          <w:p w14:paraId="777569C4"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25</w:t>
            </w:r>
          </w:p>
        </w:tc>
        <w:tc>
          <w:tcPr>
            <w:tcW w:w="0" w:type="auto"/>
            <w:shd w:val="clear" w:color="auto" w:fill="auto"/>
          </w:tcPr>
          <w:p w14:paraId="6E6787D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12</w:t>
            </w:r>
          </w:p>
        </w:tc>
        <w:tc>
          <w:tcPr>
            <w:tcW w:w="0" w:type="auto"/>
            <w:shd w:val="clear" w:color="auto" w:fill="auto"/>
          </w:tcPr>
          <w:p w14:paraId="14D39595"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41</w:t>
            </w:r>
          </w:p>
        </w:tc>
      </w:tr>
      <w:tr w:rsidR="00DD186A" w:rsidRPr="00DD186A" w14:paraId="7BDA819B"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655BC4B8" w14:textId="77777777" w:rsidR="00897BF5" w:rsidRPr="00BA0985" w:rsidRDefault="00897BF5" w:rsidP="00AC2162">
            <w:pPr>
              <w:spacing w:line="360" w:lineRule="auto"/>
              <w:rPr>
                <w:rFonts w:ascii="Book Antiqua" w:hAnsi="Book Antiqua"/>
                <w:b w:val="0"/>
              </w:rPr>
            </w:pPr>
            <w:r w:rsidRPr="00BA0985">
              <w:rPr>
                <w:rFonts w:ascii="Book Antiqua" w:hAnsi="Book Antiqua"/>
                <w:b w:val="0"/>
              </w:rPr>
              <w:t>Recurrence/need for Reintervention (%)</w:t>
            </w:r>
          </w:p>
        </w:tc>
        <w:tc>
          <w:tcPr>
            <w:tcW w:w="0" w:type="auto"/>
            <w:tcBorders>
              <w:bottom w:val="single" w:sz="4" w:space="0" w:color="auto"/>
            </w:tcBorders>
            <w:shd w:val="clear" w:color="auto" w:fill="auto"/>
          </w:tcPr>
          <w:p w14:paraId="0C96ACAD"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3</w:t>
            </w:r>
          </w:p>
        </w:tc>
        <w:tc>
          <w:tcPr>
            <w:tcW w:w="0" w:type="auto"/>
            <w:tcBorders>
              <w:bottom w:val="single" w:sz="4" w:space="0" w:color="auto"/>
            </w:tcBorders>
            <w:shd w:val="clear" w:color="auto" w:fill="auto"/>
          </w:tcPr>
          <w:p w14:paraId="0B6B168F"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14</w:t>
            </w:r>
          </w:p>
        </w:tc>
        <w:tc>
          <w:tcPr>
            <w:tcW w:w="0" w:type="auto"/>
            <w:tcBorders>
              <w:bottom w:val="single" w:sz="4" w:space="0" w:color="auto"/>
            </w:tcBorders>
            <w:shd w:val="clear" w:color="auto" w:fill="auto"/>
          </w:tcPr>
          <w:p w14:paraId="264D17C9"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NA</w:t>
            </w:r>
          </w:p>
        </w:tc>
        <w:tc>
          <w:tcPr>
            <w:tcW w:w="0" w:type="auto"/>
            <w:tcBorders>
              <w:bottom w:val="single" w:sz="4" w:space="0" w:color="auto"/>
            </w:tcBorders>
            <w:shd w:val="clear" w:color="auto" w:fill="auto"/>
          </w:tcPr>
          <w:p w14:paraId="76963775"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NA</w:t>
            </w:r>
          </w:p>
        </w:tc>
      </w:tr>
    </w:tbl>
    <w:p w14:paraId="1476BA39" w14:textId="07134F6C" w:rsidR="00897BF5" w:rsidRPr="00BA0985" w:rsidRDefault="00897BF5" w:rsidP="00897BF5">
      <w:pPr>
        <w:spacing w:line="360" w:lineRule="auto"/>
        <w:jc w:val="both"/>
        <w:rPr>
          <w:rFonts w:ascii="Book Antiqua" w:hAnsi="Book Antiqua" w:hint="eastAsia"/>
          <w:lang w:eastAsia="zh-CN"/>
        </w:rPr>
      </w:pPr>
      <w:r w:rsidRPr="00DD186A">
        <w:rPr>
          <w:rFonts w:ascii="Book Antiqua" w:hAnsi="Book Antiqua"/>
        </w:rPr>
        <w:t>EUS-GJ</w:t>
      </w:r>
      <w:r w:rsidRPr="00DD186A">
        <w:rPr>
          <w:rFonts w:ascii="Book Antiqua" w:hAnsi="Book Antiqua"/>
          <w:lang w:eastAsia="zh-CN"/>
        </w:rPr>
        <w:t>:</w:t>
      </w:r>
      <w:r w:rsidRPr="00DD186A">
        <w:rPr>
          <w:rFonts w:ascii="Book Antiqua" w:hAnsi="Book Antiqua"/>
        </w:rPr>
        <w:t xml:space="preserve"> Endoscopic ultrasound guided gastrojejunostomy</w:t>
      </w:r>
      <w:r w:rsidRPr="00DD186A">
        <w:rPr>
          <w:rFonts w:ascii="Book Antiqua" w:hAnsi="Book Antiqua"/>
          <w:lang w:eastAsia="zh-CN"/>
        </w:rPr>
        <w:t xml:space="preserve">; </w:t>
      </w:r>
      <w:r w:rsidRPr="00DD186A">
        <w:rPr>
          <w:rFonts w:ascii="Book Antiqua" w:hAnsi="Book Antiqua"/>
        </w:rPr>
        <w:t>GJ</w:t>
      </w:r>
      <w:r w:rsidRPr="00DD186A">
        <w:rPr>
          <w:rFonts w:ascii="Book Antiqua" w:hAnsi="Book Antiqua"/>
          <w:lang w:eastAsia="zh-CN"/>
        </w:rPr>
        <w:t>:</w:t>
      </w:r>
      <w:r w:rsidRPr="00DD186A">
        <w:rPr>
          <w:rFonts w:ascii="Book Antiqua" w:hAnsi="Book Antiqua"/>
        </w:rPr>
        <w:t xml:space="preserve"> Gastrojejunostomy</w:t>
      </w:r>
      <w:r w:rsidRPr="00DD186A">
        <w:rPr>
          <w:rFonts w:ascii="Book Antiqua" w:hAnsi="Book Antiqua"/>
          <w:lang w:eastAsia="zh-CN"/>
        </w:rPr>
        <w:t xml:space="preserve">; </w:t>
      </w:r>
      <w:r w:rsidRPr="00DD186A">
        <w:rPr>
          <w:rFonts w:ascii="Book Antiqua" w:hAnsi="Book Antiqua"/>
        </w:rPr>
        <w:t>EPASS</w:t>
      </w:r>
      <w:r w:rsidRPr="00DD186A">
        <w:rPr>
          <w:rFonts w:ascii="Book Antiqua" w:hAnsi="Book Antiqua"/>
          <w:lang w:eastAsia="zh-CN"/>
        </w:rPr>
        <w:t xml:space="preserve">: </w:t>
      </w:r>
      <w:r w:rsidRPr="00DD186A">
        <w:rPr>
          <w:rFonts w:ascii="Book Antiqua" w:hAnsi="Book Antiqua"/>
        </w:rPr>
        <w:t>Endoscopic ultrasonography-guided double balloon-occluded gastrojejunostomy bypass</w:t>
      </w:r>
      <w:r w:rsidRPr="00DD186A">
        <w:rPr>
          <w:rFonts w:ascii="Book Antiqua" w:hAnsi="Book Antiqua"/>
          <w:lang w:eastAsia="zh-CN"/>
        </w:rPr>
        <w:t xml:space="preserve">; </w:t>
      </w:r>
      <w:r w:rsidRPr="00DD186A">
        <w:rPr>
          <w:rFonts w:ascii="Book Antiqua" w:hAnsi="Book Antiqua"/>
        </w:rPr>
        <w:t>NA</w:t>
      </w:r>
      <w:r w:rsidRPr="00DD186A">
        <w:rPr>
          <w:rFonts w:ascii="Book Antiqua" w:hAnsi="Book Antiqua"/>
          <w:lang w:eastAsia="zh-CN"/>
        </w:rPr>
        <w:t>:</w:t>
      </w:r>
      <w:r w:rsidRPr="00DD186A">
        <w:rPr>
          <w:rFonts w:ascii="Book Antiqua" w:hAnsi="Book Antiqua"/>
        </w:rPr>
        <w:t xml:space="preserve"> Not </w:t>
      </w:r>
      <w:r w:rsidR="006140AD" w:rsidRPr="00DD186A">
        <w:rPr>
          <w:rFonts w:ascii="Book Antiqua" w:hAnsi="Book Antiqua"/>
        </w:rPr>
        <w:t>a</w:t>
      </w:r>
      <w:r w:rsidRPr="00DD186A">
        <w:rPr>
          <w:rFonts w:ascii="Book Antiqua" w:hAnsi="Book Antiqua"/>
        </w:rPr>
        <w:t>pplicable</w:t>
      </w:r>
      <w:r w:rsidRPr="00DD186A">
        <w:rPr>
          <w:rFonts w:ascii="Book Antiqua" w:hAnsi="Book Antiqua"/>
          <w:lang w:eastAsia="zh-CN"/>
        </w:rPr>
        <w:t>.</w:t>
      </w:r>
    </w:p>
    <w:p w14:paraId="29D2D43B" w14:textId="6A8680B0" w:rsidR="00897BF5" w:rsidRPr="00DD186A" w:rsidRDefault="00897BF5" w:rsidP="00897BF5">
      <w:pPr>
        <w:spacing w:line="360" w:lineRule="auto"/>
        <w:jc w:val="both"/>
        <w:rPr>
          <w:rFonts w:ascii="Book Antiqua" w:eastAsia="Times New Roman" w:hAnsi="Book Antiqua" w:cstheme="minorHAnsi"/>
          <w:b/>
          <w:bCs/>
          <w:color w:val="000000" w:themeColor="text1"/>
        </w:rPr>
      </w:pPr>
      <w:r w:rsidRPr="00DD186A">
        <w:rPr>
          <w:rFonts w:ascii="Book Antiqua" w:eastAsia="Times New Roman" w:hAnsi="Book Antiqua" w:cstheme="minorHAnsi"/>
          <w:b/>
          <w:bCs/>
          <w:color w:val="000000" w:themeColor="text1"/>
        </w:rPr>
        <w:br w:type="page"/>
      </w:r>
      <w:r w:rsidRPr="00DD186A">
        <w:rPr>
          <w:rFonts w:ascii="Book Antiqua" w:eastAsia="Times New Roman" w:hAnsi="Book Antiqua" w:cstheme="minorHAnsi"/>
          <w:b/>
          <w:bCs/>
          <w:color w:val="000000" w:themeColor="text1"/>
        </w:rPr>
        <w:lastRenderedPageBreak/>
        <w:t xml:space="preserve">Table 6 </w:t>
      </w:r>
      <w:r w:rsidRPr="00DD186A">
        <w:rPr>
          <w:rFonts w:ascii="Book Antiqua" w:hAnsi="Book Antiqua"/>
          <w:b/>
          <w:bCs/>
        </w:rPr>
        <w:t xml:space="preserve">Outcomes of endoscopic ultrasonography-guided gastroenterostomy using a lumen-apposing self-expandable metal stent as compared to duodenal </w:t>
      </w:r>
      <w:proofErr w:type="gramStart"/>
      <w:r w:rsidRPr="00DD186A">
        <w:rPr>
          <w:rFonts w:ascii="Book Antiqua" w:hAnsi="Book Antiqua"/>
          <w:b/>
          <w:bCs/>
        </w:rPr>
        <w:t>stenting</w:t>
      </w:r>
      <w:r w:rsidRPr="00DD186A">
        <w:rPr>
          <w:rFonts w:ascii="Book Antiqua" w:hAnsi="Book Antiqua"/>
          <w:b/>
          <w:bCs/>
          <w:vertAlign w:val="superscript"/>
        </w:rPr>
        <w:t>[</w:t>
      </w:r>
      <w:proofErr w:type="gramEnd"/>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_Ref61382368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37</w:t>
      </w:r>
      <w:r w:rsidRPr="00DD186A">
        <w:rPr>
          <w:rFonts w:ascii="Book Antiqua" w:hAnsi="Book Antiqua"/>
          <w:b/>
          <w:bCs/>
          <w:vertAlign w:val="superscript"/>
        </w:rPr>
        <w:fldChar w:fldCharType="end"/>
      </w:r>
      <w:r w:rsidRPr="00DD186A">
        <w:rPr>
          <w:rFonts w:ascii="Book Antiqua" w:hAnsi="Book Antiqua"/>
          <w:b/>
          <w:bCs/>
          <w:vertAlign w:val="superscript"/>
        </w:rPr>
        <w:t>,</w:t>
      </w:r>
      <w:r w:rsidRPr="00DD186A">
        <w:rPr>
          <w:rFonts w:ascii="Book Antiqua" w:hAnsi="Book Antiqua"/>
          <w:b/>
          <w:bCs/>
          <w:vertAlign w:val="superscript"/>
        </w:rPr>
        <w:fldChar w:fldCharType="begin"/>
      </w:r>
      <w:r w:rsidRPr="00DD186A">
        <w:rPr>
          <w:rFonts w:ascii="Book Antiqua" w:hAnsi="Book Antiqua"/>
          <w:b/>
          <w:bCs/>
          <w:vertAlign w:val="superscript"/>
        </w:rPr>
        <w:instrText xml:space="preserve"> REF _Ref58174833 \r \h </w:instrText>
      </w:r>
      <w:r w:rsidR="00DD186A" w:rsidRPr="00DD186A">
        <w:rPr>
          <w:rFonts w:ascii="Book Antiqua" w:hAnsi="Book Antiqua"/>
          <w:b/>
          <w:bCs/>
          <w:vertAlign w:val="superscript"/>
        </w:rPr>
        <w:instrText xml:space="preserve"> \* MERGEFORMAT </w:instrText>
      </w:r>
      <w:r w:rsidRPr="00DD186A">
        <w:rPr>
          <w:rFonts w:ascii="Book Antiqua" w:hAnsi="Book Antiqua"/>
          <w:b/>
          <w:bCs/>
          <w:vertAlign w:val="superscript"/>
        </w:rPr>
      </w:r>
      <w:r w:rsidRPr="00DD186A">
        <w:rPr>
          <w:rFonts w:ascii="Book Antiqua" w:hAnsi="Book Antiqua"/>
          <w:b/>
          <w:bCs/>
          <w:vertAlign w:val="superscript"/>
        </w:rPr>
        <w:fldChar w:fldCharType="separate"/>
      </w:r>
      <w:r w:rsidRPr="00DD186A">
        <w:rPr>
          <w:rFonts w:ascii="Book Antiqua" w:hAnsi="Book Antiqua"/>
          <w:b/>
          <w:bCs/>
          <w:vertAlign w:val="superscript"/>
        </w:rPr>
        <w:t>43</w:t>
      </w:r>
      <w:r w:rsidRPr="00DD186A">
        <w:rPr>
          <w:rFonts w:ascii="Book Antiqua" w:hAnsi="Book Antiqua"/>
          <w:b/>
          <w:bCs/>
          <w:vertAlign w:val="superscript"/>
        </w:rPr>
        <w:fldChar w:fldCharType="end"/>
      </w:r>
      <w:r w:rsidRPr="00DD186A">
        <w:rPr>
          <w:rFonts w:ascii="Book Antiqua" w:hAnsi="Book Antiqua"/>
          <w:b/>
          <w:bCs/>
          <w:vertAlign w:val="superscript"/>
        </w:rPr>
        <w:t>]</w:t>
      </w:r>
    </w:p>
    <w:tbl>
      <w:tblPr>
        <w:tblStyle w:val="PlainTable41"/>
        <w:tblW w:w="0" w:type="auto"/>
        <w:tblLook w:val="04A0" w:firstRow="1" w:lastRow="0" w:firstColumn="1" w:lastColumn="0" w:noHBand="0" w:noVBand="1"/>
      </w:tblPr>
      <w:tblGrid>
        <w:gridCol w:w="2506"/>
        <w:gridCol w:w="1546"/>
        <w:gridCol w:w="1912"/>
        <w:gridCol w:w="1118"/>
        <w:gridCol w:w="2494"/>
      </w:tblGrid>
      <w:tr w:rsidR="00897BF5" w:rsidRPr="00DD186A" w14:paraId="02809C00" w14:textId="77777777" w:rsidTr="00AC216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1824A5C4" w14:textId="77777777" w:rsidR="00897BF5" w:rsidRPr="00DD186A" w:rsidRDefault="00897BF5" w:rsidP="00AC2162">
            <w:pPr>
              <w:spacing w:line="360" w:lineRule="auto"/>
              <w:rPr>
                <w:rFonts w:ascii="Book Antiqua" w:hAnsi="Book Antiqua"/>
                <w:b w:val="0"/>
                <w:bCs w:val="0"/>
              </w:rPr>
            </w:pPr>
          </w:p>
        </w:tc>
        <w:tc>
          <w:tcPr>
            <w:tcW w:w="0" w:type="auto"/>
            <w:gridSpan w:val="2"/>
            <w:tcBorders>
              <w:top w:val="single" w:sz="4" w:space="0" w:color="auto"/>
              <w:bottom w:val="single" w:sz="4" w:space="0" w:color="auto"/>
            </w:tcBorders>
            <w:shd w:val="clear" w:color="auto" w:fill="auto"/>
          </w:tcPr>
          <w:p w14:paraId="50F80ADF"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DD186A">
              <w:rPr>
                <w:rFonts w:ascii="Book Antiqua" w:hAnsi="Book Antiqua"/>
              </w:rPr>
              <w:t xml:space="preserve">Chen </w:t>
            </w:r>
            <w:r w:rsidRPr="00DD186A">
              <w:rPr>
                <w:rFonts w:ascii="Book Antiqua" w:hAnsi="Book Antiqua"/>
                <w:i/>
              </w:rPr>
              <w:t>et al</w:t>
            </w:r>
            <w:r w:rsidRPr="00DD186A">
              <w:rPr>
                <w:rFonts w:ascii="Book Antiqua" w:hAnsi="Book Antiqua"/>
                <w:vertAlign w:val="superscript"/>
                <w:lang w:eastAsia="zh-CN"/>
              </w:rPr>
              <w:t>[43]</w:t>
            </w:r>
          </w:p>
        </w:tc>
        <w:tc>
          <w:tcPr>
            <w:tcW w:w="0" w:type="auto"/>
            <w:gridSpan w:val="2"/>
            <w:tcBorders>
              <w:top w:val="single" w:sz="4" w:space="0" w:color="auto"/>
              <w:bottom w:val="single" w:sz="4" w:space="0" w:color="auto"/>
            </w:tcBorders>
            <w:shd w:val="clear" w:color="auto" w:fill="auto"/>
          </w:tcPr>
          <w:p w14:paraId="56C5EF77" w14:textId="77777777" w:rsidR="00897BF5" w:rsidRPr="00DD186A"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DD186A">
              <w:rPr>
                <w:rFonts w:ascii="Book Antiqua" w:hAnsi="Book Antiqua"/>
              </w:rPr>
              <w:t xml:space="preserve">Ge </w:t>
            </w:r>
            <w:r w:rsidRPr="00DD186A">
              <w:rPr>
                <w:rFonts w:ascii="Book Antiqua" w:hAnsi="Book Antiqua"/>
                <w:i/>
              </w:rPr>
              <w:t>et al</w:t>
            </w:r>
            <w:r w:rsidRPr="00DD186A">
              <w:rPr>
                <w:rFonts w:ascii="Book Antiqua" w:hAnsi="Book Antiqua"/>
                <w:vertAlign w:val="superscript"/>
                <w:lang w:eastAsia="zh-CN"/>
              </w:rPr>
              <w:t>[37]</w:t>
            </w:r>
          </w:p>
        </w:tc>
      </w:tr>
      <w:tr w:rsidR="00897BF5" w:rsidRPr="00DD186A" w14:paraId="20BD01BC" w14:textId="77777777" w:rsidTr="00AC216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1AED5177"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Type of study</w:t>
            </w:r>
          </w:p>
        </w:tc>
        <w:tc>
          <w:tcPr>
            <w:tcW w:w="0" w:type="auto"/>
            <w:gridSpan w:val="2"/>
            <w:tcBorders>
              <w:top w:val="single" w:sz="4" w:space="0" w:color="auto"/>
            </w:tcBorders>
            <w:shd w:val="clear" w:color="auto" w:fill="auto"/>
          </w:tcPr>
          <w:p w14:paraId="1D5B152E"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 xml:space="preserve">Multicenter, retrospective </w:t>
            </w:r>
          </w:p>
          <w:p w14:paraId="4A48531D"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0" w:type="auto"/>
            <w:gridSpan w:val="2"/>
            <w:tcBorders>
              <w:top w:val="single" w:sz="4" w:space="0" w:color="auto"/>
            </w:tcBorders>
            <w:shd w:val="clear" w:color="auto" w:fill="auto"/>
          </w:tcPr>
          <w:p w14:paraId="53A94B5D"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Single center, retrospective</w:t>
            </w:r>
          </w:p>
        </w:tc>
      </w:tr>
      <w:tr w:rsidR="00897BF5" w:rsidRPr="00DD186A" w14:paraId="34F5D1D0" w14:textId="77777777" w:rsidTr="00AC2162">
        <w:trPr>
          <w:trHeight w:val="6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83FB3"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Group</w:t>
            </w:r>
          </w:p>
        </w:tc>
        <w:tc>
          <w:tcPr>
            <w:tcW w:w="0" w:type="auto"/>
            <w:shd w:val="clear" w:color="auto" w:fill="auto"/>
          </w:tcPr>
          <w:p w14:paraId="07B06490"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EUS-GJ</w:t>
            </w:r>
          </w:p>
        </w:tc>
        <w:tc>
          <w:tcPr>
            <w:tcW w:w="0" w:type="auto"/>
            <w:shd w:val="clear" w:color="auto" w:fill="auto"/>
          </w:tcPr>
          <w:p w14:paraId="150E9413"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Duodenal stenting</w:t>
            </w:r>
          </w:p>
        </w:tc>
        <w:tc>
          <w:tcPr>
            <w:tcW w:w="0" w:type="auto"/>
            <w:shd w:val="clear" w:color="auto" w:fill="auto"/>
          </w:tcPr>
          <w:p w14:paraId="6B53535F"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DD186A">
              <w:rPr>
                <w:rFonts w:ascii="Book Antiqua" w:hAnsi="Book Antiqua"/>
              </w:rPr>
              <w:t>EUS-GJ</w:t>
            </w:r>
          </w:p>
        </w:tc>
        <w:tc>
          <w:tcPr>
            <w:tcW w:w="0" w:type="auto"/>
            <w:shd w:val="clear" w:color="auto" w:fill="auto"/>
          </w:tcPr>
          <w:p w14:paraId="76B265BC" w14:textId="191EA72E"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 xml:space="preserve">Duodenal </w:t>
            </w:r>
            <w:r w:rsidR="00782FA3" w:rsidRPr="00DD186A">
              <w:rPr>
                <w:rFonts w:ascii="Book Antiqua" w:hAnsi="Book Antiqua"/>
              </w:rPr>
              <w:t>s</w:t>
            </w:r>
            <w:r w:rsidRPr="00DD186A">
              <w:rPr>
                <w:rFonts w:ascii="Book Antiqua" w:hAnsi="Book Antiqua"/>
              </w:rPr>
              <w:t>tenting</w:t>
            </w:r>
          </w:p>
        </w:tc>
      </w:tr>
      <w:tr w:rsidR="00897BF5" w:rsidRPr="00DD186A" w14:paraId="65581E51"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EDD6C"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Number of patients</w:t>
            </w:r>
            <w:r w:rsidRPr="00862416">
              <w:rPr>
                <w:rFonts w:ascii="Book Antiqua" w:hAnsi="Book Antiqua"/>
                <w:b w:val="0"/>
                <w:lang w:eastAsia="zh-CN"/>
              </w:rPr>
              <w:t>,</w:t>
            </w:r>
            <w:r w:rsidRPr="00862416">
              <w:rPr>
                <w:rFonts w:ascii="Book Antiqua" w:hAnsi="Book Antiqua"/>
                <w:b w:val="0"/>
              </w:rPr>
              <w:t xml:space="preserve"> </w:t>
            </w:r>
            <w:r w:rsidRPr="00862416">
              <w:rPr>
                <w:rFonts w:ascii="Book Antiqua" w:hAnsi="Book Antiqua"/>
                <w:b w:val="0"/>
                <w:i/>
              </w:rPr>
              <w:t>n</w:t>
            </w:r>
            <w:r w:rsidRPr="00862416">
              <w:rPr>
                <w:rFonts w:ascii="Book Antiqua" w:hAnsi="Book Antiqua"/>
                <w:b w:val="0"/>
                <w:i/>
                <w:lang w:eastAsia="zh-CN"/>
              </w:rPr>
              <w:t xml:space="preserve"> </w:t>
            </w:r>
            <w:r w:rsidRPr="00862416">
              <w:rPr>
                <w:rFonts w:ascii="Book Antiqua" w:hAnsi="Book Antiqua"/>
                <w:b w:val="0"/>
              </w:rPr>
              <w:t>(%)</w:t>
            </w:r>
          </w:p>
        </w:tc>
        <w:tc>
          <w:tcPr>
            <w:tcW w:w="0" w:type="auto"/>
            <w:shd w:val="clear" w:color="auto" w:fill="auto"/>
          </w:tcPr>
          <w:p w14:paraId="7F014F4C"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30 (36.5)</w:t>
            </w:r>
          </w:p>
        </w:tc>
        <w:tc>
          <w:tcPr>
            <w:tcW w:w="0" w:type="auto"/>
            <w:shd w:val="clear" w:color="auto" w:fill="auto"/>
          </w:tcPr>
          <w:p w14:paraId="704C195B"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52 (63.4)</w:t>
            </w:r>
          </w:p>
        </w:tc>
        <w:tc>
          <w:tcPr>
            <w:tcW w:w="0" w:type="auto"/>
            <w:shd w:val="clear" w:color="auto" w:fill="auto"/>
          </w:tcPr>
          <w:p w14:paraId="3275B6E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22 (22)</w:t>
            </w:r>
          </w:p>
        </w:tc>
        <w:tc>
          <w:tcPr>
            <w:tcW w:w="0" w:type="auto"/>
            <w:shd w:val="clear" w:color="auto" w:fill="auto"/>
          </w:tcPr>
          <w:p w14:paraId="68F6F66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78 (78)</w:t>
            </w:r>
          </w:p>
        </w:tc>
      </w:tr>
      <w:tr w:rsidR="00897BF5" w:rsidRPr="00DD186A" w14:paraId="0875B231" w14:textId="77777777" w:rsidTr="00AC2162">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FF327"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Technique</w:t>
            </w:r>
          </w:p>
        </w:tc>
        <w:tc>
          <w:tcPr>
            <w:tcW w:w="0" w:type="auto"/>
            <w:shd w:val="clear" w:color="auto" w:fill="auto"/>
          </w:tcPr>
          <w:p w14:paraId="37A2E216" w14:textId="51B04579" w:rsidR="00897BF5" w:rsidRPr="00DD186A" w:rsidRDefault="00897BF5" w:rsidP="00782FA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Direct;</w:t>
            </w:r>
            <w:r w:rsidR="00782FA3">
              <w:rPr>
                <w:rFonts w:ascii="Book Antiqua" w:hAnsi="Book Antiqua" w:hint="eastAsia"/>
                <w:lang w:eastAsia="zh-CN"/>
              </w:rPr>
              <w:t xml:space="preserve"> </w:t>
            </w:r>
            <w:r w:rsidRPr="00DD186A">
              <w:rPr>
                <w:rFonts w:ascii="Book Antiqua" w:hAnsi="Book Antiqua"/>
              </w:rPr>
              <w:t xml:space="preserve">EPASS; </w:t>
            </w:r>
            <w:r w:rsidR="008F52FF" w:rsidRPr="00DD186A">
              <w:rPr>
                <w:rFonts w:ascii="Book Antiqua" w:hAnsi="Book Antiqua"/>
              </w:rPr>
              <w:t>Balloon</w:t>
            </w:r>
            <w:r w:rsidRPr="00DD186A">
              <w:rPr>
                <w:rFonts w:ascii="Book Antiqua" w:hAnsi="Book Antiqua"/>
              </w:rPr>
              <w:t>-assisted</w:t>
            </w:r>
          </w:p>
        </w:tc>
        <w:tc>
          <w:tcPr>
            <w:tcW w:w="0" w:type="auto"/>
            <w:shd w:val="clear" w:color="auto" w:fill="auto"/>
          </w:tcPr>
          <w:p w14:paraId="7EC8426A"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Uncovered Wallflex (Boston Scientific)</w:t>
            </w:r>
          </w:p>
        </w:tc>
        <w:tc>
          <w:tcPr>
            <w:tcW w:w="0" w:type="auto"/>
            <w:shd w:val="clear" w:color="auto" w:fill="auto"/>
          </w:tcPr>
          <w:p w14:paraId="63A8CB8D"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Direct</w:t>
            </w:r>
          </w:p>
          <w:p w14:paraId="5D95C18E"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Assisted</w:t>
            </w:r>
          </w:p>
        </w:tc>
        <w:tc>
          <w:tcPr>
            <w:tcW w:w="0" w:type="auto"/>
            <w:shd w:val="clear" w:color="auto" w:fill="auto"/>
          </w:tcPr>
          <w:p w14:paraId="552F3C8D"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Uncovered WallFlex; Boston Scientific, or (Evolution; Cook Medical)</w:t>
            </w:r>
          </w:p>
          <w:p w14:paraId="1032D082"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97BF5" w:rsidRPr="00DD186A" w14:paraId="633F8E07"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1C6A9"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Technical success (%)</w:t>
            </w:r>
          </w:p>
        </w:tc>
        <w:tc>
          <w:tcPr>
            <w:tcW w:w="0" w:type="auto"/>
            <w:shd w:val="clear" w:color="auto" w:fill="auto"/>
          </w:tcPr>
          <w:p w14:paraId="446F1876"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86.7</w:t>
            </w:r>
          </w:p>
        </w:tc>
        <w:tc>
          <w:tcPr>
            <w:tcW w:w="0" w:type="auto"/>
            <w:shd w:val="clear" w:color="auto" w:fill="auto"/>
          </w:tcPr>
          <w:p w14:paraId="750A4340"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94.2</w:t>
            </w:r>
          </w:p>
        </w:tc>
        <w:tc>
          <w:tcPr>
            <w:tcW w:w="0" w:type="auto"/>
            <w:shd w:val="clear" w:color="auto" w:fill="auto"/>
          </w:tcPr>
          <w:p w14:paraId="25C2ED08"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100</w:t>
            </w:r>
          </w:p>
        </w:tc>
        <w:tc>
          <w:tcPr>
            <w:tcW w:w="0" w:type="auto"/>
            <w:shd w:val="clear" w:color="auto" w:fill="auto"/>
          </w:tcPr>
          <w:p w14:paraId="420C0C45"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100</w:t>
            </w:r>
          </w:p>
        </w:tc>
      </w:tr>
      <w:tr w:rsidR="00897BF5" w:rsidRPr="00DD186A" w14:paraId="4A438D4B"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89004"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Clinical success (%)</w:t>
            </w:r>
          </w:p>
        </w:tc>
        <w:tc>
          <w:tcPr>
            <w:tcW w:w="0" w:type="auto"/>
            <w:shd w:val="clear" w:color="auto" w:fill="auto"/>
          </w:tcPr>
          <w:p w14:paraId="4CF9AB64"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83.3</w:t>
            </w:r>
          </w:p>
        </w:tc>
        <w:tc>
          <w:tcPr>
            <w:tcW w:w="0" w:type="auto"/>
            <w:shd w:val="clear" w:color="auto" w:fill="auto"/>
          </w:tcPr>
          <w:p w14:paraId="2130EF2D"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67.3</w:t>
            </w:r>
          </w:p>
        </w:tc>
        <w:tc>
          <w:tcPr>
            <w:tcW w:w="0" w:type="auto"/>
            <w:shd w:val="clear" w:color="auto" w:fill="auto"/>
          </w:tcPr>
          <w:p w14:paraId="6D544EA3"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95.8</w:t>
            </w:r>
          </w:p>
        </w:tc>
        <w:tc>
          <w:tcPr>
            <w:tcW w:w="0" w:type="auto"/>
            <w:shd w:val="clear" w:color="auto" w:fill="auto"/>
          </w:tcPr>
          <w:p w14:paraId="5659B362"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76.3</w:t>
            </w:r>
          </w:p>
        </w:tc>
      </w:tr>
      <w:tr w:rsidR="00897BF5" w:rsidRPr="00DD186A" w14:paraId="37156CCB"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05628"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Adverse events (%)</w:t>
            </w:r>
          </w:p>
        </w:tc>
        <w:tc>
          <w:tcPr>
            <w:tcW w:w="0" w:type="auto"/>
            <w:shd w:val="clear" w:color="auto" w:fill="auto"/>
          </w:tcPr>
          <w:p w14:paraId="68460330"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16.7</w:t>
            </w:r>
          </w:p>
        </w:tc>
        <w:tc>
          <w:tcPr>
            <w:tcW w:w="0" w:type="auto"/>
            <w:shd w:val="clear" w:color="auto" w:fill="auto"/>
          </w:tcPr>
          <w:p w14:paraId="60F52D4A"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11.5</w:t>
            </w:r>
          </w:p>
        </w:tc>
        <w:tc>
          <w:tcPr>
            <w:tcW w:w="0" w:type="auto"/>
            <w:shd w:val="clear" w:color="auto" w:fill="auto"/>
          </w:tcPr>
          <w:p w14:paraId="38D75C74"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20.8</w:t>
            </w:r>
          </w:p>
        </w:tc>
        <w:tc>
          <w:tcPr>
            <w:tcW w:w="0" w:type="auto"/>
            <w:shd w:val="clear" w:color="auto" w:fill="auto"/>
          </w:tcPr>
          <w:p w14:paraId="3902AF8C" w14:textId="77777777" w:rsidR="00897BF5" w:rsidRPr="00DD186A"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D186A">
              <w:rPr>
                <w:rFonts w:ascii="Book Antiqua" w:hAnsi="Book Antiqua"/>
              </w:rPr>
              <w:t>40.2</w:t>
            </w:r>
          </w:p>
        </w:tc>
      </w:tr>
      <w:tr w:rsidR="00897BF5" w:rsidRPr="00DD186A" w14:paraId="26ADA33B"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4BFB86E8" w14:textId="77777777" w:rsidR="00897BF5" w:rsidRPr="00862416" w:rsidRDefault="00897BF5" w:rsidP="00AC2162">
            <w:pPr>
              <w:spacing w:line="360" w:lineRule="auto"/>
              <w:rPr>
                <w:rFonts w:ascii="Book Antiqua" w:hAnsi="Book Antiqua"/>
                <w:b w:val="0"/>
              </w:rPr>
            </w:pPr>
            <w:r w:rsidRPr="00862416">
              <w:rPr>
                <w:rFonts w:ascii="Book Antiqua" w:hAnsi="Book Antiqua"/>
                <w:b w:val="0"/>
              </w:rPr>
              <w:t>Recurrence/need for Reintervention (%)</w:t>
            </w:r>
          </w:p>
        </w:tc>
        <w:tc>
          <w:tcPr>
            <w:tcW w:w="0" w:type="auto"/>
            <w:tcBorders>
              <w:bottom w:val="single" w:sz="4" w:space="0" w:color="auto"/>
            </w:tcBorders>
            <w:shd w:val="clear" w:color="auto" w:fill="auto"/>
          </w:tcPr>
          <w:p w14:paraId="0B733FFC"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4.0</w:t>
            </w:r>
          </w:p>
        </w:tc>
        <w:tc>
          <w:tcPr>
            <w:tcW w:w="0" w:type="auto"/>
            <w:tcBorders>
              <w:bottom w:val="single" w:sz="4" w:space="0" w:color="auto"/>
            </w:tcBorders>
            <w:shd w:val="clear" w:color="auto" w:fill="auto"/>
          </w:tcPr>
          <w:p w14:paraId="5F6A67E2"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28.6</w:t>
            </w:r>
          </w:p>
        </w:tc>
        <w:tc>
          <w:tcPr>
            <w:tcW w:w="0" w:type="auto"/>
            <w:tcBorders>
              <w:bottom w:val="single" w:sz="4" w:space="0" w:color="auto"/>
            </w:tcBorders>
            <w:shd w:val="clear" w:color="auto" w:fill="auto"/>
          </w:tcPr>
          <w:p w14:paraId="102031EE"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8</w:t>
            </w:r>
          </w:p>
        </w:tc>
        <w:tc>
          <w:tcPr>
            <w:tcW w:w="0" w:type="auto"/>
            <w:tcBorders>
              <w:bottom w:val="single" w:sz="4" w:space="0" w:color="auto"/>
            </w:tcBorders>
            <w:shd w:val="clear" w:color="auto" w:fill="auto"/>
          </w:tcPr>
          <w:p w14:paraId="3E282F5C" w14:textId="77777777" w:rsidR="00897BF5" w:rsidRPr="00DD186A"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D186A">
              <w:rPr>
                <w:rFonts w:ascii="Book Antiqua" w:hAnsi="Book Antiqua"/>
              </w:rPr>
              <w:t>32</w:t>
            </w:r>
          </w:p>
        </w:tc>
      </w:tr>
    </w:tbl>
    <w:p w14:paraId="6E5BDADC" w14:textId="77777777" w:rsidR="00897BF5" w:rsidRPr="00DD186A" w:rsidRDefault="00897BF5" w:rsidP="00897BF5">
      <w:pPr>
        <w:spacing w:line="360" w:lineRule="auto"/>
        <w:jc w:val="both"/>
        <w:rPr>
          <w:rFonts w:ascii="Book Antiqua" w:hAnsi="Book Antiqua"/>
          <w:lang w:eastAsia="zh-CN"/>
        </w:rPr>
      </w:pPr>
      <w:r w:rsidRPr="00DD186A">
        <w:rPr>
          <w:rFonts w:ascii="Book Antiqua" w:hAnsi="Book Antiqua"/>
        </w:rPr>
        <w:t>EUS-GJ</w:t>
      </w:r>
      <w:r w:rsidRPr="00DD186A">
        <w:rPr>
          <w:rFonts w:ascii="Book Antiqua" w:hAnsi="Book Antiqua"/>
          <w:lang w:eastAsia="zh-CN"/>
        </w:rPr>
        <w:t>:</w:t>
      </w:r>
      <w:r w:rsidRPr="00DD186A">
        <w:rPr>
          <w:rFonts w:ascii="Book Antiqua" w:hAnsi="Book Antiqua"/>
        </w:rPr>
        <w:t xml:space="preserve"> Endoscopic ultrasound guided gastrojejunostomy</w:t>
      </w:r>
      <w:r w:rsidRPr="00DD186A">
        <w:rPr>
          <w:rFonts w:ascii="Book Antiqua" w:hAnsi="Book Antiqua"/>
          <w:lang w:eastAsia="zh-CN"/>
        </w:rPr>
        <w:t xml:space="preserve">; </w:t>
      </w:r>
      <w:r w:rsidRPr="00DD186A">
        <w:rPr>
          <w:rFonts w:ascii="Book Antiqua" w:hAnsi="Book Antiqua"/>
        </w:rPr>
        <w:t>EPASS</w:t>
      </w:r>
      <w:r w:rsidRPr="00DD186A">
        <w:rPr>
          <w:rFonts w:ascii="Book Antiqua" w:hAnsi="Book Antiqua"/>
          <w:lang w:eastAsia="zh-CN"/>
        </w:rPr>
        <w:t xml:space="preserve">: </w:t>
      </w:r>
      <w:r w:rsidRPr="00DD186A">
        <w:rPr>
          <w:rFonts w:ascii="Book Antiqua" w:hAnsi="Book Antiqua"/>
        </w:rPr>
        <w:t>Endoscopic ultrasonography-guided double balloon-occluded gastrojejunostomy bypass</w:t>
      </w:r>
      <w:r w:rsidRPr="00DD186A">
        <w:rPr>
          <w:rFonts w:ascii="Book Antiqua" w:hAnsi="Book Antiqua"/>
          <w:lang w:eastAsia="zh-CN"/>
        </w:rPr>
        <w:t>.</w:t>
      </w:r>
    </w:p>
    <w:p w14:paraId="54E80E40" w14:textId="77777777" w:rsidR="007945BE" w:rsidRPr="00DD186A" w:rsidRDefault="007945BE">
      <w:pPr>
        <w:spacing w:line="360" w:lineRule="auto"/>
        <w:jc w:val="both"/>
        <w:rPr>
          <w:rFonts w:ascii="Book Antiqua" w:hAnsi="Book Antiqua"/>
          <w:lang w:eastAsia="zh-CN"/>
        </w:rPr>
      </w:pPr>
    </w:p>
    <w:sectPr w:rsidR="007945BE" w:rsidRPr="00DD18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89A47" w14:textId="77777777" w:rsidR="00082490" w:rsidRDefault="00082490" w:rsidP="007945BE">
      <w:r>
        <w:separator/>
      </w:r>
    </w:p>
  </w:endnote>
  <w:endnote w:type="continuationSeparator" w:id="0">
    <w:p w14:paraId="221DB93C" w14:textId="77777777" w:rsidR="00082490" w:rsidRDefault="00082490" w:rsidP="0079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514596"/>
      <w:docPartObj>
        <w:docPartGallery w:val="Page Numbers (Bottom of Page)"/>
        <w:docPartUnique/>
      </w:docPartObj>
    </w:sdtPr>
    <w:sdtEndPr/>
    <w:sdtContent>
      <w:sdt>
        <w:sdtPr>
          <w:id w:val="98381352"/>
          <w:docPartObj>
            <w:docPartGallery w:val="Page Numbers (Top of Page)"/>
            <w:docPartUnique/>
          </w:docPartObj>
        </w:sdtPr>
        <w:sdtEndPr/>
        <w:sdtContent>
          <w:p w14:paraId="026BD807" w14:textId="77777777" w:rsidR="00DD186A" w:rsidRDefault="00DD186A" w:rsidP="00DD186A">
            <w:pPr>
              <w:pStyle w:val="a5"/>
              <w:jc w:val="right"/>
            </w:pPr>
            <w:r w:rsidRPr="00DD186A">
              <w:rPr>
                <w:rFonts w:ascii="Book Antiqua" w:hAnsi="Book Antiqua"/>
                <w:sz w:val="24"/>
                <w:szCs w:val="24"/>
                <w:lang w:val="zh-CN" w:eastAsia="zh-CN"/>
              </w:rPr>
              <w:t xml:space="preserve"> </w:t>
            </w:r>
            <w:r w:rsidRPr="00DD186A">
              <w:rPr>
                <w:rFonts w:ascii="Book Antiqua" w:hAnsi="Book Antiqua"/>
                <w:b/>
                <w:bCs/>
                <w:sz w:val="24"/>
                <w:szCs w:val="24"/>
              </w:rPr>
              <w:fldChar w:fldCharType="begin"/>
            </w:r>
            <w:r w:rsidRPr="00DD186A">
              <w:rPr>
                <w:rFonts w:ascii="Book Antiqua" w:hAnsi="Book Antiqua"/>
                <w:b/>
                <w:bCs/>
                <w:sz w:val="24"/>
                <w:szCs w:val="24"/>
              </w:rPr>
              <w:instrText>PAGE</w:instrText>
            </w:r>
            <w:r w:rsidRPr="00DD186A">
              <w:rPr>
                <w:rFonts w:ascii="Book Antiqua" w:hAnsi="Book Antiqua"/>
                <w:b/>
                <w:bCs/>
                <w:sz w:val="24"/>
                <w:szCs w:val="24"/>
              </w:rPr>
              <w:fldChar w:fldCharType="separate"/>
            </w:r>
            <w:r w:rsidR="00FB2439">
              <w:rPr>
                <w:rFonts w:ascii="Book Antiqua" w:hAnsi="Book Antiqua"/>
                <w:b/>
                <w:bCs/>
                <w:noProof/>
                <w:sz w:val="24"/>
                <w:szCs w:val="24"/>
              </w:rPr>
              <w:t>31</w:t>
            </w:r>
            <w:r w:rsidRPr="00DD186A">
              <w:rPr>
                <w:rFonts w:ascii="Book Antiqua" w:hAnsi="Book Antiqua"/>
                <w:b/>
                <w:bCs/>
                <w:sz w:val="24"/>
                <w:szCs w:val="24"/>
              </w:rPr>
              <w:fldChar w:fldCharType="end"/>
            </w:r>
            <w:r w:rsidRPr="00DD186A">
              <w:rPr>
                <w:rFonts w:ascii="Book Antiqua" w:hAnsi="Book Antiqua"/>
                <w:sz w:val="24"/>
                <w:szCs w:val="24"/>
                <w:lang w:val="zh-CN" w:eastAsia="zh-CN"/>
              </w:rPr>
              <w:t xml:space="preserve"> / </w:t>
            </w:r>
            <w:r w:rsidRPr="00DD186A">
              <w:rPr>
                <w:rFonts w:ascii="Book Antiqua" w:hAnsi="Book Antiqua"/>
                <w:b/>
                <w:bCs/>
                <w:sz w:val="24"/>
                <w:szCs w:val="24"/>
              </w:rPr>
              <w:fldChar w:fldCharType="begin"/>
            </w:r>
            <w:r w:rsidRPr="00DD186A">
              <w:rPr>
                <w:rFonts w:ascii="Book Antiqua" w:hAnsi="Book Antiqua"/>
                <w:b/>
                <w:bCs/>
                <w:sz w:val="24"/>
                <w:szCs w:val="24"/>
              </w:rPr>
              <w:instrText>NUMPAGES</w:instrText>
            </w:r>
            <w:r w:rsidRPr="00DD186A">
              <w:rPr>
                <w:rFonts w:ascii="Book Antiqua" w:hAnsi="Book Antiqua"/>
                <w:b/>
                <w:bCs/>
                <w:sz w:val="24"/>
                <w:szCs w:val="24"/>
              </w:rPr>
              <w:fldChar w:fldCharType="separate"/>
            </w:r>
            <w:r w:rsidR="00FB2439">
              <w:rPr>
                <w:rFonts w:ascii="Book Antiqua" w:hAnsi="Book Antiqua"/>
                <w:b/>
                <w:bCs/>
                <w:noProof/>
                <w:sz w:val="24"/>
                <w:szCs w:val="24"/>
              </w:rPr>
              <w:t>32</w:t>
            </w:r>
            <w:r w:rsidRPr="00DD186A">
              <w:rPr>
                <w:rFonts w:ascii="Book Antiqua" w:hAnsi="Book Antiqua"/>
                <w:b/>
                <w:bCs/>
                <w:sz w:val="24"/>
                <w:szCs w:val="24"/>
              </w:rPr>
              <w:fldChar w:fldCharType="end"/>
            </w:r>
          </w:p>
        </w:sdtContent>
      </w:sdt>
    </w:sdtContent>
  </w:sdt>
  <w:p w14:paraId="7E4B2CB3" w14:textId="77777777" w:rsidR="00DD186A" w:rsidRDefault="00DD18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04E5A" w14:textId="77777777" w:rsidR="00082490" w:rsidRDefault="00082490" w:rsidP="007945BE">
      <w:r>
        <w:separator/>
      </w:r>
    </w:p>
  </w:footnote>
  <w:footnote w:type="continuationSeparator" w:id="0">
    <w:p w14:paraId="23195D51" w14:textId="77777777" w:rsidR="00082490" w:rsidRDefault="00082490" w:rsidP="007945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4D357" w14:textId="77777777" w:rsidR="007945BE" w:rsidRDefault="007945BE" w:rsidP="007945BE">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3C2CF" w14:textId="77777777" w:rsidR="007945BE" w:rsidRDefault="007945BE" w:rsidP="007945BE">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BBE"/>
    <w:rsid w:val="00055D6F"/>
    <w:rsid w:val="00082490"/>
    <w:rsid w:val="002B4955"/>
    <w:rsid w:val="002C7B65"/>
    <w:rsid w:val="00314711"/>
    <w:rsid w:val="00353AE1"/>
    <w:rsid w:val="00371F3F"/>
    <w:rsid w:val="003865E3"/>
    <w:rsid w:val="0057313D"/>
    <w:rsid w:val="006140AD"/>
    <w:rsid w:val="00782FA3"/>
    <w:rsid w:val="007830F1"/>
    <w:rsid w:val="007945BE"/>
    <w:rsid w:val="00813BB0"/>
    <w:rsid w:val="00862416"/>
    <w:rsid w:val="00897BF5"/>
    <w:rsid w:val="008F52FF"/>
    <w:rsid w:val="00902308"/>
    <w:rsid w:val="009D118C"/>
    <w:rsid w:val="00A77B3E"/>
    <w:rsid w:val="00B31153"/>
    <w:rsid w:val="00B5634C"/>
    <w:rsid w:val="00BA0985"/>
    <w:rsid w:val="00C0450A"/>
    <w:rsid w:val="00CA2A55"/>
    <w:rsid w:val="00CD3612"/>
    <w:rsid w:val="00D0221A"/>
    <w:rsid w:val="00D24B54"/>
    <w:rsid w:val="00D6341D"/>
    <w:rsid w:val="00D843D9"/>
    <w:rsid w:val="00DD186A"/>
    <w:rsid w:val="00F82CED"/>
    <w:rsid w:val="00FB2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9017F"/>
  <w15:docId w15:val="{34870634-6B7E-4330-8FAA-8B54F09D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945BE"/>
    <w:rPr>
      <w:sz w:val="18"/>
      <w:szCs w:val="18"/>
    </w:rPr>
  </w:style>
  <w:style w:type="character" w:customStyle="1" w:styleId="Char">
    <w:name w:val="批注框文本 Char"/>
    <w:basedOn w:val="a0"/>
    <w:link w:val="a3"/>
    <w:rsid w:val="007945BE"/>
    <w:rPr>
      <w:sz w:val="18"/>
      <w:szCs w:val="18"/>
    </w:rPr>
  </w:style>
  <w:style w:type="paragraph" w:styleId="a4">
    <w:name w:val="header"/>
    <w:basedOn w:val="a"/>
    <w:link w:val="Char0"/>
    <w:rsid w:val="007945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945BE"/>
    <w:rPr>
      <w:sz w:val="18"/>
      <w:szCs w:val="18"/>
    </w:rPr>
  </w:style>
  <w:style w:type="paragraph" w:styleId="a5">
    <w:name w:val="footer"/>
    <w:basedOn w:val="a"/>
    <w:link w:val="Char1"/>
    <w:uiPriority w:val="99"/>
    <w:rsid w:val="007945BE"/>
    <w:pPr>
      <w:tabs>
        <w:tab w:val="center" w:pos="4153"/>
        <w:tab w:val="right" w:pos="8306"/>
      </w:tabs>
      <w:snapToGrid w:val="0"/>
    </w:pPr>
    <w:rPr>
      <w:sz w:val="18"/>
      <w:szCs w:val="18"/>
    </w:rPr>
  </w:style>
  <w:style w:type="character" w:customStyle="1" w:styleId="Char1">
    <w:name w:val="页脚 Char"/>
    <w:basedOn w:val="a0"/>
    <w:link w:val="a5"/>
    <w:uiPriority w:val="99"/>
    <w:rsid w:val="007945BE"/>
    <w:rPr>
      <w:sz w:val="18"/>
      <w:szCs w:val="18"/>
    </w:rPr>
  </w:style>
  <w:style w:type="paragraph" w:styleId="a6">
    <w:name w:val="Normal (Web)"/>
    <w:basedOn w:val="a"/>
    <w:uiPriority w:val="99"/>
    <w:unhideWhenUsed/>
    <w:rsid w:val="00897BF5"/>
    <w:pPr>
      <w:spacing w:before="100" w:beforeAutospacing="1" w:after="100" w:afterAutospacing="1"/>
    </w:pPr>
    <w:rPr>
      <w:rFonts w:eastAsia="Times New Roman"/>
    </w:rPr>
  </w:style>
  <w:style w:type="table" w:customStyle="1" w:styleId="PlainTable41">
    <w:name w:val="Plain Table 41"/>
    <w:basedOn w:val="a1"/>
    <w:uiPriority w:val="44"/>
    <w:rsid w:val="00897BF5"/>
    <w:rPr>
      <w:rFonts w:asciiTheme="minorHAnsi"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Revision"/>
    <w:hidden/>
    <w:uiPriority w:val="99"/>
    <w:semiHidden/>
    <w:rsid w:val="008F52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32</Pages>
  <Words>7272</Words>
  <Characters>41452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Yang,Dennis J</dc:creator>
  <cp:lastModifiedBy>Admin</cp:lastModifiedBy>
  <cp:revision>22</cp:revision>
  <dcterms:created xsi:type="dcterms:W3CDTF">2021-06-18T12:41:00Z</dcterms:created>
  <dcterms:modified xsi:type="dcterms:W3CDTF">2021-06-23T05:42:00Z</dcterms:modified>
</cp:coreProperties>
</file>