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C1BE9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6FBA5317"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64015</w:t>
      </w:r>
    </w:p>
    <w:p w14:paraId="5A129330"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15A57FC4" w14:textId="77777777" w:rsidR="00A77B3E" w:rsidRDefault="00A77B3E" w:rsidP="003D4BF7">
      <w:pPr>
        <w:adjustRightInd w:val="0"/>
        <w:spacing w:line="360" w:lineRule="auto"/>
        <w:jc w:val="both"/>
      </w:pPr>
    </w:p>
    <w:p w14:paraId="09234831" w14:textId="77777777" w:rsidR="00A77B3E" w:rsidRDefault="00CD1199" w:rsidP="003D4BF7">
      <w:pPr>
        <w:adjustRightInd w:val="0"/>
        <w:spacing w:line="360" w:lineRule="auto"/>
        <w:jc w:val="both"/>
      </w:pPr>
      <w:bookmarkStart w:id="0" w:name="OLE_LINK1"/>
      <w:bookmarkStart w:id="1" w:name="OLE_LINK2"/>
      <w:bookmarkStart w:id="2" w:name="OLE_LINK3"/>
      <w:r>
        <w:rPr>
          <w:rFonts w:ascii="Book Antiqua" w:eastAsia="Book Antiqua" w:hAnsi="Book Antiqua" w:cs="Book Antiqua"/>
          <w:b/>
          <w:bCs/>
          <w:color w:val="000000"/>
        </w:rPr>
        <w:t>Drug-induced gingival overgrowth in cardiovascular patients</w:t>
      </w:r>
    </w:p>
    <w:bookmarkEnd w:id="0"/>
    <w:bookmarkEnd w:id="1"/>
    <w:bookmarkEnd w:id="2"/>
    <w:p w14:paraId="299525F1" w14:textId="77777777" w:rsidR="00A77B3E" w:rsidRDefault="00A77B3E" w:rsidP="003D4BF7">
      <w:pPr>
        <w:adjustRightInd w:val="0"/>
        <w:spacing w:line="360" w:lineRule="auto"/>
        <w:jc w:val="both"/>
      </w:pPr>
    </w:p>
    <w:p w14:paraId="59DD537C" w14:textId="16B2748E" w:rsidR="00A77B3E" w:rsidRDefault="00A35668" w:rsidP="003D4BF7">
      <w:pPr>
        <w:adjustRightInd w:val="0"/>
        <w:spacing w:line="360" w:lineRule="auto"/>
        <w:jc w:val="both"/>
      </w:pPr>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L </w:t>
      </w:r>
      <w:r w:rsidRPr="00A3566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CD1199">
        <w:rPr>
          <w:rFonts w:ascii="Book Antiqua" w:eastAsia="Book Antiqua" w:hAnsi="Book Antiqua" w:cs="Book Antiqua"/>
          <w:color w:val="000000"/>
        </w:rPr>
        <w:t>DIGO in cardiovascular patients</w:t>
      </w:r>
    </w:p>
    <w:p w14:paraId="1AD89A16" w14:textId="77777777" w:rsidR="00A77B3E" w:rsidRDefault="00A77B3E" w:rsidP="003D4BF7">
      <w:pPr>
        <w:adjustRightInd w:val="0"/>
        <w:spacing w:line="360" w:lineRule="auto"/>
        <w:jc w:val="both"/>
      </w:pPr>
    </w:p>
    <w:p w14:paraId="029BEFE6" w14:textId="4D051C6E" w:rsidR="00A77B3E" w:rsidRDefault="00CD1199" w:rsidP="003D4BF7">
      <w:pPr>
        <w:adjustRightInd w:val="0"/>
        <w:spacing w:line="360" w:lineRule="auto"/>
        <w:jc w:val="both"/>
      </w:pPr>
      <w:proofErr w:type="spellStart"/>
      <w:r>
        <w:rPr>
          <w:rFonts w:ascii="Book Antiqua" w:eastAsia="Book Antiqua" w:hAnsi="Book Antiqua" w:cs="Book Antiqua"/>
          <w:color w:val="000000"/>
        </w:rPr>
        <w:t>Lucija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Robert </w:t>
      </w:r>
      <w:proofErr w:type="spellStart"/>
      <w:r w:rsidR="00A35668">
        <w:rPr>
          <w:rFonts w:ascii="Book Antiqua" w:eastAsia="Book Antiqua" w:hAnsi="Book Antiqua" w:cs="Book Antiqua"/>
          <w:color w:val="000000"/>
        </w:rPr>
        <w:t>Liki</w:t>
      </w:r>
      <w:r w:rsidR="005E03A9">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Ivan </w:t>
      </w:r>
      <w:proofErr w:type="spellStart"/>
      <w:r>
        <w:rPr>
          <w:rFonts w:ascii="Book Antiqua" w:eastAsia="Book Antiqua" w:hAnsi="Book Antiqua" w:cs="Book Antiqua"/>
          <w:color w:val="000000"/>
        </w:rPr>
        <w:t>Alajbeg</w:t>
      </w:r>
      <w:proofErr w:type="spellEnd"/>
    </w:p>
    <w:p w14:paraId="334EFCFC" w14:textId="77777777" w:rsidR="00A77B3E" w:rsidRDefault="00A77B3E" w:rsidP="003D4BF7">
      <w:pPr>
        <w:adjustRightInd w:val="0"/>
        <w:spacing w:line="360" w:lineRule="auto"/>
        <w:jc w:val="both"/>
      </w:pPr>
    </w:p>
    <w:p w14:paraId="784C0C63" w14:textId="58207CA1" w:rsidR="00A77B3E" w:rsidRDefault="00CD1199" w:rsidP="003D4BF7">
      <w:pPr>
        <w:adjustRightInd w:val="0"/>
        <w:spacing w:line="360" w:lineRule="auto"/>
        <w:jc w:val="both"/>
      </w:pPr>
      <w:proofErr w:type="spellStart"/>
      <w:r>
        <w:rPr>
          <w:rFonts w:ascii="Book Antiqua" w:eastAsia="Book Antiqua" w:hAnsi="Book Antiqua" w:cs="Book Antiqua"/>
          <w:b/>
          <w:bCs/>
          <w:color w:val="000000"/>
        </w:rPr>
        <w:t>Lucija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Bajkovec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Institute of Emergency Medicine of </w:t>
      </w:r>
      <w:proofErr w:type="spellStart"/>
      <w:r>
        <w:rPr>
          <w:rFonts w:ascii="Book Antiqua" w:eastAsia="Book Antiqua" w:hAnsi="Book Antiqua" w:cs="Book Antiqua"/>
          <w:color w:val="000000"/>
        </w:rPr>
        <w:t>Me</w:t>
      </w:r>
      <w:r w:rsidR="005E03A9">
        <w:rPr>
          <w:rFonts w:ascii="Book Antiqua" w:eastAsia="Book Antiqua" w:hAnsi="Book Antiqua" w:cs="Book Antiqua"/>
          <w:color w:val="000000"/>
        </w:rPr>
        <w:t>d</w:t>
      </w:r>
      <w:r>
        <w:rPr>
          <w:rFonts w:ascii="Book Antiqua" w:eastAsia="Book Antiqua" w:hAnsi="Book Antiqua" w:cs="Book Antiqua"/>
          <w:color w:val="000000"/>
        </w:rPr>
        <w:t>imurje</w:t>
      </w:r>
      <w:proofErr w:type="spellEnd"/>
      <w:r>
        <w:rPr>
          <w:rFonts w:ascii="Book Antiqua" w:eastAsia="Book Antiqua" w:hAnsi="Book Antiqua" w:cs="Book Antiqua"/>
          <w:color w:val="000000"/>
        </w:rPr>
        <w:t xml:space="preserve"> County, Institute of Emergency Medicine of </w:t>
      </w:r>
      <w:proofErr w:type="spellStart"/>
      <w:r>
        <w:rPr>
          <w:rFonts w:ascii="Book Antiqua" w:eastAsia="Book Antiqua" w:hAnsi="Book Antiqua" w:cs="Book Antiqua"/>
          <w:color w:val="000000"/>
        </w:rPr>
        <w:t>Međimurje</w:t>
      </w:r>
      <w:proofErr w:type="spellEnd"/>
      <w:r>
        <w:rPr>
          <w:rFonts w:ascii="Book Antiqua" w:eastAsia="Book Antiqua" w:hAnsi="Book Antiqua" w:cs="Book Antiqua"/>
          <w:color w:val="000000"/>
        </w:rPr>
        <w:t xml:space="preserve"> County, </w:t>
      </w:r>
      <w:proofErr w:type="spellStart"/>
      <w:r>
        <w:rPr>
          <w:rFonts w:ascii="Book Antiqua" w:eastAsia="Book Antiqua" w:hAnsi="Book Antiqua" w:cs="Book Antiqua"/>
          <w:color w:val="000000"/>
        </w:rPr>
        <w:t>Cakovec</w:t>
      </w:r>
      <w:proofErr w:type="spellEnd"/>
      <w:r>
        <w:rPr>
          <w:rFonts w:ascii="Book Antiqua" w:eastAsia="Book Antiqua" w:hAnsi="Book Antiqua" w:cs="Book Antiqua"/>
          <w:color w:val="000000"/>
        </w:rPr>
        <w:t xml:space="preserve"> 40000, Croatia</w:t>
      </w:r>
    </w:p>
    <w:p w14:paraId="188435B1" w14:textId="77777777" w:rsidR="00A77B3E" w:rsidRDefault="00A77B3E" w:rsidP="003D4BF7">
      <w:pPr>
        <w:adjustRightInd w:val="0"/>
        <w:spacing w:line="360" w:lineRule="auto"/>
        <w:jc w:val="both"/>
      </w:pPr>
    </w:p>
    <w:p w14:paraId="230C875E"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Anna Mrzljak,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Zagreb 10000, Croatia</w:t>
      </w:r>
    </w:p>
    <w:p w14:paraId="32B1E03D" w14:textId="1E264419" w:rsidR="00A77B3E" w:rsidRDefault="00A77B3E" w:rsidP="003D4BF7">
      <w:pPr>
        <w:adjustRightInd w:val="0"/>
        <w:spacing w:line="360" w:lineRule="auto"/>
        <w:jc w:val="both"/>
      </w:pPr>
    </w:p>
    <w:p w14:paraId="096F4BD0" w14:textId="77777777" w:rsidR="00C051A8" w:rsidRDefault="00C051A8" w:rsidP="00C051A8">
      <w:pPr>
        <w:adjustRightInd w:val="0"/>
        <w:spacing w:line="360" w:lineRule="auto"/>
        <w:jc w:val="both"/>
        <w:rPr>
          <w:rFonts w:ascii="Book Antiqua" w:hAnsi="Book Antiqua"/>
        </w:rPr>
      </w:pPr>
      <w:r w:rsidRPr="00B76214">
        <w:rPr>
          <w:rFonts w:ascii="Book Antiqua" w:hAnsi="Book Antiqua"/>
          <w:b/>
          <w:bCs/>
        </w:rPr>
        <w:t xml:space="preserve">Anna </w:t>
      </w:r>
      <w:proofErr w:type="spellStart"/>
      <w:r w:rsidRPr="00B76214">
        <w:rPr>
          <w:rFonts w:ascii="Book Antiqua" w:hAnsi="Book Antiqua"/>
          <w:b/>
          <w:bCs/>
        </w:rPr>
        <w:t>Mrzljak</w:t>
      </w:r>
      <w:proofErr w:type="spellEnd"/>
      <w:r>
        <w:rPr>
          <w:rFonts w:ascii="Book Antiqua" w:hAnsi="Book Antiqua"/>
          <w:b/>
          <w:bCs/>
        </w:rPr>
        <w:t>,</w:t>
      </w:r>
      <w:r w:rsidRPr="00B76214">
        <w:rPr>
          <w:rFonts w:ascii="Book Antiqua" w:hAnsi="Book Antiqua"/>
          <w:b/>
          <w:bCs/>
        </w:rPr>
        <w:t xml:space="preserve"> </w:t>
      </w:r>
      <w:proofErr w:type="spellStart"/>
      <w:r w:rsidRPr="00B76214">
        <w:rPr>
          <w:rFonts w:ascii="Book Antiqua" w:hAnsi="Book Antiqua"/>
          <w:b/>
          <w:bCs/>
        </w:rPr>
        <w:t>Robet</w:t>
      </w:r>
      <w:proofErr w:type="spellEnd"/>
      <w:r w:rsidRPr="00B76214">
        <w:rPr>
          <w:rFonts w:ascii="Book Antiqua" w:hAnsi="Book Antiqua"/>
          <w:b/>
          <w:bCs/>
        </w:rPr>
        <w:t xml:space="preserve"> </w:t>
      </w:r>
      <w:proofErr w:type="spellStart"/>
      <w:r w:rsidRPr="00B76214">
        <w:rPr>
          <w:rFonts w:ascii="Book Antiqua" w:hAnsi="Book Antiqua"/>
          <w:b/>
          <w:bCs/>
        </w:rPr>
        <w:t>Likic</w:t>
      </w:r>
      <w:proofErr w:type="spellEnd"/>
      <w:r w:rsidRPr="00B76214">
        <w:rPr>
          <w:rFonts w:ascii="Book Antiqua" w:hAnsi="Book Antiqua"/>
          <w:b/>
          <w:bCs/>
        </w:rPr>
        <w:t>,</w:t>
      </w:r>
      <w:r>
        <w:rPr>
          <w:rFonts w:ascii="Book Antiqua" w:hAnsi="Book Antiqua"/>
        </w:rPr>
        <w:t xml:space="preserve"> School of Medicine, University of Zagreb, Zagreb 10000, Croatia</w:t>
      </w:r>
    </w:p>
    <w:p w14:paraId="3D0F279B" w14:textId="77777777" w:rsidR="00C051A8" w:rsidRDefault="00C051A8" w:rsidP="003D4BF7">
      <w:pPr>
        <w:adjustRightInd w:val="0"/>
        <w:spacing w:line="360" w:lineRule="auto"/>
        <w:jc w:val="both"/>
      </w:pPr>
    </w:p>
    <w:p w14:paraId="7570BB8C" w14:textId="63C6F560" w:rsidR="00A77B3E" w:rsidRDefault="00CD1199" w:rsidP="003D4BF7">
      <w:pPr>
        <w:adjustRightInd w:val="0"/>
        <w:spacing w:line="360" w:lineRule="auto"/>
        <w:jc w:val="both"/>
      </w:pPr>
      <w:r>
        <w:rPr>
          <w:rFonts w:ascii="Book Antiqua" w:eastAsia="Book Antiqua" w:hAnsi="Book Antiqua" w:cs="Book Antiqua"/>
          <w:b/>
          <w:bCs/>
          <w:color w:val="000000"/>
        </w:rPr>
        <w:t xml:space="preserve">Robert </w:t>
      </w:r>
      <w:proofErr w:type="spellStart"/>
      <w:r w:rsidR="00A35668" w:rsidRPr="00A35668">
        <w:rPr>
          <w:rFonts w:ascii="Book Antiqua" w:eastAsia="Book Antiqua" w:hAnsi="Book Antiqua" w:cs="Book Antiqua"/>
          <w:b/>
          <w:color w:val="000000"/>
        </w:rPr>
        <w:t>Liki</w:t>
      </w:r>
      <w:r w:rsidR="002C184C">
        <w:rPr>
          <w:rFonts w:ascii="Book Antiqua" w:eastAsia="Book Antiqua" w:hAnsi="Book Antiqua" w:cs="Book Antiqua"/>
          <w:b/>
          <w:color w:val="000000"/>
        </w:rPr>
        <w:t>c</w:t>
      </w:r>
      <w:proofErr w:type="spellEnd"/>
      <w:r w:rsidRPr="00A3566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5E03A9" w:rsidRPr="00B76214">
        <w:rPr>
          <w:rFonts w:ascii="Book Antiqua" w:eastAsia="Book Antiqua" w:hAnsi="Book Antiqua" w:cs="Book Antiqua"/>
          <w:color w:val="000000"/>
        </w:rPr>
        <w:t>Unit for Clinical Pharmacology and Therapeutics</w:t>
      </w:r>
      <w:r w:rsidR="005E03A9">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University Hospital Centre Zagreb, Zagreb 10000, Croatia</w:t>
      </w:r>
    </w:p>
    <w:p w14:paraId="224BF44D" w14:textId="77777777" w:rsidR="002C184C" w:rsidRPr="00B76214" w:rsidRDefault="002C184C" w:rsidP="003D4BF7">
      <w:pPr>
        <w:adjustRightInd w:val="0"/>
        <w:spacing w:line="360" w:lineRule="auto"/>
        <w:jc w:val="both"/>
        <w:rPr>
          <w:rFonts w:ascii="Book Antiqua" w:hAnsi="Book Antiqua"/>
        </w:rPr>
      </w:pPr>
    </w:p>
    <w:p w14:paraId="00D7F228"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Ivan </w:t>
      </w:r>
      <w:proofErr w:type="spellStart"/>
      <w:r>
        <w:rPr>
          <w:rFonts w:ascii="Book Antiqua" w:eastAsia="Book Antiqua" w:hAnsi="Book Antiqua" w:cs="Book Antiqua"/>
          <w:b/>
          <w:bCs/>
          <w:color w:val="000000"/>
        </w:rPr>
        <w:t>Alajbeg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Oral Medicine, University of Zagreb School of Dental Medicine and University Hospital Centre Zagreb, Zagreb 10000, Croatia</w:t>
      </w:r>
    </w:p>
    <w:p w14:paraId="7771AB97" w14:textId="77777777" w:rsidR="00A77B3E" w:rsidRDefault="00A77B3E" w:rsidP="003D4BF7">
      <w:pPr>
        <w:adjustRightInd w:val="0"/>
        <w:spacing w:line="360" w:lineRule="auto"/>
        <w:jc w:val="both"/>
      </w:pPr>
    </w:p>
    <w:p w14:paraId="5ED0AF80" w14:textId="10DA7AD0" w:rsidR="00A77B3E" w:rsidRDefault="00CD1199" w:rsidP="003D4BF7">
      <w:pPr>
        <w:adjustRightInd w:val="0"/>
        <w:spacing w:line="360" w:lineRule="auto"/>
        <w:jc w:val="both"/>
      </w:pPr>
      <w:r>
        <w:rPr>
          <w:rFonts w:ascii="Book Antiqua" w:eastAsia="Book Antiqua" w:hAnsi="Book Antiqua" w:cs="Book Antiqua"/>
          <w:b/>
          <w:bCs/>
          <w:color w:val="000000"/>
        </w:rPr>
        <w:t xml:space="preserve">Author contributions: </w:t>
      </w:r>
      <w:bookmarkStart w:id="3" w:name="OLE_LINK14"/>
      <w:bookmarkStart w:id="4" w:name="OLE_LINK15"/>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L made contributions to the conception and design of the study</w:t>
      </w:r>
      <w:r w:rsidR="002C184C">
        <w:rPr>
          <w:rFonts w:ascii="Book Antiqua" w:eastAsia="Book Antiqua" w:hAnsi="Book Antiqua" w:cs="Book Antiqua"/>
          <w:color w:val="000000"/>
        </w:rPr>
        <w:t xml:space="preserve">, </w:t>
      </w:r>
      <w:r>
        <w:rPr>
          <w:rFonts w:ascii="Book Antiqua" w:eastAsia="Book Antiqua" w:hAnsi="Book Antiqua" w:cs="Book Antiqua"/>
          <w:color w:val="000000"/>
        </w:rPr>
        <w:t>draft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and revis</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the manuscript critically;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Alajbeg</w:t>
      </w:r>
      <w:proofErr w:type="spellEnd"/>
      <w:r>
        <w:rPr>
          <w:rFonts w:ascii="Book Antiqua" w:eastAsia="Book Antiqua" w:hAnsi="Book Antiqua" w:cs="Book Antiqua"/>
          <w:color w:val="000000"/>
        </w:rPr>
        <w:t xml:space="preserve"> I and </w:t>
      </w:r>
      <w:bookmarkStart w:id="5" w:name="OLE_LINK7"/>
      <w:bookmarkStart w:id="6" w:name="OLE_LINK8"/>
      <w:proofErr w:type="spellStart"/>
      <w:r>
        <w:rPr>
          <w:rFonts w:ascii="Book Antiqua" w:eastAsia="Book Antiqua" w:hAnsi="Book Antiqua" w:cs="Book Antiqua"/>
          <w:color w:val="000000"/>
        </w:rPr>
        <w:t>Liki</w:t>
      </w:r>
      <w:r w:rsidR="002C184C">
        <w:rPr>
          <w:rFonts w:ascii="Book Antiqua" w:eastAsia="Book Antiqua" w:hAnsi="Book Antiqua" w:cs="Book Antiqua"/>
          <w:color w:val="000000"/>
        </w:rPr>
        <w:t>c</w:t>
      </w:r>
      <w:bookmarkEnd w:id="5"/>
      <w:bookmarkEnd w:id="6"/>
      <w:proofErr w:type="spellEnd"/>
      <w:r>
        <w:rPr>
          <w:rFonts w:ascii="Book Antiqua" w:eastAsia="Book Antiqua" w:hAnsi="Book Antiqua" w:cs="Book Antiqua"/>
          <w:color w:val="000000"/>
        </w:rPr>
        <w:t xml:space="preserve"> R</w:t>
      </w:r>
      <w:r w:rsidR="002C184C">
        <w:rPr>
          <w:rFonts w:ascii="Book Antiqua" w:eastAsia="Book Antiqua" w:hAnsi="Book Antiqua" w:cs="Book Antiqua"/>
          <w:color w:val="000000"/>
        </w:rPr>
        <w:t xml:space="preserve"> </w:t>
      </w:r>
      <w:r>
        <w:rPr>
          <w:rFonts w:ascii="Book Antiqua" w:eastAsia="Book Antiqua" w:hAnsi="Book Antiqua" w:cs="Book Antiqua"/>
          <w:color w:val="000000"/>
        </w:rPr>
        <w:t>collect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data, draft</w:t>
      </w:r>
      <w:r w:rsidR="002C184C">
        <w:rPr>
          <w:rFonts w:ascii="Book Antiqua" w:eastAsia="Book Antiqua" w:hAnsi="Book Antiqua" w:cs="Book Antiqua"/>
          <w:color w:val="000000"/>
        </w:rPr>
        <w:t>ed</w:t>
      </w:r>
      <w:r>
        <w:rPr>
          <w:rFonts w:ascii="Book Antiqua" w:eastAsia="Book Antiqua" w:hAnsi="Book Antiqua" w:cs="Book Antiqua"/>
          <w:color w:val="000000"/>
        </w:rPr>
        <w:t xml:space="preserve"> and wr</w:t>
      </w:r>
      <w:r w:rsidR="002C184C">
        <w:rPr>
          <w:rFonts w:ascii="Book Antiqua" w:eastAsia="Book Antiqua" w:hAnsi="Book Antiqua" w:cs="Book Antiqua"/>
          <w:color w:val="000000"/>
        </w:rPr>
        <w:t>ote</w:t>
      </w:r>
      <w:r>
        <w:rPr>
          <w:rFonts w:ascii="Book Antiqua" w:eastAsia="Book Antiqua" w:hAnsi="Book Antiqua" w:cs="Book Antiqua"/>
          <w:color w:val="000000"/>
        </w:rPr>
        <w:t xml:space="preserve"> the manuscript</w:t>
      </w:r>
      <w:r w:rsidR="00C051A8">
        <w:rPr>
          <w:rFonts w:ascii="Book Antiqua" w:eastAsia="Book Antiqua" w:hAnsi="Book Antiqua" w:cs="Book Antiqua"/>
          <w:color w:val="000000"/>
        </w:rPr>
        <w:t>;</w:t>
      </w:r>
      <w:r>
        <w:rPr>
          <w:rFonts w:ascii="Book Antiqua" w:eastAsia="Book Antiqua" w:hAnsi="Book Antiqua" w:cs="Book Antiqua"/>
          <w:color w:val="000000"/>
        </w:rPr>
        <w:t xml:space="preserve"> </w:t>
      </w:r>
      <w:r w:rsidR="00C051A8">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bookmarkEnd w:id="3"/>
    <w:bookmarkEnd w:id="4"/>
    <w:p w14:paraId="06E9993F" w14:textId="77777777" w:rsidR="00A77B3E" w:rsidRDefault="00A77B3E" w:rsidP="003D4BF7">
      <w:pPr>
        <w:adjustRightInd w:val="0"/>
        <w:spacing w:line="360" w:lineRule="auto"/>
        <w:jc w:val="both"/>
      </w:pPr>
    </w:p>
    <w:p w14:paraId="4AA8ADE6" w14:textId="77777777" w:rsidR="00A77B3E" w:rsidRDefault="00CD1199" w:rsidP="003D4BF7">
      <w:pPr>
        <w:adjustRightInd w:val="0"/>
        <w:spacing w:line="360" w:lineRule="auto"/>
        <w:jc w:val="both"/>
      </w:pPr>
      <w:r>
        <w:rPr>
          <w:rFonts w:ascii="Book Antiqua" w:eastAsia="Book Antiqua" w:hAnsi="Book Antiqua" w:cs="Book Antiqua"/>
          <w:b/>
          <w:bCs/>
          <w:color w:val="000000"/>
        </w:rPr>
        <w:lastRenderedPageBreak/>
        <w:t xml:space="preserve">Corresponding author: Anna Mrzljak, FEBG, PhD, Associate Professor,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w:t>
      </w:r>
      <w:proofErr w:type="spellStart"/>
      <w:r>
        <w:rPr>
          <w:rFonts w:ascii="Book Antiqua" w:eastAsia="Book Antiqua" w:hAnsi="Book Antiqua" w:cs="Book Antiqua"/>
          <w:color w:val="000000"/>
        </w:rPr>
        <w:t>Zajceva</w:t>
      </w:r>
      <w:proofErr w:type="spellEnd"/>
      <w:r>
        <w:rPr>
          <w:rFonts w:ascii="Book Antiqua" w:eastAsia="Book Antiqua" w:hAnsi="Book Antiqua" w:cs="Book Antiqua"/>
          <w:color w:val="000000"/>
        </w:rPr>
        <w:t xml:space="preserve"> 19, Zagreb 10000, Croatia. anna.mrzljak@gmail.com</w:t>
      </w:r>
    </w:p>
    <w:p w14:paraId="44242A3E" w14:textId="77777777" w:rsidR="00A77B3E" w:rsidRDefault="00A77B3E" w:rsidP="003D4BF7">
      <w:pPr>
        <w:adjustRightInd w:val="0"/>
        <w:spacing w:line="360" w:lineRule="auto"/>
        <w:jc w:val="both"/>
      </w:pPr>
    </w:p>
    <w:p w14:paraId="3A75769F"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7, 2021</w:t>
      </w:r>
    </w:p>
    <w:p w14:paraId="47549365"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1, 2021</w:t>
      </w:r>
    </w:p>
    <w:p w14:paraId="12A7572C" w14:textId="13B30DFC" w:rsidR="00A77B3E" w:rsidRDefault="00CD1199" w:rsidP="003D4BF7">
      <w:pPr>
        <w:adjustRightInd w:val="0"/>
        <w:spacing w:line="360" w:lineRule="auto"/>
        <w:jc w:val="both"/>
      </w:pPr>
      <w:r>
        <w:rPr>
          <w:rFonts w:ascii="Book Antiqua" w:eastAsia="Book Antiqua" w:hAnsi="Book Antiqua" w:cs="Book Antiqua"/>
          <w:b/>
          <w:bCs/>
          <w:color w:val="000000"/>
        </w:rPr>
        <w:t xml:space="preserve">Accepted: </w:t>
      </w:r>
      <w:r w:rsidR="00626609" w:rsidRPr="00626609">
        <w:rPr>
          <w:rFonts w:ascii="Book Antiqua" w:eastAsia="Book Antiqua" w:hAnsi="Book Antiqua" w:cs="Book Antiqua"/>
          <w:color w:val="000000"/>
        </w:rPr>
        <w:t>March 29, 2021</w:t>
      </w:r>
    </w:p>
    <w:p w14:paraId="38C7DF6B"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Published online: </w:t>
      </w:r>
    </w:p>
    <w:p w14:paraId="66D2DAB2" w14:textId="77777777" w:rsidR="00A77B3E" w:rsidRDefault="00A77B3E" w:rsidP="003D4BF7">
      <w:pPr>
        <w:adjustRightInd w:val="0"/>
        <w:spacing w:line="360" w:lineRule="auto"/>
        <w:jc w:val="both"/>
        <w:sectPr w:rsidR="00A77B3E" w:rsidSect="00E91088">
          <w:footerReference w:type="default" r:id="rId7"/>
          <w:pgSz w:w="12240" w:h="15840"/>
          <w:pgMar w:top="1440" w:right="1800" w:bottom="1440" w:left="1800" w:header="720" w:footer="720" w:gutter="0"/>
          <w:cols w:space="720"/>
          <w:docGrid w:linePitch="360"/>
        </w:sectPr>
      </w:pPr>
    </w:p>
    <w:p w14:paraId="421CBBCD" w14:textId="77777777" w:rsidR="00A77B3E" w:rsidRDefault="00CD1199" w:rsidP="003D4BF7">
      <w:pPr>
        <w:adjustRightInd w:val="0"/>
        <w:spacing w:line="360" w:lineRule="auto"/>
        <w:jc w:val="both"/>
      </w:pPr>
      <w:r>
        <w:rPr>
          <w:rFonts w:ascii="Book Antiqua" w:eastAsia="Book Antiqua" w:hAnsi="Book Antiqua" w:cs="Book Antiqua"/>
          <w:b/>
          <w:color w:val="000000"/>
        </w:rPr>
        <w:lastRenderedPageBreak/>
        <w:t>Abstract</w:t>
      </w:r>
    </w:p>
    <w:p w14:paraId="635D78D8" w14:textId="54D507DE" w:rsidR="00A77B3E" w:rsidRDefault="00CD1199" w:rsidP="003D4BF7">
      <w:pPr>
        <w:adjustRightInd w:val="0"/>
        <w:spacing w:line="360" w:lineRule="auto"/>
        <w:jc w:val="both"/>
      </w:pPr>
      <w:bookmarkStart w:id="7" w:name="OLE_LINK20"/>
      <w:bookmarkStart w:id="8" w:name="OLE_LINK21"/>
      <w:r>
        <w:rPr>
          <w:rFonts w:ascii="Book Antiqua" w:eastAsia="Book Antiqua" w:hAnsi="Book Antiqua" w:cs="Book Antiqua"/>
          <w:color w:val="000000"/>
        </w:rPr>
        <w:t>Drug-induced gingival overgrowth (DIGO) is a pathological growth of gingival tissue, primarily associated with calcium channel blockers and immunosuppressants. Consequently, it is mainly seen in cardiovascular and transplanted patients. Nifedipine remains the main calcium channel blocker related to the development of this unpleasant side-effect. As for immunosuppressants, cyclosporin is the leading causative agent, whereas other drugs from this drug-group, including tacrolimus, have better safety profiles. Accumulated collagen with inflammatory infiltrates is the histological hallmark of this condition. Several factors are involved in the pathogenesis and can increase the risk, such as male gender, younger age, pre-existing periodontal inflammation, and concomitant use of other DIGO-inducing medications. Patients with DIGO may experience severe discomfort, trouble with speech and mastication, pain, and teeth loss, aside from cosmetic implications. Furthermore, these patients also have an increased risk for cardiovascular diseases. The interdisciplinary approach and cooperation with dental care experts are necessary for patient management. Treatment includes discontinuing the drug and switching to one with a better profile, improving oral hygiene, and surgical removal of enlarged tissue. Recognizing the potential of commonly used medications to cause DIGO and its effect on patients' health is necessary for early detection and adequate management of this complication.</w:t>
      </w:r>
    </w:p>
    <w:bookmarkEnd w:id="7"/>
    <w:bookmarkEnd w:id="8"/>
    <w:p w14:paraId="13F1DA5A" w14:textId="77777777" w:rsidR="00A77B3E" w:rsidRDefault="00A77B3E" w:rsidP="003D4BF7">
      <w:pPr>
        <w:adjustRightInd w:val="0"/>
        <w:spacing w:line="360" w:lineRule="auto"/>
        <w:jc w:val="both"/>
      </w:pPr>
    </w:p>
    <w:p w14:paraId="4052670B" w14:textId="3C5F9887" w:rsidR="00A77B3E" w:rsidRDefault="00CD1199" w:rsidP="003D4BF7">
      <w:pPr>
        <w:adjustRightInd w:val="0"/>
        <w:spacing w:line="360" w:lineRule="auto"/>
        <w:jc w:val="both"/>
      </w:pPr>
      <w:r>
        <w:rPr>
          <w:rFonts w:ascii="Book Antiqua" w:eastAsia="Book Antiqua" w:hAnsi="Book Antiqua" w:cs="Book Antiqua"/>
          <w:b/>
          <w:bCs/>
          <w:color w:val="000000"/>
        </w:rPr>
        <w:t xml:space="preserve">Key Words: </w:t>
      </w:r>
      <w:bookmarkStart w:id="9" w:name="OLE_LINK16"/>
      <w:bookmarkStart w:id="10" w:name="OLE_LINK17"/>
      <w:r>
        <w:rPr>
          <w:rFonts w:ascii="Book Antiqua" w:eastAsia="Book Antiqua" w:hAnsi="Book Antiqua" w:cs="Book Antiqua"/>
          <w:color w:val="000000"/>
        </w:rPr>
        <w:t>Drug-induced gingival overgrowth; Calcium channel blocker; Nifedipine; Calcineurin inhibitor; Cyclosporin; Cardiovascular</w:t>
      </w:r>
    </w:p>
    <w:p w14:paraId="3447DB40" w14:textId="77777777" w:rsidR="00A77B3E" w:rsidRDefault="00A77B3E" w:rsidP="003D4BF7">
      <w:pPr>
        <w:adjustRightInd w:val="0"/>
        <w:spacing w:line="360" w:lineRule="auto"/>
        <w:jc w:val="both"/>
      </w:pPr>
    </w:p>
    <w:p w14:paraId="43B30050" w14:textId="7918D5AA" w:rsidR="00A77B3E" w:rsidRDefault="00CD1199" w:rsidP="003D4BF7">
      <w:pPr>
        <w:adjustRightInd w:val="0"/>
        <w:spacing w:line="360" w:lineRule="auto"/>
        <w:jc w:val="both"/>
      </w:pPr>
      <w:bookmarkStart w:id="11" w:name="OLE_LINK4"/>
      <w:bookmarkStart w:id="12" w:name="OLE_LINK13"/>
      <w:bookmarkEnd w:id="9"/>
      <w:bookmarkEnd w:id="10"/>
      <w:proofErr w:type="spellStart"/>
      <w:r>
        <w:rPr>
          <w:rFonts w:ascii="Book Antiqua" w:eastAsia="Book Antiqua" w:hAnsi="Book Antiqua" w:cs="Book Antiqua"/>
          <w:color w:val="000000"/>
        </w:rPr>
        <w:t>Bajkovec</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 </w:t>
      </w:r>
      <w:bookmarkStart w:id="13" w:name="OLE_LINK34"/>
      <w:bookmarkStart w:id="14" w:name="OLE_LINK35"/>
      <w:proofErr w:type="spellStart"/>
      <w:r w:rsidR="00205C83">
        <w:rPr>
          <w:rFonts w:ascii="Book Antiqua" w:eastAsia="Book Antiqua" w:hAnsi="Book Antiqua" w:cs="Book Antiqua"/>
          <w:color w:val="000000"/>
        </w:rPr>
        <w:t>Liki</w:t>
      </w:r>
      <w:r w:rsidR="002C184C">
        <w:rPr>
          <w:rFonts w:ascii="Book Antiqua" w:eastAsia="Book Antiqua" w:hAnsi="Book Antiqua" w:cs="Book Antiqua"/>
          <w:color w:val="000000"/>
        </w:rPr>
        <w:t>c</w:t>
      </w:r>
      <w:bookmarkEnd w:id="13"/>
      <w:bookmarkEnd w:id="14"/>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Alajbeg</w:t>
      </w:r>
      <w:proofErr w:type="spellEnd"/>
      <w:r>
        <w:rPr>
          <w:rFonts w:ascii="Book Antiqua" w:eastAsia="Book Antiqua" w:hAnsi="Book Antiqua" w:cs="Book Antiqua"/>
          <w:color w:val="000000"/>
        </w:rPr>
        <w:t xml:space="preserve"> I. Drug-induced gingival overgrowth in cardiovascular patients.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2021; In press</w:t>
      </w:r>
    </w:p>
    <w:bookmarkEnd w:id="11"/>
    <w:bookmarkEnd w:id="12"/>
    <w:p w14:paraId="451FE3A4" w14:textId="77777777" w:rsidR="00A77B3E" w:rsidRDefault="00A77B3E" w:rsidP="003D4BF7">
      <w:pPr>
        <w:adjustRightInd w:val="0"/>
        <w:spacing w:line="360" w:lineRule="auto"/>
        <w:jc w:val="both"/>
      </w:pPr>
    </w:p>
    <w:p w14:paraId="736CD79A" w14:textId="3A6B3EF2" w:rsidR="00A77B3E" w:rsidRDefault="00CD1199" w:rsidP="003D4BF7">
      <w:pPr>
        <w:adjustRightInd w:val="0"/>
        <w:spacing w:line="360" w:lineRule="auto"/>
        <w:jc w:val="both"/>
      </w:pPr>
      <w:r>
        <w:rPr>
          <w:rFonts w:ascii="Book Antiqua" w:eastAsia="Book Antiqua" w:hAnsi="Book Antiqua" w:cs="Book Antiqua"/>
          <w:b/>
          <w:bCs/>
          <w:color w:val="000000"/>
          <w:szCs w:val="22"/>
        </w:rPr>
        <w:t xml:space="preserve">Core Tip: </w:t>
      </w:r>
      <w:bookmarkStart w:id="15" w:name="OLE_LINK5"/>
      <w:bookmarkStart w:id="16" w:name="OLE_LINK6"/>
      <w:bookmarkStart w:id="17" w:name="OLE_LINK18"/>
      <w:bookmarkStart w:id="18" w:name="OLE_LINK19"/>
      <w:r>
        <w:rPr>
          <w:rFonts w:ascii="Book Antiqua" w:eastAsia="Book Antiqua" w:hAnsi="Book Antiqua" w:cs="Book Antiqua"/>
          <w:color w:val="000000"/>
        </w:rPr>
        <w:t xml:space="preserve">Drug-induced gingival overgrowth is a side-effect of the drugs such as calcium channel blockers and immunosuppressants, commonly used in </w:t>
      </w:r>
      <w:r>
        <w:rPr>
          <w:rFonts w:ascii="Book Antiqua" w:eastAsia="Book Antiqua" w:hAnsi="Book Antiqua" w:cs="Book Antiqua"/>
          <w:color w:val="000000"/>
        </w:rPr>
        <w:lastRenderedPageBreak/>
        <w:t>cardiovascular and transplanted patients. The condition is multifactorial and mainly depends on the potential of the used drug to cause gingival changes and the state of oral hygiene. Patients who develop drug-induced gingival overgrowth may experience severe discomfort and pain in addition to troubles with mastication, speech, and maintaining oral hygiene. Since it significantly reduces the quality of life, preventive and curative measures should be implemented as part of a care plan for patients at risk.</w:t>
      </w:r>
      <w:bookmarkEnd w:id="15"/>
      <w:bookmarkEnd w:id="16"/>
    </w:p>
    <w:bookmarkEnd w:id="17"/>
    <w:bookmarkEnd w:id="18"/>
    <w:p w14:paraId="319824A9" w14:textId="77777777" w:rsidR="00A77B3E" w:rsidRDefault="00A77B3E" w:rsidP="003D4BF7">
      <w:pPr>
        <w:adjustRightInd w:val="0"/>
        <w:spacing w:line="360" w:lineRule="auto"/>
        <w:jc w:val="both"/>
      </w:pPr>
    </w:p>
    <w:p w14:paraId="34C328A8" w14:textId="3F5AA3D4" w:rsidR="00A77B3E" w:rsidRDefault="00E938F4" w:rsidP="003D4BF7">
      <w:pPr>
        <w:adjustRightInd w:val="0"/>
        <w:spacing w:line="360" w:lineRule="auto"/>
        <w:jc w:val="both"/>
      </w:pPr>
      <w:r>
        <w:rPr>
          <w:rFonts w:ascii="Book Antiqua" w:eastAsia="Book Antiqua" w:hAnsi="Book Antiqua" w:cs="Book Antiqua"/>
          <w:b/>
          <w:caps/>
          <w:color w:val="000000"/>
          <w:u w:val="single"/>
        </w:rPr>
        <w:br w:type="page"/>
      </w:r>
      <w:r w:rsidR="00CD1199">
        <w:rPr>
          <w:rFonts w:ascii="Book Antiqua" w:eastAsia="Book Antiqua" w:hAnsi="Book Antiqua" w:cs="Book Antiqua"/>
          <w:b/>
          <w:caps/>
          <w:color w:val="000000"/>
          <w:u w:val="single"/>
        </w:rPr>
        <w:lastRenderedPageBreak/>
        <w:t>INTRODUCTION</w:t>
      </w:r>
    </w:p>
    <w:p w14:paraId="3DFB96E3" w14:textId="77777777" w:rsidR="00A77B3E" w:rsidRDefault="00CD1199" w:rsidP="003D4BF7">
      <w:pPr>
        <w:adjustRightInd w:val="0"/>
        <w:spacing w:line="360" w:lineRule="auto"/>
        <w:jc w:val="both"/>
      </w:pPr>
      <w:bookmarkStart w:id="19" w:name="OLE_LINK22"/>
      <w:bookmarkStart w:id="20" w:name="OLE_LINK23"/>
      <w:r>
        <w:rPr>
          <w:rFonts w:ascii="Book Antiqua" w:eastAsia="Book Antiqua" w:hAnsi="Book Antiqua" w:cs="Book Antiqua"/>
          <w:color w:val="000000"/>
        </w:rPr>
        <w:t xml:space="preserve">Drug-induced gingival overgrowth (DIGO) is a pathological growth of the gingiva characterized by the accumulation of connective tissue that primarily affects the anterior regions of the maxilla and </w:t>
      </w:r>
      <w:proofErr w:type="gramStart"/>
      <w:r>
        <w:rPr>
          <w:rFonts w:ascii="Book Antiqua" w:eastAsia="Book Antiqua" w:hAnsi="Book Antiqua" w:cs="Book Antiqua"/>
          <w:color w:val="000000"/>
        </w:rPr>
        <w:t>mandibula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first large DIGO case series was described in 1939, showing DIGO in 68 out of 119 patients treated by antiepileptic drug </w:t>
      </w:r>
      <w:proofErr w:type="gramStart"/>
      <w:r>
        <w:rPr>
          <w:rFonts w:ascii="Book Antiqua" w:eastAsia="Book Antiqua" w:hAnsi="Book Antiqua" w:cs="Book Antiqua"/>
          <w:color w:val="000000"/>
        </w:rPr>
        <w:t>phenytoin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w:t>
      </w:r>
    </w:p>
    <w:p w14:paraId="77D864D8" w14:textId="4DDD5231"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Since then, various medications showed to be associated with this side-</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Although more than 20 different drugs are now known to cause DIGO, it most frequently results from calcium channel blockers (CCBs) and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Antiepic drugs (</w:t>
      </w:r>
      <w:r>
        <w:rPr>
          <w:rFonts w:ascii="Book Antiqua" w:eastAsia="Book Antiqua" w:hAnsi="Book Antiqua" w:cs="Book Antiqua"/>
          <w:i/>
          <w:iCs/>
          <w:color w:val="000000"/>
        </w:rPr>
        <w:t>e.g</w:t>
      </w:r>
      <w:r w:rsidR="00205C83">
        <w:rPr>
          <w:rFonts w:ascii="Book Antiqua" w:eastAsia="Book Antiqua" w:hAnsi="Book Antiqua" w:cs="Book Antiqua"/>
          <w:i/>
          <w:iCs/>
          <w:color w:val="000000"/>
        </w:rPr>
        <w:t>.</w:t>
      </w:r>
      <w:r>
        <w:rPr>
          <w:rFonts w:ascii="Book Antiqua" w:eastAsia="Book Antiqua" w:hAnsi="Book Antiqua" w:cs="Book Antiqua"/>
          <w:color w:val="000000"/>
        </w:rPr>
        <w:t>, phenytoin, valproic acid, phenobarbital, vigabatrin) are recognized as a prominent group of medications causing DIGO, although</w:t>
      </w:r>
      <w:r w:rsidR="00A80438">
        <w:rPr>
          <w:rFonts w:ascii="Book Antiqua" w:eastAsia="Book Antiqua" w:hAnsi="Book Antiqua" w:cs="Book Antiqua"/>
          <w:color w:val="000000"/>
        </w:rPr>
        <w:t xml:space="preserve"> </w:t>
      </w:r>
      <w:r w:rsidR="00A80438" w:rsidRPr="00A80438">
        <w:rPr>
          <w:rFonts w:ascii="Book Antiqua" w:eastAsia="Book Antiqua" w:hAnsi="Book Antiqua" w:cs="Book Antiqua"/>
          <w:color w:val="000000"/>
        </w:rPr>
        <w:t xml:space="preserve">in recent years, cases of DIGO resulting from these drugs were less frequently </w:t>
      </w:r>
      <w:proofErr w:type="gramStart"/>
      <w:r w:rsidR="00A80438" w:rsidRPr="00A80438">
        <w:rPr>
          <w:rFonts w:ascii="Book Antiqua" w:eastAsia="Book Antiqua" w:hAnsi="Book Antiqua" w:cs="Book Antiqua"/>
          <w:color w:val="000000"/>
        </w:rPr>
        <w:t>reported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p>
    <w:p w14:paraId="43A19F44" w14:textId="77777777"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Cardiovascular and transplanted patients are at particular risk due to the extensive use of CCBs alone or in combination with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Significant variability among patients medicated with the same drugs is </w:t>
      </w:r>
      <w:proofErr w:type="gramStart"/>
      <w:r>
        <w:rPr>
          <w:rFonts w:ascii="Book Antiqua" w:eastAsia="Book Antiqua" w:hAnsi="Book Antiqua" w:cs="Book Antiqua"/>
          <w:color w:val="000000"/>
        </w:rPr>
        <w:t>observed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indicating the importance of additional risk factors involved in the pathogenesis. Genetic factors, male gender, bacterial plaque, and gingival inflammation are associated with increased DIGO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Aside from the cosmetic effect, which is the most apparent feature, patients who develop DIGO experience difficulty maintaining oral hygiene, pronunciation, and mastication. Simultaneously, the extensive disease can cause pain and loss of the teeth. As a result, quality of life is reduced </w:t>
      </w:r>
      <w:proofErr w:type="gramStart"/>
      <w:r>
        <w:rPr>
          <w:rFonts w:ascii="Book Antiqua" w:eastAsia="Book Antiqua" w:hAnsi="Book Antiqua" w:cs="Book Antiqua"/>
          <w:color w:val="000000"/>
        </w:rPr>
        <w:t>significantly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Since this side-effect is not rare in a group of cardiovascular patients, oral health needs to be emphasized and included as part of a care plan for patients treated with the drugs mentioned above.</w:t>
      </w:r>
    </w:p>
    <w:bookmarkEnd w:id="19"/>
    <w:bookmarkEnd w:id="20"/>
    <w:p w14:paraId="2A67C3A7" w14:textId="77777777" w:rsidR="00A77B3E" w:rsidRDefault="00A77B3E" w:rsidP="003D4BF7">
      <w:pPr>
        <w:adjustRightInd w:val="0"/>
        <w:spacing w:line="360" w:lineRule="auto"/>
        <w:jc w:val="both"/>
      </w:pPr>
    </w:p>
    <w:p w14:paraId="69C9B03D"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CLINICAL FEATURES AND PATHOGENESIS</w:t>
      </w:r>
    </w:p>
    <w:p w14:paraId="797AF471" w14:textId="37FDA06A" w:rsidR="00A77B3E" w:rsidRDefault="00CD1199" w:rsidP="003D4BF7">
      <w:pPr>
        <w:adjustRightInd w:val="0"/>
        <w:spacing w:line="360" w:lineRule="auto"/>
        <w:jc w:val="both"/>
      </w:pPr>
      <w:bookmarkStart w:id="21" w:name="OLE_LINK24"/>
      <w:bookmarkStart w:id="22" w:name="OLE_LINK25"/>
      <w:r>
        <w:rPr>
          <w:rFonts w:ascii="Book Antiqua" w:eastAsia="Book Antiqua" w:hAnsi="Book Antiqua" w:cs="Book Antiqua"/>
          <w:color w:val="000000"/>
        </w:rPr>
        <w:t xml:space="preserve">DIGO usually starts as painless enlargement of interdental papillae and progresses towards facial and lingual margins, covering the teeth crowns. Fully developed, it </w:t>
      </w:r>
      <w:r>
        <w:rPr>
          <w:rFonts w:ascii="Book Antiqua" w:eastAsia="Book Antiqua" w:hAnsi="Book Antiqua" w:cs="Book Antiqua"/>
          <w:color w:val="000000"/>
        </w:rPr>
        <w:lastRenderedPageBreak/>
        <w:t xml:space="preserve">forms generalized changes throughout the mouth, affecting the anterior gingiva the </w:t>
      </w:r>
      <w:proofErr w:type="gramStart"/>
      <w:r>
        <w:rPr>
          <w:rFonts w:ascii="Book Antiqua" w:eastAsia="Book Antiqua" w:hAnsi="Book Antiqua" w:cs="Book Antiqua"/>
          <w:color w:val="000000"/>
        </w:rPr>
        <w:t>most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although it can also occur as a localized lesion</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 possible explanation for the predominance of lesions in anterior regions could be higher exposure of anterior gingiva to the irritation resulting from </w:t>
      </w:r>
      <w:proofErr w:type="gramStart"/>
      <w:r>
        <w:rPr>
          <w:rFonts w:ascii="Book Antiqua" w:eastAsia="Book Antiqua" w:hAnsi="Book Antiqua" w:cs="Book Antiqua"/>
          <w:color w:val="000000"/>
        </w:rPr>
        <w:t>plaque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DIGO initially appears as pink, lobulated, and thickened gingival tissue without concomitant inflammation, with no tendency to </w:t>
      </w:r>
      <w:proofErr w:type="gramStart"/>
      <w:r>
        <w:rPr>
          <w:rFonts w:ascii="Book Antiqua" w:eastAsia="Book Antiqua" w:hAnsi="Book Antiqua" w:cs="Book Antiqua"/>
          <w:color w:val="000000"/>
        </w:rPr>
        <w:t>bleed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5,16]</w:t>
      </w:r>
      <w:r>
        <w:rPr>
          <w:rFonts w:ascii="Book Antiqua" w:eastAsia="Book Antiqua" w:hAnsi="Book Antiqua" w:cs="Book Antiqua"/>
          <w:color w:val="000000"/>
        </w:rPr>
        <w:t>. I</w:t>
      </w:r>
      <w:r w:rsidR="00A80438">
        <w:rPr>
          <w:rFonts w:ascii="Book Antiqua" w:eastAsia="Book Antiqua" w:hAnsi="Book Antiqua" w:cs="Book Antiqua"/>
          <w:color w:val="000000"/>
        </w:rPr>
        <w:t>n i</w:t>
      </w:r>
      <w:r>
        <w:rPr>
          <w:rFonts w:ascii="Book Antiqua" w:eastAsia="Book Antiqua" w:hAnsi="Book Antiqua" w:cs="Book Antiqua"/>
          <w:color w:val="000000"/>
        </w:rPr>
        <w:t xml:space="preserve">ts course </w:t>
      </w:r>
      <w:r w:rsidR="00A80438">
        <w:rPr>
          <w:rFonts w:ascii="Book Antiqua" w:eastAsia="Book Antiqua" w:hAnsi="Book Antiqua" w:cs="Book Antiqua"/>
          <w:color w:val="000000"/>
        </w:rPr>
        <w:t xml:space="preserve">it </w:t>
      </w:r>
      <w:r>
        <w:rPr>
          <w:rFonts w:ascii="Book Antiqua" w:eastAsia="Book Antiqua" w:hAnsi="Book Antiqua" w:cs="Book Antiqua"/>
          <w:color w:val="000000"/>
        </w:rPr>
        <w:t xml:space="preserve">becomes </w:t>
      </w:r>
      <w:bookmarkStart w:id="23" w:name="OLE_LINK2696"/>
      <w:bookmarkStart w:id="24" w:name="OLE_LINK2697"/>
      <w:proofErr w:type="spellStart"/>
      <w:r>
        <w:rPr>
          <w:rFonts w:ascii="Book Antiqua" w:eastAsia="Book Antiqua" w:hAnsi="Book Antiqua" w:cs="Book Antiqua"/>
          <w:color w:val="000000"/>
        </w:rPr>
        <w:t>inflammat</w:t>
      </w:r>
      <w:r w:rsidR="00A80438">
        <w:rPr>
          <w:rFonts w:ascii="Book Antiqua" w:eastAsia="Book Antiqua" w:hAnsi="Book Antiqua" w:cs="Book Antiqua"/>
          <w:color w:val="000000"/>
        </w:rPr>
        <w:t>ed</w:t>
      </w:r>
      <w:proofErr w:type="spellEnd"/>
      <w:r w:rsidR="00A80438">
        <w:rPr>
          <w:rFonts w:ascii="Book Antiqua" w:eastAsia="Book Antiqua" w:hAnsi="Book Antiqua" w:cs="Book Antiqua"/>
          <w:color w:val="000000"/>
        </w:rPr>
        <w:t xml:space="preserve"> </w:t>
      </w:r>
      <w:bookmarkEnd w:id="23"/>
      <w:bookmarkEnd w:id="24"/>
      <w:r w:rsidR="00A80438">
        <w:rPr>
          <w:rFonts w:ascii="Book Antiqua" w:eastAsia="Book Antiqua" w:hAnsi="Book Antiqua" w:cs="Book Antiqua"/>
          <w:color w:val="000000"/>
        </w:rPr>
        <w:t xml:space="preserve">with </w:t>
      </w:r>
      <w:r>
        <w:rPr>
          <w:rFonts w:ascii="Book Antiqua" w:eastAsia="Book Antiqua" w:hAnsi="Book Antiqua" w:cs="Book Antiqua"/>
          <w:color w:val="000000"/>
        </w:rPr>
        <w:t xml:space="preserve">red or bluish-red discolorations with increased </w:t>
      </w:r>
      <w:proofErr w:type="gramStart"/>
      <w:r>
        <w:rPr>
          <w:rFonts w:ascii="Book Antiqua" w:eastAsia="Book Antiqua" w:hAnsi="Book Antiqua" w:cs="Book Antiqua"/>
          <w:color w:val="000000"/>
        </w:rPr>
        <w:t>bleeding</w:t>
      </w:r>
      <w:r w:rsidR="00A80438">
        <w:rPr>
          <w:rFonts w:ascii="Book Antiqua" w:eastAsia="Book Antiqua" w:hAnsi="Book Antiqua" w:cs="Book Antiqua"/>
          <w:color w:val="000000"/>
        </w:rPr>
        <w: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As it progresses, it spreads both vertically and horizontally and affects mastication and </w:t>
      </w:r>
      <w:proofErr w:type="gramStart"/>
      <w:r>
        <w:rPr>
          <w:rFonts w:ascii="Book Antiqua" w:eastAsia="Book Antiqua" w:hAnsi="Book Antiqua" w:cs="Book Antiqua"/>
          <w:color w:val="000000"/>
        </w:rPr>
        <w:t>speech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7D007C8C" w14:textId="17FFDD66"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In advanced forms, enlarged gingiva may even interfere with the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Patients with DIGO have problems maintaining oral hygiene, which leads to susceptibility to infections and periodontal disease and may result in the loss of the </w:t>
      </w:r>
      <w:proofErr w:type="gramStart"/>
      <w:r>
        <w:rPr>
          <w:rFonts w:ascii="Book Antiqua" w:eastAsia="Book Antiqua" w:hAnsi="Book Antiqua" w:cs="Book Antiqua"/>
          <w:color w:val="000000"/>
        </w:rPr>
        <w:t>teeth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A weakened immune system predisposes to more severe periodontal disease and puts patients on immunosuppressants at additional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Furthermore, periodontitis may potentially carry a risk for cardiovascular diseases, including myocardial infarction, peripheral artery disease, stroke, and heart failure. In theory, possible mechanisms behind this association could be disseminati</w:t>
      </w:r>
      <w:r w:rsidR="00A80438">
        <w:rPr>
          <w:rFonts w:ascii="Book Antiqua" w:eastAsia="Book Antiqua" w:hAnsi="Book Antiqua" w:cs="Book Antiqua"/>
          <w:color w:val="000000"/>
        </w:rPr>
        <w:t>on of</w:t>
      </w:r>
      <w:r>
        <w:rPr>
          <w:rFonts w:ascii="Book Antiqua" w:eastAsia="Book Antiqua" w:hAnsi="Book Antiqua" w:cs="Book Antiqua"/>
          <w:color w:val="000000"/>
        </w:rPr>
        <w:t xml:space="preserve"> oral pathogens into the bloodstream and invasion of cardiovascular organs and tissues to induce inflammatory response on a local and systemic </w:t>
      </w:r>
      <w:proofErr w:type="gramStart"/>
      <w:r>
        <w:rPr>
          <w:rFonts w:ascii="Book Antiqua" w:eastAsia="Book Antiqua" w:hAnsi="Book Antiqua" w:cs="Book Antiqua"/>
          <w:color w:val="000000"/>
        </w:rPr>
        <w:t>level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Additionally, periodontitis is associated with endothelial dysfunction, an important factor in atherosclerosis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18,19]</w:t>
      </w:r>
      <w:r>
        <w:rPr>
          <w:rFonts w:ascii="Book Antiqua" w:eastAsia="Book Antiqua" w:hAnsi="Book Antiqua" w:cs="Book Antiqua"/>
          <w:color w:val="000000"/>
        </w:rPr>
        <w:t xml:space="preserve">. Aside from the functional impairment and cardiovascular risk, gingival changes also represent a significant esthetic problem for the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w:t>
      </w:r>
    </w:p>
    <w:p w14:paraId="16B6FD79" w14:textId="5309078D"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Etiopathology of DIGO is multifactorial and not fully </w:t>
      </w:r>
      <w:proofErr w:type="gramStart"/>
      <w:r>
        <w:rPr>
          <w:rFonts w:ascii="Book Antiqua" w:eastAsia="Book Antiqua" w:hAnsi="Book Antiqua" w:cs="Book Antiqua"/>
          <w:color w:val="000000"/>
        </w:rPr>
        <w:t>understood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2,20]</w:t>
      </w:r>
      <w:r>
        <w:rPr>
          <w:rFonts w:ascii="Book Antiqua" w:eastAsia="Book Antiqua" w:hAnsi="Book Antiqua" w:cs="Book Antiqua"/>
          <w:color w:val="000000"/>
        </w:rPr>
        <w:t xml:space="preserve">. Genetic factors (cytochrome P450, HLA, and MDR1 gene polymorphisms) influence the interindividual difference in gingival response to DIGO-inducing drugs and could have a role in identifying patients at </w:t>
      </w:r>
      <w:proofErr w:type="gramStart"/>
      <w:r>
        <w:rPr>
          <w:rFonts w:ascii="Book Antiqua" w:eastAsia="Book Antiqua" w:hAnsi="Book Antiqua" w:cs="Book Antiqua"/>
          <w:color w:val="000000"/>
        </w:rPr>
        <w:t>risk</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2,21,22]</w:t>
      </w:r>
      <w:r>
        <w:rPr>
          <w:rFonts w:ascii="Book Antiqua" w:eastAsia="Book Antiqua" w:hAnsi="Book Antiqua" w:cs="Book Antiqua"/>
          <w:color w:val="000000"/>
        </w:rPr>
        <w:t xml:space="preserve">. The main histological finding in DIGO is the accumulation of collagen in the gingiva's extracellular matrix, along with the infiltration of inflammatory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Most of the DIGO-inducing drugs act as inhibitors of calcium ion </w:t>
      </w:r>
      <w:proofErr w:type="gramStart"/>
      <w:r>
        <w:rPr>
          <w:rFonts w:ascii="Book Antiqua" w:eastAsia="Book Antiqua" w:hAnsi="Book Antiqua" w:cs="Book Antiqua"/>
          <w:color w:val="000000"/>
        </w:rPr>
        <w:t>influx</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An inhibited influx of cations into fibroblasts </w:t>
      </w:r>
      <w:r>
        <w:rPr>
          <w:rFonts w:ascii="Book Antiqua" w:eastAsia="Book Antiqua" w:hAnsi="Book Antiqua" w:cs="Book Antiqua"/>
          <w:color w:val="000000"/>
        </w:rPr>
        <w:lastRenderedPageBreak/>
        <w:t xml:space="preserve">causes a decrease in cation-dependent folic acid uptake. Folic acid is necessary for the proper function of matrix metalloproteinases, which activate collagenase. With no collagenase, there is no collagen breakdown, and it accumulates in connective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Furthermore, studies demonstrated a drug-induced increase in </w:t>
      </w:r>
      <w:proofErr w:type="gramStart"/>
      <w:r>
        <w:rPr>
          <w:rFonts w:ascii="Book Antiqua" w:eastAsia="Book Antiqua" w:hAnsi="Book Antiqua" w:cs="Book Antiqua"/>
          <w:color w:val="000000"/>
        </w:rPr>
        <w:t>glycosaminoglycans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and collagen</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xml:space="preserve"> production along with the proliferation of gingival fibroblasts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These changes are mainly mediated by inflammatory cytokines that are a part of an inflammatory response to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Inflammatory infiltrates found in the gingiva mainly consist of plasma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Periodontal status is a significant predictor of DIGO, as bacterial plaque induces inflammation. A significant correlation was found between bacterial plaque and a higher risk for DIGO in patients treated with CCBs or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1,15,27]</w:t>
      </w:r>
      <w:r>
        <w:rPr>
          <w:rFonts w:ascii="Book Antiqua" w:eastAsia="Book Antiqua" w:hAnsi="Book Antiqua" w:cs="Book Antiqua"/>
          <w:color w:val="000000"/>
        </w:rPr>
        <w:t>. In gingival tissue of patients with CCBs</w:t>
      </w:r>
      <w:r w:rsidR="00A80438">
        <w:rPr>
          <w:rFonts w:ascii="Book Antiqua" w:eastAsia="Book Antiqua" w:hAnsi="Book Antiqua" w:cs="Book Antiqua"/>
          <w:color w:val="000000"/>
        </w:rPr>
        <w:t>-</w:t>
      </w:r>
      <w:r>
        <w:rPr>
          <w:rFonts w:ascii="Book Antiqua" w:eastAsia="Book Antiqua" w:hAnsi="Book Antiqua" w:cs="Book Antiqua"/>
          <w:color w:val="000000"/>
        </w:rPr>
        <w:t>associated DIGO, higher expression of androgen receptors accompanied with higher levels of type I collagen were detected, implying androgens' role in its pathogenesis</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w:t>
      </w:r>
    </w:p>
    <w:bookmarkEnd w:id="21"/>
    <w:bookmarkEnd w:id="22"/>
    <w:p w14:paraId="0526D31E" w14:textId="77777777" w:rsidR="00A77B3E" w:rsidRDefault="00A77B3E" w:rsidP="003D4BF7">
      <w:pPr>
        <w:adjustRightInd w:val="0"/>
        <w:spacing w:line="360" w:lineRule="auto"/>
        <w:jc w:val="both"/>
      </w:pPr>
    </w:p>
    <w:p w14:paraId="3D7DD64D"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DIGO-INDUCING DRUGS</w:t>
      </w:r>
    </w:p>
    <w:p w14:paraId="1F932EDA" w14:textId="223C5181" w:rsidR="00A77B3E" w:rsidRDefault="00CD1199" w:rsidP="003D4BF7">
      <w:pPr>
        <w:adjustRightInd w:val="0"/>
        <w:spacing w:line="360" w:lineRule="auto"/>
        <w:jc w:val="both"/>
      </w:pPr>
      <w:r>
        <w:rPr>
          <w:rFonts w:ascii="Book Antiqua" w:eastAsia="Book Antiqua" w:hAnsi="Book Antiqua" w:cs="Book Antiqua"/>
          <w:color w:val="000000"/>
        </w:rPr>
        <w:t xml:space="preserve">The first CCB-DIGO cases date from the early 80-ties, primarily associated with </w:t>
      </w:r>
      <w:proofErr w:type="gramStart"/>
      <w:r>
        <w:rPr>
          <w:rFonts w:ascii="Book Antiqua" w:eastAsia="Book Antiqua" w:hAnsi="Book Antiqua" w:cs="Book Antiqua"/>
          <w:color w:val="000000"/>
        </w:rPr>
        <w:t>nifedipine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and later with the use of other CCBs such as verapamil, diltiazem, amlodipine, and felodipine</w:t>
      </w:r>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xml:space="preserve">. Early studies demonstrated the highest prevalence in patients on nifedipine (6.3%), which remains to date the leading cause of DIGO in this drug group. Other CCBs, such as amlodipine (1.7%) and diltiazem (2.2%), have a lower potential to cause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 various prevalence of DIGO among different CCBs may be a consequence of pharmacokinetic characteristics, as nifedipine is more lipophilic, so it passes through cell membranes more quickly and has a half-life which allows it to reach peak levels in the plasma needed for the initiation of gingival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However, the prevalence of DIGO caused by CCBs varies in various studies, as for CCBs in general, it ranges between 10%-20</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It amounts from 15% to 85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33,34]</w:t>
      </w:r>
      <w:r>
        <w:rPr>
          <w:rFonts w:ascii="Book Antiqua" w:eastAsia="Book Antiqua" w:hAnsi="Book Antiqua" w:cs="Book Antiqua"/>
          <w:color w:val="000000"/>
        </w:rPr>
        <w:t xml:space="preserve">, for nifedipine, meaning that there are additional influencing factors. Male gender, drug dosage, smoking, periodontal status, previous myocardial infarction, and concomitant use of diuretics or </w:t>
      </w:r>
      <w:r>
        <w:rPr>
          <w:rFonts w:ascii="Book Antiqua" w:eastAsia="Book Antiqua" w:hAnsi="Book Antiqua" w:cs="Book Antiqua"/>
          <w:color w:val="000000"/>
        </w:rPr>
        <w:lastRenderedPageBreak/>
        <w:t xml:space="preserve">antiepileptic drugs increase the risk of developing DIGO in CCBs </w:t>
      </w:r>
      <w:proofErr w:type="gramStart"/>
      <w:r>
        <w:rPr>
          <w:rFonts w:ascii="Book Antiqua" w:eastAsia="Book Antiqua" w:hAnsi="Book Antiqua" w:cs="Book Antiqua"/>
          <w:color w:val="000000"/>
        </w:rPr>
        <w:t>users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12,31,35]</w:t>
      </w:r>
      <w:r>
        <w:rPr>
          <w:rFonts w:ascii="Book Antiqua" w:eastAsia="Book Antiqua" w:hAnsi="Book Antiqua" w:cs="Book Antiqua"/>
          <w:color w:val="000000"/>
        </w:rPr>
        <w:t xml:space="preserve">. However, drug dosage depends mostly on pharmacokinetics and pharmacodynamics and is thought to be an unreliable </w:t>
      </w:r>
      <w:proofErr w:type="gramStart"/>
      <w:r>
        <w:rPr>
          <w:rFonts w:ascii="Book Antiqua" w:eastAsia="Book Antiqua" w:hAnsi="Book Antiqua" w:cs="Book Antiqua"/>
          <w:color w:val="000000"/>
        </w:rPr>
        <w:t>predictor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The majority of cases develop in the first six months of therapy, with the greatest occurrence in the first month, whereas the incidence decreases with long-term </w:t>
      </w:r>
      <w:proofErr w:type="gramStart"/>
      <w:r>
        <w:rPr>
          <w:rFonts w:ascii="Book Antiqua" w:eastAsia="Book Antiqua" w:hAnsi="Book Antiqua" w:cs="Book Antiqua"/>
          <w:color w:val="000000"/>
        </w:rPr>
        <w:t>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On the other hand, the study of </w:t>
      </w:r>
      <w:proofErr w:type="spellStart"/>
      <w:r>
        <w:rPr>
          <w:rFonts w:ascii="Book Antiqua" w:eastAsia="Book Antiqua" w:hAnsi="Book Antiqua" w:cs="Book Antiqua"/>
          <w:color w:val="000000"/>
        </w:rPr>
        <w:t>Hatahira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0126F">
        <w:rPr>
          <w:rFonts w:ascii="Book Antiqua" w:eastAsia="Book Antiqua" w:hAnsi="Book Antiqua" w:cs="Book Antiqua"/>
          <w:color w:val="000000"/>
          <w:szCs w:val="20"/>
          <w:vertAlign w:val="superscript"/>
        </w:rPr>
        <w:t>[</w:t>
      </w:r>
      <w:proofErr w:type="gramEnd"/>
      <w:r w:rsidR="0080126F">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detected a median time to onset of 262 d, so long-term monitoring is still needed for patients who will develop the changes later. DIGO occurs less often using other antihypertensive drugs, such as angiotensin receptor blockers, angiotensin-converting enzyme inhibitors, and beta-</w:t>
      </w:r>
      <w:proofErr w:type="gramStart"/>
      <w:r>
        <w:rPr>
          <w:rFonts w:ascii="Book Antiqua" w:eastAsia="Book Antiqua" w:hAnsi="Book Antiqua" w:cs="Book Antiqua"/>
          <w:color w:val="000000"/>
        </w:rPr>
        <w:t>blockers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3,37]</w:t>
      </w:r>
      <w:r>
        <w:rPr>
          <w:rFonts w:ascii="Book Antiqua" w:eastAsia="Book Antiqua" w:hAnsi="Book Antiqua" w:cs="Book Antiqua"/>
          <w:color w:val="000000"/>
        </w:rPr>
        <w:t>. Therefore, in patients at risk for developing DIGO or those who already did, switching to CCBs with better safety profiles or other antihypertensive drugs is a treatment option.</w:t>
      </w:r>
    </w:p>
    <w:p w14:paraId="6C7923BB" w14:textId="26DE8120" w:rsidR="00A77B3E" w:rsidRDefault="00CD1199" w:rsidP="00205C83">
      <w:pPr>
        <w:adjustRightInd w:val="0"/>
        <w:spacing w:line="360" w:lineRule="auto"/>
        <w:ind w:firstLineChars="100" w:firstLine="240"/>
        <w:jc w:val="both"/>
      </w:pPr>
      <w:r>
        <w:rPr>
          <w:rFonts w:ascii="Book Antiqua" w:eastAsia="Book Antiqua" w:hAnsi="Book Antiqua" w:cs="Book Antiqua"/>
          <w:color w:val="000000"/>
        </w:rPr>
        <w:t xml:space="preserve">Cyclosporin and tacrolimus, from the group of calcineurin inhibitors, are the leading cause of DIGO among immunosuppressive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Cyclosporin was the primary immunosuppressive drug in heart-transplant patients since 1980</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Many heart transplant recipients (8.3%</w:t>
      </w:r>
      <w:r w:rsidR="00C051A8">
        <w:rPr>
          <w:rFonts w:ascii="Book Antiqua" w:eastAsia="Book Antiqua" w:hAnsi="Book Antiqua" w:cs="Book Antiqua"/>
          <w:color w:val="000000"/>
        </w:rPr>
        <w:t>-</w:t>
      </w:r>
      <w:r>
        <w:rPr>
          <w:rFonts w:ascii="Book Antiqua" w:eastAsia="Book Antiqua" w:hAnsi="Book Antiqua" w:cs="Book Antiqua"/>
          <w:color w:val="000000"/>
        </w:rPr>
        <w:t xml:space="preserve">67%) develop gingival enlargement, most of whom are treated with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The role of cyclosporin as an inducing drug in DIGO development is well known and </w:t>
      </w:r>
      <w:proofErr w:type="gramStart"/>
      <w:r>
        <w:rPr>
          <w:rFonts w:ascii="Book Antiqua" w:eastAsia="Book Antiqua" w:hAnsi="Book Antiqua" w:cs="Book Antiqua"/>
          <w:color w:val="000000"/>
        </w:rPr>
        <w:t>recognized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41]</w:t>
      </w:r>
      <w:r>
        <w:rPr>
          <w:rFonts w:ascii="Book Antiqua" w:eastAsia="Book Antiqua" w:hAnsi="Book Antiqua" w:cs="Book Antiqua"/>
          <w:color w:val="000000"/>
        </w:rPr>
        <w:t xml:space="preserve">. Gingival changes in patients treated with cyclosporine show symmetry between mandibula and maxilla and within the jaw, while incisors and canines are affected the </w:t>
      </w:r>
      <w:proofErr w:type="gramStart"/>
      <w:r>
        <w:rPr>
          <w:rFonts w:ascii="Book Antiqua" w:eastAsia="Book Antiqua" w:hAnsi="Book Antiqua" w:cs="Book Antiqua"/>
          <w:color w:val="000000"/>
        </w:rPr>
        <w:t>most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According to the research of </w:t>
      </w:r>
      <w:proofErr w:type="spellStart"/>
      <w:r>
        <w:rPr>
          <w:rFonts w:ascii="Book Antiqua" w:eastAsia="Book Antiqua" w:hAnsi="Book Antiqua" w:cs="Book Antiqua"/>
          <w:color w:val="000000"/>
        </w:rPr>
        <w:t>Hatahira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70% of gingival overgrowth is attributed to cyclosporin. On the other hand, tacrolimus is another immunosuppressant often used as an alternative to cyclosporin in primary or rescue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It is 100 times more potent and tends to cause some side-effects common to other </w:t>
      </w:r>
      <w:proofErr w:type="gramStart"/>
      <w:r>
        <w:rPr>
          <w:rFonts w:ascii="Book Antiqua" w:eastAsia="Book Antiqua" w:hAnsi="Book Antiqua" w:cs="Book Antiqua"/>
          <w:color w:val="000000"/>
        </w:rPr>
        <w:t>immunosuppressants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27,42]</w:t>
      </w:r>
      <w:r>
        <w:rPr>
          <w:rFonts w:ascii="Book Antiqua" w:eastAsia="Book Antiqua" w:hAnsi="Book Antiqua" w:cs="Book Antiqua"/>
          <w:color w:val="000000"/>
        </w:rPr>
        <w:t xml:space="preserve">. However, it less often causes gingival overgrowth, and changes are less severe than those caused by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The prevalence of DIGO among tacrolimus treated patients is around 14</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27,43]</w:t>
      </w:r>
      <w:r>
        <w:rPr>
          <w:rFonts w:ascii="Book Antiqua" w:eastAsia="Book Antiqua" w:hAnsi="Book Antiqua" w:cs="Book Antiqua"/>
          <w:color w:val="000000"/>
        </w:rPr>
        <w:t xml:space="preserve">. DIGO can be detected as soon as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immunosuppressive therapy initiation, and the plateau phase is reached at 9-12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xml:space="preserve">. However, gingival changes resulting from tacrolimus use appear later compared to cyclosporin, as in various studies, </w:t>
      </w:r>
      <w:r>
        <w:rPr>
          <w:rFonts w:ascii="Book Antiqua" w:eastAsia="Book Antiqua" w:hAnsi="Book Antiqua" w:cs="Book Antiqua"/>
          <w:color w:val="000000"/>
        </w:rPr>
        <w:lastRenderedPageBreak/>
        <w:t xml:space="preserve">no changes were observed before 90 d of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38,45]</w:t>
      </w:r>
      <w:r>
        <w:rPr>
          <w:rFonts w:ascii="Book Antiqua" w:eastAsia="Book Antiqua" w:hAnsi="Book Antiqua" w:cs="Book Antiqua"/>
          <w:color w:val="000000"/>
        </w:rPr>
        <w:t xml:space="preserve">. Interestingly, immunosuppressants differ from other DIGO-inducing drugs since high inflammation levels and low fibrosis mostly mediate the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xml:space="preserve">. Some of the predisposing factors among cyclosporin users are male gender, gingivitis, bacterial plaque, and higher cyclosporine </w:t>
      </w:r>
      <w:proofErr w:type="gramStart"/>
      <w:r>
        <w:rPr>
          <w:rFonts w:ascii="Book Antiqua" w:eastAsia="Book Antiqua" w:hAnsi="Book Antiqua" w:cs="Book Antiqua"/>
          <w:color w:val="000000"/>
        </w:rPr>
        <w:t>concentrations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15,22]</w:t>
      </w:r>
      <w:r>
        <w:rPr>
          <w:rFonts w:ascii="Book Antiqua" w:eastAsia="Book Antiqua" w:hAnsi="Book Antiqua" w:cs="Book Antiqua"/>
          <w:color w:val="000000"/>
        </w:rPr>
        <w:t xml:space="preserve">. Furthermore, younger patients are more frequently affected by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and high rates have been reported among the group of pediatric heart-transplant patients treated with cyclosporin</w:t>
      </w:r>
      <w:r>
        <w:rPr>
          <w:rFonts w:ascii="Book Antiqua" w:eastAsia="Book Antiqua" w:hAnsi="Book Antiqua" w:cs="Book Antiqua"/>
          <w:color w:val="000000"/>
          <w:szCs w:val="20"/>
          <w:vertAlign w:val="superscript"/>
        </w:rPr>
        <w:t>[39,47,48]</w:t>
      </w:r>
      <w:r>
        <w:rPr>
          <w:rFonts w:ascii="Book Antiqua" w:eastAsia="Book Antiqua" w:hAnsi="Book Antiqua" w:cs="Book Antiqua"/>
          <w:color w:val="000000"/>
        </w:rPr>
        <w:t xml:space="preserve">. Younger age was also a risk factor for more severe changes in patients on </w:t>
      </w:r>
      <w:proofErr w:type="gramStart"/>
      <w:r>
        <w:rPr>
          <w:rFonts w:ascii="Book Antiqua" w:eastAsia="Book Antiqua" w:hAnsi="Book Antiqua" w:cs="Book Antiqua"/>
          <w:color w:val="000000"/>
        </w:rPr>
        <w:t>tacrolimus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Different therapeutic patterns and higher potential of fibroblasts to proliferate and produce collagen in a group of younger patients could be a possible </w:t>
      </w:r>
      <w:proofErr w:type="gramStart"/>
      <w:r>
        <w:rPr>
          <w:rFonts w:ascii="Book Antiqua" w:eastAsia="Book Antiqua" w:hAnsi="Book Antiqua" w:cs="Book Antiqua"/>
          <w:color w:val="000000"/>
        </w:rPr>
        <w:t>explanation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15,49]</w:t>
      </w:r>
      <w:r>
        <w:rPr>
          <w:rFonts w:ascii="Book Antiqua" w:eastAsia="Book Antiqua" w:hAnsi="Book Antiqua" w:cs="Book Antiqua"/>
          <w:color w:val="000000"/>
        </w:rPr>
        <w:t xml:space="preserve">. Additionally, a higher risk for DIGO in tacrolimus users was observed in patients with the worse periodontal state, those previously medicated with </w:t>
      </w:r>
      <w:proofErr w:type="gramStart"/>
      <w:r>
        <w:rPr>
          <w:rFonts w:ascii="Book Antiqua" w:eastAsia="Book Antiqua" w:hAnsi="Book Antiqua" w:cs="Book Antiqua"/>
          <w:color w:val="000000"/>
        </w:rPr>
        <w:t>cyclosporin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and a longer duration</w:t>
      </w:r>
      <w:r w:rsidR="00A80438">
        <w:rPr>
          <w:rFonts w:ascii="Book Antiqua" w:eastAsia="Book Antiqua" w:hAnsi="Book Antiqua" w:cs="Book Antiqua"/>
          <w:color w:val="000000"/>
        </w:rPr>
        <w:t xml:space="preserve"> of</w:t>
      </w:r>
      <w:r>
        <w:rPr>
          <w:rFonts w:ascii="Book Antiqua" w:eastAsia="Book Antiqua" w:hAnsi="Book Antiqua" w:cs="Book Antiqua"/>
          <w:color w:val="000000"/>
        </w:rPr>
        <w:t xml:space="preserve"> tacrolimus therapy</w:t>
      </w:r>
      <w:r>
        <w:rPr>
          <w:rFonts w:ascii="Book Antiqua" w:eastAsia="Book Antiqua" w:hAnsi="Book Antiqua" w:cs="Book Antiqua"/>
          <w:color w:val="000000"/>
          <w:szCs w:val="20"/>
          <w:vertAlign w:val="superscript"/>
        </w:rPr>
        <w:t>[50]</w:t>
      </w:r>
      <w:r>
        <w:rPr>
          <w:rFonts w:ascii="Book Antiqua" w:eastAsia="Book Antiqua" w:hAnsi="Book Antiqua" w:cs="Book Antiqua"/>
          <w:color w:val="000000"/>
        </w:rPr>
        <w:t xml:space="preserve">. The occurrence and severity of changes also depend on the concomitant use of other medications. Simultaneous use of cyclosporin and CCBs doubles the risk for DIGO, compared to using cyclosporin alone (51.9% </w:t>
      </w:r>
      <w:r>
        <w:rPr>
          <w:rFonts w:ascii="Book Antiqua" w:eastAsia="Book Antiqua" w:hAnsi="Book Antiqua" w:cs="Book Antiqua"/>
          <w:i/>
          <w:iCs/>
          <w:color w:val="000000"/>
        </w:rPr>
        <w:t>vs</w:t>
      </w:r>
      <w:r>
        <w:rPr>
          <w:rFonts w:ascii="Book Antiqua" w:eastAsia="Book Antiqua" w:hAnsi="Book Antiqua" w:cs="Book Antiqua"/>
          <w:color w:val="000000"/>
        </w:rPr>
        <w:t xml:space="preserve"> 25</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Furthermore, the use of CCBs in tacrolimus-treated patients results in higher severity of gingival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 xml:space="preserve">. These findings indicate the synergistic effect of CCBs and calcineurin inhibitors. On the contrary, azathioprine has a protective effect in patients on cyclosporin or tacrolimus and lowers the risk for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27,51]</w:t>
      </w:r>
      <w:r>
        <w:rPr>
          <w:rFonts w:ascii="Book Antiqua" w:eastAsia="Book Antiqua" w:hAnsi="Book Antiqua" w:cs="Book Antiqua"/>
          <w:color w:val="000000"/>
        </w:rPr>
        <w:t xml:space="preserve">. Although tacrolimus provides a better safety profile regarding DIGO and could be a treatment option in patients with cyclosporin-induced gingival overgrowth, it is important to point out that in some cases, changes persist even after the switching of therapy, especially with concomitant use of </w:t>
      </w:r>
      <w:proofErr w:type="gramStart"/>
      <w:r>
        <w:rPr>
          <w:rFonts w:ascii="Book Antiqua" w:eastAsia="Book Antiqua" w:hAnsi="Book Antiqua" w:cs="Book Antiqua"/>
          <w:color w:val="000000"/>
        </w:rPr>
        <w:t>CCBs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27]</w:t>
      </w:r>
      <w:r>
        <w:rPr>
          <w:rFonts w:ascii="Book Antiqua" w:eastAsia="Book Antiqua" w:hAnsi="Book Antiqua" w:cs="Book Antiqua"/>
          <w:color w:val="000000"/>
        </w:rPr>
        <w:t>.</w:t>
      </w:r>
    </w:p>
    <w:p w14:paraId="7E5CA229" w14:textId="77777777" w:rsidR="00A77B3E" w:rsidRDefault="00A77B3E" w:rsidP="003D4BF7">
      <w:pPr>
        <w:adjustRightInd w:val="0"/>
        <w:spacing w:line="360" w:lineRule="auto"/>
        <w:jc w:val="both"/>
      </w:pPr>
    </w:p>
    <w:p w14:paraId="42C5E805" w14:textId="77777777" w:rsidR="00A77B3E" w:rsidRDefault="00CD1199" w:rsidP="003D4BF7">
      <w:pPr>
        <w:adjustRightInd w:val="0"/>
        <w:spacing w:line="360" w:lineRule="auto"/>
        <w:jc w:val="both"/>
      </w:pPr>
      <w:r>
        <w:rPr>
          <w:rFonts w:ascii="Book Antiqua" w:eastAsia="Book Antiqua" w:hAnsi="Book Antiqua" w:cs="Book Antiqua"/>
          <w:b/>
          <w:bCs/>
          <w:caps/>
          <w:color w:val="000000"/>
          <w:u w:val="single"/>
        </w:rPr>
        <w:t>TREATMENT OPTIONS</w:t>
      </w:r>
    </w:p>
    <w:p w14:paraId="3D62DBA9" w14:textId="3BD51679" w:rsidR="00A77B3E" w:rsidRDefault="00CD1199" w:rsidP="003D4BF7">
      <w:pPr>
        <w:adjustRightInd w:val="0"/>
        <w:spacing w:line="360" w:lineRule="auto"/>
        <w:jc w:val="both"/>
      </w:pPr>
      <w:r>
        <w:rPr>
          <w:rFonts w:ascii="Book Antiqua" w:eastAsia="Book Antiqua" w:hAnsi="Book Antiqua" w:cs="Book Antiqua"/>
          <w:color w:val="000000"/>
        </w:rPr>
        <w:t xml:space="preserve">Management of DIGO can be conservative or surgical, with the aim to provide a satisfactory cosmetic outcome and minimize discomfort and </w:t>
      </w:r>
      <w:proofErr w:type="gramStart"/>
      <w:r>
        <w:rPr>
          <w:rFonts w:ascii="Book Antiqua" w:eastAsia="Book Antiqua" w:hAnsi="Book Antiqua" w:cs="Book Antiqua"/>
          <w:color w:val="000000"/>
        </w:rPr>
        <w:t>pain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xml:space="preserve">. Non-surgical methods are the treatment of choice, including proper oral hygiene and mechanical removal of dental plaque, together with the mandatory exclusion of </w:t>
      </w:r>
      <w:r>
        <w:rPr>
          <w:rFonts w:ascii="Book Antiqua" w:eastAsia="Book Antiqua" w:hAnsi="Book Antiqua" w:cs="Book Antiqua"/>
          <w:color w:val="000000"/>
        </w:rPr>
        <w:lastRenderedPageBreak/>
        <w:t xml:space="preserve">the offending </w:t>
      </w:r>
      <w:proofErr w:type="gramStart"/>
      <w:r>
        <w:rPr>
          <w:rFonts w:ascii="Book Antiqua" w:eastAsia="Book Antiqua" w:hAnsi="Book Antiqua" w:cs="Book Antiqua"/>
          <w:color w:val="000000"/>
        </w:rPr>
        <w:t>drug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Periodontal treatment reduces inflammation and prevents the need for surgical treatment in cyclosporin-treated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52]</w:t>
      </w:r>
      <w:r>
        <w:rPr>
          <w:rFonts w:ascii="Book Antiqua" w:eastAsia="Book Antiqua" w:hAnsi="Book Antiqua" w:cs="Book Antiqua"/>
          <w:color w:val="000000"/>
        </w:rPr>
        <w:t xml:space="preserve">. A rigorous oral hygiene regime has been recommended for patients with DIGO resulting from CCBs </w:t>
      </w:r>
      <w:proofErr w:type="gramStart"/>
      <w:r>
        <w:rPr>
          <w:rFonts w:ascii="Book Antiqua" w:eastAsia="Book Antiqua" w:hAnsi="Book Antiqua" w:cs="Book Antiqua"/>
          <w:color w:val="000000"/>
        </w:rPr>
        <w:t>use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Since a worse periodontal state has been associated with a higher risk for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15,27]</w:t>
      </w:r>
      <w:r>
        <w:rPr>
          <w:rFonts w:ascii="Book Antiqua" w:eastAsia="Book Antiqua" w:hAnsi="Book Antiqua" w:cs="Book Antiqua"/>
          <w:color w:val="000000"/>
        </w:rPr>
        <w:t xml:space="preserve">, preventive measures targeting oral health could be valuable. Reduction of drug dose or switching to that of a lower potential for side-effects should always be considered, if possible. In that case, complete improvement can be expected in 1-8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53]</w:t>
      </w:r>
      <w:r w:rsidR="00C55C70">
        <w:rPr>
          <w:rFonts w:ascii="Book Antiqua" w:eastAsia="Book Antiqua" w:hAnsi="Book Antiqua" w:cs="Book Antiqua"/>
          <w:color w:val="000000"/>
          <w:szCs w:val="20"/>
          <w:vertAlign w:val="superscript"/>
        </w:rPr>
        <w:t xml:space="preserve"> </w:t>
      </w:r>
      <w:r w:rsidR="005E03A9">
        <w:rPr>
          <w:rFonts w:ascii="Book Antiqua" w:eastAsia="Book Antiqua" w:hAnsi="Book Antiqua" w:cs="Book Antiqua"/>
          <w:color w:val="000000"/>
          <w:szCs w:val="20"/>
        </w:rPr>
        <w:t>(Figure 1)</w:t>
      </w:r>
      <w:r>
        <w:rPr>
          <w:rFonts w:ascii="Book Antiqua" w:eastAsia="Book Antiqua" w:hAnsi="Book Antiqua" w:cs="Book Antiqua"/>
          <w:color w:val="000000"/>
        </w:rPr>
        <w:t>.</w:t>
      </w:r>
    </w:p>
    <w:p w14:paraId="1491C60D" w14:textId="07DA2A40" w:rsidR="00A77B3E" w:rsidRDefault="00CD1199" w:rsidP="00205C83">
      <w:pPr>
        <w:adjustRightInd w:val="0"/>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Stopping the use of CCBs or switching to non-CCB antihypertensives provides satisfactory results, but it is not always possible, as some patients may have problems controlling their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In an attempt to treat gingival overgrowth caused by cyclosporin, replacing this medication with tacrolimus or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remains an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55,56]</w:t>
      </w:r>
      <w:r w:rsidR="00C55C70">
        <w:rPr>
          <w:rFonts w:ascii="Book Antiqua" w:eastAsia="Book Antiqua" w:hAnsi="Book Antiqua" w:cs="Book Antiqua"/>
          <w:color w:val="000000"/>
          <w:szCs w:val="20"/>
          <w:vertAlign w:val="superscript"/>
        </w:rPr>
        <w:t xml:space="preserve"> </w:t>
      </w:r>
      <w:r w:rsidR="005E03A9">
        <w:rPr>
          <w:rFonts w:ascii="Book Antiqua" w:eastAsia="Book Antiqua" w:hAnsi="Book Antiqua" w:cs="Book Antiqua"/>
          <w:color w:val="000000"/>
          <w:szCs w:val="20"/>
        </w:rPr>
        <w:t>(Figure 2)</w:t>
      </w:r>
      <w:r>
        <w:rPr>
          <w:rFonts w:ascii="Book Antiqua" w:eastAsia="Book Antiqua" w:hAnsi="Book Antiqua" w:cs="Book Antiqua"/>
          <w:color w:val="000000"/>
        </w:rPr>
        <w:t>.</w:t>
      </w:r>
    </w:p>
    <w:p w14:paraId="017A1ECB" w14:textId="0C45DDB8" w:rsidR="00137CFC" w:rsidRDefault="00137CFC" w:rsidP="00205C83">
      <w:pPr>
        <w:adjustRightInd w:val="0"/>
        <w:spacing w:line="360" w:lineRule="auto"/>
        <w:ind w:firstLineChars="100" w:firstLine="240"/>
        <w:jc w:val="both"/>
      </w:pPr>
      <w:r>
        <w:rPr>
          <w:rFonts w:ascii="Book Antiqua" w:eastAsia="Book Antiqua" w:hAnsi="Book Antiqua" w:cs="Book Antiqua"/>
          <w:color w:val="000000"/>
        </w:rPr>
        <w:t xml:space="preserve">Flutamide, an androgen receptor antagonist, inhibits gingival cells' response to nifedipine and could be used to prevent or treat nifedipine associated </w:t>
      </w:r>
      <w:proofErr w:type="gramStart"/>
      <w:r>
        <w:rPr>
          <w:rFonts w:ascii="Book Antiqua" w:eastAsia="Book Antiqua" w:hAnsi="Book Antiqua" w:cs="Book Antiqua"/>
          <w:color w:val="000000"/>
        </w:rPr>
        <w:t>DIGO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Non-surgical methods are often not sufficient if the drug cannot be withdrawn for other </w:t>
      </w:r>
      <w:proofErr w:type="gramStart"/>
      <w:r>
        <w:rPr>
          <w:rFonts w:ascii="Book Antiqua" w:eastAsia="Book Antiqua" w:hAnsi="Book Antiqua" w:cs="Book Antiqua"/>
          <w:color w:val="000000"/>
        </w:rPr>
        <w:t>reasons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54]</w:t>
      </w:r>
      <w:r>
        <w:rPr>
          <w:rFonts w:ascii="Book Antiqua" w:eastAsia="Book Antiqua" w:hAnsi="Book Antiqua" w:cs="Book Antiqua"/>
          <w:color w:val="000000"/>
        </w:rPr>
        <w:t xml:space="preserve">. Persistent DIGO requires surgical treatment, which could either involve gingivectomy or periodontal </w:t>
      </w:r>
      <w:proofErr w:type="gramStart"/>
      <w:r>
        <w:rPr>
          <w:rFonts w:ascii="Book Antiqua" w:eastAsia="Book Antiqua" w:hAnsi="Book Antiqua" w:cs="Book Antiqua"/>
          <w:color w:val="000000"/>
        </w:rPr>
        <w:t>flap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The use of carbon dioxide lasers is a solid choice that provides adequate postoperative </w:t>
      </w:r>
      <w:proofErr w:type="gramStart"/>
      <w:r>
        <w:rPr>
          <w:rFonts w:ascii="Book Antiqua" w:eastAsia="Book Antiqua" w:hAnsi="Book Antiqua" w:cs="Book Antiqua"/>
          <w:color w:val="000000"/>
        </w:rPr>
        <w:t>hemostasis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Recurrence of DIGO after surgical treatment was reported in about 40% of the patients still treated with the offending </w:t>
      </w:r>
      <w:proofErr w:type="gramStart"/>
      <w:r>
        <w:rPr>
          <w:rFonts w:ascii="Book Antiqua" w:eastAsia="Book Antiqua" w:hAnsi="Book Antiqua" w:cs="Book Antiqua"/>
          <w:color w:val="000000"/>
        </w:rPr>
        <w:t>drug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58]</w:t>
      </w:r>
      <w:r>
        <w:rPr>
          <w:rFonts w:ascii="Book Antiqua" w:eastAsia="Book Antiqua" w:hAnsi="Book Antiqua" w:cs="Book Antiqua"/>
          <w:color w:val="000000"/>
        </w:rPr>
        <w:t xml:space="preserve">. In conclusion, the prognosis of DIGO is good, as it can be successfully managed and resolved with discontinuation of the inducing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14:paraId="3767AA87" w14:textId="77777777" w:rsidR="00A77B3E" w:rsidRDefault="00A77B3E" w:rsidP="003D4BF7">
      <w:pPr>
        <w:adjustRightInd w:val="0"/>
        <w:spacing w:line="360" w:lineRule="auto"/>
        <w:jc w:val="both"/>
      </w:pPr>
    </w:p>
    <w:p w14:paraId="1F05D3AA" w14:textId="77777777" w:rsidR="00A77B3E" w:rsidRDefault="00CD1199" w:rsidP="003D4BF7">
      <w:pPr>
        <w:adjustRightInd w:val="0"/>
        <w:spacing w:line="360" w:lineRule="auto"/>
        <w:jc w:val="both"/>
      </w:pPr>
      <w:r>
        <w:rPr>
          <w:rFonts w:ascii="Book Antiqua" w:eastAsia="Book Antiqua" w:hAnsi="Book Antiqua" w:cs="Book Antiqua"/>
          <w:b/>
          <w:caps/>
          <w:color w:val="000000"/>
          <w:u w:val="single"/>
        </w:rPr>
        <w:t>CONCLUSION</w:t>
      </w:r>
    </w:p>
    <w:p w14:paraId="3D95D356" w14:textId="77777777" w:rsidR="00A77B3E" w:rsidRDefault="00CD1199" w:rsidP="003D4BF7">
      <w:pPr>
        <w:adjustRightInd w:val="0"/>
        <w:spacing w:line="360" w:lineRule="auto"/>
        <w:jc w:val="both"/>
      </w:pPr>
      <w:bookmarkStart w:id="25" w:name="OLE_LINK26"/>
      <w:bookmarkStart w:id="26" w:name="OLE_LINK27"/>
      <w:r>
        <w:rPr>
          <w:rFonts w:ascii="Book Antiqua" w:eastAsia="Book Antiqua" w:hAnsi="Book Antiqua" w:cs="Book Antiqua"/>
          <w:color w:val="000000"/>
        </w:rPr>
        <w:t xml:space="preserve">Since CCBs and immunosuppressants are widely used medications in patients with hypertension or after heart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health professionals should be aware of gingival overgrowth as an unpleasant side-effect that can result from the use of these drugs</w:t>
      </w:r>
      <w:r>
        <w:rPr>
          <w:rFonts w:ascii="Book Antiqua" w:eastAsia="Book Antiqua" w:hAnsi="Book Antiqua" w:cs="Book Antiqua"/>
          <w:color w:val="000000"/>
          <w:szCs w:val="20"/>
          <w:vertAlign w:val="superscript"/>
        </w:rPr>
        <w:t>[23,55]</w:t>
      </w:r>
      <w:r>
        <w:rPr>
          <w:rFonts w:ascii="Book Antiqua" w:eastAsia="Book Antiqua" w:hAnsi="Book Antiqua" w:cs="Book Antiqua"/>
          <w:color w:val="000000"/>
        </w:rPr>
        <w:t xml:space="preserve">. Although it might not be life-threatening, it poses a significant problem for the patients, not only because of the cosmetic effect but </w:t>
      </w:r>
      <w:r>
        <w:rPr>
          <w:rFonts w:ascii="Book Antiqua" w:eastAsia="Book Antiqua" w:hAnsi="Book Antiqua" w:cs="Book Antiqua"/>
          <w:color w:val="000000"/>
        </w:rPr>
        <w:lastRenderedPageBreak/>
        <w:t xml:space="preserve">also due to the impairment of speech, eating, and maintaining oral </w:t>
      </w:r>
      <w:proofErr w:type="gramStart"/>
      <w:r>
        <w:rPr>
          <w:rFonts w:ascii="Book Antiqua" w:eastAsia="Book Antiqua" w:hAnsi="Book Antiqua" w:cs="Book Antiqua"/>
          <w:color w:val="000000"/>
        </w:rPr>
        <w:t>hygiene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Furthermore, infections resulting from the lack of proper oral hygiene could enhance the risk for cardiovascular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59]</w:t>
      </w:r>
      <w:r>
        <w:rPr>
          <w:rFonts w:ascii="Book Antiqua" w:eastAsia="Book Antiqua" w:hAnsi="Book Antiqua" w:cs="Book Antiqua"/>
          <w:color w:val="000000"/>
        </w:rPr>
        <w:t>. Recognizing the importance of DIGO and its effect on the patients' health is crucial for providing better health outcomes and satisfactory quality of life. If possible, treatment of choice should be changing of a drug and conservative periodontal treatment, whereas surgical treatment is reasonable only in resistant cases. Since it is multifactorial and reoccurs if the drug must be continued, efforts need to be made to find each patient's optimal treatment. An interdisciplinary approach and cooperation of medical and dental professionals are necessary to reach this goal.</w:t>
      </w:r>
    </w:p>
    <w:bookmarkEnd w:id="25"/>
    <w:bookmarkEnd w:id="26"/>
    <w:p w14:paraId="157BFC6C" w14:textId="77777777" w:rsidR="00E938F4" w:rsidRDefault="00E938F4" w:rsidP="003D4BF7">
      <w:pPr>
        <w:adjustRightInd w:val="0"/>
        <w:spacing w:line="360" w:lineRule="auto"/>
        <w:jc w:val="both"/>
      </w:pPr>
    </w:p>
    <w:p w14:paraId="279F854C" w14:textId="77777777" w:rsidR="00A77B3E" w:rsidRDefault="00CD1199" w:rsidP="003D4BF7">
      <w:pPr>
        <w:adjustRightInd w:val="0"/>
        <w:spacing w:line="360" w:lineRule="auto"/>
        <w:jc w:val="both"/>
      </w:pPr>
      <w:r>
        <w:rPr>
          <w:rFonts w:ascii="Book Antiqua" w:eastAsia="Book Antiqua" w:hAnsi="Book Antiqua" w:cs="Book Antiqua"/>
          <w:b/>
          <w:color w:val="000000"/>
        </w:rPr>
        <w:t>REFERENCES</w:t>
      </w:r>
    </w:p>
    <w:p w14:paraId="2DC97E57" w14:textId="77777777" w:rsidR="00A77B3E" w:rsidRDefault="00CD1199" w:rsidP="003D4BF7">
      <w:pPr>
        <w:adjustRightInd w:val="0"/>
        <w:spacing w:line="360" w:lineRule="auto"/>
        <w:jc w:val="both"/>
      </w:pPr>
      <w:bookmarkStart w:id="27" w:name="OLE_LINK28"/>
      <w:bookmarkStart w:id="28" w:name="OLE_LINK29"/>
      <w:bookmarkStart w:id="29" w:name="OLE_LINK269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Tungare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Paranjpe</w:t>
      </w:r>
      <w:proofErr w:type="spellEnd"/>
      <w:r>
        <w:rPr>
          <w:rFonts w:ascii="Book Antiqua" w:eastAsia="Book Antiqua" w:hAnsi="Book Antiqua" w:cs="Book Antiqua"/>
          <w:color w:val="000000"/>
        </w:rPr>
        <w:t xml:space="preserve"> AG. Drug Induced Gingival Overgrowth 2021 [PMID: 30860753]</w:t>
      </w:r>
    </w:p>
    <w:p w14:paraId="26009F42"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Seymour RA</w:t>
      </w:r>
      <w:r>
        <w:rPr>
          <w:rFonts w:ascii="Book Antiqua" w:eastAsia="Book Antiqua" w:hAnsi="Book Antiqua" w:cs="Book Antiqua"/>
          <w:color w:val="000000"/>
        </w:rPr>
        <w:t xml:space="preserve">, Thomason JM, Ellis JS. The pathogenesis of drug-induced gingival overgrowth.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165-175 [PMID: 8707974 DOI: 10.1111/j.1600-051x.1996.tb02072.x]</w:t>
      </w:r>
    </w:p>
    <w:p w14:paraId="00EA5DAE"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Ustaoğlu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Erdal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Karaş</w:t>
      </w:r>
      <w:proofErr w:type="spellEnd"/>
      <w:r>
        <w:rPr>
          <w:rFonts w:ascii="Book Antiqua" w:eastAsia="Book Antiqua" w:hAnsi="Book Antiqua" w:cs="Book Antiqua"/>
          <w:color w:val="000000"/>
        </w:rPr>
        <w:t xml:space="preserve"> Z. Influence of different anti-hypertensive drugs on gingival overgrowth: A cross-sectional study in a Turkish population.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2020 [PMID: 32991012 DOI: 10.1111/odi.13655]</w:t>
      </w:r>
    </w:p>
    <w:p w14:paraId="3A188041" w14:textId="175AA7E4" w:rsidR="00A77B3E" w:rsidRPr="00C21AB9" w:rsidRDefault="00CD1199" w:rsidP="003D4BF7">
      <w:pPr>
        <w:adjustRightInd w:val="0"/>
        <w:spacing w:line="360" w:lineRule="auto"/>
        <w:jc w:val="both"/>
      </w:pPr>
      <w:r w:rsidRPr="00C21AB9">
        <w:rPr>
          <w:rFonts w:ascii="Book Antiqua" w:eastAsia="Book Antiqua" w:hAnsi="Book Antiqua" w:cs="Book Antiqua"/>
          <w:color w:val="000000"/>
        </w:rPr>
        <w:t xml:space="preserve">4 </w:t>
      </w:r>
      <w:r w:rsidRPr="00C21AB9">
        <w:rPr>
          <w:rFonts w:ascii="Book Antiqua" w:eastAsia="Book Antiqua" w:hAnsi="Book Antiqua" w:cs="Book Antiqua"/>
          <w:b/>
          <w:color w:val="000000"/>
        </w:rPr>
        <w:t>Kimball OP</w:t>
      </w:r>
      <w:r w:rsidRPr="00C051A8">
        <w:rPr>
          <w:rFonts w:ascii="Book Antiqua" w:eastAsia="Book Antiqua" w:hAnsi="Book Antiqua" w:cs="Book Antiqua"/>
          <w:bCs/>
          <w:color w:val="000000"/>
        </w:rPr>
        <w:t>.</w:t>
      </w:r>
      <w:r w:rsidRPr="00C21AB9">
        <w:rPr>
          <w:rFonts w:ascii="Book Antiqua" w:eastAsia="Book Antiqua" w:hAnsi="Book Antiqua" w:cs="Book Antiqua"/>
          <w:color w:val="000000"/>
        </w:rPr>
        <w:t xml:space="preserve"> </w:t>
      </w:r>
      <w:bookmarkStart w:id="30" w:name="OLE_LINK11"/>
      <w:bookmarkStart w:id="31" w:name="OLE_LINK12"/>
      <w:r w:rsidRPr="00C21AB9">
        <w:rPr>
          <w:rFonts w:ascii="Book Antiqua" w:eastAsia="Book Antiqua" w:hAnsi="Book Antiqua" w:cs="Book Antiqua"/>
          <w:color w:val="000000"/>
        </w:rPr>
        <w:t xml:space="preserve">The treatment of epilepsy with sodium diphenyl </w:t>
      </w:r>
      <w:proofErr w:type="spellStart"/>
      <w:r w:rsidRPr="00C21AB9">
        <w:rPr>
          <w:rFonts w:ascii="Book Antiqua" w:eastAsia="Book Antiqua" w:hAnsi="Book Antiqua" w:cs="Book Antiqua"/>
          <w:color w:val="000000"/>
        </w:rPr>
        <w:t>hydantoinate</w:t>
      </w:r>
      <w:bookmarkEnd w:id="30"/>
      <w:bookmarkEnd w:id="31"/>
      <w:proofErr w:type="spellEnd"/>
      <w:r w:rsidRPr="00C21AB9">
        <w:rPr>
          <w:rFonts w:ascii="Book Antiqua" w:eastAsia="Book Antiqua" w:hAnsi="Book Antiqua" w:cs="Book Antiqua"/>
          <w:color w:val="000000"/>
        </w:rPr>
        <w:t xml:space="preserve">. </w:t>
      </w:r>
      <w:r w:rsidRPr="00C21AB9">
        <w:rPr>
          <w:rFonts w:ascii="Book Antiqua" w:eastAsia="Book Antiqua" w:hAnsi="Book Antiqua" w:cs="Book Antiqua"/>
          <w:i/>
          <w:color w:val="000000"/>
        </w:rPr>
        <w:t xml:space="preserve">JAMA </w:t>
      </w:r>
      <w:r w:rsidR="00C21AB9" w:rsidRPr="00C21AB9">
        <w:rPr>
          <w:rFonts w:ascii="Book Antiqua" w:eastAsia="Book Antiqua" w:hAnsi="Book Antiqua" w:cs="Book Antiqua"/>
          <w:color w:val="000000"/>
        </w:rPr>
        <w:t xml:space="preserve">1939; </w:t>
      </w:r>
      <w:r w:rsidR="00C21AB9" w:rsidRPr="00C21AB9">
        <w:rPr>
          <w:rFonts w:ascii="Book Antiqua" w:eastAsia="Book Antiqua" w:hAnsi="Book Antiqua" w:cs="Book Antiqua"/>
          <w:b/>
          <w:color w:val="000000"/>
        </w:rPr>
        <w:t>112</w:t>
      </w:r>
      <w:r w:rsidRPr="00C051A8">
        <w:rPr>
          <w:rFonts w:ascii="Book Antiqua" w:eastAsia="Book Antiqua" w:hAnsi="Book Antiqua" w:cs="Book Antiqua"/>
          <w:bCs/>
          <w:color w:val="000000"/>
        </w:rPr>
        <w:t>:</w:t>
      </w:r>
      <w:r w:rsidRPr="00C21AB9">
        <w:rPr>
          <w:rFonts w:ascii="Book Antiqua" w:eastAsia="Book Antiqua" w:hAnsi="Book Antiqua" w:cs="Book Antiqua"/>
          <w:b/>
          <w:color w:val="000000"/>
        </w:rPr>
        <w:t xml:space="preserve"> </w:t>
      </w:r>
      <w:r w:rsidRPr="00C21AB9">
        <w:rPr>
          <w:rFonts w:ascii="Book Antiqua" w:eastAsia="Book Antiqua" w:hAnsi="Book Antiqua" w:cs="Book Antiqua"/>
          <w:color w:val="000000"/>
        </w:rPr>
        <w:t>1244</w:t>
      </w:r>
      <w:r w:rsidR="00C051A8">
        <w:rPr>
          <w:rFonts w:ascii="Book Antiqua" w:eastAsia="Book Antiqua" w:hAnsi="Book Antiqua" w:cs="Book Antiqua"/>
          <w:color w:val="000000"/>
        </w:rPr>
        <w:t>-</w:t>
      </w:r>
      <w:r w:rsidRPr="00C21AB9">
        <w:rPr>
          <w:rFonts w:ascii="Book Antiqua" w:eastAsia="Book Antiqua" w:hAnsi="Book Antiqua" w:cs="Book Antiqua"/>
          <w:color w:val="000000"/>
        </w:rPr>
        <w:t>1245 [DOI:</w:t>
      </w:r>
      <w:r w:rsidR="00C21AB9" w:rsidRPr="00C21AB9">
        <w:rPr>
          <w:rFonts w:ascii="Book Antiqua" w:eastAsia="Book Antiqua" w:hAnsi="Book Antiqua" w:cs="Book Antiqua"/>
          <w:color w:val="000000"/>
        </w:rPr>
        <w:t xml:space="preserve"> </w:t>
      </w:r>
      <w:r w:rsidRPr="00C21AB9">
        <w:rPr>
          <w:rFonts w:ascii="Book Antiqua" w:eastAsia="Book Antiqua" w:hAnsi="Book Antiqua" w:cs="Book Antiqua"/>
          <w:color w:val="000000"/>
        </w:rPr>
        <w:t>10.1001/jama.1939.02800130028009]</w:t>
      </w:r>
    </w:p>
    <w:p w14:paraId="58FCFF40" w14:textId="0D5050B5" w:rsidR="00A77B3E" w:rsidRPr="00C21AB9" w:rsidRDefault="00CD1199" w:rsidP="003D4BF7">
      <w:pPr>
        <w:adjustRightInd w:val="0"/>
        <w:spacing w:line="360" w:lineRule="auto"/>
        <w:jc w:val="both"/>
      </w:pPr>
      <w:r w:rsidRPr="00205C83">
        <w:rPr>
          <w:rFonts w:ascii="Book Antiqua" w:eastAsia="Book Antiqua" w:hAnsi="Book Antiqua" w:cs="Book Antiqua"/>
          <w:color w:val="000000"/>
          <w:highlight w:val="yellow"/>
        </w:rPr>
        <w:t xml:space="preserve">5 </w:t>
      </w:r>
      <w:proofErr w:type="spellStart"/>
      <w:r w:rsidRPr="00205C83">
        <w:rPr>
          <w:rFonts w:ascii="Book Antiqua" w:eastAsia="Book Antiqua" w:hAnsi="Book Antiqua" w:cs="Book Antiqua"/>
          <w:b/>
          <w:bCs/>
          <w:color w:val="000000"/>
          <w:highlight w:val="yellow"/>
        </w:rPr>
        <w:t>Kanade</w:t>
      </w:r>
      <w:proofErr w:type="spellEnd"/>
      <w:r w:rsidRPr="00205C83">
        <w:rPr>
          <w:rFonts w:ascii="Book Antiqua" w:eastAsia="Book Antiqua" w:hAnsi="Book Antiqua" w:cs="Book Antiqua"/>
          <w:b/>
          <w:bCs/>
          <w:color w:val="000000"/>
          <w:highlight w:val="yellow"/>
        </w:rPr>
        <w:t xml:space="preserve"> K</w:t>
      </w:r>
      <w:r w:rsidRPr="00C051A8">
        <w:rPr>
          <w:rFonts w:ascii="Book Antiqua" w:eastAsia="Book Antiqua" w:hAnsi="Book Antiqua" w:cs="Book Antiqua"/>
          <w:color w:val="000000"/>
          <w:highlight w:val="yellow"/>
        </w:rPr>
        <w:t>.</w:t>
      </w:r>
      <w:r w:rsidRPr="00205C83">
        <w:rPr>
          <w:rFonts w:ascii="Book Antiqua" w:eastAsia="Book Antiqua" w:hAnsi="Book Antiqua" w:cs="Book Antiqua"/>
          <w:b/>
          <w:bCs/>
          <w:color w:val="000000"/>
          <w:highlight w:val="yellow"/>
        </w:rPr>
        <w:t xml:space="preserve"> </w:t>
      </w:r>
      <w:r w:rsidRPr="00C21AB9">
        <w:rPr>
          <w:rFonts w:ascii="Book Antiqua" w:eastAsia="Book Antiqua" w:hAnsi="Book Antiqua" w:cs="Book Antiqua"/>
          <w:bCs/>
          <w:color w:val="000000"/>
          <w:highlight w:val="yellow"/>
        </w:rPr>
        <w:t>Drug Induced Gingival Enlargement. Munich: GRIN Verlag,</w:t>
      </w:r>
      <w:r w:rsidRPr="00C21AB9">
        <w:rPr>
          <w:rFonts w:ascii="Book Antiqua" w:eastAsia="Book Antiqua" w:hAnsi="Book Antiqua" w:cs="Book Antiqua"/>
          <w:color w:val="000000"/>
          <w:highlight w:val="yellow"/>
        </w:rPr>
        <w:t xml:space="preserve"> 2018: 2-10</w:t>
      </w:r>
    </w:p>
    <w:p w14:paraId="7CD9240C"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Rees TD</w:t>
      </w:r>
      <w:r>
        <w:rPr>
          <w:rFonts w:ascii="Book Antiqua" w:eastAsia="Book Antiqua" w:hAnsi="Book Antiqua" w:cs="Book Antiqua"/>
          <w:color w:val="000000"/>
        </w:rPr>
        <w:t xml:space="preserve">, Levine RA. Systematic drugs as a risk factor for periodontal disease initiation and progression. </w:t>
      </w:r>
      <w:r>
        <w:rPr>
          <w:rFonts w:ascii="Book Antiqua" w:eastAsia="Book Antiqua" w:hAnsi="Book Antiqua" w:cs="Book Antiqua"/>
          <w:i/>
          <w:iCs/>
          <w:color w:val="000000"/>
        </w:rPr>
        <w:t>Compendium</w:t>
      </w:r>
      <w:r>
        <w:rPr>
          <w:rFonts w:ascii="Book Antiqua" w:eastAsia="Book Antiqua" w:hAnsi="Book Antiqua" w:cs="Book Antiqua"/>
          <w:color w:val="000000"/>
        </w:rPr>
        <w:t xml:space="preserve"> 1995; </w:t>
      </w:r>
      <w:r>
        <w:rPr>
          <w:rFonts w:ascii="Book Antiqua" w:eastAsia="Book Antiqua" w:hAnsi="Book Antiqua" w:cs="Book Antiqua"/>
          <w:b/>
          <w:bCs/>
          <w:color w:val="000000"/>
        </w:rPr>
        <w:t>16</w:t>
      </w:r>
      <w:r>
        <w:rPr>
          <w:rFonts w:ascii="Book Antiqua" w:eastAsia="Book Antiqua" w:hAnsi="Book Antiqua" w:cs="Book Antiqua"/>
          <w:color w:val="000000"/>
        </w:rPr>
        <w:t>: 20, 22, 26 passim; quiz 42 [PMID: 7758039]</w:t>
      </w:r>
    </w:p>
    <w:p w14:paraId="3148CC7B"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Marshall 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Bartold</w:t>
      </w:r>
      <w:proofErr w:type="spellEnd"/>
      <w:r>
        <w:rPr>
          <w:rFonts w:ascii="Book Antiqua" w:eastAsia="Book Antiqua" w:hAnsi="Book Antiqua" w:cs="Book Antiqua"/>
          <w:color w:val="000000"/>
        </w:rPr>
        <w:t xml:space="preserve"> PM. Medication induced gingival overgrowth. </w:t>
      </w:r>
      <w:r>
        <w:rPr>
          <w:rFonts w:ascii="Book Antiqua" w:eastAsia="Book Antiqua" w:hAnsi="Book Antiqua" w:cs="Book Antiqua"/>
          <w:i/>
          <w:iCs/>
          <w:color w:val="000000"/>
        </w:rPr>
        <w:t>Oral Dis</w:t>
      </w:r>
      <w:r>
        <w:rPr>
          <w:rFonts w:ascii="Book Antiqua" w:eastAsia="Book Antiqua" w:hAnsi="Book Antiqua" w:cs="Book Antiqua"/>
          <w:color w:val="000000"/>
        </w:rPr>
        <w:t xml:space="preserve"> 1998; </w:t>
      </w:r>
      <w:r>
        <w:rPr>
          <w:rFonts w:ascii="Book Antiqua" w:eastAsia="Book Antiqua" w:hAnsi="Book Antiqua" w:cs="Book Antiqua"/>
          <w:b/>
          <w:bCs/>
          <w:color w:val="000000"/>
        </w:rPr>
        <w:t>4</w:t>
      </w:r>
      <w:r>
        <w:rPr>
          <w:rFonts w:ascii="Book Antiqua" w:eastAsia="Book Antiqua" w:hAnsi="Book Antiqua" w:cs="Book Antiqua"/>
          <w:color w:val="000000"/>
        </w:rPr>
        <w:t>: 130-151 [PMID: 9680902 DOI: 10.1111/j.1601-0825.1998.tb00269.x]</w:t>
      </w:r>
    </w:p>
    <w:p w14:paraId="50D968B8" w14:textId="0BE78137" w:rsidR="00A77B3E" w:rsidRDefault="00CD1199" w:rsidP="003D4BF7">
      <w:pPr>
        <w:adjustRightInd w:val="0"/>
        <w:spacing w:line="360" w:lineRule="auto"/>
        <w:jc w:val="both"/>
      </w:pPr>
      <w:r w:rsidRPr="00C21AB9">
        <w:rPr>
          <w:rFonts w:ascii="Book Antiqua" w:eastAsia="Book Antiqua" w:hAnsi="Book Antiqua" w:cs="Book Antiqua"/>
          <w:color w:val="000000"/>
        </w:rPr>
        <w:lastRenderedPageBreak/>
        <w:t xml:space="preserve">8 </w:t>
      </w:r>
      <w:r w:rsidRPr="00C21AB9">
        <w:rPr>
          <w:rFonts w:ascii="Book Antiqua" w:eastAsia="Book Antiqua" w:hAnsi="Book Antiqua" w:cs="Book Antiqua"/>
          <w:b/>
          <w:bCs/>
          <w:color w:val="000000"/>
        </w:rPr>
        <w:t>Lin K</w:t>
      </w:r>
      <w:r w:rsidRPr="00C051A8">
        <w:rPr>
          <w:rFonts w:ascii="Book Antiqua" w:eastAsia="Book Antiqua" w:hAnsi="Book Antiqua" w:cs="Book Antiqua"/>
          <w:color w:val="000000"/>
        </w:rPr>
        <w:t>,</w:t>
      </w:r>
      <w:r w:rsidRPr="00C21AB9">
        <w:rPr>
          <w:rFonts w:ascii="Book Antiqua" w:eastAsia="Book Antiqua" w:hAnsi="Book Antiqua" w:cs="Book Antiqua"/>
          <w:color w:val="000000"/>
        </w:rPr>
        <w:t xml:space="preserve"> </w:t>
      </w:r>
      <w:proofErr w:type="spellStart"/>
      <w:r w:rsidRPr="00C21AB9">
        <w:rPr>
          <w:rFonts w:ascii="Book Antiqua" w:eastAsia="Book Antiqua" w:hAnsi="Book Antiqua" w:cs="Book Antiqua"/>
          <w:color w:val="000000"/>
        </w:rPr>
        <w:t>Guilhoto</w:t>
      </w:r>
      <w:proofErr w:type="spellEnd"/>
      <w:r w:rsidRPr="00C21AB9">
        <w:rPr>
          <w:rFonts w:ascii="Book Antiqua" w:eastAsia="Book Antiqua" w:hAnsi="Book Antiqua" w:cs="Book Antiqua"/>
          <w:color w:val="000000"/>
        </w:rPr>
        <w:t xml:space="preserve"> LMFF, </w:t>
      </w:r>
      <w:proofErr w:type="spellStart"/>
      <w:r w:rsidRPr="00C21AB9">
        <w:rPr>
          <w:rFonts w:ascii="Book Antiqua" w:eastAsia="Book Antiqua" w:hAnsi="Book Antiqua" w:cs="Book Antiqua"/>
          <w:color w:val="000000"/>
        </w:rPr>
        <w:t>Yacubian</w:t>
      </w:r>
      <w:proofErr w:type="spellEnd"/>
      <w:r w:rsidRPr="00C21AB9">
        <w:rPr>
          <w:rFonts w:ascii="Book Antiqua" w:eastAsia="Book Antiqua" w:hAnsi="Book Antiqua" w:cs="Book Antiqua"/>
          <w:color w:val="000000"/>
        </w:rPr>
        <w:t xml:space="preserve"> EMT. Drug-induced gingival enlargement - Part II. Antiepileptic drugs: not only phenytoin is involved. </w:t>
      </w:r>
      <w:r w:rsidRPr="00C21AB9">
        <w:rPr>
          <w:rFonts w:ascii="Book Antiqua" w:eastAsia="Book Antiqua" w:hAnsi="Book Antiqua" w:cs="Book Antiqua"/>
          <w:i/>
          <w:color w:val="000000"/>
        </w:rPr>
        <w:t xml:space="preserve">J Epilepsy Clin </w:t>
      </w:r>
      <w:proofErr w:type="spellStart"/>
      <w:r w:rsidRPr="00C21AB9">
        <w:rPr>
          <w:rFonts w:ascii="Book Antiqua" w:eastAsia="Book Antiqua" w:hAnsi="Book Antiqua" w:cs="Book Antiqua"/>
          <w:i/>
          <w:color w:val="000000"/>
        </w:rPr>
        <w:t>Neurophysiol</w:t>
      </w:r>
      <w:proofErr w:type="spellEnd"/>
      <w:r w:rsidRPr="00C21AB9">
        <w:rPr>
          <w:rFonts w:ascii="Book Antiqua" w:eastAsia="Book Antiqua" w:hAnsi="Book Antiqua" w:cs="Book Antiqua"/>
          <w:i/>
          <w:color w:val="000000"/>
        </w:rPr>
        <w:t xml:space="preserve"> </w:t>
      </w:r>
      <w:r w:rsidR="00C21AB9" w:rsidRPr="00C21AB9">
        <w:rPr>
          <w:rFonts w:ascii="Book Antiqua" w:eastAsia="Book Antiqua" w:hAnsi="Book Antiqua" w:cs="Book Antiqua"/>
          <w:color w:val="000000"/>
        </w:rPr>
        <w:t xml:space="preserve">2007; </w:t>
      </w:r>
      <w:r w:rsidR="00C21AB9" w:rsidRPr="00C21AB9">
        <w:rPr>
          <w:rFonts w:ascii="Book Antiqua" w:eastAsia="Book Antiqua" w:hAnsi="Book Antiqua" w:cs="Book Antiqua"/>
          <w:b/>
          <w:color w:val="000000"/>
        </w:rPr>
        <w:t>13</w:t>
      </w:r>
      <w:r w:rsidRPr="00C051A8">
        <w:rPr>
          <w:rFonts w:ascii="Book Antiqua" w:eastAsia="Book Antiqua" w:hAnsi="Book Antiqua" w:cs="Book Antiqua"/>
          <w:bCs/>
          <w:color w:val="000000"/>
        </w:rPr>
        <w:t>:</w:t>
      </w:r>
      <w:r w:rsidRPr="00C21AB9">
        <w:rPr>
          <w:rFonts w:ascii="Book Antiqua" w:eastAsia="Book Antiqua" w:hAnsi="Book Antiqua" w:cs="Book Antiqua"/>
          <w:b/>
          <w:color w:val="000000"/>
        </w:rPr>
        <w:t xml:space="preserve"> </w:t>
      </w:r>
      <w:r w:rsidRPr="00C21AB9">
        <w:rPr>
          <w:rFonts w:ascii="Book Antiqua" w:eastAsia="Book Antiqua" w:hAnsi="Book Antiqua" w:cs="Book Antiqua"/>
          <w:color w:val="000000"/>
        </w:rPr>
        <w:t>83-88 [DOI: 10.1590/S1676-26492007000200009]</w:t>
      </w:r>
    </w:p>
    <w:p w14:paraId="3F93331C"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Asif SM</w:t>
      </w:r>
      <w:r>
        <w:rPr>
          <w:rFonts w:ascii="Book Antiqua" w:eastAsia="Book Antiqua" w:hAnsi="Book Antiqua" w:cs="Book Antiqua"/>
          <w:color w:val="000000"/>
        </w:rPr>
        <w:t xml:space="preserve">, Shaik N, </w:t>
      </w:r>
      <w:proofErr w:type="spellStart"/>
      <w:r>
        <w:rPr>
          <w:rFonts w:ascii="Book Antiqua" w:eastAsia="Book Antiqua" w:hAnsi="Book Antiqua" w:cs="Book Antiqua"/>
          <w:color w:val="000000"/>
        </w:rPr>
        <w:t>Barthunia</w:t>
      </w:r>
      <w:proofErr w:type="spellEnd"/>
      <w:r>
        <w:rPr>
          <w:rFonts w:ascii="Book Antiqua" w:eastAsia="Book Antiqua" w:hAnsi="Book Antiqua" w:cs="Book Antiqua"/>
          <w:color w:val="000000"/>
        </w:rPr>
        <w:t xml:space="preserve"> B, Kaleem SM, </w:t>
      </w:r>
      <w:proofErr w:type="spellStart"/>
      <w:r>
        <w:rPr>
          <w:rFonts w:ascii="Book Antiqua" w:eastAsia="Book Antiqua" w:hAnsi="Book Antiqua" w:cs="Book Antiqua"/>
          <w:color w:val="000000"/>
        </w:rPr>
        <w:t>Zakirulla</w:t>
      </w:r>
      <w:proofErr w:type="spellEnd"/>
      <w:r>
        <w:rPr>
          <w:rFonts w:ascii="Book Antiqua" w:eastAsia="Book Antiqua" w:hAnsi="Book Antiqua" w:cs="Book Antiqua"/>
          <w:color w:val="000000"/>
        </w:rPr>
        <w:t xml:space="preserve"> M, Kota MZ, </w:t>
      </w:r>
      <w:proofErr w:type="spellStart"/>
      <w:r>
        <w:rPr>
          <w:rFonts w:ascii="Book Antiqua" w:eastAsia="Book Antiqua" w:hAnsi="Book Antiqua" w:cs="Book Antiqua"/>
          <w:color w:val="000000"/>
        </w:rPr>
        <w:t>Baig</w:t>
      </w:r>
      <w:proofErr w:type="spellEnd"/>
      <w:r>
        <w:rPr>
          <w:rFonts w:ascii="Book Antiqua" w:eastAsia="Book Antiqua" w:hAnsi="Book Antiqua" w:cs="Book Antiqua"/>
          <w:color w:val="000000"/>
        </w:rPr>
        <w:t xml:space="preserve"> FAH. Nifedipine induced gingival enlargement in an edentulous patient: a case report with one year follow up. </w:t>
      </w:r>
      <w:r>
        <w:rPr>
          <w:rFonts w:ascii="Book Antiqua" w:eastAsia="Book Antiqua" w:hAnsi="Book Antiqua" w:cs="Book Antiqua"/>
          <w:i/>
          <w:iCs/>
          <w:color w:val="000000"/>
        </w:rPr>
        <w:t>BMC Oral Health</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227 [PMID: 30587167 DOI: 10.1186/s12903-018-0690-4]</w:t>
      </w:r>
    </w:p>
    <w:p w14:paraId="0D1C91F7" w14:textId="107B44ED" w:rsidR="00A77B3E" w:rsidRDefault="00CD1199" w:rsidP="003D4BF7">
      <w:pPr>
        <w:adjustRightInd w:val="0"/>
        <w:spacing w:line="360" w:lineRule="auto"/>
        <w:jc w:val="both"/>
      </w:pPr>
      <w:r w:rsidRPr="00205C83">
        <w:rPr>
          <w:rFonts w:ascii="Book Antiqua" w:eastAsia="Book Antiqua" w:hAnsi="Book Antiqua" w:cs="Book Antiqua"/>
          <w:color w:val="000000"/>
          <w:highlight w:val="yellow"/>
        </w:rPr>
        <w:t xml:space="preserve">10 </w:t>
      </w:r>
      <w:proofErr w:type="spellStart"/>
      <w:r w:rsidRPr="00205C83">
        <w:rPr>
          <w:rFonts w:ascii="Book Antiqua" w:eastAsia="Book Antiqua" w:hAnsi="Book Antiqua" w:cs="Book Antiqua"/>
          <w:b/>
          <w:bCs/>
          <w:color w:val="000000"/>
          <w:highlight w:val="yellow"/>
        </w:rPr>
        <w:t>Kobashigawa</w:t>
      </w:r>
      <w:proofErr w:type="spellEnd"/>
      <w:r w:rsidRPr="00205C83">
        <w:rPr>
          <w:rFonts w:ascii="Book Antiqua" w:eastAsia="Book Antiqua" w:hAnsi="Book Antiqua" w:cs="Book Antiqua"/>
          <w:b/>
          <w:bCs/>
          <w:color w:val="000000"/>
          <w:highlight w:val="yellow"/>
        </w:rPr>
        <w:t xml:space="preserve"> J</w:t>
      </w:r>
      <w:r w:rsidRPr="00C051A8">
        <w:rPr>
          <w:rFonts w:ascii="Book Antiqua" w:eastAsia="Book Antiqua" w:hAnsi="Book Antiqua" w:cs="Book Antiqua"/>
          <w:color w:val="000000"/>
          <w:highlight w:val="yellow"/>
        </w:rPr>
        <w:t>,</w:t>
      </w:r>
      <w:r w:rsidRPr="00205C83">
        <w:rPr>
          <w:rFonts w:ascii="Book Antiqua" w:eastAsia="Book Antiqua" w:hAnsi="Book Antiqua" w:cs="Book Antiqua"/>
          <w:color w:val="000000"/>
          <w:highlight w:val="yellow"/>
        </w:rPr>
        <w:t xml:space="preserve"> </w:t>
      </w:r>
      <w:proofErr w:type="spellStart"/>
      <w:r w:rsidRPr="00205C83">
        <w:rPr>
          <w:rFonts w:ascii="Book Antiqua" w:eastAsia="Book Antiqua" w:hAnsi="Book Antiqua" w:cs="Book Antiqua"/>
          <w:color w:val="000000"/>
          <w:highlight w:val="yellow"/>
        </w:rPr>
        <w:t>Luu</w:t>
      </w:r>
      <w:proofErr w:type="spellEnd"/>
      <w:r w:rsidRPr="00205C83">
        <w:rPr>
          <w:rFonts w:ascii="Book Antiqua" w:eastAsia="Book Antiqua" w:hAnsi="Book Antiqua" w:cs="Book Antiqua"/>
          <w:color w:val="000000"/>
          <w:highlight w:val="yellow"/>
        </w:rPr>
        <w:t xml:space="preserve"> M. Immunosuppression Strategies in Heart Transplantation. In: </w:t>
      </w:r>
      <w:proofErr w:type="spellStart"/>
      <w:r w:rsidRPr="00205C83">
        <w:rPr>
          <w:rFonts w:ascii="Book Antiqua" w:eastAsia="Book Antiqua" w:hAnsi="Book Antiqua" w:cs="Book Antiqua"/>
          <w:color w:val="000000"/>
          <w:highlight w:val="yellow"/>
        </w:rPr>
        <w:t>Kobashigawa</w:t>
      </w:r>
      <w:proofErr w:type="spellEnd"/>
      <w:r w:rsidRPr="00205C83">
        <w:rPr>
          <w:rFonts w:ascii="Book Antiqua" w:eastAsia="Book Antiqua" w:hAnsi="Book Antiqua" w:cs="Book Antiqua"/>
          <w:color w:val="000000"/>
          <w:highlight w:val="yellow"/>
        </w:rPr>
        <w:t xml:space="preserve"> J. Clinical Guide to Heart Transplantation. 1</w:t>
      </w:r>
      <w:r w:rsidRPr="00C051A8">
        <w:rPr>
          <w:rFonts w:ascii="Book Antiqua" w:eastAsia="Book Antiqua" w:hAnsi="Book Antiqua" w:cs="Book Antiqua"/>
          <w:color w:val="000000"/>
          <w:highlight w:val="yellow"/>
          <w:vertAlign w:val="superscript"/>
        </w:rPr>
        <w:t>st</w:t>
      </w:r>
      <w:r w:rsidRPr="00205C83">
        <w:rPr>
          <w:rFonts w:ascii="Book Antiqua" w:eastAsia="Book Antiqua" w:hAnsi="Book Antiqua" w:cs="Book Antiqua"/>
          <w:color w:val="000000"/>
          <w:highlight w:val="yellow"/>
        </w:rPr>
        <w:t xml:space="preserve"> ed. Cham: Springer, 2017: 109</w:t>
      </w:r>
      <w:r w:rsidR="00C051A8">
        <w:rPr>
          <w:rFonts w:ascii="Book Antiqua" w:eastAsia="Book Antiqua" w:hAnsi="Book Antiqua" w:cs="Book Antiqua"/>
          <w:color w:val="000000"/>
          <w:highlight w:val="yellow"/>
        </w:rPr>
        <w:t>-</w:t>
      </w:r>
      <w:r w:rsidRPr="00205C83">
        <w:rPr>
          <w:rFonts w:ascii="Book Antiqua" w:eastAsia="Book Antiqua" w:hAnsi="Book Antiqua" w:cs="Book Antiqua"/>
          <w:color w:val="000000"/>
          <w:highlight w:val="yellow"/>
        </w:rPr>
        <w:t>135</w:t>
      </w:r>
    </w:p>
    <w:p w14:paraId="1C186D9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Seymour RA</w:t>
      </w:r>
      <w:r>
        <w:rPr>
          <w:rFonts w:ascii="Book Antiqua" w:eastAsia="Book Antiqua" w:hAnsi="Book Antiqua" w:cs="Book Antiqua"/>
          <w:color w:val="000000"/>
        </w:rPr>
        <w:t xml:space="preserve">, Ellis JS, Thomason JM. Risk factors for drug-induced gingival overgrowth.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27</w:t>
      </w:r>
      <w:r>
        <w:rPr>
          <w:rFonts w:ascii="Book Antiqua" w:eastAsia="Book Antiqua" w:hAnsi="Book Antiqua" w:cs="Book Antiqua"/>
          <w:color w:val="000000"/>
        </w:rPr>
        <w:t>: 217-223 [PMID: 10783833 DOI: 10.1034/j.1600-051x.2000.027004217.x]</w:t>
      </w:r>
    </w:p>
    <w:p w14:paraId="703066C2"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Kaur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Verhamme</w:t>
      </w:r>
      <w:proofErr w:type="spellEnd"/>
      <w:r>
        <w:rPr>
          <w:rFonts w:ascii="Book Antiqua" w:eastAsia="Book Antiqua" w:hAnsi="Book Antiqua" w:cs="Book Antiqua"/>
          <w:color w:val="000000"/>
        </w:rPr>
        <w:t xml:space="preserve"> KM, Dieleman JP, </w:t>
      </w:r>
      <w:proofErr w:type="spellStart"/>
      <w:r>
        <w:rPr>
          <w:rFonts w:ascii="Book Antiqua" w:eastAsia="Book Antiqua" w:hAnsi="Book Antiqua" w:cs="Book Antiqua"/>
          <w:color w:val="000000"/>
        </w:rPr>
        <w:t>Vanrolleghem</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Soest</w:t>
      </w:r>
      <w:proofErr w:type="spellEnd"/>
      <w:r>
        <w:rPr>
          <w:rFonts w:ascii="Book Antiqua" w:eastAsia="Book Antiqua" w:hAnsi="Book Antiqua" w:cs="Book Antiqua"/>
          <w:color w:val="000000"/>
        </w:rPr>
        <w:t xml:space="preserve"> EM, Stricker BH, </w:t>
      </w:r>
      <w:proofErr w:type="spellStart"/>
      <w:r>
        <w:rPr>
          <w:rFonts w:ascii="Book Antiqua" w:eastAsia="Book Antiqua" w:hAnsi="Book Antiqua" w:cs="Book Antiqua"/>
          <w:color w:val="000000"/>
        </w:rPr>
        <w:t>Sturkenboom</w:t>
      </w:r>
      <w:proofErr w:type="spellEnd"/>
      <w:r>
        <w:rPr>
          <w:rFonts w:ascii="Book Antiqua" w:eastAsia="Book Antiqua" w:hAnsi="Book Antiqua" w:cs="Book Antiqua"/>
          <w:color w:val="000000"/>
        </w:rPr>
        <w:t xml:space="preserve"> MC. Association between calcium channel blockers and gingival hyperplasia.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37</w:t>
      </w:r>
      <w:r>
        <w:rPr>
          <w:rFonts w:ascii="Book Antiqua" w:eastAsia="Book Antiqua" w:hAnsi="Book Antiqua" w:cs="Book Antiqua"/>
          <w:color w:val="000000"/>
        </w:rPr>
        <w:t>: 625-630 [PMID: 20642630 DOI: 10.1111/j.1600-051X.2010.01574.x]</w:t>
      </w:r>
    </w:p>
    <w:p w14:paraId="0BE30FD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Hatahira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Abe J, </w:t>
      </w:r>
      <w:proofErr w:type="spellStart"/>
      <w:r>
        <w:rPr>
          <w:rFonts w:ascii="Book Antiqua" w:eastAsia="Book Antiqua" w:hAnsi="Book Antiqua" w:cs="Book Antiqua"/>
          <w:color w:val="000000"/>
        </w:rPr>
        <w:t>Hane</w:t>
      </w:r>
      <w:proofErr w:type="spellEnd"/>
      <w:r>
        <w:rPr>
          <w:rFonts w:ascii="Book Antiqua" w:eastAsia="Book Antiqua" w:hAnsi="Book Antiqua" w:cs="Book Antiqua"/>
          <w:color w:val="000000"/>
        </w:rPr>
        <w:t xml:space="preserve"> Y, Matsui T, </w:t>
      </w:r>
      <w:proofErr w:type="spellStart"/>
      <w:r>
        <w:rPr>
          <w:rFonts w:ascii="Book Antiqua" w:eastAsia="Book Antiqua" w:hAnsi="Book Antiqua" w:cs="Book Antiqua"/>
          <w:color w:val="000000"/>
        </w:rPr>
        <w:t>Sasaoka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Motooka</w:t>
      </w:r>
      <w:proofErr w:type="spellEnd"/>
      <w:r>
        <w:rPr>
          <w:rFonts w:ascii="Book Antiqua" w:eastAsia="Book Antiqua" w:hAnsi="Book Antiqua" w:cs="Book Antiqua"/>
          <w:color w:val="000000"/>
        </w:rPr>
        <w:t xml:space="preserve"> Y, Hasegawa S, Fukuda A, </w:t>
      </w:r>
      <w:proofErr w:type="spellStart"/>
      <w:r>
        <w:rPr>
          <w:rFonts w:ascii="Book Antiqua" w:eastAsia="Book Antiqua" w:hAnsi="Book Antiqua" w:cs="Book Antiqua"/>
          <w:color w:val="000000"/>
        </w:rPr>
        <w:t>Naganuma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Ohmori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Kinosada</w:t>
      </w:r>
      <w:proofErr w:type="spellEnd"/>
      <w:r>
        <w:rPr>
          <w:rFonts w:ascii="Book Antiqua" w:eastAsia="Book Antiqua" w:hAnsi="Book Antiqua" w:cs="Book Antiqua"/>
          <w:color w:val="000000"/>
        </w:rPr>
        <w:t xml:space="preserve"> Y, Nakamura M. Drug-induced gingival hyperplasia: a retrospective study using spontaneous reporting system databases. </w:t>
      </w:r>
      <w:r>
        <w:rPr>
          <w:rFonts w:ascii="Book Antiqua" w:eastAsia="Book Antiqua" w:hAnsi="Book Antiqua" w:cs="Book Antiqua"/>
          <w:i/>
          <w:iCs/>
          <w:color w:val="000000"/>
        </w:rPr>
        <w:t>J Pharm Health Care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19 [PMID: 28729910 DOI: 10.1186/s40780-017-0088-5]</w:t>
      </w:r>
    </w:p>
    <w:p w14:paraId="20E2C222"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Livada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Shiloah</w:t>
      </w:r>
      <w:proofErr w:type="spellEnd"/>
      <w:r>
        <w:rPr>
          <w:rFonts w:ascii="Book Antiqua" w:eastAsia="Book Antiqua" w:hAnsi="Book Antiqua" w:cs="Book Antiqua"/>
          <w:color w:val="000000"/>
        </w:rPr>
        <w:t xml:space="preserve"> J. Calcium channel blocker-induced gingival enlargement. </w:t>
      </w:r>
      <w:r>
        <w:rPr>
          <w:rFonts w:ascii="Book Antiqua" w:eastAsia="Book Antiqua" w:hAnsi="Book Antiqua" w:cs="Book Antiqua"/>
          <w:i/>
          <w:iCs/>
          <w:color w:val="000000"/>
        </w:rPr>
        <w:t xml:space="preserve">J Hum </w:t>
      </w:r>
      <w:proofErr w:type="spellStart"/>
      <w:r>
        <w:rPr>
          <w:rFonts w:ascii="Book Antiqua" w:eastAsia="Book Antiqua" w:hAnsi="Book Antiqua" w:cs="Book Antiqua"/>
          <w:i/>
          <w:iCs/>
          <w:color w:val="000000"/>
        </w:rPr>
        <w:t>Hypertens</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10-14 [PMID: 23739159 DOI: 10.1038/jhh.2013.47]</w:t>
      </w:r>
    </w:p>
    <w:p w14:paraId="363E59D6"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Somacarrera</w:t>
      </w:r>
      <w:proofErr w:type="spellEnd"/>
      <w:r>
        <w:rPr>
          <w:rFonts w:ascii="Book Antiqua" w:eastAsia="Book Antiqua" w:hAnsi="Book Antiqua" w:cs="Book Antiqua"/>
          <w:b/>
          <w:bCs/>
          <w:color w:val="000000"/>
        </w:rPr>
        <w:t xml:space="preserve"> ML</w:t>
      </w:r>
      <w:r>
        <w:rPr>
          <w:rFonts w:ascii="Book Antiqua" w:eastAsia="Book Antiqua" w:hAnsi="Book Antiqua" w:cs="Book Antiqua"/>
          <w:color w:val="000000"/>
        </w:rPr>
        <w:t xml:space="preserve">, Hernández G, </w:t>
      </w:r>
      <w:proofErr w:type="spellStart"/>
      <w:r>
        <w:rPr>
          <w:rFonts w:ascii="Book Antiqua" w:eastAsia="Book Antiqua" w:hAnsi="Book Antiqua" w:cs="Book Antiqua"/>
          <w:color w:val="000000"/>
        </w:rPr>
        <w:t>Acero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Moskow</w:t>
      </w:r>
      <w:proofErr w:type="spellEnd"/>
      <w:r>
        <w:rPr>
          <w:rFonts w:ascii="Book Antiqua" w:eastAsia="Book Antiqua" w:hAnsi="Book Antiqua" w:cs="Book Antiqua"/>
          <w:color w:val="000000"/>
        </w:rPr>
        <w:t xml:space="preserve"> BS. Factors related to the incidence and severity of cyclosporin-induced gingival overgrowth in transplant patients. A longitudinal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1994; </w:t>
      </w:r>
      <w:r>
        <w:rPr>
          <w:rFonts w:ascii="Book Antiqua" w:eastAsia="Book Antiqua" w:hAnsi="Book Antiqua" w:cs="Book Antiqua"/>
          <w:b/>
          <w:bCs/>
          <w:color w:val="000000"/>
        </w:rPr>
        <w:t>65</w:t>
      </w:r>
      <w:r>
        <w:rPr>
          <w:rFonts w:ascii="Book Antiqua" w:eastAsia="Book Antiqua" w:hAnsi="Book Antiqua" w:cs="Book Antiqua"/>
          <w:color w:val="000000"/>
        </w:rPr>
        <w:t>: 671-675 [PMID: 7608843 DOI: 10.1902/jop.1994.65.7.671]</w:t>
      </w:r>
    </w:p>
    <w:p w14:paraId="11092529" w14:textId="77777777" w:rsidR="00A77B3E" w:rsidRDefault="00CD1199" w:rsidP="003D4BF7">
      <w:pPr>
        <w:adjustRightInd w:val="0"/>
        <w:spacing w:line="360" w:lineRule="auto"/>
        <w:jc w:val="both"/>
      </w:pPr>
      <w:r w:rsidRPr="00C21AB9">
        <w:rPr>
          <w:rFonts w:ascii="Book Antiqua" w:eastAsia="Book Antiqua" w:hAnsi="Book Antiqua" w:cs="Book Antiqua"/>
          <w:color w:val="000000"/>
        </w:rPr>
        <w:lastRenderedPageBreak/>
        <w:t xml:space="preserve">16 </w:t>
      </w:r>
      <w:proofErr w:type="spellStart"/>
      <w:r w:rsidRPr="00C21AB9">
        <w:rPr>
          <w:rFonts w:ascii="Book Antiqua" w:eastAsia="Book Antiqua" w:hAnsi="Book Antiqua" w:cs="Book Antiqua"/>
          <w:b/>
          <w:bCs/>
          <w:color w:val="000000"/>
        </w:rPr>
        <w:t>Sabarudin</w:t>
      </w:r>
      <w:proofErr w:type="spellEnd"/>
      <w:r w:rsidRPr="00C21AB9">
        <w:rPr>
          <w:rFonts w:ascii="Book Antiqua" w:eastAsia="Book Antiqua" w:hAnsi="Book Antiqua" w:cs="Book Antiqua"/>
          <w:b/>
          <w:bCs/>
          <w:color w:val="000000"/>
        </w:rPr>
        <w:t xml:space="preserve"> MA</w:t>
      </w:r>
      <w:r w:rsidRPr="00C051A8">
        <w:rPr>
          <w:rFonts w:ascii="Book Antiqua" w:eastAsia="Book Antiqua" w:hAnsi="Book Antiqua" w:cs="Book Antiqua"/>
          <w:color w:val="000000"/>
        </w:rPr>
        <w:t>,</w:t>
      </w:r>
      <w:r w:rsidRPr="00C21AB9">
        <w:rPr>
          <w:rFonts w:ascii="Book Antiqua" w:eastAsia="Book Antiqua" w:hAnsi="Book Antiqua" w:cs="Book Antiqua"/>
          <w:color w:val="000000"/>
        </w:rPr>
        <w:t xml:space="preserve"> </w:t>
      </w:r>
      <w:proofErr w:type="spellStart"/>
      <w:r w:rsidRPr="00C21AB9">
        <w:rPr>
          <w:rFonts w:ascii="Book Antiqua" w:eastAsia="Book Antiqua" w:hAnsi="Book Antiqua" w:cs="Book Antiqua"/>
          <w:color w:val="000000"/>
        </w:rPr>
        <w:t>Taib</w:t>
      </w:r>
      <w:proofErr w:type="spellEnd"/>
      <w:r w:rsidRPr="00C21AB9">
        <w:rPr>
          <w:rFonts w:ascii="Book Antiqua" w:eastAsia="Book Antiqua" w:hAnsi="Book Antiqua" w:cs="Book Antiqua"/>
          <w:color w:val="000000"/>
        </w:rPr>
        <w:t xml:space="preserve"> H. Drug-influenced Gingival Enlargement: Overview of the Clinical Features and Assessment Methods. </w:t>
      </w:r>
      <w:r w:rsidRPr="00C21AB9">
        <w:rPr>
          <w:rFonts w:ascii="Book Antiqua" w:eastAsia="Book Antiqua" w:hAnsi="Book Antiqua" w:cs="Book Antiqua"/>
          <w:i/>
          <w:color w:val="000000"/>
        </w:rPr>
        <w:t>J Dentists</w:t>
      </w:r>
      <w:r w:rsidRPr="00C21AB9">
        <w:rPr>
          <w:rFonts w:ascii="Book Antiqua" w:eastAsia="Book Antiqua" w:hAnsi="Book Antiqua" w:cs="Book Antiqua"/>
          <w:color w:val="000000"/>
        </w:rPr>
        <w:t xml:space="preserve"> 2019; </w:t>
      </w:r>
      <w:r w:rsidRPr="00C21AB9">
        <w:rPr>
          <w:rFonts w:ascii="Book Antiqua" w:eastAsia="Book Antiqua" w:hAnsi="Book Antiqua" w:cs="Book Antiqua"/>
          <w:b/>
          <w:color w:val="000000"/>
        </w:rPr>
        <w:t>7</w:t>
      </w:r>
      <w:r w:rsidRPr="00C051A8">
        <w:rPr>
          <w:rFonts w:ascii="Book Antiqua" w:eastAsia="Book Antiqua" w:hAnsi="Book Antiqua" w:cs="Book Antiqua"/>
          <w:bCs/>
          <w:color w:val="000000"/>
        </w:rPr>
        <w:t>:</w:t>
      </w:r>
      <w:r w:rsidRPr="00C21AB9">
        <w:rPr>
          <w:rFonts w:ascii="Book Antiqua" w:eastAsia="Book Antiqua" w:hAnsi="Book Antiqua" w:cs="Book Antiqua"/>
          <w:b/>
          <w:color w:val="000000"/>
        </w:rPr>
        <w:t xml:space="preserve"> </w:t>
      </w:r>
      <w:r w:rsidRPr="00C21AB9">
        <w:rPr>
          <w:rFonts w:ascii="Book Antiqua" w:eastAsia="Book Antiqua" w:hAnsi="Book Antiqua" w:cs="Book Antiqua"/>
          <w:color w:val="000000"/>
        </w:rPr>
        <w:t>1-7 [DOI: 10.12974/2311-8695.2019.07.1]</w:t>
      </w:r>
    </w:p>
    <w:p w14:paraId="26E3552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Hasturk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Kantarci</w:t>
      </w:r>
      <w:proofErr w:type="spellEnd"/>
      <w:r>
        <w:rPr>
          <w:rFonts w:ascii="Book Antiqua" w:eastAsia="Book Antiqua" w:hAnsi="Book Antiqua" w:cs="Book Antiqua"/>
          <w:color w:val="000000"/>
        </w:rPr>
        <w:t xml:space="preserve"> A. Activation and resolution of periodontal inflammation and its systemic impact.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2015; </w:t>
      </w:r>
      <w:r>
        <w:rPr>
          <w:rFonts w:ascii="Book Antiqua" w:eastAsia="Book Antiqua" w:hAnsi="Book Antiqua" w:cs="Book Antiqua"/>
          <w:b/>
          <w:bCs/>
          <w:color w:val="000000"/>
        </w:rPr>
        <w:t>69</w:t>
      </w:r>
      <w:r>
        <w:rPr>
          <w:rFonts w:ascii="Book Antiqua" w:eastAsia="Book Antiqua" w:hAnsi="Book Antiqua" w:cs="Book Antiqua"/>
          <w:color w:val="000000"/>
        </w:rPr>
        <w:t>: 255-273 [PMID: 26252412 DOI: 10.1111/prd.12105]</w:t>
      </w:r>
    </w:p>
    <w:p w14:paraId="7A45DEE0"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Liccardo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Cannavo</w:t>
      </w:r>
      <w:proofErr w:type="spellEnd"/>
      <w:r>
        <w:rPr>
          <w:rFonts w:ascii="Book Antiqua" w:eastAsia="Book Antiqua" w:hAnsi="Book Antiqua" w:cs="Book Antiqua"/>
          <w:color w:val="000000"/>
        </w:rPr>
        <w:t xml:space="preserve"> A, Spagnuolo G, Ferrara N, </w:t>
      </w:r>
      <w:proofErr w:type="spellStart"/>
      <w:r>
        <w:rPr>
          <w:rFonts w:ascii="Book Antiqua" w:eastAsia="Book Antiqua" w:hAnsi="Book Antiqua" w:cs="Book Antiqua"/>
          <w:color w:val="000000"/>
        </w:rPr>
        <w:t>Cittadini</w:t>
      </w:r>
      <w:proofErr w:type="spellEnd"/>
      <w:r>
        <w:rPr>
          <w:rFonts w:ascii="Book Antiqua" w:eastAsia="Book Antiqua" w:hAnsi="Book Antiqua" w:cs="Book Antiqua"/>
          <w:color w:val="000000"/>
        </w:rPr>
        <w:t xml:space="preserve"> A, Rengo C, Rengo G. Periodontal Disease: A Risk Factor for Diabetes and Cardiovascular Disease.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[PMID: 30897827 DOI: 10.3390/ijms20061414]</w:t>
      </w:r>
    </w:p>
    <w:p w14:paraId="65843C4C"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Radomski MW</w:t>
      </w:r>
      <w:r>
        <w:rPr>
          <w:rFonts w:ascii="Book Antiqua" w:eastAsia="Book Antiqua" w:hAnsi="Book Antiqua" w:cs="Book Antiqua"/>
          <w:color w:val="000000"/>
        </w:rPr>
        <w:t xml:space="preserve">, Palmer RM, Moncada S. Comparative pharmacology of endothelium-derived relaxing factor, nitric oxide and prostacyclin in platelets.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92</w:t>
      </w:r>
      <w:r>
        <w:rPr>
          <w:rFonts w:ascii="Book Antiqua" w:eastAsia="Book Antiqua" w:hAnsi="Book Antiqua" w:cs="Book Antiqua"/>
          <w:color w:val="000000"/>
        </w:rPr>
        <w:t>: 181-187 [PMID: 3311265 DOI: 10.1111/j.1476-5381.1987.tb11310.x]</w:t>
      </w:r>
    </w:p>
    <w:p w14:paraId="1D0A127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Rapone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Ferrara E, </w:t>
      </w:r>
      <w:proofErr w:type="spellStart"/>
      <w:r>
        <w:rPr>
          <w:rFonts w:ascii="Book Antiqua" w:eastAsia="Book Antiqua" w:hAnsi="Book Antiqua" w:cs="Book Antiqua"/>
          <w:color w:val="000000"/>
        </w:rPr>
        <w:t>Santacroce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Cesarano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Arazzi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Liberato</w:t>
      </w:r>
      <w:proofErr w:type="spellEnd"/>
      <w:r>
        <w:rPr>
          <w:rFonts w:ascii="Book Antiqua" w:eastAsia="Book Antiqua" w:hAnsi="Book Antiqua" w:cs="Book Antiqua"/>
          <w:color w:val="000000"/>
        </w:rPr>
        <w:t xml:space="preserve"> LD, </w:t>
      </w:r>
      <w:proofErr w:type="spellStart"/>
      <w:r>
        <w:rPr>
          <w:rFonts w:ascii="Book Antiqua" w:eastAsia="Book Antiqua" w:hAnsi="Book Antiqua" w:cs="Book Antiqua"/>
          <w:color w:val="000000"/>
        </w:rPr>
        <w:t>Scacco</w:t>
      </w:r>
      <w:proofErr w:type="spellEnd"/>
      <w:r>
        <w:rPr>
          <w:rFonts w:ascii="Book Antiqua" w:eastAsia="Book Antiqua" w:hAnsi="Book Antiqua" w:cs="Book Antiqua"/>
          <w:color w:val="000000"/>
        </w:rPr>
        <w:t xml:space="preserve"> S, Grassi R, Grassi FR, </w:t>
      </w:r>
      <w:proofErr w:type="spellStart"/>
      <w:r>
        <w:rPr>
          <w:rFonts w:ascii="Book Antiqua" w:eastAsia="Book Antiqua" w:hAnsi="Book Antiqua" w:cs="Book Antiqua"/>
          <w:color w:val="000000"/>
        </w:rPr>
        <w:t>Gnoni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Nardi</w:t>
      </w:r>
      <w:proofErr w:type="spellEnd"/>
      <w:r>
        <w:rPr>
          <w:rFonts w:ascii="Book Antiqua" w:eastAsia="Book Antiqua" w:hAnsi="Book Antiqua" w:cs="Book Antiqua"/>
          <w:color w:val="000000"/>
        </w:rPr>
        <w:t xml:space="preserve"> GM. Periodontal Microbiological Status Influences the Occurrence of Cyclosporine-A and Tacrolimus-Induced Gingival Overgrowth. </w:t>
      </w:r>
      <w:r>
        <w:rPr>
          <w:rFonts w:ascii="Book Antiqua" w:eastAsia="Book Antiqua" w:hAnsi="Book Antiqua" w:cs="Book Antiqua"/>
          <w:i/>
          <w:iCs/>
          <w:color w:val="000000"/>
        </w:rPr>
        <w:t>Antibiotics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31438651 DOI: 10.3390/antibiotics8030124]</w:t>
      </w:r>
    </w:p>
    <w:p w14:paraId="267242EF"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Meisel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Giebel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Kunert</w:t>
      </w:r>
      <w:proofErr w:type="spellEnd"/>
      <w:r>
        <w:rPr>
          <w:rFonts w:ascii="Book Antiqua" w:eastAsia="Book Antiqua" w:hAnsi="Book Antiqua" w:cs="Book Antiqua"/>
          <w:color w:val="000000"/>
        </w:rPr>
        <w:t xml:space="preserve">-Keil C, </w:t>
      </w:r>
      <w:proofErr w:type="spellStart"/>
      <w:r>
        <w:rPr>
          <w:rFonts w:ascii="Book Antiqua" w:eastAsia="Book Antiqua" w:hAnsi="Book Antiqua" w:cs="Book Antiqua"/>
          <w:color w:val="000000"/>
        </w:rPr>
        <w:t>Dazert</w:t>
      </w:r>
      <w:proofErr w:type="spellEnd"/>
      <w:r>
        <w:rPr>
          <w:rFonts w:ascii="Book Antiqua" w:eastAsia="Book Antiqua" w:hAnsi="Book Antiqua" w:cs="Book Antiqua"/>
          <w:color w:val="000000"/>
        </w:rPr>
        <w:t xml:space="preserve"> P, Kroemer HK, Kocher T. MDR1 gene polymorphisms and risk of gingival hyperplasia induced by calcium antagonists.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79</w:t>
      </w:r>
      <w:r>
        <w:rPr>
          <w:rFonts w:ascii="Book Antiqua" w:eastAsia="Book Antiqua" w:hAnsi="Book Antiqua" w:cs="Book Antiqua"/>
          <w:color w:val="000000"/>
        </w:rPr>
        <w:t>: 62-71 [PMID: 16413242 DOI: 10.1016/j.clpt.2005.09.008]</w:t>
      </w:r>
    </w:p>
    <w:p w14:paraId="087E820D"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Thomason JM</w:t>
      </w:r>
      <w:r>
        <w:rPr>
          <w:rFonts w:ascii="Book Antiqua" w:eastAsia="Book Antiqua" w:hAnsi="Book Antiqua" w:cs="Book Antiqua"/>
          <w:color w:val="000000"/>
        </w:rPr>
        <w:t xml:space="preserve">, Seymour RA, Ellis JS, Kelly PJ, Parry G, Dark J, Wilkinson R, </w:t>
      </w:r>
      <w:proofErr w:type="spellStart"/>
      <w:r>
        <w:rPr>
          <w:rFonts w:ascii="Book Antiqua" w:eastAsia="Book Antiqua" w:hAnsi="Book Antiqua" w:cs="Book Antiqua"/>
          <w:color w:val="000000"/>
        </w:rPr>
        <w:t>Ilde</w:t>
      </w:r>
      <w:proofErr w:type="spellEnd"/>
      <w:r>
        <w:rPr>
          <w:rFonts w:ascii="Book Antiqua" w:eastAsia="Book Antiqua" w:hAnsi="Book Antiqua" w:cs="Book Antiqua"/>
          <w:color w:val="000000"/>
        </w:rPr>
        <w:t xml:space="preserve"> JR. Determinants of gingival overgrowth severity in organ transplant patients. An examination of the </w:t>
      </w:r>
      <w:proofErr w:type="spellStart"/>
      <w:r>
        <w:rPr>
          <w:rFonts w:ascii="Book Antiqua" w:eastAsia="Book Antiqua" w:hAnsi="Book Antiqua" w:cs="Book Antiqua"/>
          <w:color w:val="000000"/>
        </w:rPr>
        <w:t>rôle</w:t>
      </w:r>
      <w:proofErr w:type="spellEnd"/>
      <w:r>
        <w:rPr>
          <w:rFonts w:ascii="Book Antiqua" w:eastAsia="Book Antiqua" w:hAnsi="Book Antiqua" w:cs="Book Antiqua"/>
          <w:color w:val="000000"/>
        </w:rPr>
        <w:t xml:space="preserve"> of HLA phenotype.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628-634 [PMID: 8841894 DOI: 10.1111/j.1600-051x.1996.tb00586.x]</w:t>
      </w:r>
    </w:p>
    <w:p w14:paraId="784FDB2D"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Dongari-Bagtzoglou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Research, Science and Therapy Committee, American Academy of Periodontology. Drug-associated gingival enlargement.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1424-1431 [PMID: 15562922 DOI: 10.1902/jop.2004.75.10.1424]</w:t>
      </w:r>
    </w:p>
    <w:p w14:paraId="2A983EDE" w14:textId="77777777"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Duncan MR</w:t>
      </w:r>
      <w:r>
        <w:rPr>
          <w:rFonts w:ascii="Book Antiqua" w:eastAsia="Book Antiqua" w:hAnsi="Book Antiqua" w:cs="Book Antiqua"/>
          <w:color w:val="000000"/>
        </w:rPr>
        <w:t xml:space="preserve">, Berman B. Stimulation of collagen and glycosaminoglycan production in cultured human adult dermal fibroblasts by recombinant human interleukin 6. </w:t>
      </w:r>
      <w:r>
        <w:rPr>
          <w:rFonts w:ascii="Book Antiqua" w:eastAsia="Book Antiqua" w:hAnsi="Book Antiqua" w:cs="Book Antiqua"/>
          <w:i/>
          <w:iCs/>
          <w:color w:val="000000"/>
        </w:rPr>
        <w:t>J Invest Dermatol</w:t>
      </w:r>
      <w:r>
        <w:rPr>
          <w:rFonts w:ascii="Book Antiqua" w:eastAsia="Book Antiqua" w:hAnsi="Book Antiqua" w:cs="Book Antiqua"/>
          <w:color w:val="000000"/>
        </w:rPr>
        <w:t xml:space="preserve"> 1991; </w:t>
      </w:r>
      <w:r>
        <w:rPr>
          <w:rFonts w:ascii="Book Antiqua" w:eastAsia="Book Antiqua" w:hAnsi="Book Antiqua" w:cs="Book Antiqua"/>
          <w:b/>
          <w:bCs/>
          <w:color w:val="000000"/>
        </w:rPr>
        <w:t>97</w:t>
      </w:r>
      <w:r>
        <w:rPr>
          <w:rFonts w:ascii="Book Antiqua" w:eastAsia="Book Antiqua" w:hAnsi="Book Antiqua" w:cs="Book Antiqua"/>
          <w:color w:val="000000"/>
        </w:rPr>
        <w:t>: 686-692 [PMID: 1940439 DOI: 10.1111/1523-1747.ep12483971]</w:t>
      </w:r>
    </w:p>
    <w:p w14:paraId="2DB08552"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Goriuc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Foia</w:t>
      </w:r>
      <w:proofErr w:type="spellEnd"/>
      <w:r>
        <w:rPr>
          <w:rFonts w:ascii="Book Antiqua" w:eastAsia="Book Antiqua" w:hAnsi="Book Antiqua" w:cs="Book Antiqua"/>
          <w:color w:val="000000"/>
        </w:rPr>
        <w:t xml:space="preserve"> LG, </w:t>
      </w:r>
      <w:proofErr w:type="spellStart"/>
      <w:r>
        <w:rPr>
          <w:rFonts w:ascii="Book Antiqua" w:eastAsia="Book Antiqua" w:hAnsi="Book Antiqua" w:cs="Book Antiqua"/>
          <w:color w:val="000000"/>
        </w:rPr>
        <w:t>Minea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Luchian</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Surdu</w:t>
      </w:r>
      <w:proofErr w:type="spellEnd"/>
      <w:r>
        <w:rPr>
          <w:rFonts w:ascii="Book Antiqua" w:eastAsia="Book Antiqua" w:hAnsi="Book Antiqua" w:cs="Book Antiqua"/>
          <w:color w:val="000000"/>
        </w:rPr>
        <w:t xml:space="preserve"> AE, Toma V, </w:t>
      </w:r>
      <w:proofErr w:type="spellStart"/>
      <w:r>
        <w:rPr>
          <w:rFonts w:ascii="Book Antiqua" w:eastAsia="Book Antiqua" w:hAnsi="Book Antiqua" w:cs="Book Antiqua"/>
          <w:color w:val="000000"/>
        </w:rPr>
        <w:t>Costuleanu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Mârţu</w:t>
      </w:r>
      <w:proofErr w:type="spellEnd"/>
      <w:r>
        <w:rPr>
          <w:rFonts w:ascii="Book Antiqua" w:eastAsia="Book Antiqua" w:hAnsi="Book Antiqua" w:cs="Book Antiqua"/>
          <w:color w:val="000000"/>
        </w:rPr>
        <w:t xml:space="preserve"> I. Drug-induced gingival hyperplasia - experimental model. </w:t>
      </w:r>
      <w:r>
        <w:rPr>
          <w:rFonts w:ascii="Book Antiqua" w:eastAsia="Book Antiqua" w:hAnsi="Book Antiqua" w:cs="Book Antiqua"/>
          <w:i/>
          <w:iCs/>
          <w:color w:val="000000"/>
        </w:rPr>
        <w:t xml:space="preserve">Rom J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Embryol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1371-1376 [PMID: 29556630]</w:t>
      </w:r>
    </w:p>
    <w:p w14:paraId="67F756E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Deliliers</w:t>
      </w:r>
      <w:proofErr w:type="spellEnd"/>
      <w:r>
        <w:rPr>
          <w:rFonts w:ascii="Book Antiqua" w:eastAsia="Book Antiqua" w:hAnsi="Book Antiqua" w:cs="Book Antiqua"/>
          <w:b/>
          <w:bCs/>
          <w:color w:val="000000"/>
        </w:rPr>
        <w:t xml:space="preserve"> GL</w:t>
      </w:r>
      <w:r>
        <w:rPr>
          <w:rFonts w:ascii="Book Antiqua" w:eastAsia="Book Antiqua" w:hAnsi="Book Antiqua" w:cs="Book Antiqua"/>
          <w:color w:val="000000"/>
        </w:rPr>
        <w:t xml:space="preserve">, Santoro F, </w:t>
      </w:r>
      <w:proofErr w:type="spellStart"/>
      <w:r>
        <w:rPr>
          <w:rFonts w:ascii="Book Antiqua" w:eastAsia="Book Antiqua" w:hAnsi="Book Antiqua" w:cs="Book Antiqua"/>
          <w:color w:val="000000"/>
        </w:rPr>
        <w:t>Polli</w:t>
      </w:r>
      <w:proofErr w:type="spellEnd"/>
      <w:r>
        <w:rPr>
          <w:rFonts w:ascii="Book Antiqua" w:eastAsia="Book Antiqua" w:hAnsi="Book Antiqua" w:cs="Book Antiqua"/>
          <w:color w:val="000000"/>
        </w:rPr>
        <w:t xml:space="preserve"> N, Bruno E, </w:t>
      </w:r>
      <w:proofErr w:type="spellStart"/>
      <w:r>
        <w:rPr>
          <w:rFonts w:ascii="Book Antiqua" w:eastAsia="Book Antiqua" w:hAnsi="Book Antiqua" w:cs="Book Antiqua"/>
          <w:color w:val="000000"/>
        </w:rPr>
        <w:t>Fumagalli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Risciotti</w:t>
      </w:r>
      <w:proofErr w:type="spellEnd"/>
      <w:r>
        <w:rPr>
          <w:rFonts w:ascii="Book Antiqua" w:eastAsia="Book Antiqua" w:hAnsi="Book Antiqua" w:cs="Book Antiqua"/>
          <w:color w:val="000000"/>
        </w:rPr>
        <w:t xml:space="preserve"> E. Light and electron microscopic study of cyclosporin A-induced gingival hyperplasia.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57</w:t>
      </w:r>
      <w:r>
        <w:rPr>
          <w:rFonts w:ascii="Book Antiqua" w:eastAsia="Book Antiqua" w:hAnsi="Book Antiqua" w:cs="Book Antiqua"/>
          <w:color w:val="000000"/>
        </w:rPr>
        <w:t>: 771-775 [PMID: 3467061 DOI: 10.1902/jop.1986.57.12.771]</w:t>
      </w:r>
    </w:p>
    <w:p w14:paraId="16CCE98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Ellis JS</w:t>
      </w:r>
      <w:r>
        <w:rPr>
          <w:rFonts w:ascii="Book Antiqua" w:eastAsia="Book Antiqua" w:hAnsi="Book Antiqua" w:cs="Book Antiqua"/>
          <w:color w:val="000000"/>
        </w:rPr>
        <w:t xml:space="preserve">, Seymour RA, Taylor JJ, Thomason JM. Prevalence of gingival overgrowth in transplant patients immunosuppressed with tacrolimus.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31</w:t>
      </w:r>
      <w:r>
        <w:rPr>
          <w:rFonts w:ascii="Book Antiqua" w:eastAsia="Book Antiqua" w:hAnsi="Book Antiqua" w:cs="Book Antiqua"/>
          <w:color w:val="000000"/>
        </w:rPr>
        <w:t>: 126-131 [PMID: 15016038 DOI: 10.1111/j.0303-6979.2004.00459.x]</w:t>
      </w:r>
    </w:p>
    <w:p w14:paraId="4E26C5B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Lu HK</w:t>
      </w:r>
      <w:r>
        <w:rPr>
          <w:rFonts w:ascii="Book Antiqua" w:eastAsia="Book Antiqua" w:hAnsi="Book Antiqua" w:cs="Book Antiqua"/>
          <w:color w:val="000000"/>
        </w:rPr>
        <w:t xml:space="preserve">, Tseng CC, Lee YH, Li CL, Wang LF. Flutamide inhibits nifedipine- and interleukin-1 beta-induced collagen overproduction in gingival fibroblasts. </w:t>
      </w:r>
      <w:r>
        <w:rPr>
          <w:rFonts w:ascii="Book Antiqua" w:eastAsia="Book Antiqua" w:hAnsi="Book Antiqua" w:cs="Book Antiqua"/>
          <w:i/>
          <w:iCs/>
          <w:color w:val="000000"/>
        </w:rPr>
        <w:t>J Periodontal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45</w:t>
      </w:r>
      <w:r>
        <w:rPr>
          <w:rFonts w:ascii="Book Antiqua" w:eastAsia="Book Antiqua" w:hAnsi="Book Antiqua" w:cs="Book Antiqua"/>
          <w:color w:val="000000"/>
        </w:rPr>
        <w:t>: 451-457 [PMID: 20337887 DOI: 10.1111/j.1600-0765.2009.01255.x]</w:t>
      </w:r>
    </w:p>
    <w:p w14:paraId="407AEA3F"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Lederman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Lumerman</w:t>
      </w:r>
      <w:proofErr w:type="spellEnd"/>
      <w:r>
        <w:rPr>
          <w:rFonts w:ascii="Book Antiqua" w:eastAsia="Book Antiqua" w:hAnsi="Book Antiqua" w:cs="Book Antiqua"/>
          <w:color w:val="000000"/>
        </w:rPr>
        <w:t xml:space="preserve"> H, Reuben S, Freedman PD. Gingival hyperplasia associated with nifedipine therapy. Report of a case.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57</w:t>
      </w:r>
      <w:r>
        <w:rPr>
          <w:rFonts w:ascii="Book Antiqua" w:eastAsia="Book Antiqua" w:hAnsi="Book Antiqua" w:cs="Book Antiqua"/>
          <w:color w:val="000000"/>
        </w:rPr>
        <w:t>: 620-622 [PMID: 6588343 DOI: 10.1016/0030-4220(84)90283-4]</w:t>
      </w:r>
    </w:p>
    <w:p w14:paraId="46794FA6"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Marshall RI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Bartold</w:t>
      </w:r>
      <w:proofErr w:type="spellEnd"/>
      <w:r>
        <w:rPr>
          <w:rFonts w:ascii="Book Antiqua" w:eastAsia="Book Antiqua" w:hAnsi="Book Antiqua" w:cs="Book Antiqua"/>
          <w:color w:val="000000"/>
        </w:rPr>
        <w:t xml:space="preserve"> PM. A clinical review of drug-induced gingival overgrowths. </w:t>
      </w:r>
      <w:r>
        <w:rPr>
          <w:rFonts w:ascii="Book Antiqua" w:eastAsia="Book Antiqua" w:hAnsi="Book Antiqua" w:cs="Book Antiqua"/>
          <w:i/>
          <w:iCs/>
          <w:color w:val="000000"/>
        </w:rPr>
        <w:t>Aust Dent J</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219-232 [PMID: 10687229 DOI: 10.1111/j.1834-7819.1999.tb00224.x]</w:t>
      </w:r>
    </w:p>
    <w:p w14:paraId="36F1683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Ellis JS</w:t>
      </w:r>
      <w:r>
        <w:rPr>
          <w:rFonts w:ascii="Book Antiqua" w:eastAsia="Book Antiqua" w:hAnsi="Book Antiqua" w:cs="Book Antiqua"/>
          <w:color w:val="000000"/>
        </w:rPr>
        <w:t xml:space="preserve">, Seymour RA, Steele JG, Robertson P, Butler TJ, Thomason JM. Prevalence of gingival overgrowth induced by calcium channel blockers: a community-based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70</w:t>
      </w:r>
      <w:r>
        <w:rPr>
          <w:rFonts w:ascii="Book Antiqua" w:eastAsia="Book Antiqua" w:hAnsi="Book Antiqua" w:cs="Book Antiqua"/>
          <w:color w:val="000000"/>
        </w:rPr>
        <w:t>: 63-67 [PMID: 10052772 DOI: 10.1902/jop.1999.70.1.63]</w:t>
      </w:r>
    </w:p>
    <w:p w14:paraId="66373EA6" w14:textId="77777777"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Meisel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Schwahn</w:t>
      </w:r>
      <w:proofErr w:type="spellEnd"/>
      <w:r>
        <w:rPr>
          <w:rFonts w:ascii="Book Antiqua" w:eastAsia="Book Antiqua" w:hAnsi="Book Antiqua" w:cs="Book Antiqua"/>
          <w:color w:val="000000"/>
        </w:rPr>
        <w:t xml:space="preserve"> C, John U, Kroemer HK, Kocher T. Calcium antagonists and deep gingival pockets in the population-based SHIP study. </w:t>
      </w:r>
      <w:r>
        <w:rPr>
          <w:rFonts w:ascii="Book Antiqua" w:eastAsia="Book Antiqua" w:hAnsi="Book Antiqua" w:cs="Book Antiqua"/>
          <w:i/>
          <w:iCs/>
          <w:color w:val="000000"/>
        </w:rPr>
        <w:t xml:space="preserve">Br J Clin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60</w:t>
      </w:r>
      <w:r>
        <w:rPr>
          <w:rFonts w:ascii="Book Antiqua" w:eastAsia="Book Antiqua" w:hAnsi="Book Antiqua" w:cs="Book Antiqua"/>
          <w:color w:val="000000"/>
        </w:rPr>
        <w:t>: 552-559 [PMID: 16236046 DOI: 10.1111/j.1365-2125.2005.02485.x]</w:t>
      </w:r>
    </w:p>
    <w:p w14:paraId="706B432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Barak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Engelberg</w:t>
      </w:r>
      <w:proofErr w:type="spellEnd"/>
      <w:r>
        <w:rPr>
          <w:rFonts w:ascii="Book Antiqua" w:eastAsia="Book Antiqua" w:hAnsi="Book Antiqua" w:cs="Book Antiqua"/>
          <w:color w:val="000000"/>
        </w:rPr>
        <w:t xml:space="preserve"> IS, Hiss J. Gingival hyperplasia caused by nifedipine. Histopathologic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1987; </w:t>
      </w:r>
      <w:r>
        <w:rPr>
          <w:rFonts w:ascii="Book Antiqua" w:eastAsia="Book Antiqua" w:hAnsi="Book Antiqua" w:cs="Book Antiqua"/>
          <w:b/>
          <w:bCs/>
          <w:color w:val="000000"/>
        </w:rPr>
        <w:t>58</w:t>
      </w:r>
      <w:r>
        <w:rPr>
          <w:rFonts w:ascii="Book Antiqua" w:eastAsia="Book Antiqua" w:hAnsi="Book Antiqua" w:cs="Book Antiqua"/>
          <w:color w:val="000000"/>
        </w:rPr>
        <w:t>: 639-642 [PMID: 3477631 DOI: 10.1902/jop.1987.58.9.639]</w:t>
      </w:r>
    </w:p>
    <w:p w14:paraId="5DFB97F0"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Fattore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Stablein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Bredfeldt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Semla</w:t>
      </w:r>
      <w:proofErr w:type="spellEnd"/>
      <w:r>
        <w:rPr>
          <w:rFonts w:ascii="Book Antiqua" w:eastAsia="Book Antiqua" w:hAnsi="Book Antiqua" w:cs="Book Antiqua"/>
          <w:color w:val="000000"/>
        </w:rPr>
        <w:t xml:space="preserve"> T, Moran M, Doherty-Greenberg JM. Gingival hyperplasia: a side effect of nifedipine and diltiazem. </w:t>
      </w:r>
      <w:r>
        <w:rPr>
          <w:rFonts w:ascii="Book Antiqua" w:eastAsia="Book Antiqua" w:hAnsi="Book Antiqua" w:cs="Book Antiqua"/>
          <w:i/>
          <w:iCs/>
          <w:color w:val="000000"/>
        </w:rPr>
        <w:t>Spec Care Dentist</w:t>
      </w:r>
      <w:r>
        <w:rPr>
          <w:rFonts w:ascii="Book Antiqua" w:eastAsia="Book Antiqua" w:hAnsi="Book Antiqua" w:cs="Book Antiqua"/>
          <w:color w:val="000000"/>
        </w:rPr>
        <w:t xml:space="preserve"> 1991; </w:t>
      </w:r>
      <w:r>
        <w:rPr>
          <w:rFonts w:ascii="Book Antiqua" w:eastAsia="Book Antiqua" w:hAnsi="Book Antiqua" w:cs="Book Antiqua"/>
          <w:b/>
          <w:bCs/>
          <w:color w:val="000000"/>
        </w:rPr>
        <w:t>11</w:t>
      </w:r>
      <w:r>
        <w:rPr>
          <w:rFonts w:ascii="Book Antiqua" w:eastAsia="Book Antiqua" w:hAnsi="Book Antiqua" w:cs="Book Antiqua"/>
          <w:color w:val="000000"/>
        </w:rPr>
        <w:t>: 107-109 [PMID: 1887359 DOI: 10.1111/j.1754-4505.1991.tb00828.x]</w:t>
      </w:r>
    </w:p>
    <w:p w14:paraId="1800C6B4"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Nery EB</w:t>
      </w:r>
      <w:r>
        <w:rPr>
          <w:rFonts w:ascii="Book Antiqua" w:eastAsia="Book Antiqua" w:hAnsi="Book Antiqua" w:cs="Book Antiqua"/>
          <w:color w:val="000000"/>
        </w:rPr>
        <w:t xml:space="preserve">, Edson RG, Lee KK, </w:t>
      </w:r>
      <w:proofErr w:type="spellStart"/>
      <w:r>
        <w:rPr>
          <w:rFonts w:ascii="Book Antiqua" w:eastAsia="Book Antiqua" w:hAnsi="Book Antiqua" w:cs="Book Antiqua"/>
          <w:color w:val="000000"/>
        </w:rPr>
        <w:t>Pruthi</w:t>
      </w:r>
      <w:proofErr w:type="spellEnd"/>
      <w:r>
        <w:rPr>
          <w:rFonts w:ascii="Book Antiqua" w:eastAsia="Book Antiqua" w:hAnsi="Book Antiqua" w:cs="Book Antiqua"/>
          <w:color w:val="000000"/>
        </w:rPr>
        <w:t xml:space="preserve"> VK, Watson J. Prevalence of nifedipine-induced gingival hyperplasia.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66</w:t>
      </w:r>
      <w:r>
        <w:rPr>
          <w:rFonts w:ascii="Book Antiqua" w:eastAsia="Book Antiqua" w:hAnsi="Book Antiqua" w:cs="Book Antiqua"/>
          <w:color w:val="000000"/>
        </w:rPr>
        <w:t>: 572-578 [PMID: 7562349 DOI: 10.1902/jop.1995.66.7.572]</w:t>
      </w:r>
    </w:p>
    <w:p w14:paraId="70D3AC2C" w14:textId="24BF1D58" w:rsidR="00A77B3E" w:rsidRDefault="00CD1199" w:rsidP="003D4BF7">
      <w:pPr>
        <w:adjustRightInd w:val="0"/>
        <w:spacing w:line="360" w:lineRule="auto"/>
        <w:jc w:val="both"/>
      </w:pPr>
      <w:r w:rsidRPr="00C21AB9">
        <w:rPr>
          <w:rFonts w:ascii="Book Antiqua" w:eastAsia="Book Antiqua" w:hAnsi="Book Antiqua" w:cs="Book Antiqua"/>
          <w:color w:val="000000"/>
        </w:rPr>
        <w:t xml:space="preserve">36 </w:t>
      </w:r>
      <w:r w:rsidRPr="00C21AB9">
        <w:rPr>
          <w:rFonts w:ascii="Book Antiqua" w:eastAsia="Book Antiqua" w:hAnsi="Book Antiqua" w:cs="Book Antiqua"/>
          <w:b/>
          <w:bCs/>
          <w:color w:val="000000"/>
        </w:rPr>
        <w:t>Andrew W</w:t>
      </w:r>
      <w:r w:rsidRPr="00C051A8">
        <w:rPr>
          <w:rFonts w:ascii="Book Antiqua" w:eastAsia="Book Antiqua" w:hAnsi="Book Antiqua" w:cs="Book Antiqua"/>
          <w:color w:val="000000"/>
        </w:rPr>
        <w:t>,</w:t>
      </w:r>
      <w:r w:rsidRPr="00C21AB9">
        <w:rPr>
          <w:rFonts w:ascii="Book Antiqua" w:eastAsia="Book Antiqua" w:hAnsi="Book Antiqua" w:cs="Book Antiqua"/>
          <w:color w:val="000000"/>
        </w:rPr>
        <w:t xml:space="preserve"> Evelyn W, Francis M, Mark J, Mark C. Pattern of Gingival Overgrowth among Patients on Antihypertensive Pharmacotherapy at a Nairobi Hospital in Kenya. </w:t>
      </w:r>
      <w:r w:rsidRPr="00C21AB9">
        <w:rPr>
          <w:rFonts w:ascii="Book Antiqua" w:eastAsia="Book Antiqua" w:hAnsi="Book Antiqua" w:cs="Book Antiqua"/>
          <w:i/>
          <w:color w:val="000000"/>
        </w:rPr>
        <w:t xml:space="preserve">Open J </w:t>
      </w:r>
      <w:proofErr w:type="spellStart"/>
      <w:r w:rsidRPr="00C21AB9">
        <w:rPr>
          <w:rFonts w:ascii="Book Antiqua" w:eastAsia="Book Antiqua" w:hAnsi="Book Antiqua" w:cs="Book Antiqua"/>
          <w:i/>
          <w:color w:val="000000"/>
        </w:rPr>
        <w:t>Stomato</w:t>
      </w:r>
      <w:proofErr w:type="spellEnd"/>
      <w:r w:rsidRPr="00C21AB9">
        <w:rPr>
          <w:rFonts w:ascii="Book Antiqua" w:eastAsia="Book Antiqua" w:hAnsi="Book Antiqua" w:cs="Book Antiqua"/>
          <w:color w:val="000000"/>
        </w:rPr>
        <w:t xml:space="preserve"> 2014; </w:t>
      </w:r>
      <w:r w:rsidRPr="00C21AB9">
        <w:rPr>
          <w:rFonts w:ascii="Book Antiqua" w:eastAsia="Book Antiqua" w:hAnsi="Book Antiqua" w:cs="Book Antiqua"/>
          <w:b/>
          <w:color w:val="000000"/>
        </w:rPr>
        <w:t>4</w:t>
      </w:r>
      <w:r w:rsidRPr="00C21AB9">
        <w:rPr>
          <w:rFonts w:ascii="Book Antiqua" w:eastAsia="Book Antiqua" w:hAnsi="Book Antiqua" w:cs="Book Antiqua"/>
          <w:color w:val="000000"/>
        </w:rPr>
        <w:t>: 169-173 [DOI:</w:t>
      </w:r>
      <w:r w:rsidR="00C21AB9" w:rsidRPr="00C21AB9">
        <w:rPr>
          <w:rFonts w:ascii="Book Antiqua" w:eastAsia="Book Antiqua" w:hAnsi="Book Antiqua" w:cs="Book Antiqua"/>
          <w:color w:val="000000"/>
        </w:rPr>
        <w:t xml:space="preserve"> </w:t>
      </w:r>
      <w:r w:rsidRPr="00C21AB9">
        <w:rPr>
          <w:rFonts w:ascii="Book Antiqua" w:eastAsia="Book Antiqua" w:hAnsi="Book Antiqua" w:cs="Book Antiqua"/>
          <w:color w:val="000000"/>
        </w:rPr>
        <w:t>10.4236/ojst.2014.44025]</w:t>
      </w:r>
    </w:p>
    <w:p w14:paraId="03810A7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Pradhan S</w:t>
      </w:r>
      <w:r>
        <w:rPr>
          <w:rFonts w:ascii="Book Antiqua" w:eastAsia="Book Antiqua" w:hAnsi="Book Antiqua" w:cs="Book Antiqua"/>
          <w:color w:val="000000"/>
        </w:rPr>
        <w:t xml:space="preserve">, Mishra P. Gingival enlargement in antihypertensive medication. </w:t>
      </w:r>
      <w:r>
        <w:rPr>
          <w:rFonts w:ascii="Book Antiqua" w:eastAsia="Book Antiqua" w:hAnsi="Book Antiqua" w:cs="Book Antiqua"/>
          <w:i/>
          <w:iCs/>
          <w:color w:val="000000"/>
        </w:rPr>
        <w:t>JNMA J Nepal Med Assoc</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149-152 [PMID: 20387357]</w:t>
      </w:r>
    </w:p>
    <w:p w14:paraId="087A9800"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Sekiguchi RT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Paixão</w:t>
      </w:r>
      <w:proofErr w:type="spellEnd"/>
      <w:r>
        <w:rPr>
          <w:rFonts w:ascii="Book Antiqua" w:eastAsia="Book Antiqua" w:hAnsi="Book Antiqua" w:cs="Book Antiqua"/>
          <w:color w:val="000000"/>
        </w:rPr>
        <w:t xml:space="preserve"> CG, Saraiva L, </w:t>
      </w:r>
      <w:proofErr w:type="spellStart"/>
      <w:r>
        <w:rPr>
          <w:rFonts w:ascii="Book Antiqua" w:eastAsia="Book Antiqua" w:hAnsi="Book Antiqua" w:cs="Book Antiqua"/>
          <w:color w:val="000000"/>
        </w:rPr>
        <w:t>Romito</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Pannuti</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Lotufo</w:t>
      </w:r>
      <w:proofErr w:type="spellEnd"/>
      <w:r>
        <w:rPr>
          <w:rFonts w:ascii="Book Antiqua" w:eastAsia="Book Antiqua" w:hAnsi="Book Antiqua" w:cs="Book Antiqua"/>
          <w:color w:val="000000"/>
        </w:rPr>
        <w:t xml:space="preserve"> RF. Incidence of tacrolimus-induced gingival overgrowth in the absence of calcium channel blockers: a short-term study.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545-550 [PMID: 17433046 DOI: 10.1111/j.1600-051X.2007.01074.x]</w:t>
      </w:r>
    </w:p>
    <w:p w14:paraId="6225F0A5"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Minami K</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Knyphausen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Niino</w:t>
      </w:r>
      <w:proofErr w:type="spellEnd"/>
      <w:r>
        <w:rPr>
          <w:rFonts w:ascii="Book Antiqua" w:eastAsia="Book Antiqua" w:hAnsi="Book Antiqua" w:cs="Book Antiqua"/>
          <w:color w:val="000000"/>
        </w:rPr>
        <w:t xml:space="preserve"> T, Blanz U, </w:t>
      </w:r>
      <w:proofErr w:type="spellStart"/>
      <w:r>
        <w:rPr>
          <w:rFonts w:ascii="Book Antiqua" w:eastAsia="Book Antiqua" w:hAnsi="Book Antiqua" w:cs="Book Antiqua"/>
          <w:color w:val="000000"/>
        </w:rPr>
        <w:t>Tenderich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Wlost</w:t>
      </w:r>
      <w:proofErr w:type="spellEnd"/>
      <w:r>
        <w:rPr>
          <w:rFonts w:ascii="Book Antiqua" w:eastAsia="Book Antiqua" w:hAnsi="Book Antiqua" w:cs="Book Antiqua"/>
          <w:color w:val="000000"/>
        </w:rPr>
        <w:t xml:space="preserve"> S, Meyer H, </w:t>
      </w:r>
      <w:proofErr w:type="spellStart"/>
      <w:r>
        <w:rPr>
          <w:rFonts w:ascii="Book Antiqua" w:eastAsia="Book Antiqua" w:hAnsi="Book Antiqua" w:cs="Book Antiqua"/>
          <w:color w:val="000000"/>
        </w:rPr>
        <w:t>Körfer</w:t>
      </w:r>
      <w:proofErr w:type="spellEnd"/>
      <w:r>
        <w:rPr>
          <w:rFonts w:ascii="Book Antiqua" w:eastAsia="Book Antiqua" w:hAnsi="Book Antiqua" w:cs="Book Antiqua"/>
          <w:color w:val="000000"/>
        </w:rPr>
        <w:t xml:space="preserve"> R. Long-term results of pediatric heart transplantation.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Cardiovasc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386-390 [PMID: 16401987]</w:t>
      </w:r>
    </w:p>
    <w:p w14:paraId="648DD01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Gruter</w:t>
      </w:r>
      <w:proofErr w:type="spellEnd"/>
      <w:r>
        <w:rPr>
          <w:rFonts w:ascii="Book Antiqua" w:eastAsia="Book Antiqua" w:hAnsi="Book Antiqua" w:cs="Book Antiqua"/>
          <w:b/>
          <w:bCs/>
          <w:color w:val="000000"/>
        </w:rPr>
        <w:t xml:space="preserve"> MO</w:t>
      </w:r>
      <w:r>
        <w:rPr>
          <w:rFonts w:ascii="Book Antiqua" w:eastAsia="Book Antiqua" w:hAnsi="Book Antiqua" w:cs="Book Antiqua"/>
          <w:color w:val="000000"/>
        </w:rPr>
        <w:t xml:space="preserve">, Brand HS. Oral health complications after a heart transplant: a review. </w:t>
      </w:r>
      <w:r>
        <w:rPr>
          <w:rFonts w:ascii="Book Antiqua" w:eastAsia="Book Antiqua" w:hAnsi="Book Antiqua" w:cs="Book Antiqua"/>
          <w:i/>
          <w:iCs/>
          <w:color w:val="000000"/>
        </w:rPr>
        <w:t>Br Dent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228</w:t>
      </w:r>
      <w:r>
        <w:rPr>
          <w:rFonts w:ascii="Book Antiqua" w:eastAsia="Book Antiqua" w:hAnsi="Book Antiqua" w:cs="Book Antiqua"/>
          <w:color w:val="000000"/>
        </w:rPr>
        <w:t>: 177-182 [PMID: 32060460 DOI: 10.1038/s41415-020-1244-0]</w:t>
      </w:r>
    </w:p>
    <w:p w14:paraId="2F740C1F"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Montebugnoli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Bernardi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Magelli</w:t>
      </w:r>
      <w:proofErr w:type="spellEnd"/>
      <w:r>
        <w:rPr>
          <w:rFonts w:ascii="Book Antiqua" w:eastAsia="Book Antiqua" w:hAnsi="Book Antiqua" w:cs="Book Antiqua"/>
          <w:color w:val="000000"/>
        </w:rPr>
        <w:t xml:space="preserve"> C. Cyclosporin-A-induced gingival overgrowth in heart transplant patients. A cross-sectional study.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23</w:t>
      </w:r>
      <w:r>
        <w:rPr>
          <w:rFonts w:ascii="Book Antiqua" w:eastAsia="Book Antiqua" w:hAnsi="Book Antiqua" w:cs="Book Antiqua"/>
          <w:color w:val="000000"/>
        </w:rPr>
        <w:t>: 868-872 [PMID: 8891939 DOI: 10.1111/j.1600-051x.1996.tb00625.x]</w:t>
      </w:r>
    </w:p>
    <w:p w14:paraId="1201C2FA" w14:textId="77777777"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42 </w:t>
      </w:r>
      <w:r>
        <w:rPr>
          <w:rFonts w:ascii="Book Antiqua" w:eastAsia="Book Antiqua" w:hAnsi="Book Antiqua" w:cs="Book Antiqua"/>
          <w:b/>
          <w:bCs/>
          <w:color w:val="000000"/>
        </w:rPr>
        <w:t>Jacobson P</w:t>
      </w:r>
      <w:r>
        <w:rPr>
          <w:rFonts w:ascii="Book Antiqua" w:eastAsia="Book Antiqua" w:hAnsi="Book Antiqua" w:cs="Book Antiqua"/>
          <w:color w:val="000000"/>
        </w:rPr>
        <w:t xml:space="preserve">, Uberti J, Davis W, </w:t>
      </w:r>
      <w:proofErr w:type="spellStart"/>
      <w:r>
        <w:rPr>
          <w:rFonts w:ascii="Book Antiqua" w:eastAsia="Book Antiqua" w:hAnsi="Book Antiqua" w:cs="Book Antiqua"/>
          <w:color w:val="000000"/>
        </w:rPr>
        <w:t>Ratanatharathorn</w:t>
      </w:r>
      <w:proofErr w:type="spellEnd"/>
      <w:r>
        <w:rPr>
          <w:rFonts w:ascii="Book Antiqua" w:eastAsia="Book Antiqua" w:hAnsi="Book Antiqua" w:cs="Book Antiqua"/>
          <w:color w:val="000000"/>
        </w:rPr>
        <w:t xml:space="preserve"> V. Tacrolimus: a new agent for the prevention of graft-versus-host disease in hematopoietic stem cell transplantation. </w:t>
      </w:r>
      <w:r>
        <w:rPr>
          <w:rFonts w:ascii="Book Antiqua" w:eastAsia="Book Antiqua" w:hAnsi="Book Antiqua" w:cs="Book Antiqua"/>
          <w:i/>
          <w:iCs/>
          <w:color w:val="000000"/>
        </w:rPr>
        <w:t>Bone Marrow Transplant</w:t>
      </w:r>
      <w:r>
        <w:rPr>
          <w:rFonts w:ascii="Book Antiqua" w:eastAsia="Book Antiqua" w:hAnsi="Book Antiqua" w:cs="Book Antiqua"/>
          <w:color w:val="000000"/>
        </w:rPr>
        <w:t xml:space="preserve"> 1998; </w:t>
      </w:r>
      <w:r>
        <w:rPr>
          <w:rFonts w:ascii="Book Antiqua" w:eastAsia="Book Antiqua" w:hAnsi="Book Antiqua" w:cs="Book Antiqua"/>
          <w:b/>
          <w:bCs/>
          <w:color w:val="000000"/>
        </w:rPr>
        <w:t>22</w:t>
      </w:r>
      <w:r>
        <w:rPr>
          <w:rFonts w:ascii="Book Antiqua" w:eastAsia="Book Antiqua" w:hAnsi="Book Antiqua" w:cs="Book Antiqua"/>
          <w:color w:val="000000"/>
        </w:rPr>
        <w:t>: 217-225 [PMID: 9720734 DOI: 10.1038/sj.bmt.1701331]</w:t>
      </w:r>
    </w:p>
    <w:p w14:paraId="68A1AFC2"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Greenberg KV</w:t>
      </w:r>
      <w:r>
        <w:rPr>
          <w:rFonts w:ascii="Book Antiqua" w:eastAsia="Book Antiqua" w:hAnsi="Book Antiqua" w:cs="Book Antiqua"/>
          <w:color w:val="000000"/>
        </w:rPr>
        <w:t xml:space="preserve">, Armitage GC, </w:t>
      </w:r>
      <w:proofErr w:type="spellStart"/>
      <w:r>
        <w:rPr>
          <w:rFonts w:ascii="Book Antiqua" w:eastAsia="Book Antiqua" w:hAnsi="Book Antiqua" w:cs="Book Antiqua"/>
          <w:color w:val="000000"/>
        </w:rPr>
        <w:t>Shiboski</w:t>
      </w:r>
      <w:proofErr w:type="spellEnd"/>
      <w:r>
        <w:rPr>
          <w:rFonts w:ascii="Book Antiqua" w:eastAsia="Book Antiqua" w:hAnsi="Book Antiqua" w:cs="Book Antiqua"/>
          <w:color w:val="000000"/>
        </w:rPr>
        <w:t xml:space="preserve"> CH. Gingival enlargement among renal transplant recipients in the era of new-generation immunosuppressants.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79</w:t>
      </w:r>
      <w:r>
        <w:rPr>
          <w:rFonts w:ascii="Book Antiqua" w:eastAsia="Book Antiqua" w:hAnsi="Book Antiqua" w:cs="Book Antiqua"/>
          <w:color w:val="000000"/>
        </w:rPr>
        <w:t>: 453-460 [PMID: 18315427 DOI: 10.1902/jop.2008.070434]</w:t>
      </w:r>
    </w:p>
    <w:p w14:paraId="1DE0957F"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Lauritano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Moreo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Limongelli</w:t>
      </w:r>
      <w:proofErr w:type="spellEnd"/>
      <w:r>
        <w:rPr>
          <w:rFonts w:ascii="Book Antiqua" w:eastAsia="Book Antiqua" w:hAnsi="Book Antiqua" w:cs="Book Antiqua"/>
          <w:color w:val="000000"/>
        </w:rPr>
        <w:t xml:space="preserve"> L, Palmieri A, Carinci F. Drug-Induced Gingival Overgrowth: The Effect of Cyclosporin A and Mycophenolate </w:t>
      </w:r>
      <w:proofErr w:type="spellStart"/>
      <w:r>
        <w:rPr>
          <w:rFonts w:ascii="Book Antiqua" w:eastAsia="Book Antiqua" w:hAnsi="Book Antiqua" w:cs="Book Antiqua"/>
          <w:color w:val="000000"/>
        </w:rPr>
        <w:t>Mophetil</w:t>
      </w:r>
      <w:proofErr w:type="spellEnd"/>
      <w:r>
        <w:rPr>
          <w:rFonts w:ascii="Book Antiqua" w:eastAsia="Book Antiqua" w:hAnsi="Book Antiqua" w:cs="Book Antiqua"/>
          <w:color w:val="000000"/>
        </w:rPr>
        <w:t xml:space="preserve"> on Human Gingival Fibroblasts. </w:t>
      </w:r>
      <w:r>
        <w:rPr>
          <w:rFonts w:ascii="Book Antiqua" w:eastAsia="Book Antiqua" w:hAnsi="Book Antiqua" w:cs="Book Antiqua"/>
          <w:i/>
          <w:iCs/>
          <w:color w:val="000000"/>
        </w:rPr>
        <w:t>Biomedicines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32708980 DOI: 10.3390/biomedicines8070221]</w:t>
      </w:r>
    </w:p>
    <w:p w14:paraId="4BD3F1D1"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Paixão</w:t>
      </w:r>
      <w:proofErr w:type="spellEnd"/>
      <w:r>
        <w:rPr>
          <w:rFonts w:ascii="Book Antiqua" w:eastAsia="Book Antiqua" w:hAnsi="Book Antiqua" w:cs="Book Antiqua"/>
          <w:b/>
          <w:bCs/>
          <w:color w:val="000000"/>
        </w:rPr>
        <w:t xml:space="preserve"> CG</w:t>
      </w:r>
      <w:r>
        <w:rPr>
          <w:rFonts w:ascii="Book Antiqua" w:eastAsia="Book Antiqua" w:hAnsi="Book Antiqua" w:cs="Book Antiqua"/>
          <w:color w:val="000000"/>
        </w:rPr>
        <w:t xml:space="preserve">, Sekiguchi RT, Saraiva L, </w:t>
      </w:r>
      <w:proofErr w:type="spellStart"/>
      <w:r>
        <w:rPr>
          <w:rFonts w:ascii="Book Antiqua" w:eastAsia="Book Antiqua" w:hAnsi="Book Antiqua" w:cs="Book Antiqua"/>
          <w:color w:val="000000"/>
        </w:rPr>
        <w:t>Pannuti</w:t>
      </w:r>
      <w:proofErr w:type="spellEnd"/>
      <w:r>
        <w:rPr>
          <w:rFonts w:ascii="Book Antiqua" w:eastAsia="Book Antiqua" w:hAnsi="Book Antiqua" w:cs="Book Antiqua"/>
          <w:color w:val="000000"/>
        </w:rPr>
        <w:t xml:space="preserve"> CM, Silva HT, Medina-</w:t>
      </w:r>
      <w:proofErr w:type="spellStart"/>
      <w:r>
        <w:rPr>
          <w:rFonts w:ascii="Book Antiqua" w:eastAsia="Book Antiqua" w:hAnsi="Book Antiqua" w:cs="Book Antiqua"/>
          <w:color w:val="000000"/>
        </w:rPr>
        <w:t>Pestana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Romito</w:t>
      </w:r>
      <w:proofErr w:type="spellEnd"/>
      <w:r>
        <w:rPr>
          <w:rFonts w:ascii="Book Antiqua" w:eastAsia="Book Antiqua" w:hAnsi="Book Antiqua" w:cs="Book Antiqua"/>
          <w:color w:val="000000"/>
        </w:rPr>
        <w:t xml:space="preserve"> GA. Gingival overgrowth among patients medicated with cyclosporin A and tacrolimus undergoing renal transplantation: a prospective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82</w:t>
      </w:r>
      <w:r>
        <w:rPr>
          <w:rFonts w:ascii="Book Antiqua" w:eastAsia="Book Antiqua" w:hAnsi="Book Antiqua" w:cs="Book Antiqua"/>
          <w:color w:val="000000"/>
        </w:rPr>
        <w:t>: 251-258 [PMID: 20722530 DOI: 10.1902/jop.2010.100368]</w:t>
      </w:r>
    </w:p>
    <w:p w14:paraId="1CF0C01C"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Trackman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Kantarci</w:t>
      </w:r>
      <w:proofErr w:type="spellEnd"/>
      <w:r>
        <w:rPr>
          <w:rFonts w:ascii="Book Antiqua" w:eastAsia="Book Antiqua" w:hAnsi="Book Antiqua" w:cs="Book Antiqua"/>
          <w:color w:val="000000"/>
        </w:rPr>
        <w:t xml:space="preserve"> A. Molecular and clinical aspects of drug-induced gingival overgrowth. </w:t>
      </w:r>
      <w:r>
        <w:rPr>
          <w:rFonts w:ascii="Book Antiqua" w:eastAsia="Book Antiqua" w:hAnsi="Book Antiqua" w:cs="Book Antiqua"/>
          <w:i/>
          <w:iCs/>
          <w:color w:val="000000"/>
        </w:rPr>
        <w:t>J Dent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94</w:t>
      </w:r>
      <w:r>
        <w:rPr>
          <w:rFonts w:ascii="Book Antiqua" w:eastAsia="Book Antiqua" w:hAnsi="Book Antiqua" w:cs="Book Antiqua"/>
          <w:color w:val="000000"/>
        </w:rPr>
        <w:t>: 540-546 [PMID: 25680368 DOI: 10.1177/0022034515571265]</w:t>
      </w:r>
    </w:p>
    <w:p w14:paraId="5B06BC33"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Lowry LY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Welbury</w:t>
      </w:r>
      <w:proofErr w:type="spellEnd"/>
      <w:r>
        <w:rPr>
          <w:rFonts w:ascii="Book Antiqua" w:eastAsia="Book Antiqua" w:hAnsi="Book Antiqua" w:cs="Book Antiqua"/>
          <w:color w:val="000000"/>
        </w:rPr>
        <w:t xml:space="preserve"> RR, Seymour RA, Waterhouse PJ, Hamilton JR. Gingival overgrowth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cardiac transplant patients: a study of 19 patients aged between 2 and 16 years.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1995; </w:t>
      </w:r>
      <w:r>
        <w:rPr>
          <w:rFonts w:ascii="Book Antiqua" w:eastAsia="Book Antiqua" w:hAnsi="Book Antiqua" w:cs="Book Antiqua"/>
          <w:b/>
          <w:bCs/>
          <w:color w:val="000000"/>
        </w:rPr>
        <w:t>5</w:t>
      </w:r>
      <w:r>
        <w:rPr>
          <w:rFonts w:ascii="Book Antiqua" w:eastAsia="Book Antiqua" w:hAnsi="Book Antiqua" w:cs="Book Antiqua"/>
          <w:color w:val="000000"/>
        </w:rPr>
        <w:t>: 217-222 [PMID: 8957834 DOI: 10.1111/j.1365-263x.1995.tb00182.x]</w:t>
      </w:r>
    </w:p>
    <w:p w14:paraId="2C6EDC0D"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Ansari F</w:t>
      </w:r>
      <w:r>
        <w:rPr>
          <w:rFonts w:ascii="Book Antiqua" w:eastAsia="Book Antiqua" w:hAnsi="Book Antiqua" w:cs="Book Antiqua"/>
          <w:color w:val="000000"/>
        </w:rPr>
        <w:t xml:space="preserve">, Ferring V, Schulz-Weidner N, Wetzel WE. Concomitant oral findings in children after cardiac transplant.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Transplant</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215-219 [PMID: 16573610 DOI: 10.1111/j.1399-3046.2005.00429.x]</w:t>
      </w:r>
    </w:p>
    <w:p w14:paraId="33FCAB4D"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Daley TD</w:t>
      </w:r>
      <w:r>
        <w:rPr>
          <w:rFonts w:ascii="Book Antiqua" w:eastAsia="Book Antiqua" w:hAnsi="Book Antiqua" w:cs="Book Antiqua"/>
          <w:color w:val="000000"/>
        </w:rPr>
        <w:t xml:space="preserve">, Wysocki GP, Day C. Clinical and pharmacologic correlations in cyclosporine-induced gingival hyperplasia. </w:t>
      </w:r>
      <w:r>
        <w:rPr>
          <w:rFonts w:ascii="Book Antiqua" w:eastAsia="Book Antiqua" w:hAnsi="Book Antiqua" w:cs="Book Antiqua"/>
          <w:i/>
          <w:iCs/>
          <w:color w:val="000000"/>
        </w:rPr>
        <w:t xml:space="preserve">Oral Surg Oral Med Oral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1986; </w:t>
      </w:r>
      <w:r>
        <w:rPr>
          <w:rFonts w:ascii="Book Antiqua" w:eastAsia="Book Antiqua" w:hAnsi="Book Antiqua" w:cs="Book Antiqua"/>
          <w:b/>
          <w:bCs/>
          <w:color w:val="000000"/>
        </w:rPr>
        <w:t>62</w:t>
      </w:r>
      <w:r>
        <w:rPr>
          <w:rFonts w:ascii="Book Antiqua" w:eastAsia="Book Antiqua" w:hAnsi="Book Antiqua" w:cs="Book Antiqua"/>
          <w:color w:val="000000"/>
        </w:rPr>
        <w:t>: 417-421 [PMID: 3464914 DOI: 10.1016/0030-4220(86)90291-4]</w:t>
      </w:r>
    </w:p>
    <w:p w14:paraId="7F4474DF" w14:textId="77777777"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50 </w:t>
      </w:r>
      <w:r>
        <w:rPr>
          <w:rFonts w:ascii="Book Antiqua" w:eastAsia="Book Antiqua" w:hAnsi="Book Antiqua" w:cs="Book Antiqua"/>
          <w:b/>
          <w:bCs/>
          <w:color w:val="000000"/>
        </w:rPr>
        <w:t>Pamuk F</w:t>
      </w:r>
      <w:r>
        <w:rPr>
          <w:rFonts w:ascii="Book Antiqua" w:eastAsia="Book Antiqua" w:hAnsi="Book Antiqua" w:cs="Book Antiqua"/>
          <w:color w:val="000000"/>
        </w:rPr>
        <w:t xml:space="preserve">, Cetinkaya BO, Gulbahar MY, </w:t>
      </w:r>
      <w:proofErr w:type="spellStart"/>
      <w:r>
        <w:rPr>
          <w:rFonts w:ascii="Book Antiqua" w:eastAsia="Book Antiqua" w:hAnsi="Book Antiqua" w:cs="Book Antiqua"/>
          <w:color w:val="000000"/>
        </w:rPr>
        <w:t>Gacar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Keles</w:t>
      </w:r>
      <w:proofErr w:type="spellEnd"/>
      <w:r>
        <w:rPr>
          <w:rFonts w:ascii="Book Antiqua" w:eastAsia="Book Antiqua" w:hAnsi="Book Antiqua" w:cs="Book Antiqua"/>
          <w:color w:val="000000"/>
        </w:rPr>
        <w:t xml:space="preserve"> GC, </w:t>
      </w:r>
      <w:proofErr w:type="spellStart"/>
      <w:r>
        <w:rPr>
          <w:rFonts w:ascii="Book Antiqua" w:eastAsia="Book Antiqua" w:hAnsi="Book Antiqua" w:cs="Book Antiqua"/>
          <w:color w:val="000000"/>
        </w:rPr>
        <w:t>Erisgin</w:t>
      </w:r>
      <w:proofErr w:type="spellEnd"/>
      <w:r>
        <w:rPr>
          <w:rFonts w:ascii="Book Antiqua" w:eastAsia="Book Antiqua" w:hAnsi="Book Antiqua" w:cs="Book Antiqua"/>
          <w:color w:val="000000"/>
        </w:rPr>
        <w:t xml:space="preserve"> Z, Arik N. Effects of tacrolimus and nifedipine, alone or in combination, on gingival tissues.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84</w:t>
      </w:r>
      <w:r>
        <w:rPr>
          <w:rFonts w:ascii="Book Antiqua" w:eastAsia="Book Antiqua" w:hAnsi="Book Antiqua" w:cs="Book Antiqua"/>
          <w:color w:val="000000"/>
        </w:rPr>
        <w:t>: 1673-1682 [PMID: 23289868 DOI: 10.1902/jop.2013.120545]</w:t>
      </w:r>
    </w:p>
    <w:p w14:paraId="00448F4B"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Wilson RF</w:t>
      </w:r>
      <w:r>
        <w:rPr>
          <w:rFonts w:ascii="Book Antiqua" w:eastAsia="Book Antiqua" w:hAnsi="Book Antiqua" w:cs="Book Antiqua"/>
          <w:color w:val="000000"/>
        </w:rPr>
        <w:t xml:space="preserve">, Morel A, Smith D, </w:t>
      </w:r>
      <w:proofErr w:type="spellStart"/>
      <w:r>
        <w:rPr>
          <w:rFonts w:ascii="Book Antiqua" w:eastAsia="Book Antiqua" w:hAnsi="Book Antiqua" w:cs="Book Antiqua"/>
          <w:color w:val="000000"/>
        </w:rPr>
        <w:t>Koffman</w:t>
      </w:r>
      <w:proofErr w:type="spellEnd"/>
      <w:r>
        <w:rPr>
          <w:rFonts w:ascii="Book Antiqua" w:eastAsia="Book Antiqua" w:hAnsi="Book Antiqua" w:cs="Book Antiqua"/>
          <w:color w:val="000000"/>
        </w:rPr>
        <w:t xml:space="preserve"> CG, </w:t>
      </w:r>
      <w:proofErr w:type="spellStart"/>
      <w:r>
        <w:rPr>
          <w:rFonts w:ascii="Book Antiqua" w:eastAsia="Book Antiqua" w:hAnsi="Book Antiqua" w:cs="Book Antiqua"/>
          <w:color w:val="000000"/>
        </w:rPr>
        <w:t>Ogg</w:t>
      </w:r>
      <w:proofErr w:type="spellEnd"/>
      <w:r>
        <w:rPr>
          <w:rFonts w:ascii="Book Antiqua" w:eastAsia="Book Antiqua" w:hAnsi="Book Antiqua" w:cs="Book Antiqua"/>
          <w:color w:val="000000"/>
        </w:rPr>
        <w:t xml:space="preserve"> CS, </w:t>
      </w:r>
      <w:proofErr w:type="spellStart"/>
      <w:r>
        <w:rPr>
          <w:rFonts w:ascii="Book Antiqua" w:eastAsia="Book Antiqua" w:hAnsi="Book Antiqua" w:cs="Book Antiqua"/>
          <w:color w:val="000000"/>
        </w:rPr>
        <w:t>Rigden</w:t>
      </w:r>
      <w:proofErr w:type="spellEnd"/>
      <w:r>
        <w:rPr>
          <w:rFonts w:ascii="Book Antiqua" w:eastAsia="Book Antiqua" w:hAnsi="Book Antiqua" w:cs="Book Antiqua"/>
          <w:color w:val="000000"/>
        </w:rPr>
        <w:t xml:space="preserve"> SP, Ashley FP. Contribution of individual drugs to gingival overgrowth in adult and juvenile renal transplant patients treated with multiple therapy.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25</w:t>
      </w:r>
      <w:r>
        <w:rPr>
          <w:rFonts w:ascii="Book Antiqua" w:eastAsia="Book Antiqua" w:hAnsi="Book Antiqua" w:cs="Book Antiqua"/>
          <w:color w:val="000000"/>
        </w:rPr>
        <w:t>: 457-464 [PMID: 9667479 DOI: 10.1111/j.1600-051x.1998.tb02474.x]</w:t>
      </w:r>
    </w:p>
    <w:p w14:paraId="6139E285"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Aimetti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Romano F, </w:t>
      </w:r>
      <w:proofErr w:type="spellStart"/>
      <w:r>
        <w:rPr>
          <w:rFonts w:ascii="Book Antiqua" w:eastAsia="Book Antiqua" w:hAnsi="Book Antiqua" w:cs="Book Antiqua"/>
          <w:color w:val="000000"/>
        </w:rPr>
        <w:t>Debernardi</w:t>
      </w:r>
      <w:proofErr w:type="spellEnd"/>
      <w:r>
        <w:rPr>
          <w:rFonts w:ascii="Book Antiqua" w:eastAsia="Book Antiqua" w:hAnsi="Book Antiqua" w:cs="Book Antiqua"/>
          <w:color w:val="000000"/>
        </w:rPr>
        <w:t xml:space="preserve"> C. Effectiveness of periodontal therapy on the severity of cyclosporin A-induced gingival overgrowth.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32</w:t>
      </w:r>
      <w:r>
        <w:rPr>
          <w:rFonts w:ascii="Book Antiqua" w:eastAsia="Book Antiqua" w:hAnsi="Book Antiqua" w:cs="Book Antiqua"/>
          <w:color w:val="000000"/>
        </w:rPr>
        <w:t>: 846-850 [PMID: 15998267 DOI: 10.1111/j.1600-051X.2005.00774.x]</w:t>
      </w:r>
    </w:p>
    <w:p w14:paraId="04B403F4"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Wynn RL</w:t>
      </w:r>
      <w:r>
        <w:rPr>
          <w:rFonts w:ascii="Book Antiqua" w:eastAsia="Book Antiqua" w:hAnsi="Book Antiqua" w:cs="Book Antiqua"/>
          <w:color w:val="000000"/>
        </w:rPr>
        <w:t xml:space="preserve">. Calcium channel blockers and gingival hyperplasia. </w:t>
      </w:r>
      <w:r>
        <w:rPr>
          <w:rFonts w:ascii="Book Antiqua" w:eastAsia="Book Antiqua" w:hAnsi="Book Antiqua" w:cs="Book Antiqua"/>
          <w:i/>
          <w:iCs/>
          <w:color w:val="000000"/>
        </w:rPr>
        <w:t>Gen Dent</w:t>
      </w:r>
      <w:r>
        <w:rPr>
          <w:rFonts w:ascii="Book Antiqua" w:eastAsia="Book Antiqua" w:hAnsi="Book Antiqua" w:cs="Book Antiqua"/>
          <w:color w:val="000000"/>
        </w:rPr>
        <w:t xml:space="preserve"> 1991; </w:t>
      </w:r>
      <w:r>
        <w:rPr>
          <w:rFonts w:ascii="Book Antiqua" w:eastAsia="Book Antiqua" w:hAnsi="Book Antiqua" w:cs="Book Antiqua"/>
          <w:b/>
          <w:bCs/>
          <w:color w:val="000000"/>
        </w:rPr>
        <w:t>39</w:t>
      </w:r>
      <w:r>
        <w:rPr>
          <w:rFonts w:ascii="Book Antiqua" w:eastAsia="Book Antiqua" w:hAnsi="Book Antiqua" w:cs="Book Antiqua"/>
          <w:color w:val="000000"/>
        </w:rPr>
        <w:t>: 240-243 [PMID: 1916193]</w:t>
      </w:r>
    </w:p>
    <w:p w14:paraId="09085E44"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Fardal</w:t>
      </w:r>
      <w:proofErr w:type="spellEnd"/>
      <w:r>
        <w:rPr>
          <w:rFonts w:ascii="Book Antiqua" w:eastAsia="Book Antiqua" w:hAnsi="Book Antiqua" w:cs="Book Antiqua"/>
          <w:b/>
          <w:bCs/>
          <w:color w:val="000000"/>
        </w:rPr>
        <w:t xml:space="preserve"> Ø</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Lygre</w:t>
      </w:r>
      <w:proofErr w:type="spellEnd"/>
      <w:r>
        <w:rPr>
          <w:rFonts w:ascii="Book Antiqua" w:eastAsia="Book Antiqua" w:hAnsi="Book Antiqua" w:cs="Book Antiqua"/>
          <w:color w:val="000000"/>
        </w:rPr>
        <w:t xml:space="preserve"> H. Management of periodontal disease in patients using calcium channel blockers - gingival overgrowth, prescribed medications, treatment responses and added treatment costs.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640-646 [PMID: 26076712 DOI: 10.1111/jcpe.12426]</w:t>
      </w:r>
    </w:p>
    <w:p w14:paraId="21151A24"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Penninga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Møller</w:t>
      </w:r>
      <w:proofErr w:type="spellEnd"/>
      <w:r>
        <w:rPr>
          <w:rFonts w:ascii="Book Antiqua" w:eastAsia="Book Antiqua" w:hAnsi="Book Antiqua" w:cs="Book Antiqua"/>
          <w:color w:val="000000"/>
        </w:rPr>
        <w:t xml:space="preserve"> CH, Gustafsson F, </w:t>
      </w:r>
      <w:proofErr w:type="spellStart"/>
      <w:r>
        <w:rPr>
          <w:rFonts w:ascii="Book Antiqua" w:eastAsia="Book Antiqua" w:hAnsi="Book Antiqua" w:cs="Book Antiqua"/>
          <w:color w:val="000000"/>
        </w:rPr>
        <w:t>Steinbrüchel</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Gluud</w:t>
      </w:r>
      <w:proofErr w:type="spellEnd"/>
      <w:r>
        <w:rPr>
          <w:rFonts w:ascii="Book Antiqua" w:eastAsia="Book Antiqua" w:hAnsi="Book Antiqua" w:cs="Book Antiqua"/>
          <w:color w:val="000000"/>
        </w:rPr>
        <w:t xml:space="preserve"> C. Tacrolimus </w:t>
      </w:r>
      <w:r>
        <w:rPr>
          <w:rFonts w:ascii="Book Antiqua" w:eastAsia="Book Antiqua" w:hAnsi="Book Antiqua" w:cs="Book Antiqua"/>
          <w:i/>
          <w:iCs/>
          <w:color w:val="000000"/>
        </w:rPr>
        <w:t>vs</w:t>
      </w:r>
      <w:r>
        <w:rPr>
          <w:rFonts w:ascii="Book Antiqua" w:eastAsia="Book Antiqua" w:hAnsi="Book Antiqua" w:cs="Book Antiqua"/>
          <w:color w:val="000000"/>
        </w:rPr>
        <w:t xml:space="preserve"> cyclosporine as primary immunosuppression after heart transplantation: systematic review with meta-analyses and trial sequential analyses of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trials. </w:t>
      </w:r>
      <w:r>
        <w:rPr>
          <w:rFonts w:ascii="Book Antiqua" w:eastAsia="Book Antiqua" w:hAnsi="Book Antiqua" w:cs="Book Antiqua"/>
          <w:i/>
          <w:iCs/>
          <w:color w:val="000000"/>
        </w:rPr>
        <w:t xml:space="preserve">Eur J Clin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66</w:t>
      </w:r>
      <w:r>
        <w:rPr>
          <w:rFonts w:ascii="Book Antiqua" w:eastAsia="Book Antiqua" w:hAnsi="Book Antiqua" w:cs="Book Antiqua"/>
          <w:color w:val="000000"/>
        </w:rPr>
        <w:t>: 1177-1187 [PMID: 20882273 DOI: 10.1007/s00228-010-0902-6]</w:t>
      </w:r>
    </w:p>
    <w:p w14:paraId="41989CD6"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Stypmann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Engelen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Eckernkemper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Amler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Gunia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Sindermann</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Rothenburger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Rukosujew</w:t>
      </w:r>
      <w:proofErr w:type="spellEnd"/>
      <w:r>
        <w:rPr>
          <w:rFonts w:ascii="Book Antiqua" w:eastAsia="Book Antiqua" w:hAnsi="Book Antiqua" w:cs="Book Antiqua"/>
          <w:color w:val="000000"/>
        </w:rPr>
        <w:t xml:space="preserve"> A, Drees G, Welp HA. Calcineurin inhibitor-free immunosuppression using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Certican</w:t>
      </w:r>
      <w:proofErr w:type="spellEnd"/>
      <w:r>
        <w:rPr>
          <w:rFonts w:ascii="Book Antiqua" w:eastAsia="Book Antiqua" w:hAnsi="Book Antiqua" w:cs="Book Antiqua"/>
          <w:color w:val="000000"/>
        </w:rPr>
        <w:t xml:space="preserve">) after heart transplantation: 2 years' follow-up from the University Hospital Münster.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1847-1852 [PMID: 21693288 DOI: 10.1016/j.transproceed.2010.12.062]</w:t>
      </w:r>
    </w:p>
    <w:p w14:paraId="16C59BB5"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Camargo PM</w:t>
      </w:r>
      <w:r>
        <w:rPr>
          <w:rFonts w:ascii="Book Antiqua" w:eastAsia="Book Antiqua" w:hAnsi="Book Antiqua" w:cs="Book Antiqua"/>
          <w:color w:val="000000"/>
        </w:rPr>
        <w:t xml:space="preserve">, Melnick PR, </w:t>
      </w:r>
      <w:proofErr w:type="spellStart"/>
      <w:r>
        <w:rPr>
          <w:rFonts w:ascii="Book Antiqua" w:eastAsia="Book Antiqua" w:hAnsi="Book Antiqua" w:cs="Book Antiqua"/>
          <w:color w:val="000000"/>
        </w:rPr>
        <w:t>Pirih</w:t>
      </w:r>
      <w:proofErr w:type="spellEnd"/>
      <w:r>
        <w:rPr>
          <w:rFonts w:ascii="Book Antiqua" w:eastAsia="Book Antiqua" w:hAnsi="Book Antiqua" w:cs="Book Antiqua"/>
          <w:color w:val="000000"/>
        </w:rPr>
        <w:t xml:space="preserve"> FQ, Lagos R, Takei HH. Treatment of drug-induced gingival enlargement: aesthetic and functional considerations.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i/>
          <w:iCs/>
          <w:color w:val="000000"/>
        </w:rPr>
        <w:t xml:space="preserve"> 2000</w:t>
      </w:r>
      <w:r>
        <w:rPr>
          <w:rFonts w:ascii="Book Antiqua" w:eastAsia="Book Antiqua" w:hAnsi="Book Antiqua" w:cs="Book Antiqua"/>
          <w:color w:val="000000"/>
        </w:rPr>
        <w:t xml:space="preserve"> 2001; </w:t>
      </w:r>
      <w:r>
        <w:rPr>
          <w:rFonts w:ascii="Book Antiqua" w:eastAsia="Book Antiqua" w:hAnsi="Book Antiqua" w:cs="Book Antiqua"/>
          <w:b/>
          <w:bCs/>
          <w:color w:val="000000"/>
        </w:rPr>
        <w:t>27</w:t>
      </w:r>
      <w:r>
        <w:rPr>
          <w:rFonts w:ascii="Book Antiqua" w:eastAsia="Book Antiqua" w:hAnsi="Book Antiqua" w:cs="Book Antiqua"/>
          <w:color w:val="000000"/>
        </w:rPr>
        <w:t>: 131-138 [PMID: 11551304 DOI: 10.1034/j.1600-0757.2001.027001131.x]</w:t>
      </w:r>
    </w:p>
    <w:p w14:paraId="35F319B0" w14:textId="77777777" w:rsidR="00A77B3E" w:rsidRDefault="00CD1199" w:rsidP="003D4BF7">
      <w:pPr>
        <w:adjustRightInd w:val="0"/>
        <w:spacing w:line="360" w:lineRule="auto"/>
        <w:jc w:val="both"/>
      </w:pPr>
      <w:r>
        <w:rPr>
          <w:rFonts w:ascii="Book Antiqua" w:eastAsia="Book Antiqua" w:hAnsi="Book Antiqua" w:cs="Book Antiqua"/>
          <w:color w:val="000000"/>
        </w:rPr>
        <w:lastRenderedPageBreak/>
        <w:t xml:space="preserve">58 </w:t>
      </w:r>
      <w:proofErr w:type="spellStart"/>
      <w:r>
        <w:rPr>
          <w:rFonts w:ascii="Book Antiqua" w:eastAsia="Book Antiqua" w:hAnsi="Book Antiqua" w:cs="Book Antiqua"/>
          <w:b/>
          <w:bCs/>
          <w:color w:val="000000"/>
        </w:rPr>
        <w:t>Ilgenli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Atilla G, </w:t>
      </w:r>
      <w:proofErr w:type="spellStart"/>
      <w:r>
        <w:rPr>
          <w:rFonts w:ascii="Book Antiqua" w:eastAsia="Book Antiqua" w:hAnsi="Book Antiqua" w:cs="Book Antiqua"/>
          <w:color w:val="000000"/>
        </w:rPr>
        <w:t>Baylas</w:t>
      </w:r>
      <w:proofErr w:type="spellEnd"/>
      <w:r>
        <w:rPr>
          <w:rFonts w:ascii="Book Antiqua" w:eastAsia="Book Antiqua" w:hAnsi="Book Antiqua" w:cs="Book Antiqua"/>
          <w:color w:val="000000"/>
        </w:rPr>
        <w:t xml:space="preserve"> H. Effectiveness of periodontal therapy in patients with drug-induced gingival overgrowth. Long-term results.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70</w:t>
      </w:r>
      <w:r>
        <w:rPr>
          <w:rFonts w:ascii="Book Antiqua" w:eastAsia="Book Antiqua" w:hAnsi="Book Antiqua" w:cs="Book Antiqua"/>
          <w:color w:val="000000"/>
        </w:rPr>
        <w:t>: 967-972 [PMID: 10505798 DOI: 10.1902/jop.1999.70.9.967]</w:t>
      </w:r>
    </w:p>
    <w:p w14:paraId="4A2D51D9" w14:textId="77777777" w:rsidR="00A77B3E" w:rsidRDefault="00CD1199" w:rsidP="003D4BF7">
      <w:pPr>
        <w:adjustRightInd w:val="0"/>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Scannapieco</w:t>
      </w:r>
      <w:proofErr w:type="spellEnd"/>
      <w:r>
        <w:rPr>
          <w:rFonts w:ascii="Book Antiqua" w:eastAsia="Book Antiqua" w:hAnsi="Book Antiqua" w:cs="Book Antiqua"/>
          <w:b/>
          <w:bCs/>
          <w:color w:val="000000"/>
        </w:rPr>
        <w:t xml:space="preserve"> FA</w:t>
      </w:r>
      <w:r>
        <w:rPr>
          <w:rFonts w:ascii="Book Antiqua" w:eastAsia="Book Antiqua" w:hAnsi="Book Antiqua" w:cs="Book Antiqua"/>
          <w:color w:val="000000"/>
        </w:rPr>
        <w:t xml:space="preserve">, Bush RB, Paju S. Associations between periodontal disease and risk for atherosclerosis, cardiovascular disease, and stroke. A systematic review.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Periodontol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w:t>
      </w:r>
      <w:r>
        <w:rPr>
          <w:rFonts w:ascii="Book Antiqua" w:eastAsia="Book Antiqua" w:hAnsi="Book Antiqua" w:cs="Book Antiqua"/>
          <w:color w:val="000000"/>
        </w:rPr>
        <w:t>: 38-53 [PMID: 14971247 DOI: 10.1902/annals.2003.8.1.38]</w:t>
      </w:r>
    </w:p>
    <w:bookmarkEnd w:id="27"/>
    <w:bookmarkEnd w:id="28"/>
    <w:bookmarkEnd w:id="29"/>
    <w:p w14:paraId="47A9D4AA" w14:textId="77777777" w:rsidR="00A77B3E" w:rsidRDefault="00A77B3E" w:rsidP="003D4BF7">
      <w:pPr>
        <w:adjustRightInd w:val="0"/>
        <w:spacing w:line="360" w:lineRule="auto"/>
        <w:jc w:val="both"/>
        <w:sectPr w:rsidR="00A77B3E" w:rsidSect="00E91088">
          <w:pgSz w:w="12240" w:h="15840"/>
          <w:pgMar w:top="1440" w:right="1800" w:bottom="1440" w:left="1800" w:header="720" w:footer="720" w:gutter="0"/>
          <w:cols w:space="720"/>
          <w:docGrid w:linePitch="360"/>
        </w:sectPr>
      </w:pPr>
    </w:p>
    <w:p w14:paraId="595047A3" w14:textId="77777777" w:rsidR="00A77B3E" w:rsidRDefault="00CD1199" w:rsidP="003D4BF7">
      <w:pPr>
        <w:adjustRightInd w:val="0"/>
        <w:spacing w:line="360" w:lineRule="auto"/>
        <w:jc w:val="both"/>
      </w:pPr>
      <w:r>
        <w:rPr>
          <w:rFonts w:ascii="Book Antiqua" w:eastAsia="Book Antiqua" w:hAnsi="Book Antiqua" w:cs="Book Antiqua"/>
          <w:b/>
          <w:color w:val="000000"/>
        </w:rPr>
        <w:lastRenderedPageBreak/>
        <w:t>Footnotes</w:t>
      </w:r>
    </w:p>
    <w:p w14:paraId="77D915CC"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Conflict-of-interest statement: </w:t>
      </w:r>
      <w:bookmarkStart w:id="32" w:name="OLE_LINK30"/>
      <w:bookmarkStart w:id="33" w:name="OLE_LINK31"/>
      <w:r>
        <w:rPr>
          <w:rFonts w:ascii="Book Antiqua" w:eastAsia="Book Antiqua" w:hAnsi="Book Antiqua" w:cs="Book Antiqua"/>
          <w:color w:val="000000"/>
        </w:rPr>
        <w:t>The authors declare no conflict of interest.</w:t>
      </w:r>
      <w:bookmarkEnd w:id="32"/>
      <w:bookmarkEnd w:id="33"/>
    </w:p>
    <w:p w14:paraId="5E262E4A" w14:textId="77777777" w:rsidR="00A77B3E" w:rsidRDefault="00A77B3E" w:rsidP="003D4BF7">
      <w:pPr>
        <w:adjustRightInd w:val="0"/>
        <w:spacing w:line="360" w:lineRule="auto"/>
        <w:jc w:val="both"/>
      </w:pPr>
    </w:p>
    <w:p w14:paraId="79CABE65" w14:textId="77777777" w:rsidR="00A77B3E" w:rsidRDefault="00CD1199" w:rsidP="003D4BF7">
      <w:pPr>
        <w:adjustRightInd w:val="0"/>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F73002" w14:textId="77777777" w:rsidR="00A77B3E" w:rsidRDefault="00A77B3E" w:rsidP="003D4BF7">
      <w:pPr>
        <w:adjustRightInd w:val="0"/>
        <w:spacing w:line="360" w:lineRule="auto"/>
        <w:jc w:val="both"/>
      </w:pPr>
    </w:p>
    <w:p w14:paraId="32F9BEBA" w14:textId="780ACD8D" w:rsidR="00A77B3E" w:rsidRDefault="00CD1199" w:rsidP="003D4BF7">
      <w:pPr>
        <w:adjustRightInd w:val="0"/>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E49DE">
        <w:rPr>
          <w:rFonts w:ascii="Book Antiqua" w:eastAsia="Book Antiqua" w:hAnsi="Book Antiqua" w:cs="Book Antiqua"/>
          <w:color w:val="000000"/>
        </w:rPr>
        <w:t>manuscript</w:t>
      </w:r>
    </w:p>
    <w:p w14:paraId="3216C51B" w14:textId="77777777" w:rsidR="00A77B3E" w:rsidRDefault="00A77B3E" w:rsidP="003D4BF7">
      <w:pPr>
        <w:adjustRightInd w:val="0"/>
        <w:spacing w:line="360" w:lineRule="auto"/>
        <w:jc w:val="both"/>
      </w:pPr>
    </w:p>
    <w:p w14:paraId="2E9466F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7, 2021</w:t>
      </w:r>
    </w:p>
    <w:p w14:paraId="0E3FCB02"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28, 2021</w:t>
      </w:r>
    </w:p>
    <w:p w14:paraId="405BD010"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Article in press: </w:t>
      </w:r>
    </w:p>
    <w:p w14:paraId="1D49C277" w14:textId="77777777" w:rsidR="00A77B3E" w:rsidRDefault="00A77B3E" w:rsidP="003D4BF7">
      <w:pPr>
        <w:adjustRightInd w:val="0"/>
        <w:spacing w:line="360" w:lineRule="auto"/>
        <w:jc w:val="both"/>
      </w:pPr>
    </w:p>
    <w:p w14:paraId="31B6221A" w14:textId="2A9AD62F" w:rsidR="00A77B3E" w:rsidRDefault="00CD1199" w:rsidP="003D4BF7">
      <w:pPr>
        <w:adjustRightInd w:val="0"/>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Dentistry, </w:t>
      </w:r>
      <w:r w:rsidR="009E49DE">
        <w:rPr>
          <w:rFonts w:ascii="Book Antiqua" w:eastAsia="Book Antiqua" w:hAnsi="Book Antiqua" w:cs="Book Antiqua"/>
          <w:color w:val="000000"/>
        </w:rPr>
        <w:t xml:space="preserve">oral surgery </w:t>
      </w:r>
      <w:r>
        <w:rPr>
          <w:rFonts w:ascii="Book Antiqua" w:eastAsia="Book Antiqua" w:hAnsi="Book Antiqua" w:cs="Book Antiqua"/>
          <w:color w:val="000000"/>
        </w:rPr>
        <w:t xml:space="preserve">and </w:t>
      </w:r>
      <w:r w:rsidR="009E49DE">
        <w:rPr>
          <w:rFonts w:ascii="Book Antiqua" w:eastAsia="Book Antiqua" w:hAnsi="Book Antiqua" w:cs="Book Antiqua"/>
          <w:color w:val="000000"/>
        </w:rPr>
        <w:t>medicine</w:t>
      </w:r>
    </w:p>
    <w:p w14:paraId="3347153D" w14:textId="77777777" w:rsidR="00A77B3E" w:rsidRDefault="00CD1199" w:rsidP="003D4BF7">
      <w:pPr>
        <w:adjustRightInd w:val="0"/>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Croatia</w:t>
      </w:r>
    </w:p>
    <w:p w14:paraId="49069E2D" w14:textId="77777777" w:rsidR="00A77B3E" w:rsidRDefault="00CD1199" w:rsidP="003D4BF7">
      <w:pPr>
        <w:adjustRightInd w:val="0"/>
        <w:spacing w:line="360" w:lineRule="auto"/>
        <w:jc w:val="both"/>
      </w:pPr>
      <w:r>
        <w:rPr>
          <w:rFonts w:ascii="Book Antiqua" w:eastAsia="Book Antiqua" w:hAnsi="Book Antiqua" w:cs="Book Antiqua"/>
          <w:b/>
          <w:color w:val="000000"/>
        </w:rPr>
        <w:t>Peer-review report’s scientific quality classification</w:t>
      </w:r>
    </w:p>
    <w:p w14:paraId="1DEEF619" w14:textId="77777777" w:rsidR="00A77B3E" w:rsidRDefault="00CD1199" w:rsidP="003D4BF7">
      <w:pPr>
        <w:adjustRightInd w:val="0"/>
        <w:spacing w:line="360" w:lineRule="auto"/>
        <w:jc w:val="both"/>
      </w:pPr>
      <w:r>
        <w:rPr>
          <w:rFonts w:ascii="Book Antiqua" w:eastAsia="Book Antiqua" w:hAnsi="Book Antiqua" w:cs="Book Antiqua"/>
          <w:color w:val="000000"/>
        </w:rPr>
        <w:t>Grade A (Excellent): 0</w:t>
      </w:r>
    </w:p>
    <w:p w14:paraId="7363D713" w14:textId="42F7BE6E" w:rsidR="00A77B3E" w:rsidRDefault="00CD1199" w:rsidP="003D4BF7">
      <w:pPr>
        <w:adjustRightInd w:val="0"/>
        <w:spacing w:line="360" w:lineRule="auto"/>
        <w:jc w:val="both"/>
      </w:pPr>
      <w:r>
        <w:rPr>
          <w:rFonts w:ascii="Book Antiqua" w:eastAsia="Book Antiqua" w:hAnsi="Book Antiqua" w:cs="Book Antiqua"/>
          <w:color w:val="000000"/>
        </w:rPr>
        <w:t xml:space="preserve">Grade B (Very good): </w:t>
      </w:r>
      <w:r w:rsidR="00C051A8">
        <w:rPr>
          <w:rFonts w:ascii="Book Antiqua" w:eastAsia="Book Antiqua" w:hAnsi="Book Antiqua" w:cs="Book Antiqua"/>
          <w:color w:val="000000"/>
        </w:rPr>
        <w:t>B</w:t>
      </w:r>
    </w:p>
    <w:p w14:paraId="583EE45E" w14:textId="77777777" w:rsidR="00A77B3E" w:rsidRDefault="00CD1199" w:rsidP="003D4BF7">
      <w:pPr>
        <w:adjustRightInd w:val="0"/>
        <w:spacing w:line="360" w:lineRule="auto"/>
        <w:jc w:val="both"/>
      </w:pPr>
      <w:r>
        <w:rPr>
          <w:rFonts w:ascii="Book Antiqua" w:eastAsia="Book Antiqua" w:hAnsi="Book Antiqua" w:cs="Book Antiqua"/>
          <w:color w:val="000000"/>
        </w:rPr>
        <w:t>Grade C (Good): C</w:t>
      </w:r>
    </w:p>
    <w:p w14:paraId="7FCBDCB6" w14:textId="77777777" w:rsidR="00A77B3E" w:rsidRDefault="00CD1199" w:rsidP="003D4BF7">
      <w:pPr>
        <w:adjustRightInd w:val="0"/>
        <w:spacing w:line="360" w:lineRule="auto"/>
        <w:jc w:val="both"/>
      </w:pPr>
      <w:r>
        <w:rPr>
          <w:rFonts w:ascii="Book Antiqua" w:eastAsia="Book Antiqua" w:hAnsi="Book Antiqua" w:cs="Book Antiqua"/>
          <w:color w:val="000000"/>
        </w:rPr>
        <w:t>Grade D (Fair): 0</w:t>
      </w:r>
    </w:p>
    <w:p w14:paraId="4ADF27E7" w14:textId="77777777" w:rsidR="00A77B3E" w:rsidRDefault="00CD1199" w:rsidP="003D4BF7">
      <w:pPr>
        <w:adjustRightInd w:val="0"/>
        <w:spacing w:line="360" w:lineRule="auto"/>
        <w:jc w:val="both"/>
      </w:pPr>
      <w:r>
        <w:rPr>
          <w:rFonts w:ascii="Book Antiqua" w:eastAsia="Book Antiqua" w:hAnsi="Book Antiqua" w:cs="Book Antiqua"/>
          <w:color w:val="000000"/>
        </w:rPr>
        <w:t>Grade E (Poor): 0</w:t>
      </w:r>
    </w:p>
    <w:p w14:paraId="6E0AB76F" w14:textId="77777777" w:rsidR="00A77B3E" w:rsidRDefault="00A77B3E" w:rsidP="003D4BF7">
      <w:pPr>
        <w:adjustRightInd w:val="0"/>
        <w:spacing w:line="360" w:lineRule="auto"/>
        <w:jc w:val="both"/>
      </w:pPr>
    </w:p>
    <w:p w14:paraId="2C2C1A75" w14:textId="02014CD0" w:rsidR="00A77B3E" w:rsidRDefault="00CD1199" w:rsidP="003D4BF7">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C051A8" w:rsidRPr="00C051A8">
        <w:rPr>
          <w:rFonts w:ascii="Book Antiqua" w:eastAsia="Book Antiqua" w:hAnsi="Book Antiqua" w:cs="Book Antiqua"/>
          <w:bCs/>
          <w:color w:val="000000"/>
        </w:rPr>
        <w:t>Ciccone MM,</w:t>
      </w:r>
      <w:r w:rsidR="00C051A8">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M</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L</w:t>
      </w:r>
      <w:r w:rsidR="0043070D">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111784A5" w14:textId="77777777" w:rsidR="009E49DE" w:rsidRDefault="009E49DE" w:rsidP="003D4BF7">
      <w:pPr>
        <w:adjustRightInd w:val="0"/>
        <w:spacing w:line="360" w:lineRule="auto"/>
        <w:jc w:val="both"/>
        <w:sectPr w:rsidR="009E49DE" w:rsidSect="00E91088">
          <w:pgSz w:w="12240" w:h="15840"/>
          <w:pgMar w:top="1440" w:right="1800" w:bottom="1440" w:left="1800" w:header="720" w:footer="720" w:gutter="0"/>
          <w:cols w:space="720"/>
          <w:docGrid w:linePitch="360"/>
        </w:sectPr>
      </w:pPr>
    </w:p>
    <w:p w14:paraId="32FFBB2B" w14:textId="4E4EC3E3" w:rsidR="00A77B3E" w:rsidRDefault="00CD1199" w:rsidP="003D4BF7">
      <w:pPr>
        <w:adjustRightIn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EBDC749" w14:textId="109D78EE" w:rsidR="00E938F4" w:rsidRDefault="00E938F4" w:rsidP="003D4BF7">
      <w:pPr>
        <w:adjustRightInd w:val="0"/>
        <w:spacing w:line="360" w:lineRule="auto"/>
        <w:jc w:val="both"/>
      </w:pPr>
      <w:r>
        <w:rPr>
          <w:noProof/>
          <w:lang w:eastAsia="zh-CN"/>
        </w:rPr>
        <w:drawing>
          <wp:inline distT="0" distB="0" distL="0" distR="0" wp14:anchorId="0435085F" wp14:editId="6B7E9B2B">
            <wp:extent cx="5943600" cy="21221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14:paraId="19BC59E9" w14:textId="06EC86BB" w:rsidR="00A77B3E" w:rsidRDefault="00CD1199" w:rsidP="003D4BF7">
      <w:pPr>
        <w:adjustRightInd w:val="0"/>
        <w:spacing w:line="360" w:lineRule="auto"/>
        <w:jc w:val="both"/>
        <w:rPr>
          <w:rFonts w:ascii="Book Antiqua" w:eastAsia="Book Antiqua" w:hAnsi="Book Antiqua" w:cs="Book Antiqua"/>
          <w:color w:val="000000"/>
        </w:rPr>
      </w:pPr>
      <w:bookmarkStart w:id="34" w:name="OLE_LINK32"/>
      <w:bookmarkStart w:id="35" w:name="OLE_LINK33"/>
      <w:r w:rsidRPr="00137CFC">
        <w:rPr>
          <w:rFonts w:ascii="Book Antiqua" w:eastAsia="Book Antiqua" w:hAnsi="Book Antiqua" w:cs="Book Antiqua"/>
          <w:b/>
          <w:bCs/>
          <w:color w:val="000000"/>
        </w:rPr>
        <w:t xml:space="preserve">Figure 1 </w:t>
      </w:r>
      <w:r w:rsidR="009E49DE" w:rsidRPr="00137CFC">
        <w:rPr>
          <w:rFonts w:ascii="Book Antiqua" w:eastAsia="Book Antiqua" w:hAnsi="Book Antiqua" w:cs="Book Antiqua"/>
          <w:b/>
          <w:bCs/>
          <w:color w:val="000000"/>
        </w:rPr>
        <w:t>A</w:t>
      </w:r>
      <w:r w:rsidRPr="00137CFC">
        <w:rPr>
          <w:rFonts w:ascii="Book Antiqua" w:eastAsia="Book Antiqua" w:hAnsi="Book Antiqua" w:cs="Book Antiqua"/>
          <w:b/>
          <w:bCs/>
          <w:color w:val="000000"/>
        </w:rPr>
        <w:t xml:space="preserve"> complete response of a severe </w:t>
      </w:r>
      <w:r w:rsidR="00206CE2">
        <w:rPr>
          <w:rFonts w:ascii="Book Antiqua" w:eastAsia="Book Antiqua" w:hAnsi="Book Antiqua" w:cs="Book Antiqua"/>
          <w:b/>
          <w:bCs/>
          <w:color w:val="000000"/>
        </w:rPr>
        <w:t>d</w:t>
      </w:r>
      <w:r w:rsidR="00137CFC" w:rsidRPr="00137CFC">
        <w:rPr>
          <w:rFonts w:ascii="Book Antiqua" w:eastAsia="Book Antiqua" w:hAnsi="Book Antiqua" w:cs="Book Antiqua"/>
          <w:b/>
          <w:bCs/>
          <w:color w:val="000000"/>
        </w:rPr>
        <w:t>rug-induced gingival overgrowth</w:t>
      </w:r>
      <w:r w:rsidRPr="00137CFC">
        <w:rPr>
          <w:rFonts w:ascii="Book Antiqua" w:eastAsia="Book Antiqua" w:hAnsi="Book Antiqua" w:cs="Book Antiqua"/>
          <w:b/>
          <w:bCs/>
          <w:color w:val="000000"/>
        </w:rPr>
        <w:t xml:space="preserve"> case following seven weeks after amlodipine removal and six consecutive tooth scaling and cleaning treatments.</w:t>
      </w:r>
      <w:r w:rsidR="0080126F" w:rsidRPr="0080126F">
        <w:rPr>
          <w:rFonts w:ascii="Book Antiqua" w:eastAsia="Book Antiqua" w:hAnsi="Book Antiqua" w:cs="Book Antiqua"/>
          <w:color w:val="000000"/>
        </w:rPr>
        <w:t xml:space="preserve"> </w:t>
      </w:r>
      <w:r w:rsidR="00137CFC">
        <w:rPr>
          <w:rFonts w:ascii="Book Antiqua" w:eastAsia="Book Antiqua" w:hAnsi="Book Antiqua" w:cs="Book Antiqua"/>
          <w:color w:val="000000"/>
        </w:rPr>
        <w:t>A</w:t>
      </w:r>
      <w:r w:rsidR="00137CFC">
        <w:rPr>
          <w:rFonts w:ascii="SimSun" w:eastAsia="SimSun" w:hAnsi="SimSun" w:cs="SimSun" w:hint="eastAsia"/>
          <w:color w:val="000000"/>
          <w:lang w:eastAsia="zh-CN"/>
        </w:rPr>
        <w:t>:</w:t>
      </w:r>
      <w:r w:rsidR="00137CFC">
        <w:rPr>
          <w:rFonts w:ascii="Book Antiqua" w:eastAsia="Book Antiqua" w:hAnsi="Book Antiqua" w:cs="Book Antiqua"/>
          <w:color w:val="000000"/>
        </w:rPr>
        <w:t xml:space="preserve"> </w:t>
      </w:r>
      <w:r w:rsidR="0080126F">
        <w:rPr>
          <w:rFonts w:ascii="Book Antiqua" w:eastAsia="Book Antiqua" w:hAnsi="Book Antiqua" w:cs="Book Antiqua"/>
          <w:color w:val="000000"/>
        </w:rPr>
        <w:t>Amlodipine induced gingival overgrowth successfully treated by vigorous weekly plaque control</w:t>
      </w:r>
      <w:r w:rsidR="009E49DE">
        <w:rPr>
          <w:rFonts w:ascii="Book Antiqua" w:eastAsia="Book Antiqua" w:hAnsi="Book Antiqua" w:cs="Book Antiqua"/>
          <w:color w:val="000000"/>
        </w:rPr>
        <w:t>;</w:t>
      </w:r>
      <w:r w:rsidR="0080126F">
        <w:rPr>
          <w:rFonts w:ascii="Book Antiqua" w:eastAsia="Book Antiqua" w:hAnsi="Book Antiqua" w:cs="Book Antiqua"/>
          <w:color w:val="000000"/>
        </w:rPr>
        <w:t xml:space="preserve"> </w:t>
      </w:r>
      <w:r w:rsidR="00137CFC">
        <w:rPr>
          <w:rFonts w:ascii="Book Antiqua" w:eastAsia="Book Antiqua" w:hAnsi="Book Antiqua" w:cs="Book Antiqua"/>
          <w:color w:val="000000"/>
        </w:rPr>
        <w:t xml:space="preserve">B: </w:t>
      </w:r>
      <w:r w:rsidR="009E49DE">
        <w:rPr>
          <w:rFonts w:ascii="Book Antiqua" w:eastAsia="Book Antiqua" w:hAnsi="Book Antiqua" w:cs="Book Antiqua"/>
          <w:color w:val="000000"/>
        </w:rPr>
        <w:t xml:space="preserve">Calculus </w:t>
      </w:r>
      <w:r w:rsidR="0080126F">
        <w:rPr>
          <w:rFonts w:ascii="Book Antiqua" w:eastAsia="Book Antiqua" w:hAnsi="Book Antiqua" w:cs="Book Antiqua"/>
          <w:color w:val="000000"/>
        </w:rPr>
        <w:t xml:space="preserve">removal during seven weeks following the drug withdrawal and substitution by </w:t>
      </w:r>
      <w:bookmarkStart w:id="36" w:name="OLE_LINK9"/>
      <w:bookmarkStart w:id="37" w:name="OLE_LINK10"/>
      <w:r w:rsidR="009E49DE" w:rsidRPr="009E49DE">
        <w:rPr>
          <w:rFonts w:ascii="Book Antiqua" w:eastAsia="Book Antiqua" w:hAnsi="Book Antiqua" w:cs="Book Antiqua"/>
          <w:color w:val="000000"/>
        </w:rPr>
        <w:t>angiotensin-converting enzyme</w:t>
      </w:r>
      <w:bookmarkEnd w:id="36"/>
      <w:bookmarkEnd w:id="37"/>
      <w:r w:rsidR="0080126F">
        <w:rPr>
          <w:rFonts w:ascii="Book Antiqua" w:eastAsia="Book Antiqua" w:hAnsi="Book Antiqua" w:cs="Book Antiqua"/>
          <w:color w:val="000000"/>
        </w:rPr>
        <w:t xml:space="preserve"> inhibitor (courtesy of Prof. </w:t>
      </w:r>
      <w:proofErr w:type="spellStart"/>
      <w:r w:rsidR="0080126F">
        <w:rPr>
          <w:rFonts w:ascii="Book Antiqua" w:eastAsia="Book Antiqua" w:hAnsi="Book Antiqua" w:cs="Book Antiqua"/>
          <w:color w:val="000000"/>
        </w:rPr>
        <w:t>Vlaho</w:t>
      </w:r>
      <w:proofErr w:type="spellEnd"/>
      <w:r w:rsidR="0080126F">
        <w:rPr>
          <w:rFonts w:ascii="Book Antiqua" w:eastAsia="Book Antiqua" w:hAnsi="Book Antiqua" w:cs="Book Antiqua"/>
          <w:color w:val="000000"/>
        </w:rPr>
        <w:t xml:space="preserve"> </w:t>
      </w:r>
      <w:proofErr w:type="spellStart"/>
      <w:r w:rsidR="0080126F">
        <w:rPr>
          <w:rFonts w:ascii="Book Antiqua" w:eastAsia="Book Antiqua" w:hAnsi="Book Antiqua" w:cs="Book Antiqua"/>
          <w:color w:val="000000"/>
        </w:rPr>
        <w:t>Brailo</w:t>
      </w:r>
      <w:proofErr w:type="spellEnd"/>
      <w:r w:rsidR="0080126F">
        <w:rPr>
          <w:rFonts w:ascii="Book Antiqua" w:eastAsia="Book Antiqua" w:hAnsi="Book Antiqua" w:cs="Book Antiqua"/>
          <w:color w:val="000000"/>
        </w:rPr>
        <w:t>).</w:t>
      </w:r>
    </w:p>
    <w:p w14:paraId="11CC9F29" w14:textId="51521A7A" w:rsidR="00E938F4" w:rsidRDefault="00E938F4" w:rsidP="003D4BF7">
      <w:pPr>
        <w:adjustRightInd w:val="0"/>
        <w:spacing w:line="360" w:lineRule="auto"/>
        <w:jc w:val="both"/>
      </w:pPr>
      <w:r>
        <w:rPr>
          <w:rFonts w:ascii="Book Antiqua" w:eastAsia="Book Antiqua" w:hAnsi="Book Antiqua" w:cs="Book Antiqua"/>
          <w:color w:val="000000"/>
        </w:rPr>
        <w:br w:type="page"/>
      </w:r>
      <w:bookmarkEnd w:id="34"/>
      <w:bookmarkEnd w:id="35"/>
      <w:r>
        <w:rPr>
          <w:noProof/>
          <w:lang w:eastAsia="zh-CN"/>
        </w:rPr>
        <w:lastRenderedPageBreak/>
        <w:drawing>
          <wp:inline distT="0" distB="0" distL="0" distR="0" wp14:anchorId="55CEA4CB" wp14:editId="4CEEB57D">
            <wp:extent cx="5943600" cy="4386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86580"/>
                    </a:xfrm>
                    <a:prstGeom prst="rect">
                      <a:avLst/>
                    </a:prstGeom>
                  </pic:spPr>
                </pic:pic>
              </a:graphicData>
            </a:graphic>
          </wp:inline>
        </w:drawing>
      </w:r>
    </w:p>
    <w:p w14:paraId="6B01844F" w14:textId="01E1D10D" w:rsidR="00A77B3E" w:rsidRDefault="00CD1199" w:rsidP="003D4BF7">
      <w:pPr>
        <w:adjustRightInd w:val="0"/>
        <w:spacing w:line="360" w:lineRule="auto"/>
        <w:jc w:val="both"/>
      </w:pPr>
      <w:r w:rsidRPr="00137CFC">
        <w:rPr>
          <w:rFonts w:ascii="Book Antiqua" w:eastAsia="Book Antiqua" w:hAnsi="Book Antiqua" w:cs="Book Antiqua"/>
          <w:b/>
          <w:bCs/>
          <w:color w:val="000000"/>
        </w:rPr>
        <w:t>Figure 2</w:t>
      </w:r>
      <w:r w:rsidR="00C55C70">
        <w:rPr>
          <w:rFonts w:ascii="Book Antiqua" w:eastAsia="Book Antiqua" w:hAnsi="Book Antiqua" w:cs="Book Antiqua"/>
          <w:b/>
          <w:bCs/>
          <w:color w:val="000000"/>
        </w:rPr>
        <w:t xml:space="preserve"> </w:t>
      </w:r>
      <w:r w:rsidR="009E49DE" w:rsidRPr="00137CFC">
        <w:rPr>
          <w:rFonts w:ascii="Book Antiqua" w:eastAsia="Book Antiqua" w:hAnsi="Book Antiqua" w:cs="Book Antiqua"/>
          <w:b/>
          <w:bCs/>
          <w:color w:val="000000"/>
        </w:rPr>
        <w:t xml:space="preserve">An </w:t>
      </w:r>
      <w:r w:rsidRPr="00137CFC">
        <w:rPr>
          <w:rFonts w:ascii="Book Antiqua" w:eastAsia="Book Antiqua" w:hAnsi="Book Antiqua" w:cs="Book Antiqua"/>
          <w:b/>
          <w:bCs/>
          <w:color w:val="000000"/>
        </w:rPr>
        <w:t>improvement in a heart transplant patient, whose medication included both cyclosporin and amlodipine, four weeks following professional teeth cleaning and switching to tacrolimus and alternative antihypertensive drug.</w:t>
      </w:r>
      <w:r>
        <w:rPr>
          <w:rFonts w:ascii="Book Antiqua" w:eastAsia="Book Antiqua" w:hAnsi="Book Antiqua" w:cs="Book Antiqua"/>
          <w:color w:val="000000"/>
        </w:rPr>
        <w:t xml:space="preserve"> </w:t>
      </w:r>
      <w:r w:rsidR="009E49DE">
        <w:rPr>
          <w:rFonts w:ascii="Book Antiqua" w:eastAsia="Book Antiqua" w:hAnsi="Book Antiqua" w:cs="Book Antiqua"/>
          <w:color w:val="000000"/>
        </w:rPr>
        <w:t>A and</w:t>
      </w:r>
      <w:r w:rsidR="00137CFC">
        <w:rPr>
          <w:rFonts w:ascii="Book Antiqua" w:eastAsia="Book Antiqua" w:hAnsi="Book Antiqua" w:cs="Book Antiqua"/>
          <w:color w:val="000000"/>
        </w:rPr>
        <w:t xml:space="preserve"> B: Gingival overgrowth in a heart transplant patient receiving bot</w:t>
      </w:r>
      <w:r w:rsidR="009E49DE">
        <w:rPr>
          <w:rFonts w:ascii="Book Antiqua" w:eastAsia="Book Antiqua" w:hAnsi="Book Antiqua" w:cs="Book Antiqua"/>
          <w:color w:val="000000"/>
        </w:rPr>
        <w:t>h cyclosporin and amlodipine; C and</w:t>
      </w:r>
      <w:r w:rsidR="00137CFC">
        <w:rPr>
          <w:rFonts w:ascii="Book Antiqua" w:eastAsia="Book Antiqua" w:hAnsi="Book Antiqua" w:cs="Book Antiqua"/>
          <w:color w:val="000000"/>
        </w:rPr>
        <w:t xml:space="preserve"> D: An improvement is observed following conservative periodontal treatment and four weeks of switching to tacrolimus and </w:t>
      </w:r>
      <w:r w:rsidR="009E49DE" w:rsidRPr="009E49DE">
        <w:rPr>
          <w:rFonts w:ascii="Book Antiqua" w:eastAsia="Book Antiqua" w:hAnsi="Book Antiqua" w:cs="Book Antiqua"/>
          <w:color w:val="000000"/>
        </w:rPr>
        <w:t>angiotensin-converting enzyme</w:t>
      </w:r>
      <w:r w:rsidR="00137CFC">
        <w:rPr>
          <w:rFonts w:ascii="Book Antiqua" w:eastAsia="Book Antiqua" w:hAnsi="Book Antiqua" w:cs="Book Antiqua"/>
          <w:color w:val="000000"/>
        </w:rPr>
        <w:t xml:space="preserve"> inhibitor.</w:t>
      </w:r>
    </w:p>
    <w:sectPr w:rsidR="00A77B3E" w:rsidSect="00E9108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B25CB" w14:textId="77777777" w:rsidR="00C1029B" w:rsidRDefault="00C1029B" w:rsidP="00E938F4">
      <w:r>
        <w:separator/>
      </w:r>
    </w:p>
  </w:endnote>
  <w:endnote w:type="continuationSeparator" w:id="0">
    <w:p w14:paraId="0D3CB2B4" w14:textId="77777777" w:rsidR="00C1029B" w:rsidRDefault="00C1029B" w:rsidP="00E93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144524"/>
      <w:docPartObj>
        <w:docPartGallery w:val="Page Numbers (Bottom of Page)"/>
        <w:docPartUnique/>
      </w:docPartObj>
    </w:sdtPr>
    <w:sdtEndPr/>
    <w:sdtContent>
      <w:sdt>
        <w:sdtPr>
          <w:id w:val="-1769616900"/>
          <w:docPartObj>
            <w:docPartGallery w:val="Page Numbers (Top of Page)"/>
            <w:docPartUnique/>
          </w:docPartObj>
        </w:sdtPr>
        <w:sdtEndPr/>
        <w:sdtContent>
          <w:p w14:paraId="441B7984" w14:textId="541B1AB7" w:rsidR="00615C4B" w:rsidRDefault="00615C4B">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7621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76214">
              <w:rPr>
                <w:b/>
                <w:bCs/>
                <w:noProof/>
              </w:rPr>
              <w:t>21</w:t>
            </w:r>
            <w:r>
              <w:rPr>
                <w:b/>
                <w:bCs/>
                <w:sz w:val="24"/>
                <w:szCs w:val="24"/>
              </w:rPr>
              <w:fldChar w:fldCharType="end"/>
            </w:r>
          </w:p>
        </w:sdtContent>
      </w:sdt>
    </w:sdtContent>
  </w:sdt>
  <w:p w14:paraId="74531336" w14:textId="77777777" w:rsidR="00615C4B" w:rsidRDefault="00615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161A61" w14:textId="77777777" w:rsidR="00C1029B" w:rsidRDefault="00C1029B" w:rsidP="00E938F4">
      <w:r>
        <w:separator/>
      </w:r>
    </w:p>
  </w:footnote>
  <w:footnote w:type="continuationSeparator" w:id="0">
    <w:p w14:paraId="6911192D" w14:textId="77777777" w:rsidR="00C1029B" w:rsidRDefault="00C1029B" w:rsidP="00E93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13476"/>
    <w:rsid w:val="00137CFC"/>
    <w:rsid w:val="0017059D"/>
    <w:rsid w:val="001732EC"/>
    <w:rsid w:val="001C03CA"/>
    <w:rsid w:val="00205C83"/>
    <w:rsid w:val="00206CE2"/>
    <w:rsid w:val="002C184C"/>
    <w:rsid w:val="003517C4"/>
    <w:rsid w:val="003C6657"/>
    <w:rsid w:val="003D34A8"/>
    <w:rsid w:val="003D4BF7"/>
    <w:rsid w:val="003D6CCE"/>
    <w:rsid w:val="0043070D"/>
    <w:rsid w:val="004410D2"/>
    <w:rsid w:val="00491D06"/>
    <w:rsid w:val="004B5BC1"/>
    <w:rsid w:val="005E03A9"/>
    <w:rsid w:val="00615C4B"/>
    <w:rsid w:val="00626609"/>
    <w:rsid w:val="00705646"/>
    <w:rsid w:val="00790091"/>
    <w:rsid w:val="007A5E97"/>
    <w:rsid w:val="0080126F"/>
    <w:rsid w:val="0081028B"/>
    <w:rsid w:val="00937FB5"/>
    <w:rsid w:val="009E49DE"/>
    <w:rsid w:val="00A35668"/>
    <w:rsid w:val="00A77B3E"/>
    <w:rsid w:val="00A80438"/>
    <w:rsid w:val="00B46F94"/>
    <w:rsid w:val="00B71588"/>
    <w:rsid w:val="00B76214"/>
    <w:rsid w:val="00C051A8"/>
    <w:rsid w:val="00C1029B"/>
    <w:rsid w:val="00C21AB9"/>
    <w:rsid w:val="00C55C70"/>
    <w:rsid w:val="00CA2A55"/>
    <w:rsid w:val="00CD1199"/>
    <w:rsid w:val="00E91088"/>
    <w:rsid w:val="00E938F4"/>
    <w:rsid w:val="00F01D36"/>
    <w:rsid w:val="00FF3E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F575B"/>
  <w15:docId w15:val="{29795810-0676-4121-846F-9223E39B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38F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938F4"/>
    <w:rPr>
      <w:sz w:val="18"/>
      <w:szCs w:val="18"/>
    </w:rPr>
  </w:style>
  <w:style w:type="paragraph" w:styleId="Footer">
    <w:name w:val="footer"/>
    <w:basedOn w:val="Normal"/>
    <w:link w:val="FooterChar"/>
    <w:uiPriority w:val="99"/>
    <w:unhideWhenUsed/>
    <w:rsid w:val="00E938F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938F4"/>
    <w:rPr>
      <w:sz w:val="18"/>
      <w:szCs w:val="18"/>
    </w:rPr>
  </w:style>
  <w:style w:type="paragraph" w:styleId="BalloonText">
    <w:name w:val="Balloon Text"/>
    <w:basedOn w:val="Normal"/>
    <w:link w:val="BalloonTextChar"/>
    <w:semiHidden/>
    <w:unhideWhenUsed/>
    <w:rsid w:val="00C55C70"/>
    <w:rPr>
      <w:sz w:val="18"/>
      <w:szCs w:val="18"/>
    </w:rPr>
  </w:style>
  <w:style w:type="character" w:customStyle="1" w:styleId="BalloonTextChar">
    <w:name w:val="Balloon Text Char"/>
    <w:basedOn w:val="DefaultParagraphFont"/>
    <w:link w:val="BalloonText"/>
    <w:semiHidden/>
    <w:rsid w:val="00C55C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4B488-1A96-4B5B-B30E-4B1EE5999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4926</Words>
  <Characters>28079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Mrzljak</dc:creator>
  <cp:lastModifiedBy>Li Ma</cp:lastModifiedBy>
  <cp:revision>3</cp:revision>
  <dcterms:created xsi:type="dcterms:W3CDTF">2021-03-30T04:17:00Z</dcterms:created>
  <dcterms:modified xsi:type="dcterms:W3CDTF">2021-03-30T04:19:00Z</dcterms:modified>
</cp:coreProperties>
</file>