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16F7" w14:textId="7AB62425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60A4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60A4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60A4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Critical</w:t>
      </w:r>
      <w:r w:rsidR="00C60A4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Care</w:t>
      </w:r>
      <w:r w:rsidR="00C60A4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Medicine</w:t>
      </w:r>
    </w:p>
    <w:p w14:paraId="7AA9C83C" w14:textId="28E18CEF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64199</w:t>
      </w:r>
    </w:p>
    <w:p w14:paraId="5E73A313" w14:textId="276FDE82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06"/>
      <w:bookmarkStart w:id="1" w:name="OLE_LINK107"/>
      <w:r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154404B8" w14:textId="77777777" w:rsidR="00A77B3E" w:rsidRDefault="00A77B3E">
      <w:pPr>
        <w:spacing w:line="360" w:lineRule="auto"/>
        <w:jc w:val="both"/>
      </w:pPr>
    </w:p>
    <w:p w14:paraId="6D75C123" w14:textId="6587D3B6" w:rsidR="00A77B3E" w:rsidRDefault="00EE1B08">
      <w:pPr>
        <w:spacing w:line="360" w:lineRule="auto"/>
        <w:jc w:val="both"/>
      </w:pPr>
      <w:bookmarkStart w:id="2" w:name="OLE_LINK45"/>
      <w:bookmarkStart w:id="3" w:name="OLE_LINK46"/>
      <w:bookmarkStart w:id="4" w:name="OLE_LINK99"/>
      <w:bookmarkStart w:id="5" w:name="OLE_LINK119"/>
      <w:r>
        <w:rPr>
          <w:rFonts w:ascii="Book Antiqua" w:eastAsia="Book Antiqua" w:hAnsi="Book Antiqua" w:cs="Book Antiqua"/>
          <w:b/>
          <w:color w:val="000000"/>
        </w:rPr>
        <w:t>Predictive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modeling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in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neurocritical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care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using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causal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artificial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4845">
        <w:rPr>
          <w:rFonts w:ascii="Book Antiqua" w:eastAsia="Book Antiqua" w:hAnsi="Book Antiqua" w:cs="Book Antiqua"/>
          <w:b/>
          <w:color w:val="000000"/>
        </w:rPr>
        <w:t>intel</w:t>
      </w:r>
      <w:r>
        <w:rPr>
          <w:rFonts w:ascii="Book Antiqua" w:eastAsia="Book Antiqua" w:hAnsi="Book Antiqua" w:cs="Book Antiqua"/>
          <w:b/>
          <w:color w:val="000000"/>
        </w:rPr>
        <w:t>ligence</w:t>
      </w:r>
    </w:p>
    <w:bookmarkEnd w:id="2"/>
    <w:bookmarkEnd w:id="3"/>
    <w:bookmarkEnd w:id="4"/>
    <w:bookmarkEnd w:id="5"/>
    <w:p w14:paraId="597F41B1" w14:textId="77777777" w:rsidR="00A77B3E" w:rsidRDefault="00A77B3E">
      <w:pPr>
        <w:spacing w:line="360" w:lineRule="auto"/>
        <w:jc w:val="both"/>
      </w:pPr>
    </w:p>
    <w:p w14:paraId="02080563" w14:textId="550DB589" w:rsidR="00A77B3E" w:rsidRDefault="00ED4845">
      <w:pPr>
        <w:spacing w:line="360" w:lineRule="auto"/>
        <w:jc w:val="both"/>
      </w:pPr>
      <w:bookmarkStart w:id="6" w:name="OLE_LINK3"/>
      <w:bookmarkStart w:id="7" w:name="OLE_LINK4"/>
      <w:r>
        <w:rPr>
          <w:rFonts w:ascii="Book Antiqua" w:eastAsia="Book Antiqua" w:hAnsi="Book Antiqua" w:cs="Book Antiqua"/>
          <w:color w:val="000000"/>
        </w:rPr>
        <w:t>Dang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bookmarkEnd w:id="7"/>
      <w:r w:rsidRPr="00ED4845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60A4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ED4845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8" w:name="OLE_LINK117"/>
      <w:bookmarkStart w:id="9" w:name="OLE_LINK118"/>
      <w:bookmarkStart w:id="10" w:name="OLE_LINK100"/>
      <w:bookmarkStart w:id="11" w:name="OLE_LINK101"/>
      <w:r w:rsidR="00EE1B08">
        <w:rPr>
          <w:rFonts w:ascii="Book Antiqua" w:eastAsia="Book Antiqua" w:hAnsi="Book Antiqua" w:cs="Book Antiqua"/>
          <w:color w:val="000000"/>
        </w:rPr>
        <w:t>Predictive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E1B08">
        <w:rPr>
          <w:rFonts w:ascii="Book Antiqua" w:eastAsia="Book Antiqua" w:hAnsi="Book Antiqua" w:cs="Book Antiqua"/>
          <w:color w:val="000000"/>
        </w:rPr>
        <w:t>are</w:t>
      </w:r>
      <w:bookmarkEnd w:id="8"/>
      <w:bookmarkEnd w:id="9"/>
    </w:p>
    <w:bookmarkEnd w:id="10"/>
    <w:bookmarkEnd w:id="11"/>
    <w:p w14:paraId="08C35187" w14:textId="77777777" w:rsidR="00A77B3E" w:rsidRDefault="00A77B3E">
      <w:pPr>
        <w:spacing w:line="360" w:lineRule="auto"/>
        <w:jc w:val="both"/>
      </w:pPr>
    </w:p>
    <w:p w14:paraId="481B621D" w14:textId="58BF652F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Johnny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"/>
      <w:bookmarkStart w:id="13" w:name="OLE_LINK2"/>
      <w:r>
        <w:rPr>
          <w:rFonts w:ascii="Book Antiqua" w:eastAsia="Book Antiqua" w:hAnsi="Book Antiqua" w:cs="Book Antiqua"/>
          <w:color w:val="000000"/>
        </w:rPr>
        <w:t>Dang</w:t>
      </w:r>
      <w:bookmarkEnd w:id="12"/>
      <w:bookmarkEnd w:id="13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5"/>
      <w:bookmarkStart w:id="15" w:name="OLE_LINK6"/>
      <w:r>
        <w:rPr>
          <w:rFonts w:ascii="Book Antiqua" w:eastAsia="Book Antiqua" w:hAnsi="Book Antiqua" w:cs="Book Antiqua"/>
          <w:color w:val="000000"/>
        </w:rPr>
        <w:t>Lal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9"/>
      <w:bookmarkStart w:id="17" w:name="OLE_LINK10"/>
      <w:proofErr w:type="spellStart"/>
      <w:r>
        <w:rPr>
          <w:rFonts w:ascii="Book Antiqua" w:eastAsia="Book Antiqua" w:hAnsi="Book Antiqua" w:cs="Book Antiqua"/>
          <w:color w:val="000000"/>
        </w:rPr>
        <w:t>Flurin</w:t>
      </w:r>
      <w:bookmarkEnd w:id="16"/>
      <w:bookmarkEnd w:id="17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1"/>
      <w:bookmarkStart w:id="19" w:name="OLE_LINK12"/>
      <w:r>
        <w:rPr>
          <w:rFonts w:ascii="Book Antiqua" w:eastAsia="Book Antiqua" w:hAnsi="Book Antiqua" w:cs="Book Antiqua"/>
          <w:color w:val="000000"/>
        </w:rPr>
        <w:t>James</w:t>
      </w:r>
      <w:bookmarkEnd w:id="18"/>
      <w:bookmarkEnd w:id="19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Ognjen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3"/>
      <w:bookmarkStart w:id="21" w:name="OLE_LINK14"/>
      <w:r>
        <w:rPr>
          <w:rFonts w:ascii="Book Antiqua" w:eastAsia="Book Antiqua" w:hAnsi="Book Antiqua" w:cs="Book Antiqua"/>
          <w:color w:val="000000"/>
        </w:rPr>
        <w:t>Gajic</w:t>
      </w:r>
      <w:bookmarkEnd w:id="20"/>
      <w:bookmarkEnd w:id="21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Alejandro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7"/>
      <w:bookmarkStart w:id="23" w:name="OLE_LINK18"/>
      <w:proofErr w:type="spellStart"/>
      <w:r>
        <w:rPr>
          <w:rFonts w:ascii="Book Antiqua" w:eastAsia="Book Antiqua" w:hAnsi="Book Antiqua" w:cs="Book Antiqua"/>
          <w:color w:val="000000"/>
        </w:rPr>
        <w:t>Rabinstein</w:t>
      </w:r>
      <w:bookmarkEnd w:id="22"/>
      <w:bookmarkEnd w:id="23"/>
      <w:proofErr w:type="spellEnd"/>
    </w:p>
    <w:p w14:paraId="5D8FDA9A" w14:textId="77777777" w:rsidR="00A77B3E" w:rsidRDefault="00A77B3E">
      <w:pPr>
        <w:spacing w:line="360" w:lineRule="auto"/>
        <w:jc w:val="both"/>
      </w:pPr>
    </w:p>
    <w:p w14:paraId="72C21BF6" w14:textId="7F652535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Johnny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Dang,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Alix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782787">
        <w:rPr>
          <w:rFonts w:ascii="Book Antiqua" w:eastAsia="Book Antiqua" w:hAnsi="Book Antiqua" w:cs="Book Antiqua"/>
          <w:color w:val="000000"/>
        </w:rPr>
        <w:t>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Clinic,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Rochester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MN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102"/>
      <w:bookmarkStart w:id="25" w:name="OLE_LINK103"/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bookmarkEnd w:id="24"/>
    <w:bookmarkEnd w:id="25"/>
    <w:p w14:paraId="1BB79A4A" w14:textId="77777777" w:rsidR="00A77B3E" w:rsidRDefault="00A77B3E">
      <w:pPr>
        <w:spacing w:line="360" w:lineRule="auto"/>
        <w:jc w:val="both"/>
      </w:pPr>
    </w:p>
    <w:p w14:paraId="6DA6CE57" w14:textId="7FB6E435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Ognjen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Gajic,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104"/>
      <w:bookmarkStart w:id="27" w:name="OLE_LINK105"/>
      <w:r>
        <w:rPr>
          <w:rFonts w:ascii="Book Antiqua" w:eastAsia="Book Antiqua" w:hAnsi="Book Antiqua" w:cs="Book Antiqua"/>
          <w:color w:val="000000"/>
        </w:rPr>
        <w:t>Department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bookmarkEnd w:id="26"/>
      <w:bookmarkEnd w:id="27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Rochester,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346C80E" w14:textId="77777777" w:rsidR="00A77B3E" w:rsidRDefault="00A77B3E">
      <w:pPr>
        <w:spacing w:line="360" w:lineRule="auto"/>
        <w:jc w:val="both"/>
      </w:pPr>
    </w:p>
    <w:p w14:paraId="3D75A305" w14:textId="0C5F0760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Laure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Flurin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</w:t>
      </w:r>
      <w:r w:rsidR="00782787">
        <w:rPr>
          <w:rFonts w:ascii="Book Antiqua" w:eastAsia="Book Antiqua" w:hAnsi="Book Antiqua" w:cs="Book Antiqua"/>
          <w:color w:val="000000"/>
        </w:rPr>
        <w:t>iology,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Clinic,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Rochester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MN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4FBB9CD" w14:textId="77777777" w:rsidR="00A77B3E" w:rsidRDefault="00A77B3E">
      <w:pPr>
        <w:spacing w:line="360" w:lineRule="auto"/>
        <w:jc w:val="both"/>
      </w:pPr>
    </w:p>
    <w:p w14:paraId="2813D626" w14:textId="22D267E5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Amy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James,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Rochester,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C0B4021" w14:textId="77777777" w:rsidR="00A77B3E" w:rsidRDefault="00A77B3E">
      <w:pPr>
        <w:spacing w:line="360" w:lineRule="auto"/>
        <w:jc w:val="both"/>
      </w:pPr>
    </w:p>
    <w:p w14:paraId="76A80109" w14:textId="1CA6B80A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Alejandro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Rabinstein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Rochester,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MN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63CA850" w14:textId="77777777" w:rsidR="00A77B3E" w:rsidRDefault="00A77B3E">
      <w:pPr>
        <w:spacing w:line="360" w:lineRule="auto"/>
        <w:jc w:val="both"/>
      </w:pPr>
    </w:p>
    <w:p w14:paraId="0011CA3A" w14:textId="47AABCD6" w:rsidR="00A77B3E" w:rsidRDefault="00EE1B0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115"/>
      <w:bookmarkStart w:id="29" w:name="OLE_LINK116"/>
      <w:r w:rsidR="00782787">
        <w:rPr>
          <w:rFonts w:ascii="Book Antiqua" w:eastAsia="Book Antiqua" w:hAnsi="Book Antiqua" w:cs="Book Antiqua"/>
          <w:color w:val="000000"/>
        </w:rPr>
        <w:t>Dang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/>
          <w:color w:val="000000"/>
          <w:lang w:eastAsia="zh-CN"/>
        </w:rPr>
        <w:t>J</w:t>
      </w:r>
      <w:r w:rsidR="00782787">
        <w:rPr>
          <w:rFonts w:ascii="Book Antiqua" w:hAnsi="Book Antiqua" w:cs="Book Antiqua" w:hint="eastAsia"/>
          <w:color w:val="000000"/>
          <w:lang w:eastAsia="zh-CN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Lal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A</w:t>
      </w:r>
      <w:r w:rsidR="00782787">
        <w:rPr>
          <w:rFonts w:ascii="Book Antiqua" w:hAnsi="Book Antiqua" w:cs="Book Antiqua" w:hint="eastAsia"/>
          <w:color w:val="000000"/>
          <w:lang w:eastAsia="zh-CN"/>
        </w:rPr>
        <w:t>,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782787">
        <w:rPr>
          <w:rFonts w:ascii="Book Antiqua" w:eastAsia="Book Antiqua" w:hAnsi="Book Antiqua" w:cs="Book Antiqua"/>
          <w:color w:val="000000"/>
        </w:rPr>
        <w:t>Flurin</w:t>
      </w:r>
      <w:proofErr w:type="spellEnd"/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L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and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James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A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/>
          <w:color w:val="000000"/>
          <w:lang w:eastAsia="zh-CN"/>
        </w:rPr>
        <w:t>contributed</w:t>
      </w:r>
      <w:r w:rsidR="00C60A4F">
        <w:rPr>
          <w:rFonts w:ascii="Book Antiqua" w:hAnsi="Book Antiqua" w:cs="Book Antiqu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/>
          <w:color w:val="000000"/>
          <w:lang w:eastAsia="zh-CN"/>
        </w:rPr>
        <w:t>to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manuscript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draft</w:t>
      </w:r>
      <w:r w:rsidR="00782787">
        <w:rPr>
          <w:rFonts w:ascii="Book Antiqua" w:hAnsi="Book Antiqua" w:cs="Book Antiqua" w:hint="eastAsia"/>
          <w:color w:val="000000"/>
          <w:lang w:eastAsia="zh-CN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revision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igure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782787">
        <w:rPr>
          <w:rFonts w:ascii="Book Antiqua" w:hAnsi="Book Antiqua" w:cs="Book Antiqua" w:hint="eastAsia"/>
          <w:color w:val="000000"/>
          <w:lang w:eastAsia="zh-CN"/>
        </w:rPr>
        <w:t>;</w:t>
      </w:r>
      <w:bookmarkStart w:id="30" w:name="OLE_LINK7"/>
      <w:bookmarkStart w:id="31" w:name="OLE_LINK8"/>
      <w:r w:rsidR="00C60A4F">
        <w:rPr>
          <w:rFonts w:hint="eastAsia"/>
          <w:lang w:eastAsia="zh-CN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Lal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A</w:t>
      </w:r>
      <w:bookmarkEnd w:id="30"/>
      <w:bookmarkEnd w:id="31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/>
          <w:color w:val="000000"/>
          <w:lang w:eastAsia="zh-CN"/>
        </w:rPr>
        <w:t>contributed</w:t>
      </w:r>
      <w:r w:rsidR="00C60A4F">
        <w:rPr>
          <w:rFonts w:ascii="Book Antiqua" w:hAnsi="Book Antiqua" w:cs="Book Antiqu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/>
          <w:color w:val="000000"/>
          <w:lang w:eastAsia="zh-CN"/>
        </w:rPr>
        <w:t>to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the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82787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hint="eastAsia"/>
          <w:lang w:eastAsia="zh-CN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Gajic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15"/>
      <w:bookmarkStart w:id="33" w:name="OLE_LINK16"/>
      <w:r w:rsidR="00782787">
        <w:rPr>
          <w:rFonts w:ascii="Book Antiqua" w:hAnsi="Book Antiqua" w:cs="Book Antiqua" w:hint="eastAsia"/>
          <w:color w:val="000000"/>
          <w:lang w:eastAsia="zh-CN"/>
        </w:rPr>
        <w:t>and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782787">
        <w:rPr>
          <w:rFonts w:ascii="Book Antiqua" w:eastAsia="Book Antiqua" w:hAnsi="Book Antiqua" w:cs="Book Antiqua"/>
          <w:color w:val="000000"/>
        </w:rPr>
        <w:t>Rabinstein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AA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to</w:t>
      </w:r>
      <w:bookmarkEnd w:id="32"/>
      <w:bookmarkEnd w:id="33"/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the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</w:t>
      </w:r>
      <w:r w:rsidR="00782787">
        <w:rPr>
          <w:rFonts w:ascii="Book Antiqua" w:eastAsia="Book Antiqua" w:hAnsi="Book Antiqua" w:cs="Book Antiqua"/>
          <w:color w:val="000000"/>
        </w:rPr>
        <w:t>ipt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draft</w:t>
      </w:r>
      <w:r w:rsidR="00782787">
        <w:rPr>
          <w:rFonts w:ascii="Book Antiqua" w:hAnsi="Book Antiqua" w:cs="Book Antiqua" w:hint="eastAsia"/>
          <w:color w:val="000000"/>
          <w:lang w:eastAsia="zh-CN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revision</w:t>
      </w:r>
      <w:r w:rsidR="00782787">
        <w:rPr>
          <w:rFonts w:ascii="Book Antiqua" w:hAnsi="Book Antiqua" w:cs="Book Antiqua" w:hint="eastAsia"/>
          <w:color w:val="000000"/>
          <w:lang w:eastAsia="zh-CN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conception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eastAsia="Book Antiqua" w:hAnsi="Book Antiqua" w:cs="Book Antiqua"/>
          <w:color w:val="000000"/>
        </w:rPr>
        <w:t>idea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82787">
        <w:rPr>
          <w:rFonts w:ascii="Book Antiqua" w:hAnsi="Book Antiqua" w:cs="Book Antiqua" w:hint="eastAsia"/>
          <w:color w:val="000000"/>
          <w:lang w:eastAsia="zh-CN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82787">
        <w:rPr>
          <w:rFonts w:ascii="Book Antiqua" w:hAnsi="Book Antiqua" w:cs="Book Antiqua" w:hint="eastAsia"/>
          <w:color w:val="000000"/>
          <w:lang w:eastAsia="zh-CN"/>
        </w:rPr>
        <w:t>.</w:t>
      </w:r>
      <w:bookmarkEnd w:id="28"/>
      <w:bookmarkEnd w:id="29"/>
    </w:p>
    <w:p w14:paraId="4587B949" w14:textId="77777777" w:rsidR="00A77B3E" w:rsidRDefault="00A77B3E">
      <w:pPr>
        <w:spacing w:line="360" w:lineRule="auto"/>
        <w:jc w:val="both"/>
      </w:pPr>
    </w:p>
    <w:p w14:paraId="02DBF16D" w14:textId="652169F0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Amos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Lal,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Rochester,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lal.amos@mayo.edu</w:t>
      </w:r>
    </w:p>
    <w:p w14:paraId="4AC9A3C9" w14:textId="77777777" w:rsidR="00A77B3E" w:rsidRDefault="00A77B3E">
      <w:pPr>
        <w:spacing w:line="360" w:lineRule="auto"/>
        <w:jc w:val="both"/>
      </w:pPr>
    </w:p>
    <w:p w14:paraId="349D30E9" w14:textId="273A456B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D6A31CA" w14:textId="4DE8D0D3" w:rsidR="00A77B3E" w:rsidRPr="00AE41A5" w:rsidRDefault="00EE1B0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41A5" w:rsidRPr="00AE41A5">
        <w:rPr>
          <w:rFonts w:ascii="Book Antiqua" w:hAnsi="Book Antiqua" w:cs="Book Antiqua" w:hint="eastAsia"/>
          <w:bCs/>
          <w:color w:val="000000"/>
          <w:lang w:eastAsia="zh-CN"/>
        </w:rPr>
        <w:t>March</w:t>
      </w:r>
      <w:r w:rsidR="00C60A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E41A5" w:rsidRPr="00AE41A5">
        <w:rPr>
          <w:rFonts w:ascii="Book Antiqua" w:hAnsi="Book Antiqua" w:cs="Book Antiqua" w:hint="eastAsia"/>
          <w:bCs/>
          <w:color w:val="000000"/>
          <w:lang w:eastAsia="zh-CN"/>
        </w:rPr>
        <w:t>17,</w:t>
      </w:r>
      <w:r w:rsidR="00C60A4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AE41A5" w:rsidRPr="00AE41A5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3E04CF60" w14:textId="17CA8A7E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48"/>
      <w:r w:rsidR="006A56A5">
        <w:rPr>
          <w:rFonts w:ascii="Book Antiqua" w:eastAsia="宋体" w:hAnsi="Book Antiqua"/>
          <w:color w:val="000000" w:themeColor="text1"/>
        </w:rPr>
        <w:t>J</w:t>
      </w:r>
      <w:r w:rsidR="006A56A5">
        <w:rPr>
          <w:rFonts w:ascii="Book Antiqua" w:eastAsia="宋体" w:hAnsi="Book Antiqua" w:hint="eastAsia"/>
          <w:color w:val="000000" w:themeColor="text1"/>
        </w:rPr>
        <w:t>u</w:t>
      </w:r>
      <w:r w:rsidR="006A56A5">
        <w:rPr>
          <w:rFonts w:ascii="Book Antiqua" w:eastAsia="宋体" w:hAnsi="Book Antiqua"/>
          <w:color w:val="000000" w:themeColor="text1"/>
        </w:rPr>
        <w:t>ly</w:t>
      </w:r>
      <w:r w:rsidR="006A56A5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A56A5">
        <w:rPr>
          <w:rFonts w:ascii="Book Antiqua" w:eastAsia="宋体" w:hAnsi="Book Antiqua"/>
          <w:color w:val="000000" w:themeColor="text1"/>
        </w:rPr>
        <w:t>2</w:t>
      </w:r>
      <w:r w:rsidR="006A56A5" w:rsidRPr="00F06907">
        <w:rPr>
          <w:rFonts w:ascii="Book Antiqua" w:eastAsia="宋体" w:hAnsi="Book Antiqua"/>
          <w:color w:val="000000" w:themeColor="text1"/>
        </w:rPr>
        <w:t>, 2021</w:t>
      </w:r>
      <w:bookmarkEnd w:id="34"/>
    </w:p>
    <w:p w14:paraId="59946A2B" w14:textId="14FA3431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DB9DAB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08C2A6" w14:textId="77777777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120332B" w14:textId="2C7B9018" w:rsidR="00A77B3E" w:rsidRDefault="00EE1B08">
      <w:pPr>
        <w:spacing w:line="360" w:lineRule="auto"/>
        <w:jc w:val="both"/>
      </w:pPr>
      <w:bookmarkStart w:id="35" w:name="OLE_LINK32"/>
      <w:bookmarkStart w:id="36" w:name="OLE_LINK33"/>
      <w:bookmarkStart w:id="37" w:name="OLE_LINK120"/>
      <w:bookmarkStart w:id="38" w:name="OLE_LINK121"/>
      <w:r>
        <w:rPr>
          <w:rFonts w:ascii="Book Antiqua" w:eastAsia="Book Antiqua" w:hAnsi="Book Antiqua" w:cs="Book Antiqua"/>
          <w:color w:val="000000"/>
        </w:rPr>
        <w:t>Artificial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intelligence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bookmarkEnd w:id="35"/>
      <w:bookmarkEnd w:id="36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caught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Archimedes,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21"/>
      <w:bookmarkStart w:id="40" w:name="OLE_LINK22"/>
      <w:bookmarkStart w:id="41" w:name="OLE_LINK25"/>
      <w:bookmarkStart w:id="42" w:name="OLE_LINK31"/>
      <w:r w:rsidR="00D263AA" w:rsidRPr="00A229E7"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 w:rsidRPr="00A229E7">
        <w:rPr>
          <w:rFonts w:ascii="Book Antiqua" w:eastAsia="Book Antiqua" w:hAnsi="Book Antiqua" w:cs="Book Antiqua"/>
          <w:color w:val="000000"/>
        </w:rPr>
        <w:t>ca</w:t>
      </w:r>
      <w:r w:rsidR="00A229E7" w:rsidRPr="00A229E7">
        <w:rPr>
          <w:rFonts w:ascii="Book Antiqua" w:eastAsia="Book Antiqua" w:hAnsi="Book Antiqua" w:cs="Book Antiqua"/>
          <w:color w:val="000000"/>
        </w:rPr>
        <w:t>re</w:t>
      </w:r>
      <w:bookmarkEnd w:id="39"/>
      <w:bookmarkEnd w:id="40"/>
      <w:bookmarkEnd w:id="41"/>
      <w:bookmarkEnd w:id="42"/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B55568" w:rsidRPr="00B55568">
        <w:rPr>
          <w:rFonts w:ascii="Book Antiqua" w:hAnsi="Book Antiqua" w:cs="Book Antiqua"/>
          <w:color w:val="000000"/>
          <w:lang w:eastAsia="zh-CN"/>
        </w:rPr>
        <w:t>e</w:t>
      </w:r>
      <w:r w:rsidR="00B55568" w:rsidRPr="00B55568">
        <w:rPr>
          <w:rFonts w:ascii="Book Antiqua" w:eastAsia="Book Antiqua" w:hAnsi="Book Antiqua" w:cs="Book Antiqua"/>
          <w:color w:val="000000"/>
        </w:rPr>
        <w:t>lectroencephalography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B55568" w:rsidRPr="00B55568">
        <w:rPr>
          <w:rFonts w:ascii="Book Antiqua" w:eastAsia="Book Antiqua" w:hAnsi="Book Antiqua" w:cs="Book Antiqua"/>
          <w:color w:val="000000"/>
        </w:rPr>
        <w:t>intracranial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B55568" w:rsidRPr="00B55568"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electroencephalograms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tracings,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unresponsive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mini-review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 w:rsidRPr="00D263AA"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 w:rsidRPr="00D263AA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making.</w:t>
      </w:r>
    </w:p>
    <w:bookmarkEnd w:id="37"/>
    <w:bookmarkEnd w:id="38"/>
    <w:p w14:paraId="0B57E2CC" w14:textId="77777777" w:rsidR="00A77B3E" w:rsidRDefault="00A77B3E">
      <w:pPr>
        <w:spacing w:line="360" w:lineRule="auto"/>
        <w:jc w:val="both"/>
      </w:pPr>
    </w:p>
    <w:p w14:paraId="45A46E59" w14:textId="67C84605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3" w:name="OLE_LINK108"/>
      <w:bookmarkStart w:id="44" w:name="OLE_LINK109"/>
      <w:bookmarkStart w:id="45" w:name="OLE_LINK114"/>
      <w:r>
        <w:rPr>
          <w:rFonts w:ascii="Book Antiqua" w:eastAsia="Book Antiqua" w:hAnsi="Book Antiqua" w:cs="Book Antiqua"/>
          <w:color w:val="000000"/>
        </w:rPr>
        <w:t>Artificial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intelligence</w:t>
      </w:r>
      <w:r>
        <w:rPr>
          <w:rFonts w:ascii="Book Antiqua" w:eastAsia="Book Antiqua" w:hAnsi="Book Antiqua" w:cs="Book Antiqua"/>
          <w:color w:val="000000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twin</w:t>
      </w:r>
      <w:r>
        <w:rPr>
          <w:rFonts w:ascii="Book Antiqua" w:eastAsia="Book Antiqua" w:hAnsi="Book Antiqua" w:cs="Book Antiqua"/>
          <w:color w:val="000000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artificial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intelligenc</w:t>
      </w:r>
      <w:r>
        <w:rPr>
          <w:rFonts w:ascii="Book Antiqua" w:eastAsia="Book Antiqua" w:hAnsi="Book Antiqua" w:cs="Book Antiqua"/>
          <w:color w:val="000000"/>
        </w:rPr>
        <w:t>e;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modeling</w:t>
      </w:r>
      <w:bookmarkEnd w:id="43"/>
      <w:bookmarkEnd w:id="44"/>
      <w:bookmarkEnd w:id="45"/>
    </w:p>
    <w:p w14:paraId="502A15B0" w14:textId="77777777" w:rsidR="00A77B3E" w:rsidRDefault="00A77B3E">
      <w:pPr>
        <w:spacing w:line="360" w:lineRule="auto"/>
        <w:jc w:val="both"/>
      </w:pPr>
    </w:p>
    <w:p w14:paraId="798ED41B" w14:textId="5E39CC09" w:rsidR="00A77B3E" w:rsidRDefault="00EE1B08">
      <w:pPr>
        <w:spacing w:line="360" w:lineRule="auto"/>
        <w:jc w:val="both"/>
      </w:pPr>
      <w:bookmarkStart w:id="46" w:name="OLE_LINK110"/>
      <w:bookmarkStart w:id="47" w:name="OLE_LINK111"/>
      <w:r>
        <w:rPr>
          <w:rFonts w:ascii="Book Antiqua" w:eastAsia="Book Antiqua" w:hAnsi="Book Antiqua" w:cs="Book Antiqua"/>
          <w:color w:val="000000"/>
        </w:rPr>
        <w:t>Dang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Flurin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Gajic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Rabinstein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modeling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using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causal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artificial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intelli</w:t>
      </w:r>
      <w:r>
        <w:rPr>
          <w:rFonts w:ascii="Book Antiqua" w:eastAsia="Book Antiqua" w:hAnsi="Book Antiqua" w:cs="Book Antiqua"/>
          <w:color w:val="000000"/>
        </w:rPr>
        <w:t>gence.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60A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60A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60A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60A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6"/>
    <w:bookmarkEnd w:id="47"/>
    <w:p w14:paraId="776C0179" w14:textId="77777777" w:rsidR="00A77B3E" w:rsidRDefault="00A77B3E">
      <w:pPr>
        <w:spacing w:line="360" w:lineRule="auto"/>
        <w:jc w:val="both"/>
      </w:pPr>
    </w:p>
    <w:p w14:paraId="05816DEE" w14:textId="0628666B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112"/>
      <w:bookmarkStart w:id="49" w:name="OLE_LINK113"/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E07A6">
        <w:rPr>
          <w:rFonts w:ascii="Book Antiqua" w:eastAsia="Book Antiqua" w:hAnsi="Book Antiqua" w:cs="Book Antiqua"/>
          <w:color w:val="000000"/>
        </w:rPr>
        <w:t>artificial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E07A6">
        <w:rPr>
          <w:rFonts w:ascii="Book Antiqua" w:eastAsia="Book Antiqua" w:hAnsi="Book Antiqua" w:cs="Book Antiqua"/>
          <w:color w:val="000000"/>
        </w:rPr>
        <w:t>intelligence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E07A6">
        <w:rPr>
          <w:rFonts w:ascii="Book Antiqua" w:eastAsia="Book Antiqua" w:hAnsi="Book Antiqua" w:cs="Book Antiqua"/>
          <w:color w:val="000000"/>
        </w:rPr>
        <w:t>(AI)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>
        <w:rPr>
          <w:rFonts w:ascii="Book Antiqua" w:eastAsia="Book Antiqua" w:hAnsi="Book Antiqua" w:cs="Book Antiqua"/>
          <w:color w:val="000000"/>
        </w:rPr>
        <w:t>neurologic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 w:rsidRPr="00D03FB4">
        <w:rPr>
          <w:rFonts w:ascii="Book Antiqua" w:eastAsia="Book Antiqua" w:hAnsi="Book Antiqua" w:cs="Book Antiqua"/>
          <w:color w:val="000000"/>
        </w:rPr>
        <w:t>intensive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 w:rsidRPr="00D03FB4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 w:rsidRPr="00D03FB4">
        <w:rPr>
          <w:rFonts w:ascii="Book Antiqua" w:eastAsia="Book Antiqua" w:hAnsi="Book Antiqua" w:cs="Book Antiqua"/>
          <w:color w:val="000000"/>
        </w:rPr>
        <w:t>unit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readers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F5448"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F5448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methodology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F5448"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F5448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pathophysiology.</w:t>
      </w:r>
      <w:bookmarkEnd w:id="48"/>
      <w:bookmarkEnd w:id="49"/>
    </w:p>
    <w:p w14:paraId="5162F763" w14:textId="77777777" w:rsidR="00A77B3E" w:rsidRDefault="003F523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E1B0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B96615" w14:textId="255CF66B" w:rsidR="00A77B3E" w:rsidRPr="001F1F82" w:rsidRDefault="00EE1B08">
      <w:pPr>
        <w:spacing w:line="360" w:lineRule="auto"/>
        <w:jc w:val="both"/>
        <w:rPr>
          <w:lang w:eastAsia="zh-CN"/>
        </w:rPr>
      </w:pPr>
      <w:bookmarkStart w:id="50" w:name="OLE_LINK122"/>
      <w:bookmarkStart w:id="51" w:name="OLE_LINK123"/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1F1F82">
        <w:rPr>
          <w:rFonts w:ascii="Book Antiqua" w:hAnsi="Book Antiqua" w:cs="Book Antiqua" w:hint="eastAsia"/>
          <w:color w:val="000000"/>
          <w:lang w:eastAsia="zh-CN"/>
        </w:rPr>
        <w:t>nited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1F1F82">
        <w:rPr>
          <w:rFonts w:ascii="Book Antiqua" w:hAnsi="Book Antiqua" w:cs="Book Antiqua" w:hint="eastAsia"/>
          <w:color w:val="000000"/>
          <w:lang w:eastAsia="zh-CN"/>
        </w:rPr>
        <w:t>tates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F1F82">
        <w:rPr>
          <w:rFonts w:ascii="Book Antiqua" w:eastAsia="Book Antiqua" w:hAnsi="Book Antiqua" w:cs="Book Antiqua"/>
          <w:color w:val="000000"/>
        </w:rPr>
        <w:t>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improve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population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F1F82">
        <w:rPr>
          <w:rFonts w:ascii="Book Antiqua" w:eastAsia="Book Antiqua" w:hAnsi="Book Antiqua" w:cs="Book Antiqua"/>
          <w:color w:val="000000"/>
        </w:rPr>
        <w:t>health</w:t>
      </w:r>
      <w:r w:rsidR="001F1F82" w:rsidRPr="001F1F8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1F1F82" w:rsidRPr="001F1F8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F1F82" w:rsidRPr="001F1F8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inter-related.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artificial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intellige</w:t>
      </w:r>
      <w:r>
        <w:rPr>
          <w:rFonts w:ascii="Book Antiqua" w:eastAsia="Book Antiqua" w:hAnsi="Book Antiqua" w:cs="Book Antiqua"/>
          <w:color w:val="000000"/>
        </w:rPr>
        <w:t>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(AI)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pre-requisite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plausible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algorithms.</w:t>
      </w:r>
    </w:p>
    <w:p w14:paraId="4F8E1AA8" w14:textId="0670A1D3" w:rsidR="00A77B3E" w:rsidRDefault="00EE1B08" w:rsidP="001F1F8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everything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turbines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cities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spacecraft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processes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preempt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F1F82">
        <w:rPr>
          <w:rFonts w:ascii="Book Antiqua" w:eastAsia="Book Antiqua" w:hAnsi="Book Antiqua" w:cs="Book Antiqua"/>
          <w:color w:val="000000"/>
        </w:rPr>
        <w:t>problems</w:t>
      </w:r>
      <w:r w:rsidR="001F1F82" w:rsidRPr="001F1F8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1F1F82" w:rsidRPr="001F1F8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F1F82" w:rsidRPr="001F1F8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earth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forecast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weat</w:t>
      </w:r>
      <w:r w:rsidR="001F1F82">
        <w:rPr>
          <w:rFonts w:ascii="Book Antiqua" w:eastAsia="Book Antiqua" w:hAnsi="Book Antiqua" w:cs="Book Antiqua"/>
          <w:color w:val="000000"/>
        </w:rPr>
        <w:t>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predict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>
        <w:rPr>
          <w:rFonts w:ascii="Book Antiqua" w:eastAsia="Book Antiqua" w:hAnsi="Book Antiqua" w:cs="Book Antiqua"/>
          <w:color w:val="000000"/>
        </w:rPr>
        <w:t>climate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F1F82">
        <w:rPr>
          <w:rFonts w:ascii="Book Antiqua" w:eastAsia="Book Antiqua" w:hAnsi="Book Antiqua" w:cs="Book Antiqua"/>
          <w:color w:val="000000"/>
        </w:rPr>
        <w:t>change</w:t>
      </w:r>
      <w:r w:rsidR="001F1F82" w:rsidRPr="001F1F8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1F1F82" w:rsidRPr="001F1F8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1F1F82" w:rsidRPr="001F1F8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unreasonable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 w:rsidRPr="001F1F82">
        <w:rPr>
          <w:rFonts w:ascii="Book Antiqua" w:eastAsia="Book Antiqua" w:hAnsi="Book Antiqua" w:cs="Book Antiqua"/>
          <w:color w:val="000000"/>
        </w:rPr>
        <w:t>electronic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 w:rsidRPr="001F1F82"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1F1F82" w:rsidRPr="001F1F82">
        <w:rPr>
          <w:rFonts w:ascii="Book Antiqua" w:eastAsia="Book Antiqua" w:hAnsi="Book Antiqua" w:cs="Book Antiqua"/>
          <w:color w:val="000000"/>
        </w:rPr>
        <w:t>records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individual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6169">
        <w:rPr>
          <w:rFonts w:ascii="Book Antiqua" w:eastAsia="Book Antiqua" w:hAnsi="Book Antiqua" w:cs="Book Antiqua"/>
          <w:color w:val="000000"/>
        </w:rPr>
        <w:t>patient</w:t>
      </w:r>
      <w:r w:rsidR="00D76169" w:rsidRPr="00D7616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6169" w:rsidRPr="00D7616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D76169" w:rsidRPr="00D76169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76169"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</w:t>
      </w:r>
      <w:r w:rsidR="00D76169"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making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76169"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6169">
        <w:rPr>
          <w:rFonts w:ascii="Book Antiqua" w:eastAsia="Book Antiqua" w:hAnsi="Book Antiqua" w:cs="Book Antiqua"/>
          <w:color w:val="000000"/>
        </w:rPr>
        <w:t>way</w:t>
      </w:r>
      <w:r w:rsidR="00D76169" w:rsidRPr="00D7616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6169" w:rsidRPr="00D7616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D76169" w:rsidRPr="00D76169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A16F82" w14:textId="37EE990D" w:rsidR="00A77B3E" w:rsidRDefault="00EE1B08" w:rsidP="007119D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specialties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119D7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119D7">
        <w:rPr>
          <w:rFonts w:ascii="Book Antiqua" w:eastAsia="Book Antiqua" w:hAnsi="Book Antiqua" w:cs="Book Antiqua"/>
          <w:color w:val="000000"/>
        </w:rPr>
        <w:t>death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119D7"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119D7"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119D7"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119D7">
        <w:rPr>
          <w:rFonts w:ascii="Book Antiqua" w:eastAsia="Book Antiqua" w:hAnsi="Book Antiqua" w:cs="Book Antiqua"/>
          <w:color w:val="000000"/>
        </w:rPr>
        <w:t>States</w:t>
      </w:r>
      <w:r w:rsidR="007119D7" w:rsidRPr="007119D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7119D7" w:rsidRPr="007119D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7119D7" w:rsidRPr="007119D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unquestionably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silico”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50"/>
    <w:bookmarkEnd w:id="51"/>
    <w:p w14:paraId="613F84D9" w14:textId="77777777" w:rsidR="00A77B3E" w:rsidRDefault="00A77B3E">
      <w:pPr>
        <w:spacing w:line="360" w:lineRule="auto"/>
        <w:jc w:val="both"/>
      </w:pPr>
    </w:p>
    <w:p w14:paraId="5CD862A1" w14:textId="16B0A08F" w:rsidR="00A77B3E" w:rsidRDefault="007119D7">
      <w:pPr>
        <w:spacing w:line="360" w:lineRule="auto"/>
        <w:jc w:val="both"/>
      </w:pPr>
      <w:bookmarkStart w:id="52" w:name="OLE_LINK124"/>
      <w:bookmarkStart w:id="53" w:name="OLE_LINK125"/>
      <w:r>
        <w:rPr>
          <w:rFonts w:ascii="Book Antiqua" w:eastAsia="Book Antiqua" w:hAnsi="Book Antiqua" w:cs="Book Antiqua"/>
          <w:b/>
          <w:bCs/>
          <w:color w:val="000000"/>
          <w:u w:val="single"/>
        </w:rPr>
        <w:t>WHAT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IS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DIGITAL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TWIN?</w:t>
      </w:r>
    </w:p>
    <w:bookmarkEnd w:id="52"/>
    <w:bookmarkEnd w:id="53"/>
    <w:p w14:paraId="744CA69B" w14:textId="40017595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</w:t>
      </w:r>
      <w:r w:rsidR="0048500C">
        <w:rPr>
          <w:rFonts w:ascii="Book Antiqua" w:eastAsia="Book Antiqua" w:hAnsi="Book Antiqua" w:cs="Book Antiqua"/>
          <w:color w:val="000000"/>
        </w:rPr>
        <w:t>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efficiently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00C">
        <w:rPr>
          <w:rFonts w:ascii="Book Antiqua" w:eastAsia="Book Antiqua" w:hAnsi="Book Antiqua" w:cs="Book Antiqua"/>
          <w:color w:val="000000"/>
        </w:rPr>
        <w:t>economically</w:t>
      </w:r>
      <w:r w:rsidR="0048500C" w:rsidRPr="0048500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48500C" w:rsidRPr="0048500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8500C" w:rsidRPr="0048500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caught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Archimedes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develop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00C">
        <w:rPr>
          <w:rFonts w:ascii="Book Antiqua" w:eastAsia="Book Antiqua" w:hAnsi="Book Antiqua" w:cs="Book Antiqua"/>
          <w:color w:val="000000"/>
        </w:rPr>
        <w:t>model</w:t>
      </w:r>
      <w:r w:rsidR="0048500C" w:rsidRPr="0048500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48500C" w:rsidRPr="0048500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48500C" w:rsidRPr="0048500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individual-specific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</w:t>
      </w:r>
      <w:r w:rsidR="0048500C">
        <w:rPr>
          <w:rFonts w:ascii="Book Antiqua" w:eastAsia="Book Antiqua" w:hAnsi="Book Antiqua" w:cs="Book Antiqua"/>
          <w:color w:val="000000"/>
        </w:rPr>
        <w:t>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human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500C">
        <w:rPr>
          <w:rFonts w:ascii="Book Antiqua" w:eastAsia="Book Antiqua" w:hAnsi="Book Antiqua" w:cs="Book Antiqua"/>
          <w:color w:val="000000"/>
        </w:rPr>
        <w:t>brain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500C">
        <w:rPr>
          <w:rFonts w:ascii="Book Antiqua" w:eastAsia="Book Antiqua" w:hAnsi="Book Antiqua" w:cs="Book Antiqua"/>
          <w:color w:val="000000"/>
        </w:rPr>
        <w:t>cannot</w:t>
      </w:r>
      <w:r w:rsidR="0048500C" w:rsidRPr="0048500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48500C" w:rsidRPr="0048500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8500C" w:rsidRPr="0048500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Archimedes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</w:t>
      </w:r>
      <w:r w:rsidR="009C64F3">
        <w:rPr>
          <w:rFonts w:ascii="Book Antiqua" w:eastAsia="Book Antiqua" w:hAnsi="Book Antiqua" w:cs="Book Antiqua"/>
          <w:color w:val="000000"/>
        </w:rPr>
        <w:t>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C64F3">
        <w:rPr>
          <w:rFonts w:ascii="Book Antiqua" w:eastAsia="Book Antiqua" w:hAnsi="Book Antiqua" w:cs="Book Antiqua"/>
          <w:color w:val="000000"/>
        </w:rPr>
        <w:t>predictions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C64F3"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64F3">
        <w:rPr>
          <w:rFonts w:ascii="Book Antiqua" w:eastAsia="Book Antiqua" w:hAnsi="Book Antiqua" w:cs="Book Antiqua"/>
          <w:color w:val="000000"/>
        </w:rPr>
        <w:t>individuals</w:t>
      </w:r>
      <w:r w:rsidR="009C64F3" w:rsidRPr="009C64F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C64F3" w:rsidRPr="009C64F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9C64F3" w:rsidRPr="009C64F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in-silico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dollars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9C64F3">
        <w:rPr>
          <w:rFonts w:ascii="Book Antiqua" w:eastAsia="Book Antiqua" w:hAnsi="Book Antiqua" w:cs="Book Antiqua"/>
          <w:color w:val="000000"/>
        </w:rPr>
        <w:t>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C64F3">
        <w:rPr>
          <w:rFonts w:ascii="Book Antiqua" w:eastAsia="Book Antiqua" w:hAnsi="Book Antiqua" w:cs="Book Antiqua"/>
          <w:color w:val="000000"/>
        </w:rPr>
        <w:t>may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C64F3"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C64F3"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C64F3"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C64F3">
        <w:rPr>
          <w:rFonts w:ascii="Book Antiqua" w:eastAsia="Book Antiqua" w:hAnsi="Book Antiqua" w:cs="Book Antiqua"/>
          <w:color w:val="000000"/>
        </w:rPr>
        <w:t>beneficial</w:t>
      </w:r>
      <w:r w:rsidR="009C64F3" w:rsidRPr="009C64F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C64F3" w:rsidRPr="009C64F3">
        <w:rPr>
          <w:rFonts w:ascii="Book Antiqua" w:eastAsia="Book Antiqua" w:hAnsi="Book Antiqua" w:cs="Book Antiqua"/>
          <w:color w:val="000000"/>
          <w:vertAlign w:val="superscript"/>
        </w:rPr>
        <w:t>8,10</w:t>
      </w:r>
      <w:r w:rsidR="009C64F3" w:rsidRPr="009C64F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93FF44D" w14:textId="1D452568" w:rsidR="00A77B3E" w:rsidRDefault="00EE1B08" w:rsidP="00703731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twins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cardiology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27B3">
        <w:rPr>
          <w:rFonts w:ascii="Book Antiqua" w:eastAsia="Book Antiqua" w:hAnsi="Book Antiqua" w:cs="Book Antiqua"/>
          <w:color w:val="000000"/>
        </w:rPr>
        <w:t>endocrinology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F27B3" w:rsidRPr="00CF27B3">
        <w:rPr>
          <w:rFonts w:ascii="Book Antiqua" w:eastAsia="Book Antiqua" w:hAnsi="Book Antiqua" w:cs="Book Antiqua"/>
          <w:color w:val="000000"/>
          <w:vertAlign w:val="superscript"/>
        </w:rPr>
        <w:t>11-13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cardiology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inter-individual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</w:t>
      </w:r>
      <w:r w:rsidR="00CF27B3">
        <w:rPr>
          <w:rFonts w:ascii="Book Antiqua" w:eastAsia="Book Antiqua" w:hAnsi="Book Antiqua" w:cs="Book Antiqua"/>
          <w:color w:val="000000"/>
        </w:rPr>
        <w:t>me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common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27B3">
        <w:rPr>
          <w:rFonts w:ascii="Book Antiqua" w:eastAsia="Book Antiqua" w:hAnsi="Book Antiqua" w:cs="Book Antiqua"/>
          <w:color w:val="000000"/>
        </w:rPr>
        <w:t>practice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F27B3" w:rsidRPr="00CF27B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</w:t>
      </w:r>
      <w:r w:rsidR="00CF27B3">
        <w:rPr>
          <w:rFonts w:ascii="Book Antiqua" w:eastAsia="Book Antiqua" w:hAnsi="Book Antiqua" w:cs="Book Antiqua"/>
          <w:color w:val="000000"/>
        </w:rPr>
        <w:t>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machine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learning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27B3">
        <w:rPr>
          <w:rFonts w:ascii="Book Antiqua" w:eastAsia="Book Antiqua" w:hAnsi="Book Antiqua" w:cs="Book Antiqua"/>
          <w:color w:val="000000"/>
        </w:rPr>
        <w:t>algorithms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F27B3" w:rsidRPr="00CF27B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CF27B3">
        <w:rPr>
          <w:rFonts w:ascii="Book Antiqua" w:eastAsia="Book Antiqua" w:hAnsi="Book Antiqua" w:cs="Book Antiqua"/>
          <w:color w:val="000000"/>
        </w:rPr>
        <w:t>anage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patients’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CF27B3">
        <w:rPr>
          <w:rFonts w:ascii="Book Antiqua" w:eastAsia="Book Antiqua" w:hAnsi="Book Antiqua" w:cs="Book Antiqua"/>
          <w:color w:val="000000"/>
        </w:rPr>
        <w:t>glucose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27B3">
        <w:rPr>
          <w:rFonts w:ascii="Book Antiqua" w:eastAsia="Book Antiqua" w:hAnsi="Book Antiqua" w:cs="Book Antiqua"/>
          <w:color w:val="000000"/>
        </w:rPr>
        <w:t>levels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CF27B3" w:rsidRPr="00CF27B3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CF27B3" w:rsidRPr="00CF27B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8BF275" w14:textId="1E28E8AA" w:rsidR="00A77B3E" w:rsidRDefault="00EE1B08" w:rsidP="00524E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4E14">
        <w:rPr>
          <w:rFonts w:ascii="Book Antiqua" w:eastAsia="Book Antiqua" w:hAnsi="Book Antiqua" w:cs="Book Antiqua"/>
          <w:color w:val="000000"/>
        </w:rPr>
        <w:t>justphysiology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24E14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24E14">
        <w:rPr>
          <w:rFonts w:ascii="Book Antiqua" w:eastAsia="Book Antiqua" w:hAnsi="Book Antiqua" w:cs="Book Antiqua"/>
          <w:color w:val="000000"/>
        </w:rPr>
        <w:t>sycamore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24E14"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24E14">
        <w:rPr>
          <w:rFonts w:ascii="Book Antiqua" w:eastAsia="Book Antiqua" w:hAnsi="Book Antiqua" w:cs="Book Antiqua"/>
          <w:color w:val="000000"/>
        </w:rPr>
        <w:t>incorporated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24E14"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24E14">
        <w:rPr>
          <w:rFonts w:ascii="Book Antiqua" w:eastAsia="Book Antiqua" w:hAnsi="Book Antiqua" w:cs="Book Antiqua"/>
          <w:color w:val="000000"/>
        </w:rPr>
        <w:t>curricula</w:t>
      </w:r>
      <w:r w:rsidR="00524E14" w:rsidRPr="00524E14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524E14" w:rsidRPr="00524E1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24E14" w:rsidRPr="00524E14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afford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mathematical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4E14D18" w14:textId="365B5763" w:rsidR="00A77B3E" w:rsidRDefault="00EE1B08" w:rsidP="00524E1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24E14"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“associative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(mostly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driven)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inference).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electronic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record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</w:t>
      </w:r>
      <w:r w:rsidR="008D6EAD">
        <w:rPr>
          <w:rFonts w:ascii="Book Antiqua" w:eastAsia="Book Antiqua" w:hAnsi="Book Antiqua" w:cs="Book Antiqua"/>
          <w:color w:val="000000"/>
        </w:rPr>
        <w:t>le.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Utilizing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database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703</w:t>
      </w:r>
      <w:r>
        <w:rPr>
          <w:rFonts w:ascii="Book Antiqua" w:eastAsia="Book Antiqua" w:hAnsi="Book Antiqua" w:cs="Book Antiqua"/>
          <w:color w:val="000000"/>
        </w:rPr>
        <w:t>782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D6EAD" w:rsidRPr="008D6EAD">
        <w:rPr>
          <w:rFonts w:ascii="Book Antiqua" w:eastAsia="Book Antiqua" w:hAnsi="Book Antiqua" w:cs="Book Antiqua"/>
          <w:color w:val="000000"/>
        </w:rPr>
        <w:t>Tomašev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 w:rsidRPr="008D6EAD">
        <w:rPr>
          <w:rFonts w:ascii="Book Antiqua" w:eastAsia="Book Antiqua" w:hAnsi="Book Antiqua" w:cs="Book Antiqua"/>
          <w:i/>
          <w:color w:val="000000"/>
        </w:rPr>
        <w:t>et</w:t>
      </w:r>
      <w:r w:rsidR="00C60A4F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="008D6EAD" w:rsidRPr="008D6EAD">
        <w:rPr>
          <w:rFonts w:ascii="Book Antiqua" w:eastAsia="Book Antiqua" w:hAnsi="Book Antiqua" w:cs="Book Antiqua"/>
          <w:i/>
          <w:color w:val="000000"/>
        </w:rPr>
        <w:t>al</w:t>
      </w:r>
      <w:r w:rsidR="008D6EAD" w:rsidRPr="008D6EA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8D6EAD" w:rsidRPr="008D6EAD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8D6EAD" w:rsidRPr="008D6EA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55.8%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8D6EAD">
        <w:rPr>
          <w:rFonts w:ascii="Book Antiqua" w:eastAsia="Book Antiqua" w:hAnsi="Book Antiqua" w:cs="Book Antiqua"/>
          <w:color w:val="000000"/>
        </w:rPr>
        <w:t>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39"/>
      <w:r w:rsidR="008D6EAD">
        <w:rPr>
          <w:rFonts w:ascii="Book Antiqua" w:eastAsia="Book Antiqua" w:hAnsi="Book Antiqua" w:cs="Book Antiqua"/>
          <w:color w:val="000000"/>
        </w:rPr>
        <w:t>inpatient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 w:rsidRPr="008D6EAD">
        <w:rPr>
          <w:rFonts w:ascii="Book Antiqua" w:eastAsia="Book Antiqua" w:hAnsi="Book Antiqua" w:cs="Book Antiqua"/>
          <w:color w:val="000000"/>
        </w:rPr>
        <w:t>acute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 w:rsidRPr="008D6EAD">
        <w:rPr>
          <w:rFonts w:ascii="Book Antiqua" w:eastAsia="Book Antiqua" w:hAnsi="Book Antiqua" w:cs="Book Antiqua"/>
          <w:color w:val="000000"/>
        </w:rPr>
        <w:t>kidney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 w:rsidRPr="008D6EAD">
        <w:rPr>
          <w:rFonts w:ascii="Book Antiqua" w:eastAsia="Book Antiqua" w:hAnsi="Book Antiqua" w:cs="Book Antiqua"/>
          <w:color w:val="000000"/>
        </w:rPr>
        <w:t>injury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events</w:t>
      </w:r>
      <w:bookmarkEnd w:id="54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48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data-driven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underperformance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“Causal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explicit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</w:t>
      </w:r>
      <w:r w:rsidR="008D6EAD">
        <w:rPr>
          <w:rFonts w:ascii="Book Antiqua" w:eastAsia="Book Antiqua" w:hAnsi="Book Antiqua" w:cs="Book Antiqua"/>
          <w:color w:val="000000"/>
        </w:rPr>
        <w:t>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reaching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D6EAD">
        <w:rPr>
          <w:rFonts w:ascii="Book Antiqua" w:eastAsia="Book Antiqua" w:hAnsi="Book Antiqua" w:cs="Book Antiqua"/>
          <w:color w:val="000000"/>
        </w:rPr>
        <w:t>its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D6EAD">
        <w:rPr>
          <w:rFonts w:ascii="Book Antiqua" w:eastAsia="Book Antiqua" w:hAnsi="Book Antiqua" w:cs="Book Antiqua"/>
          <w:color w:val="000000"/>
        </w:rPr>
        <w:t>conclusions</w:t>
      </w:r>
      <w:r w:rsidR="008D6EAD" w:rsidRPr="008D6EA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8D6EAD" w:rsidRPr="008D6EAD">
        <w:rPr>
          <w:rFonts w:ascii="Book Antiqua" w:eastAsia="Book Antiqua" w:hAnsi="Book Antiqua" w:cs="Book Antiqua"/>
          <w:color w:val="000000"/>
          <w:vertAlign w:val="superscript"/>
        </w:rPr>
        <w:t>17,18</w:t>
      </w:r>
      <w:r w:rsidR="008D6EAD" w:rsidRPr="008D6EA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575C58" w14:textId="77777777" w:rsidR="00A77B3E" w:rsidRDefault="00A77B3E">
      <w:pPr>
        <w:spacing w:line="360" w:lineRule="auto"/>
        <w:jc w:val="both"/>
      </w:pPr>
    </w:p>
    <w:p w14:paraId="1C7E98E0" w14:textId="4F60EB54" w:rsidR="00A77B3E" w:rsidRPr="008C1E70" w:rsidRDefault="008C1E70">
      <w:pPr>
        <w:spacing w:line="360" w:lineRule="auto"/>
        <w:jc w:val="both"/>
        <w:rPr>
          <w:lang w:eastAsia="zh-CN"/>
        </w:rPr>
      </w:pPr>
      <w:bookmarkStart w:id="55" w:name="OLE_LINK126"/>
      <w:bookmarkStart w:id="56" w:name="OLE_LINK127"/>
      <w:r>
        <w:rPr>
          <w:rFonts w:ascii="Book Antiqua" w:eastAsia="Book Antiqua" w:hAnsi="Book Antiqua" w:cs="Book Antiqua"/>
          <w:b/>
          <w:bCs/>
          <w:color w:val="000000"/>
          <w:u w:val="single"/>
        </w:rPr>
        <w:t>AI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APPLICATIONS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NEUROCRITICAL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CARE</w:t>
      </w:r>
    </w:p>
    <w:bookmarkEnd w:id="55"/>
    <w:bookmarkEnd w:id="56"/>
    <w:p w14:paraId="3FBB9B6C" w14:textId="5363D091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92328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92328"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19"/>
      <w:bookmarkStart w:id="58" w:name="OLE_LINK20"/>
      <w:r w:rsidR="00D263AA"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263AA">
        <w:rPr>
          <w:rFonts w:ascii="Book Antiqua" w:eastAsia="Book Antiqua" w:hAnsi="Book Antiqua" w:cs="Book Antiqua"/>
          <w:color w:val="000000"/>
        </w:rPr>
        <w:t>care</w:t>
      </w:r>
      <w:bookmarkEnd w:id="57"/>
      <w:bookmarkEnd w:id="58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(NCC)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296E">
        <w:rPr>
          <w:rFonts w:ascii="Book Antiqua" w:hAnsi="Book Antiqua" w:cs="Book Antiqua" w:hint="eastAsia"/>
          <w:color w:val="000000"/>
          <w:lang w:eastAsia="zh-CN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296E">
        <w:rPr>
          <w:rFonts w:ascii="Book Antiqua" w:eastAsia="Book Antiqua" w:hAnsi="Book Antiqua" w:cs="Book Antiqua"/>
          <w:color w:val="000000"/>
        </w:rPr>
        <w:t>unit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including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intracranial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electroencephalography,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neurointensivists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time-sensitive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impactful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</w:t>
      </w:r>
      <w:r w:rsidR="0048296E">
        <w:rPr>
          <w:rFonts w:ascii="Book Antiqua" w:eastAsia="Book Antiqua" w:hAnsi="Book Antiqua" w:cs="Book Antiqua"/>
          <w:color w:val="000000"/>
        </w:rPr>
        <w:t>isions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296E"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8296E"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8296E">
        <w:rPr>
          <w:rFonts w:ascii="Book Antiqua" w:eastAsia="Book Antiqua" w:hAnsi="Book Antiqua" w:cs="Book Antiqua"/>
          <w:color w:val="000000"/>
        </w:rPr>
        <w:t>care</w:t>
      </w:r>
      <w:r w:rsidR="0048296E" w:rsidRPr="0048296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48296E" w:rsidRPr="0048296E">
        <w:rPr>
          <w:rFonts w:ascii="Book Antiqua" w:eastAsia="Book Antiqua" w:hAnsi="Book Antiqua" w:cs="Book Antiqua"/>
          <w:color w:val="000000"/>
          <w:vertAlign w:val="superscript"/>
        </w:rPr>
        <w:t>19,20</w:t>
      </w:r>
      <w:r w:rsidR="0048296E" w:rsidRPr="0048296E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730F3">
        <w:rPr>
          <w:rFonts w:ascii="Book Antiqua" w:hAnsi="Book Antiqua" w:cs="Book Antiqua" w:hint="eastAsia"/>
          <w:color w:val="000000"/>
          <w:lang w:eastAsia="zh-CN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</w:t>
      </w:r>
      <w:r w:rsidR="005730F3">
        <w:rPr>
          <w:rFonts w:ascii="Book Antiqua" w:eastAsia="Book Antiqua" w:hAnsi="Book Antiqua" w:cs="Book Antiqua"/>
          <w:color w:val="000000"/>
        </w:rPr>
        <w:t>sician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730F3"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730F3"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730F3">
        <w:rPr>
          <w:rFonts w:ascii="Book Antiqua" w:eastAsia="Book Antiqua" w:hAnsi="Book Antiqua" w:cs="Book Antiqua"/>
          <w:color w:val="000000"/>
        </w:rPr>
        <w:t>readily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730F3">
        <w:rPr>
          <w:rFonts w:ascii="Book Antiqua" w:eastAsia="Book Antiqua" w:hAnsi="Book Antiqua" w:cs="Book Antiqua"/>
          <w:color w:val="000000"/>
        </w:rPr>
        <w:t>available</w:t>
      </w:r>
      <w:r w:rsidR="005730F3" w:rsidRPr="005730F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Pr="005730F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5730F3" w:rsidRPr="005730F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730F3" w:rsidRPr="005730F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46541B" w14:textId="01CD2969" w:rsidR="00A77B3E" w:rsidRDefault="00EE1B08" w:rsidP="000F22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hAnsi="Book Antiqua" w:cs="Book Antiqua" w:hint="eastAsia"/>
          <w:color w:val="000000"/>
          <w:lang w:eastAsia="zh-CN"/>
        </w:rPr>
        <w:t>e</w:t>
      </w:r>
      <w:r w:rsidR="00910987" w:rsidRPr="00910987">
        <w:rPr>
          <w:rFonts w:ascii="Book Antiqua" w:eastAsia="Book Antiqua" w:hAnsi="Book Antiqua" w:cs="Book Antiqua"/>
          <w:color w:val="000000"/>
        </w:rPr>
        <w:t>lectroencephalography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intracranial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pressure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(ICP)</w:t>
      </w:r>
      <w:r w:rsidR="00F36ADD"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36ADD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36ADD">
        <w:rPr>
          <w:rFonts w:ascii="Book Antiqua" w:eastAsia="Book Antiqua" w:hAnsi="Book Antiqua" w:cs="Book Antiqua"/>
          <w:color w:val="000000"/>
        </w:rPr>
        <w:t>prognosticating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6ADD">
        <w:rPr>
          <w:rFonts w:ascii="Book Antiqua" w:eastAsia="Book Antiqua" w:hAnsi="Book Antiqua" w:cs="Book Antiqua"/>
          <w:color w:val="000000"/>
        </w:rPr>
        <w:t>outcomes</w:t>
      </w:r>
      <w:r w:rsidR="00F36ADD" w:rsidRPr="00F36AD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F36ADD" w:rsidRPr="00F36ADD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F36ADD" w:rsidRPr="00F36AD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electroencephalograms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annotating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tracings,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</w:t>
      </w:r>
      <w:r w:rsidR="00910987">
        <w:rPr>
          <w:rFonts w:ascii="Book Antiqua" w:eastAsia="Book Antiqua" w:hAnsi="Book Antiqua" w:cs="Book Antiqua"/>
          <w:color w:val="000000"/>
        </w:rPr>
        <w:t>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unresponsive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10987">
        <w:rPr>
          <w:rFonts w:ascii="Book Antiqua" w:eastAsia="Book Antiqua" w:hAnsi="Book Antiqua" w:cs="Book Antiqua"/>
          <w:color w:val="000000"/>
        </w:rPr>
        <w:t>patients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10987" w:rsidRPr="00910987">
        <w:rPr>
          <w:rFonts w:ascii="Book Antiqua" w:eastAsia="Book Antiqua" w:hAnsi="Book Antiqua" w:cs="Book Antiqua"/>
          <w:color w:val="000000"/>
          <w:vertAlign w:val="superscript"/>
        </w:rPr>
        <w:t>23-26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waveforms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40"/>
      <w:r>
        <w:rPr>
          <w:rFonts w:ascii="Book Antiqua" w:eastAsia="Book Antiqua" w:hAnsi="Book Antiqua" w:cs="Book Antiqua"/>
          <w:color w:val="000000"/>
        </w:rPr>
        <w:t>ICP</w:t>
      </w:r>
      <w:bookmarkEnd w:id="59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artifact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</w:t>
      </w:r>
      <w:r w:rsidR="00910987">
        <w:rPr>
          <w:rFonts w:ascii="Book Antiqua" w:eastAsia="Book Antiqua" w:hAnsi="Book Antiqua" w:cs="Book Antiqua"/>
          <w:color w:val="000000"/>
        </w:rPr>
        <w:t>P,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prognosticate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10987">
        <w:rPr>
          <w:rFonts w:ascii="Book Antiqua" w:eastAsia="Book Antiqua" w:hAnsi="Book Antiqua" w:cs="Book Antiqua"/>
          <w:color w:val="000000"/>
        </w:rPr>
        <w:t>mortality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10987" w:rsidRPr="00910987">
        <w:rPr>
          <w:rFonts w:ascii="Book Antiqua" w:eastAsia="Book Antiqua" w:hAnsi="Book Antiqua" w:cs="Book Antiqua"/>
          <w:color w:val="000000"/>
          <w:vertAlign w:val="superscript"/>
        </w:rPr>
        <w:t>27-30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subarachnoid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</w:t>
      </w:r>
      <w:r w:rsidR="00910987">
        <w:rPr>
          <w:rFonts w:ascii="Book Antiqua" w:eastAsia="Book Antiqua" w:hAnsi="Book Antiqua" w:cs="Book Antiqua"/>
          <w:color w:val="000000"/>
        </w:rPr>
        <w:t>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ventriculitis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10987">
        <w:rPr>
          <w:rFonts w:ascii="Book Antiqua" w:eastAsia="Book Antiqua" w:hAnsi="Book Antiqua" w:cs="Book Antiqua"/>
          <w:color w:val="000000"/>
        </w:rPr>
        <w:t>meningitis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10987" w:rsidRPr="00910987">
        <w:rPr>
          <w:rFonts w:ascii="Book Antiqua" w:eastAsia="Book Antiqua" w:hAnsi="Book Antiqua" w:cs="Book Antiqua"/>
          <w:color w:val="000000"/>
          <w:vertAlign w:val="superscript"/>
        </w:rPr>
        <w:t>31-33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 w:rsidRPr="00910987">
        <w:rPr>
          <w:rFonts w:ascii="Book Antiqua" w:eastAsia="Book Antiqua" w:hAnsi="Book Antiqua" w:cs="Book Antiqua"/>
          <w:color w:val="000000"/>
        </w:rPr>
        <w:t>European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 w:rsidRPr="00910987">
        <w:rPr>
          <w:rFonts w:ascii="Book Antiqua" w:eastAsia="Book Antiqua" w:hAnsi="Book Antiqua" w:cs="Book Antiqua"/>
          <w:color w:val="000000"/>
        </w:rPr>
        <w:t>Union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Avert-IT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hypotensive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</w:t>
      </w:r>
      <w:r w:rsidR="00910987">
        <w:rPr>
          <w:rFonts w:ascii="Book Antiqua" w:eastAsia="Book Antiqua" w:hAnsi="Book Antiqua" w:cs="Book Antiqua"/>
          <w:color w:val="000000"/>
        </w:rPr>
        <w:t>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traumatic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10987">
        <w:rPr>
          <w:rFonts w:ascii="Book Antiqua" w:eastAsia="Book Antiqua" w:hAnsi="Book Antiqua" w:cs="Book Antiqua"/>
          <w:color w:val="000000"/>
        </w:rPr>
        <w:t>brain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10987">
        <w:rPr>
          <w:rFonts w:ascii="Book Antiqua" w:eastAsia="Book Antiqua" w:hAnsi="Book Antiqua" w:cs="Book Antiqua"/>
          <w:color w:val="000000"/>
        </w:rPr>
        <w:t>injury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10987" w:rsidRPr="00910987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910987" w:rsidRPr="0091098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</w:p>
    <w:p w14:paraId="7415496D" w14:textId="7A75F680" w:rsidR="00A77B3E" w:rsidRDefault="00EE1B08" w:rsidP="0091098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Having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sharpen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opportunities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 w:rsidRPr="00D03FB4">
        <w:rPr>
          <w:rFonts w:ascii="Book Antiqua" w:eastAsia="Book Antiqua" w:hAnsi="Book Antiqua" w:cs="Book Antiqua"/>
          <w:color w:val="000000"/>
        </w:rPr>
        <w:t>intensive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 w:rsidRPr="00D03FB4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D03FB4" w:rsidRPr="00D03FB4">
        <w:rPr>
          <w:rFonts w:ascii="Book Antiqua" w:eastAsia="Book Antiqua" w:hAnsi="Book Antiqua" w:cs="Book Antiqua"/>
          <w:color w:val="000000"/>
        </w:rPr>
        <w:t>unit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</w:t>
      </w:r>
      <w:r w:rsidR="005A62A5">
        <w:rPr>
          <w:rFonts w:ascii="Book Antiqua" w:eastAsia="Book Antiqua" w:hAnsi="Book Antiqua" w:cs="Book Antiqua"/>
          <w:color w:val="000000"/>
        </w:rPr>
        <w:t>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62A5">
        <w:rPr>
          <w:rFonts w:ascii="Book Antiqua" w:eastAsia="Book Antiqua" w:hAnsi="Book Antiqua" w:cs="Book Antiqua"/>
          <w:color w:val="000000"/>
        </w:rPr>
        <w:t>possible</w:t>
      </w:r>
      <w:r w:rsidR="005A62A5" w:rsidRPr="005A62A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5A62A5" w:rsidRPr="005A62A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5A62A5" w:rsidRPr="005A62A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</w:p>
    <w:p w14:paraId="6FAECE96" w14:textId="0B1818DB" w:rsidR="00A77B3E" w:rsidRDefault="00EE1B08" w:rsidP="005A62A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anticoagulation,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thrombolytics,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overarching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tw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Bayesian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5A62A5">
        <w:rPr>
          <w:rFonts w:ascii="Book Antiqua" w:eastAsia="Book Antiqua" w:hAnsi="Book Antiqua" w:cs="Book Antiqua"/>
          <w:color w:val="000000"/>
        </w:rPr>
        <w:t>tw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2038313A" w14:textId="77777777" w:rsidR="00A77B3E" w:rsidRDefault="00A77B3E">
      <w:pPr>
        <w:spacing w:line="360" w:lineRule="auto"/>
        <w:jc w:val="both"/>
      </w:pPr>
    </w:p>
    <w:p w14:paraId="26C544BB" w14:textId="41DAFE66" w:rsidR="00A77B3E" w:rsidRPr="00423234" w:rsidRDefault="00423234">
      <w:pPr>
        <w:spacing w:line="360" w:lineRule="auto"/>
        <w:jc w:val="both"/>
        <w:rPr>
          <w:lang w:eastAsia="zh-CN"/>
        </w:rPr>
      </w:pPr>
      <w:bookmarkStart w:id="60" w:name="OLE_LINK128"/>
      <w:bookmarkStart w:id="61" w:name="OLE_LINK129"/>
      <w:r>
        <w:rPr>
          <w:rFonts w:ascii="Book Antiqua" w:eastAsia="Book Antiqua" w:hAnsi="Book Antiqua" w:cs="Book Antiqua"/>
          <w:b/>
          <w:bCs/>
          <w:color w:val="000000"/>
          <w:u w:val="single"/>
        </w:rPr>
        <w:t>UTILITY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MEDICAL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EDUCATION</w:t>
      </w:r>
    </w:p>
    <w:bookmarkEnd w:id="60"/>
    <w:bookmarkEnd w:id="61"/>
    <w:p w14:paraId="78EA786C" w14:textId="210AE499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learner</w:t>
      </w:r>
      <w:r w:rsidR="00423234">
        <w:rPr>
          <w:rFonts w:ascii="Book Antiqua" w:eastAsia="Book Antiqua" w:hAnsi="Book Antiqua" w:cs="Book Antiqua"/>
          <w:color w:val="000000"/>
        </w:rPr>
        <w:t>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423234">
        <w:rPr>
          <w:rFonts w:ascii="Book Antiqua" w:eastAsia="Book Antiqua" w:hAnsi="Book Antiqua" w:cs="Book Antiqua"/>
          <w:color w:val="000000"/>
        </w:rPr>
        <w:t>alike.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retooling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</w:t>
      </w:r>
      <w:proofErr w:type="gram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ever-growing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concern.</w:t>
      </w:r>
    </w:p>
    <w:p w14:paraId="561AB3CE" w14:textId="0BA3E333" w:rsidR="00A77B3E" w:rsidRDefault="00EE1B08" w:rsidP="0042323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High-fidelity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prerequisite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proficiency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</w:t>
      </w:r>
      <w:r w:rsidR="007F1613">
        <w:rPr>
          <w:rFonts w:ascii="Book Antiqua" w:eastAsia="Book Antiqua" w:hAnsi="Book Antiqua" w:cs="Book Antiqua"/>
          <w:color w:val="000000"/>
        </w:rPr>
        <w:t>aroscopic,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F1613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7F1613">
        <w:rPr>
          <w:rFonts w:ascii="Book Antiqua" w:eastAsia="Book Antiqua" w:hAnsi="Book Antiqua" w:cs="Book Antiqua"/>
          <w:color w:val="000000"/>
        </w:rPr>
        <w:t>robotic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F1613">
        <w:rPr>
          <w:rFonts w:ascii="Book Antiqua" w:eastAsia="Book Antiqua" w:hAnsi="Book Antiqua" w:cs="Book Antiqua"/>
          <w:color w:val="000000"/>
        </w:rPr>
        <w:t>surgery</w:t>
      </w:r>
      <w:r w:rsidR="007F1613" w:rsidRPr="007F1613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7F1613" w:rsidRPr="007F1613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="007F1613" w:rsidRPr="007F1613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23667">
        <w:rPr>
          <w:rFonts w:ascii="Book Antiqua" w:eastAsia="Book Antiqua" w:hAnsi="Book Antiqua" w:cs="Book Antiqua"/>
          <w:color w:val="000000"/>
        </w:rPr>
        <w:t>patients</w:t>
      </w:r>
      <w:r w:rsidR="00923667" w:rsidRPr="0092366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23667" w:rsidRPr="00923667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923667" w:rsidRPr="0092366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lagged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well-equipped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</w:p>
    <w:p w14:paraId="5970C751" w14:textId="40E96C7A" w:rsidR="00A77B3E" w:rsidRDefault="00EE1B08" w:rsidP="0092366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Creating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“in-silico”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E87C4D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E87C4D">
        <w:rPr>
          <w:rFonts w:ascii="Book Antiqua" w:eastAsia="Book Antiqua" w:hAnsi="Book Antiqua" w:cs="Book Antiqua"/>
          <w:color w:val="000000"/>
        </w:rPr>
        <w:t>tw</w:t>
      </w:r>
      <w:r>
        <w:rPr>
          <w:rFonts w:ascii="Book Antiqua" w:eastAsia="Book Antiqua" w:hAnsi="Book Antiqua" w:cs="Book Antiqua"/>
          <w:color w:val="000000"/>
        </w:rPr>
        <w:t>in”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creating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fidelity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competency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he/she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</w:p>
    <w:p w14:paraId="569B5454" w14:textId="77777777" w:rsidR="00A77B3E" w:rsidRDefault="00A77B3E">
      <w:pPr>
        <w:spacing w:line="360" w:lineRule="auto"/>
        <w:jc w:val="both"/>
      </w:pPr>
    </w:p>
    <w:p w14:paraId="1FFEF58E" w14:textId="35B15345" w:rsidR="00A77B3E" w:rsidRDefault="00E87C4D">
      <w:pPr>
        <w:spacing w:line="360" w:lineRule="auto"/>
        <w:jc w:val="both"/>
      </w:pPr>
      <w:bookmarkStart w:id="62" w:name="OLE_LINK130"/>
      <w:bookmarkStart w:id="63" w:name="OLE_LINK131"/>
      <w:r>
        <w:rPr>
          <w:rFonts w:ascii="Book Antiqua" w:eastAsia="Book Antiqua" w:hAnsi="Book Antiqua" w:cs="Book Antiqua"/>
          <w:b/>
          <w:bCs/>
          <w:color w:val="000000"/>
          <w:u w:val="single"/>
        </w:rPr>
        <w:t>BUILDING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AI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MODEL–CHALLENGES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ETHICAL</w:t>
      </w:r>
      <w:r w:rsidR="00C60A4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u w:val="single"/>
        </w:rPr>
        <w:t>CONSIDERATIONS</w:t>
      </w:r>
    </w:p>
    <w:p w14:paraId="131F16AA" w14:textId="61477BC8" w:rsidR="00A77B3E" w:rsidRDefault="00EE1B08">
      <w:pPr>
        <w:spacing w:line="360" w:lineRule="auto"/>
        <w:jc w:val="both"/>
      </w:pPr>
      <w:bookmarkStart w:id="64" w:name="OLE_LINK132"/>
      <w:bookmarkStart w:id="65" w:name="OLE_LINK133"/>
      <w:bookmarkEnd w:id="62"/>
      <w:bookmarkEnd w:id="63"/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</w:t>
      </w:r>
      <w:r w:rsidR="006D6616">
        <w:rPr>
          <w:rFonts w:ascii="Book Antiqua" w:eastAsia="Book Antiqua" w:hAnsi="Book Antiqua" w:cs="Book Antiqua"/>
          <w:color w:val="000000"/>
        </w:rPr>
        <w:t>lace,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6D6616"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6D6616">
        <w:rPr>
          <w:rFonts w:ascii="Book Antiqua" w:eastAsia="Book Antiqua" w:hAnsi="Book Antiqua" w:cs="Book Antiqua"/>
          <w:color w:val="000000"/>
        </w:rPr>
        <w:t>clinician’s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D6616">
        <w:rPr>
          <w:rFonts w:ascii="Book Antiqua" w:eastAsia="Book Antiqua" w:hAnsi="Book Antiqua" w:cs="Book Antiqua"/>
          <w:color w:val="000000"/>
        </w:rPr>
        <w:t>judgment</w:t>
      </w:r>
      <w:r w:rsidR="006D6616" w:rsidRPr="006D6616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6D6616" w:rsidRPr="006D6616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6D6616" w:rsidRPr="006D6616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Transparent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trusted,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“black-box”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</w:p>
    <w:p w14:paraId="2AB53593" w14:textId="49962E60" w:rsidR="00A77B3E" w:rsidRDefault="00EE1B08" w:rsidP="006D661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Building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A7613">
        <w:rPr>
          <w:rFonts w:ascii="Book Antiqua" w:eastAsia="Book Antiqua" w:hAnsi="Book Antiqua" w:cs="Book Antiqua"/>
          <w:color w:val="000000"/>
        </w:rPr>
        <w:t>directed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A7613">
        <w:rPr>
          <w:rFonts w:ascii="Book Antiqua" w:eastAsia="Book Antiqua" w:hAnsi="Book Antiqua" w:cs="Book Antiqua"/>
          <w:color w:val="000000"/>
        </w:rPr>
        <w:t>acyclic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A7613">
        <w:rPr>
          <w:rFonts w:ascii="Book Antiqua" w:eastAsia="Book Antiqua" w:hAnsi="Book Antiqua" w:cs="Book Antiqua"/>
          <w:color w:val="000000"/>
        </w:rPr>
        <w:t>graphs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(DAGs).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Bayesian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probabilistic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57167">
        <w:rPr>
          <w:rFonts w:ascii="Book Antiqua" w:eastAsia="Book Antiqua" w:hAnsi="Book Antiqua" w:cs="Book Antiqua"/>
          <w:i/>
          <w:color w:val="000000"/>
        </w:rPr>
        <w:t>i.e.</w:t>
      </w:r>
      <w:r w:rsidR="00C60A4F">
        <w:rPr>
          <w:rFonts w:ascii="Book Antiqua" w:eastAsia="Book Antiqua" w:hAnsi="Book Antiqua" w:cs="Book Antiqua"/>
          <w:i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them).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DELPHI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DAGs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irreplaceable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iterations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(programming),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“in-silico”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(simulation)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(analysis)</w:t>
      </w:r>
      <w:r w:rsidR="00C60A4F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Figure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60A4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57167">
        <w:rPr>
          <w:rFonts w:ascii="Book Antiqua" w:eastAsia="Book Antiqua" w:hAnsi="Book Antiqua" w:cs="Book Antiqua"/>
          <w:color w:val="000000"/>
        </w:rPr>
        <w:t>critically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57167">
        <w:rPr>
          <w:rFonts w:ascii="Book Antiqua" w:eastAsia="Book Antiqua" w:hAnsi="Book Antiqua" w:cs="Book Antiqua"/>
          <w:color w:val="000000"/>
        </w:rPr>
        <w:t>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857167">
        <w:rPr>
          <w:rFonts w:ascii="Book Antiqua" w:eastAsia="Book Antiqua" w:hAnsi="Book Antiqua" w:cs="Book Antiqua"/>
          <w:color w:val="000000"/>
        </w:rPr>
        <w:t>sepsis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57167">
        <w:rPr>
          <w:rFonts w:ascii="Book Antiqua" w:eastAsia="Book Antiqua" w:hAnsi="Book Antiqua" w:cs="Book Antiqua"/>
          <w:color w:val="000000"/>
        </w:rPr>
        <w:t>patients</w:t>
      </w:r>
      <w:r w:rsidR="00857167" w:rsidRPr="0085716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857167" w:rsidRPr="00857167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857167" w:rsidRPr="0085716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</w:p>
    <w:p w14:paraId="04D51CA0" w14:textId="0A3229F7" w:rsidR="00A77B3E" w:rsidRDefault="00EE1B08" w:rsidP="00AC66F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tw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deemphasizing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compiling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</w:t>
      </w:r>
      <w:r w:rsidR="00AC66F7">
        <w:rPr>
          <w:rFonts w:ascii="Book Antiqua" w:eastAsia="Book Antiqua" w:hAnsi="Book Antiqua" w:cs="Book Antiqua"/>
          <w:color w:val="000000"/>
        </w:rPr>
        <w:t>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divisiveness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C66F7">
        <w:rPr>
          <w:rFonts w:ascii="Book Antiqua" w:eastAsia="Book Antiqua" w:hAnsi="Book Antiqua" w:cs="Book Antiqua"/>
          <w:color w:val="000000"/>
        </w:rPr>
        <w:t>segregation</w:t>
      </w:r>
      <w:r w:rsidR="00AC66F7" w:rsidRPr="00AC66F7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C66F7" w:rsidRPr="00AC66F7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AC66F7" w:rsidRPr="00AC66F7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cognizant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supersede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judgement.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nascent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erroneous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implementation.</w:t>
      </w:r>
    </w:p>
    <w:bookmarkEnd w:id="64"/>
    <w:bookmarkEnd w:id="65"/>
    <w:p w14:paraId="7EB7DFE4" w14:textId="77777777" w:rsidR="00A77B3E" w:rsidRDefault="00A77B3E">
      <w:pPr>
        <w:spacing w:line="360" w:lineRule="auto"/>
        <w:jc w:val="both"/>
      </w:pPr>
    </w:p>
    <w:p w14:paraId="6F152FC0" w14:textId="77777777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AD5D7C2" w14:textId="78F80E12" w:rsidR="00A77B3E" w:rsidRDefault="00EE1B08">
      <w:pPr>
        <w:spacing w:line="360" w:lineRule="auto"/>
        <w:jc w:val="both"/>
      </w:pPr>
      <w:bookmarkStart w:id="66" w:name="OLE_LINK134"/>
      <w:bookmarkStart w:id="67" w:name="OLE_LINK135"/>
      <w:r>
        <w:rPr>
          <w:rFonts w:ascii="Book Antiqua" w:eastAsia="Book Antiqua" w:hAnsi="Book Antiqua" w:cs="Book Antiqua"/>
          <w:color w:val="000000"/>
        </w:rPr>
        <w:t>While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tw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cardiology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AC66F7">
        <w:rPr>
          <w:rFonts w:ascii="Book Antiqua" w:eastAsia="Book Antiqua" w:hAnsi="Book Antiqua" w:cs="Book Antiqua"/>
          <w:color w:val="000000"/>
        </w:rPr>
        <w:t>endocrinology</w:t>
      </w:r>
      <w:r>
        <w:rPr>
          <w:rFonts w:ascii="Book Antiqua" w:eastAsia="Book Antiqua" w:hAnsi="Book Antiqua" w:cs="Book Antiqua"/>
          <w:color w:val="000000"/>
        </w:rPr>
        <w:t>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NCC.</w:t>
      </w:r>
    </w:p>
    <w:bookmarkEnd w:id="66"/>
    <w:bookmarkEnd w:id="67"/>
    <w:p w14:paraId="18C2DC76" w14:textId="77777777" w:rsidR="00A77B3E" w:rsidRDefault="00A77B3E">
      <w:pPr>
        <w:spacing w:line="360" w:lineRule="auto"/>
        <w:jc w:val="both"/>
      </w:pPr>
    </w:p>
    <w:p w14:paraId="06904A13" w14:textId="77777777" w:rsidR="00A77B3E" w:rsidRPr="006A1D59" w:rsidRDefault="00EE1B08" w:rsidP="006A1D5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A1D59">
        <w:rPr>
          <w:rFonts w:ascii="Book Antiqua" w:eastAsia="Book Antiqua" w:hAnsi="Book Antiqua" w:cs="Book Antiqua"/>
          <w:b/>
        </w:rPr>
        <w:t>REFERENCES</w:t>
      </w:r>
    </w:p>
    <w:p w14:paraId="68767F03" w14:textId="1A26DB67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8" w:name="OLE_LINK136"/>
      <w:bookmarkStart w:id="69" w:name="OLE_LINK23"/>
      <w:r w:rsidRPr="00C60A4F">
        <w:rPr>
          <w:rFonts w:ascii="Book Antiqua" w:hAnsi="Book Antiqua"/>
          <w:highlight w:val="yellow"/>
        </w:rPr>
        <w:lastRenderedPageBreak/>
        <w:t>1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b/>
          <w:bCs/>
          <w:highlight w:val="yellow"/>
        </w:rPr>
        <w:t>Medicine</w:t>
      </w:r>
      <w:r w:rsidR="00C60A4F" w:rsidRPr="00C60A4F">
        <w:rPr>
          <w:rFonts w:ascii="Book Antiqua" w:hAnsi="Book Antiqua"/>
          <w:b/>
          <w:bCs/>
          <w:highlight w:val="yellow"/>
        </w:rPr>
        <w:t xml:space="preserve"> </w:t>
      </w:r>
      <w:r w:rsidRPr="00C60A4F">
        <w:rPr>
          <w:rFonts w:ascii="Book Antiqua" w:hAnsi="Book Antiqua"/>
          <w:b/>
          <w:bCs/>
          <w:highlight w:val="yellow"/>
        </w:rPr>
        <w:t>Io</w:t>
      </w:r>
      <w:r w:rsidRPr="00C60A4F">
        <w:rPr>
          <w:rFonts w:ascii="Book Antiqua" w:hAnsi="Book Antiqua"/>
          <w:bCs/>
          <w:highlight w:val="yellow"/>
        </w:rPr>
        <w:t>.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For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the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Public's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Health: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The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Role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of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Measurement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in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Action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and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Accountability.</w:t>
      </w:r>
      <w:r w:rsidR="00C60A4F" w:rsidRPr="00C60A4F">
        <w:rPr>
          <w:rFonts w:ascii="Book Antiqua" w:hAnsi="Book Antiqua"/>
          <w:bCs/>
          <w:highlight w:val="yellow"/>
        </w:rPr>
        <w:t xml:space="preserve"> </w:t>
      </w:r>
      <w:r w:rsidRPr="00C60A4F">
        <w:rPr>
          <w:rFonts w:ascii="Book Antiqua" w:hAnsi="Book Antiqua"/>
          <w:bCs/>
          <w:highlight w:val="yellow"/>
        </w:rPr>
        <w:t>Washington,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DC: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The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Nation</w:t>
      </w:r>
      <w:r w:rsidR="00F33D46" w:rsidRPr="00C60A4F">
        <w:rPr>
          <w:rFonts w:ascii="Book Antiqua" w:hAnsi="Book Antiqua"/>
          <w:highlight w:val="yellow"/>
        </w:rPr>
        <w:t>al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="00F33D46" w:rsidRPr="00C60A4F">
        <w:rPr>
          <w:rFonts w:ascii="Book Antiqua" w:hAnsi="Book Antiqua"/>
          <w:highlight w:val="yellow"/>
        </w:rPr>
        <w:t>Academies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="00F33D46" w:rsidRPr="00C60A4F">
        <w:rPr>
          <w:rFonts w:ascii="Book Antiqua" w:hAnsi="Book Antiqua"/>
          <w:highlight w:val="yellow"/>
        </w:rPr>
        <w:t>Press</w:t>
      </w:r>
      <w:r w:rsidR="00F33D46" w:rsidRPr="00C60A4F">
        <w:rPr>
          <w:rFonts w:ascii="Book Antiqua" w:hAnsi="Book Antiqua" w:hint="eastAsia"/>
          <w:highlight w:val="yellow"/>
        </w:rPr>
        <w:t>,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="00F33D46" w:rsidRPr="00C60A4F">
        <w:rPr>
          <w:rFonts w:ascii="Book Antiqua" w:hAnsi="Book Antiqua"/>
          <w:highlight w:val="yellow"/>
        </w:rPr>
        <w:t>2011</w:t>
      </w:r>
      <w:r w:rsidR="00F33D46" w:rsidRPr="00C60A4F">
        <w:rPr>
          <w:rFonts w:ascii="Book Antiqua" w:hAnsi="Book Antiqua" w:hint="eastAsia"/>
          <w:highlight w:val="yellow"/>
        </w:rPr>
        <w:t>: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="00F33D46" w:rsidRPr="00C60A4F">
        <w:rPr>
          <w:rFonts w:ascii="Book Antiqua" w:hAnsi="Book Antiqua"/>
          <w:highlight w:val="yellow"/>
        </w:rPr>
        <w:t>204</w:t>
      </w:r>
      <w:r w:rsidR="00C60A4F">
        <w:rPr>
          <w:rFonts w:ascii="Book Antiqua" w:hAnsi="Book Antiqua"/>
        </w:rPr>
        <w:t xml:space="preserve"> </w:t>
      </w:r>
    </w:p>
    <w:p w14:paraId="24F37434" w14:textId="1162777C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Tao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F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Qi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Q.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Make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Nature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573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490-491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31554984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10.1038/d41586-019-02849-1]</w:t>
      </w:r>
    </w:p>
    <w:p w14:paraId="2ABDA7C3" w14:textId="4D545FB1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Voosen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P</w:t>
      </w:r>
      <w:r w:rsidRPr="006A1D59">
        <w:rPr>
          <w:rFonts w:ascii="Book Antiqua" w:hAnsi="Book Antiqua"/>
        </w:rPr>
        <w:t>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Europe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builds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'digital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twin'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Earth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hone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climate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forecasts.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Science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370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16-17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33004491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10.1126/science.370.6512.16]</w:t>
      </w:r>
    </w:p>
    <w:p w14:paraId="48D9B882" w14:textId="1B77D990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4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Björnsson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B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Borrebaeck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Elander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Gasslander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Gawel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Gustafsson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Jörnsten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X,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Lilja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Martínez-</w:t>
      </w:r>
      <w:proofErr w:type="spellStart"/>
      <w:r w:rsidRPr="006A1D59">
        <w:rPr>
          <w:rFonts w:ascii="Book Antiqua" w:hAnsi="Book Antiqua"/>
        </w:rPr>
        <w:t>Enguita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Matussek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Sandström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Schäfer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Stenmarker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XF,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Sysoev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Zhang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Benson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Swedish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Consortium.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personalize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medicine.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Genome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12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31892363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10.1186/s13073-019-0701-3]</w:t>
      </w:r>
    </w:p>
    <w:p w14:paraId="638836CE" w14:textId="02B66593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5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Croatti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A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Gabellini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Montagna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Ricci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Integration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Agents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Healthcare.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Med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Syst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44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161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32748066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10.1007/s10916-020-01623-5]</w:t>
      </w:r>
    </w:p>
    <w:p w14:paraId="7BAB6608" w14:textId="399F3295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6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Makary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MA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Daniel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Medical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error-the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third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leading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cause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death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US.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BMJ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2016;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353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i2139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27143499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10.1136/</w:t>
      </w:r>
      <w:proofErr w:type="gramStart"/>
      <w:r w:rsidRPr="006A1D59">
        <w:rPr>
          <w:rFonts w:ascii="Book Antiqua" w:hAnsi="Book Antiqua"/>
        </w:rPr>
        <w:t>bmj.i</w:t>
      </w:r>
      <w:proofErr w:type="gramEnd"/>
      <w:r w:rsidRPr="006A1D59">
        <w:rPr>
          <w:rFonts w:ascii="Book Antiqua" w:hAnsi="Book Antiqua"/>
        </w:rPr>
        <w:t>2139]</w:t>
      </w:r>
    </w:p>
    <w:p w14:paraId="79764201" w14:textId="178E258A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Eddy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DM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Schlessinger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Validation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archimedes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diabetes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model.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Diabetes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2003;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26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3102-3110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14578246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10.2337/diacare.26.11.3102]</w:t>
      </w:r>
    </w:p>
    <w:p w14:paraId="48CF1F5E" w14:textId="12A00272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Kahn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R</w:t>
      </w:r>
      <w:r w:rsidRPr="006A1D59">
        <w:rPr>
          <w:rFonts w:ascii="Book Antiqua" w:hAnsi="Book Antiqua"/>
        </w:rPr>
        <w:t>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Dealing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with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complexity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clinical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diabetes: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value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archimedes</w:t>
      </w:r>
      <w:proofErr w:type="spellEnd"/>
      <w:r w:rsidRPr="006A1D59">
        <w:rPr>
          <w:rFonts w:ascii="Book Antiqua" w:hAnsi="Book Antiqua"/>
        </w:rPr>
        <w:t>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Diabetes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2003;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26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3168-3171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14578256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10.2337/diacare.26.11.3168]</w:t>
      </w:r>
    </w:p>
    <w:p w14:paraId="4CF32E7E" w14:textId="47488E3B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Stern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M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Williams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Eddy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Kahn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Validation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diabetes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Archimedes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model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comparison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with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other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models.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Diabetes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2008;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31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1670-1671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18509203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10.2337/dc08-0521]</w:t>
      </w:r>
    </w:p>
    <w:p w14:paraId="284B6D58" w14:textId="6D85F7D7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10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Eddy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DM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Schlessinger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Kahn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Clinical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outcomes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cost-effectiveness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strategies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managing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people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high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risk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diabetes.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Ann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Intern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2005;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143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251-264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16103469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10.7326/0003-4819-143-4-200508160-00006]</w:t>
      </w:r>
    </w:p>
    <w:p w14:paraId="70AE8D13" w14:textId="3EDEE58D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11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Chakshu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NK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Sazonov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Nithiarasu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Towards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enabling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cardiovascular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human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systemic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circulation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using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inverse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analysis.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Biomech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Model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Mechanobiol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2021;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20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449-465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33064221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10.1007/s10237-020-01393-6]</w:t>
      </w:r>
    </w:p>
    <w:p w14:paraId="7367165F" w14:textId="15F788D6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lastRenderedPageBreak/>
        <w:t>12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Corral-</w:t>
      </w:r>
      <w:proofErr w:type="spellStart"/>
      <w:r w:rsidRPr="006A1D59">
        <w:rPr>
          <w:rFonts w:ascii="Book Antiqua" w:hAnsi="Book Antiqua"/>
          <w:b/>
          <w:bCs/>
        </w:rPr>
        <w:t>Acero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J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Margara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Marciniak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Rodero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Loncaric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Feng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Y,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Gilbert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Fernandes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JF,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Bukhari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Wajdan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Martinez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MV,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Santos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Shamohammdi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Luo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Westphal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Leeson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DiAchille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Gurev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Mayr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Geris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Pathmanathan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Morrison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Cornelussen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Prinzen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Delhaas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Doltra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Sitges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Vigmond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Zacur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Grau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Rodriguez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Remme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EW,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Niederer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Mortier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McLeod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Potse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Pueyo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Bueno-</w:t>
      </w:r>
      <w:proofErr w:type="spellStart"/>
      <w:r w:rsidRPr="006A1D59">
        <w:rPr>
          <w:rFonts w:ascii="Book Antiqua" w:hAnsi="Book Antiqua"/>
        </w:rPr>
        <w:t>Orovio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Lamata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'Digital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Twin'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enable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vision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precision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cardiology.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Eur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Heart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41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4556-4564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32128588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10.1093/</w:t>
      </w:r>
      <w:proofErr w:type="spellStart"/>
      <w:r w:rsidRPr="006A1D59">
        <w:rPr>
          <w:rFonts w:ascii="Book Antiqua" w:hAnsi="Book Antiqua"/>
        </w:rPr>
        <w:t>eurheartj</w:t>
      </w:r>
      <w:proofErr w:type="spellEnd"/>
      <w:r w:rsidRPr="006A1D59">
        <w:rPr>
          <w:rFonts w:ascii="Book Antiqua" w:hAnsi="Book Antiqua"/>
        </w:rPr>
        <w:t>/ehaa159]</w:t>
      </w:r>
    </w:p>
    <w:p w14:paraId="54D2401C" w14:textId="1C4E8D83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13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DeJournett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L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DeJournett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Silico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Testing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Artificial-Intelligence-Based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Pancreas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Designed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Use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Intensive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Unit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Setting.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Diabetes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Sci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Technol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2016;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10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1360-1371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27301982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10.1177/1932296816653967]</w:t>
      </w:r>
    </w:p>
    <w:p w14:paraId="20F246EB" w14:textId="4451AD10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14</w:t>
      </w:r>
      <w:r w:rsidR="00C60A4F">
        <w:rPr>
          <w:rFonts w:ascii="Book Antiqua" w:hAnsi="Book Antiqua"/>
        </w:rPr>
        <w:t xml:space="preserve"> </w:t>
      </w:r>
      <w:proofErr w:type="spellStart"/>
      <w:r w:rsidR="00F33D46" w:rsidRPr="00F33D46">
        <w:rPr>
          <w:rFonts w:ascii="Book Antiqua" w:hAnsi="Book Antiqua"/>
          <w:b/>
          <w:bCs/>
        </w:rPr>
        <w:t>Mazumder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="00F33D46" w:rsidRPr="00F33D46">
        <w:rPr>
          <w:rFonts w:ascii="Book Antiqua" w:hAnsi="Book Antiqua"/>
          <w:b/>
          <w:bCs/>
        </w:rPr>
        <w:t>O</w:t>
      </w:r>
      <w:r w:rsidR="00F33D46" w:rsidRPr="00F33D46">
        <w:rPr>
          <w:rFonts w:ascii="Book Antiqua" w:hAnsi="Book Antiqua"/>
          <w:bCs/>
        </w:rPr>
        <w:t>,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Roy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D,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Bhattacharya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S,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Sinha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A,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Pal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A.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Synthetic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PPG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generation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from</w:t>
      </w:r>
      <w:r w:rsidR="00C60A4F">
        <w:rPr>
          <w:rFonts w:ascii="Book Antiqua" w:hAnsi="Book Antiqua"/>
          <w:bCs/>
        </w:rPr>
        <w:t xml:space="preserve"> </w:t>
      </w:r>
      <w:proofErr w:type="spellStart"/>
      <w:r w:rsidR="00F33D46" w:rsidRPr="00F33D46">
        <w:rPr>
          <w:rFonts w:ascii="Book Antiqua" w:hAnsi="Book Antiqua"/>
          <w:bCs/>
        </w:rPr>
        <w:t>haemodynamic</w:t>
      </w:r>
      <w:proofErr w:type="spellEnd"/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model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with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baroreflex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autoregulation: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a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Digital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twin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of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cardiovascular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system.</w:t>
      </w:r>
      <w:r w:rsidR="00C60A4F">
        <w:rPr>
          <w:rFonts w:ascii="Book Antiqua" w:hAnsi="Book Antiqua"/>
          <w:bCs/>
        </w:rPr>
        <w:t xml:space="preserve"> </w:t>
      </w:r>
      <w:proofErr w:type="spellStart"/>
      <w:r w:rsidR="00F33D46" w:rsidRPr="00F33D46">
        <w:rPr>
          <w:rFonts w:ascii="Book Antiqua" w:hAnsi="Book Antiqua"/>
          <w:bCs/>
          <w:i/>
        </w:rPr>
        <w:t>Annu</w:t>
      </w:r>
      <w:proofErr w:type="spellEnd"/>
      <w:r w:rsidR="00C60A4F">
        <w:rPr>
          <w:rFonts w:ascii="Book Antiqua" w:hAnsi="Book Antiqua"/>
          <w:bCs/>
          <w:i/>
        </w:rPr>
        <w:t xml:space="preserve"> </w:t>
      </w:r>
      <w:r w:rsidR="00F33D46" w:rsidRPr="00F33D46">
        <w:rPr>
          <w:rFonts w:ascii="Book Antiqua" w:hAnsi="Book Antiqua"/>
          <w:bCs/>
          <w:i/>
        </w:rPr>
        <w:t>Int</w:t>
      </w:r>
      <w:r w:rsidR="00C60A4F">
        <w:rPr>
          <w:rFonts w:ascii="Book Antiqua" w:hAnsi="Book Antiqua"/>
          <w:bCs/>
          <w:i/>
        </w:rPr>
        <w:t xml:space="preserve"> </w:t>
      </w:r>
      <w:r w:rsidR="00F33D46" w:rsidRPr="00F33D46">
        <w:rPr>
          <w:rFonts w:ascii="Book Antiqua" w:hAnsi="Book Antiqua"/>
          <w:bCs/>
          <w:i/>
        </w:rPr>
        <w:t>Conf</w:t>
      </w:r>
      <w:r w:rsidR="00C60A4F">
        <w:rPr>
          <w:rFonts w:ascii="Book Antiqua" w:hAnsi="Book Antiqua"/>
          <w:bCs/>
          <w:i/>
        </w:rPr>
        <w:t xml:space="preserve"> </w:t>
      </w:r>
      <w:r w:rsidR="00F33D46" w:rsidRPr="00F33D46">
        <w:rPr>
          <w:rFonts w:ascii="Book Antiqua" w:hAnsi="Book Antiqua"/>
          <w:bCs/>
          <w:i/>
        </w:rPr>
        <w:t>IEEE</w:t>
      </w:r>
      <w:r w:rsidR="00C60A4F">
        <w:rPr>
          <w:rFonts w:ascii="Book Antiqua" w:hAnsi="Book Antiqua"/>
          <w:bCs/>
          <w:i/>
        </w:rPr>
        <w:t xml:space="preserve"> </w:t>
      </w:r>
      <w:proofErr w:type="spellStart"/>
      <w:r w:rsidR="00F33D46" w:rsidRPr="00F33D46">
        <w:rPr>
          <w:rFonts w:ascii="Book Antiqua" w:hAnsi="Book Antiqua"/>
          <w:bCs/>
          <w:i/>
        </w:rPr>
        <w:t>Eng</w:t>
      </w:r>
      <w:proofErr w:type="spellEnd"/>
      <w:r w:rsidR="00C60A4F">
        <w:rPr>
          <w:rFonts w:ascii="Book Antiqua" w:hAnsi="Book Antiqua"/>
          <w:bCs/>
          <w:i/>
        </w:rPr>
        <w:t xml:space="preserve"> </w:t>
      </w:r>
      <w:r w:rsidR="00F33D46" w:rsidRPr="00F33D46">
        <w:rPr>
          <w:rFonts w:ascii="Book Antiqua" w:hAnsi="Book Antiqua"/>
          <w:bCs/>
          <w:i/>
        </w:rPr>
        <w:t>Med</w:t>
      </w:r>
      <w:r w:rsidR="00C60A4F">
        <w:rPr>
          <w:rFonts w:ascii="Book Antiqua" w:hAnsi="Book Antiqua"/>
          <w:bCs/>
          <w:i/>
        </w:rPr>
        <w:t xml:space="preserve"> </w:t>
      </w:r>
      <w:r w:rsidR="00F33D46" w:rsidRPr="00F33D46">
        <w:rPr>
          <w:rFonts w:ascii="Book Antiqua" w:hAnsi="Book Antiqua"/>
          <w:bCs/>
          <w:i/>
        </w:rPr>
        <w:t>Biol</w:t>
      </w:r>
      <w:r w:rsidR="00C60A4F">
        <w:rPr>
          <w:rFonts w:ascii="Book Antiqua" w:hAnsi="Book Antiqua"/>
          <w:bCs/>
          <w:i/>
        </w:rPr>
        <w:t xml:space="preserve"> </w:t>
      </w:r>
      <w:r w:rsidR="00F33D46" w:rsidRPr="00F33D46">
        <w:rPr>
          <w:rFonts w:ascii="Book Antiqua" w:hAnsi="Book Antiqua"/>
          <w:bCs/>
          <w:i/>
        </w:rPr>
        <w:t>Soc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2019;</w:t>
      </w:r>
      <w:r w:rsidR="00C60A4F">
        <w:rPr>
          <w:rFonts w:ascii="Book Antiqua" w:hAnsi="Book Antiqua" w:hint="eastAsia"/>
          <w:bCs/>
        </w:rPr>
        <w:t xml:space="preserve"> </w:t>
      </w:r>
      <w:r w:rsidR="00F33D46" w:rsidRPr="00F33D46">
        <w:rPr>
          <w:rFonts w:ascii="Book Antiqua" w:hAnsi="Book Antiqua"/>
          <w:b/>
          <w:bCs/>
        </w:rPr>
        <w:t>2019</w:t>
      </w:r>
      <w:r w:rsidR="00F33D46" w:rsidRPr="00F33D46">
        <w:rPr>
          <w:rFonts w:ascii="Book Antiqua" w:hAnsi="Book Antiqua"/>
          <w:bCs/>
        </w:rPr>
        <w:t>:</w:t>
      </w:r>
      <w:r w:rsidR="00C60A4F">
        <w:rPr>
          <w:rFonts w:ascii="Book Antiqua" w:hAnsi="Book Antiqua" w:hint="eastAsia"/>
          <w:bCs/>
        </w:rPr>
        <w:t xml:space="preserve"> </w:t>
      </w:r>
      <w:r w:rsidR="00F33D46">
        <w:rPr>
          <w:rFonts w:ascii="Book Antiqua" w:hAnsi="Book Antiqua"/>
          <w:bCs/>
        </w:rPr>
        <w:t>5024-5029</w:t>
      </w:r>
      <w:r w:rsidR="00C60A4F">
        <w:rPr>
          <w:rFonts w:ascii="Book Antiqua" w:hAnsi="Book Antiqua"/>
          <w:bCs/>
        </w:rPr>
        <w:t xml:space="preserve"> </w:t>
      </w:r>
      <w:r w:rsidR="00F33D46">
        <w:rPr>
          <w:rFonts w:ascii="Book Antiqua" w:hAnsi="Book Antiqua" w:hint="eastAsia"/>
          <w:bCs/>
        </w:rPr>
        <w:t>[</w:t>
      </w:r>
      <w:r w:rsidR="00F33D46" w:rsidRPr="00F33D46">
        <w:rPr>
          <w:rFonts w:ascii="Book Antiqua" w:hAnsi="Book Antiqua"/>
          <w:bCs/>
        </w:rPr>
        <w:t>PMID:</w:t>
      </w:r>
      <w:r w:rsidR="00C60A4F">
        <w:rPr>
          <w:rFonts w:ascii="Book Antiqua" w:hAnsi="Book Antiqua"/>
          <w:bCs/>
        </w:rPr>
        <w:t xml:space="preserve"> </w:t>
      </w:r>
      <w:r w:rsidR="00F33D46" w:rsidRPr="00F33D46">
        <w:rPr>
          <w:rFonts w:ascii="Book Antiqua" w:hAnsi="Book Antiqua"/>
          <w:bCs/>
        </w:rPr>
        <w:t>31946988</w:t>
      </w:r>
      <w:r w:rsidR="00C60A4F">
        <w:rPr>
          <w:rFonts w:ascii="Book Antiqua" w:hAnsi="Book Antiqua" w:hint="eastAsia"/>
          <w:bCs/>
        </w:rPr>
        <w:t xml:space="preserve"> </w:t>
      </w:r>
      <w:r w:rsidR="00F33D46">
        <w:rPr>
          <w:rFonts w:ascii="Book Antiqua" w:hAnsi="Book Antiqua" w:hint="eastAsia"/>
          <w:bCs/>
        </w:rPr>
        <w:t>DOI</w:t>
      </w:r>
      <w:r w:rsidR="00F33D46">
        <w:rPr>
          <w:rFonts w:ascii="Book Antiqua" w:hAnsi="Book Antiqua"/>
          <w:bCs/>
        </w:rPr>
        <w:t>:</w:t>
      </w:r>
      <w:r w:rsidR="00C60A4F">
        <w:rPr>
          <w:rFonts w:ascii="Book Antiqua" w:hAnsi="Book Antiqua"/>
          <w:bCs/>
        </w:rPr>
        <w:t xml:space="preserve"> </w:t>
      </w:r>
      <w:r w:rsidR="00F33D46">
        <w:rPr>
          <w:rFonts w:ascii="Book Antiqua" w:hAnsi="Book Antiqua"/>
          <w:bCs/>
        </w:rPr>
        <w:t>10.1109/EMBC.2019.8856691</w:t>
      </w:r>
      <w:r w:rsidR="00F33D46">
        <w:rPr>
          <w:rFonts w:ascii="Book Antiqua" w:hAnsi="Book Antiqua" w:hint="eastAsia"/>
          <w:bCs/>
        </w:rPr>
        <w:t>]</w:t>
      </w:r>
    </w:p>
    <w:p w14:paraId="0997698F" w14:textId="3BF2B5F5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Hester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RL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Pruett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Clemmer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Ruckdeschel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Simulation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integrative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physiology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medical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education.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Morphologie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103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187-193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31563456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10.1016/j.morpho.2019.09.004]</w:t>
      </w:r>
    </w:p>
    <w:p w14:paraId="10B951AB" w14:textId="7CB5414E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16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Tomašev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N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Glorot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X,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Rae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JW,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Zielinski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Askham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Saraiva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Mottram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Meyer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Ravuri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Protsyuk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Connell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Hughes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Karthikesalingam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Cornebise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Montgomery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Laing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Baker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Peterson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Reeves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Hassabis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Suleyman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Back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Nielson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Ledsam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Mohamed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clinically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applicable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approach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continuous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future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acute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kidney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injury.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Nature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572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116-119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31367026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10.1038/s41586-019-1390-1]</w:t>
      </w:r>
    </w:p>
    <w:p w14:paraId="307EC1DF" w14:textId="7E5AD2F5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Lal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A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Pinevich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Y,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Gajic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Herasevich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Pickering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intelligence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computer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simulation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models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illness.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World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Crit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9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13-19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32577412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10.5492/</w:t>
      </w:r>
      <w:proofErr w:type="gramStart"/>
      <w:r w:rsidRPr="006A1D59">
        <w:rPr>
          <w:rFonts w:ascii="Book Antiqua" w:hAnsi="Book Antiqua"/>
        </w:rPr>
        <w:t>wjccm.v</w:t>
      </w:r>
      <w:proofErr w:type="gramEnd"/>
      <w:r w:rsidRPr="006A1D59">
        <w:rPr>
          <w:rFonts w:ascii="Book Antiqua" w:hAnsi="Book Antiqua"/>
        </w:rPr>
        <w:t>9.i2.13]</w:t>
      </w:r>
    </w:p>
    <w:p w14:paraId="09E05D0F" w14:textId="1FA97356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Lal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A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Cubro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Chalmers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Herasevich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Y,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Pickering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BW,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Kilickaya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Gajic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Development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Verification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Patient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Model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lastRenderedPageBreak/>
        <w:t>Predict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Specific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Treatment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Response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During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First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Hours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Sepsis.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Crit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Explor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2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e0249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33225302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10.1097/CCE.0000000000000249]</w:t>
      </w:r>
    </w:p>
    <w:p w14:paraId="7F5EC224" w14:textId="71A216CB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19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Al-Mufti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F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Kim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Dodson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Sursal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Bowers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Cole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Scurlock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Becker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Gandhi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Mayer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Intelligence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Neurocritical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Care:</w:t>
      </w:r>
      <w:r w:rsidR="00C60A4F">
        <w:rPr>
          <w:rFonts w:ascii="Book Antiqua" w:hAnsi="Book Antiqua"/>
        </w:rPr>
        <w:t xml:space="preserve"> </w:t>
      </w:r>
      <w:proofErr w:type="gramStart"/>
      <w:r w:rsidRPr="006A1D59">
        <w:rPr>
          <w:rFonts w:ascii="Book Antiqua" w:hAnsi="Book Antiqua"/>
        </w:rPr>
        <w:t>a</w:t>
      </w:r>
      <w:proofErr w:type="gram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Specialty-Wide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Disruptive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Transformation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Strategy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Success.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Curr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Neurol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Neurosci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Rep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19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89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31720867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10.1007/s11910-019-0998-8]</w:t>
      </w:r>
    </w:p>
    <w:p w14:paraId="714ADA08" w14:textId="033F5AD6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20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Wartenberg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KE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Schmidt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Mayer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Multimodality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monitoring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neurocritical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Crit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Clin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2007;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23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507-538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17900483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10.1016/j.ccc.2007.06.002]</w:t>
      </w:r>
    </w:p>
    <w:p w14:paraId="5F9B67F4" w14:textId="374F1F84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Al-Mufti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F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Dodson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Wajswol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Gandhi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Scurlock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Cole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Mayer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intelligence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neurocritical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Neurol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Sci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404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1-4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31302258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10.1016/j.jns.2019.06.024]</w:t>
      </w:r>
    </w:p>
    <w:p w14:paraId="67EFF001" w14:textId="48CCC1AF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Chaudhry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F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Hunt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Hariharan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Sanjay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Kjoller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EE,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Bartlett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Johnson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KW,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Levy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PD,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Noushmehr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IY.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Applications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Neuro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ICU: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Solution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Big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Data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Mayhem?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Front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Neurol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11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554633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33162926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10.3389/fneur.2020.554633]</w:t>
      </w:r>
    </w:p>
    <w:p w14:paraId="7AD73392" w14:textId="36846230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Claassen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J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Doyle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Matory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Couch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Burger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Velazquez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Okonkwo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JU,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Park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Agarwal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Roh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Megjhani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Eliseyev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Connolly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Rohaut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Detection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Brain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Activation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Unresponsive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Patients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with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Acute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Brain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Injury.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N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Engl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380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2497-2505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31242361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10.1056/NEJMoa1812757]</w:t>
      </w:r>
    </w:p>
    <w:p w14:paraId="2CE266BF" w14:textId="1DAB189F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Struck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AF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Rodriguez-Ruiz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Osman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Gilmore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Haider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Dhakar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MB,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Schrettner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JW,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Gaspard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Hirsch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Westover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MB;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EEG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Monitoring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Research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Consortium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(CCERMRC).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Comparison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models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seizure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hospitalized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patients.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Ann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Clin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Transl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Neurol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6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1239-1247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31353866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10.1002/acn3.50817]</w:t>
      </w:r>
    </w:p>
    <w:p w14:paraId="048C66DC" w14:textId="0C5C1B9B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25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Koren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JP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Herta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Fürbass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Pirker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Reiner-</w:t>
      </w:r>
      <w:proofErr w:type="spellStart"/>
      <w:r w:rsidRPr="006A1D59">
        <w:rPr>
          <w:rFonts w:ascii="Book Antiqua" w:hAnsi="Book Antiqua"/>
        </w:rPr>
        <w:t>Deitemyer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Riederer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Flechsenhar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Hartmann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Kluge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Baumgartner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Automated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Long-Term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EEG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Review: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Fast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Precise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Analysis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Patients.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Front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Neurol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2018;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9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454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29973906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10.3389/fneur.2018.00454]</w:t>
      </w:r>
    </w:p>
    <w:p w14:paraId="1952C59D" w14:textId="0B316D6D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lastRenderedPageBreak/>
        <w:t>26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Yu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Y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Guo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Lou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Liebeskind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Scalzo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Hemorrhagic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Transformation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Severity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Acute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Stroke</w:t>
      </w:r>
      <w:r w:rsidR="00C60A4F">
        <w:rPr>
          <w:rFonts w:ascii="Book Antiqua" w:hAnsi="Book Antiqua"/>
        </w:rPr>
        <w:t xml:space="preserve"> </w:t>
      </w:r>
      <w:proofErr w:type="gramStart"/>
      <w:r w:rsidRPr="006A1D59">
        <w:rPr>
          <w:rFonts w:ascii="Book Antiqua" w:hAnsi="Book Antiqua"/>
        </w:rPr>
        <w:t>From</w:t>
      </w:r>
      <w:proofErr w:type="gram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Source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Perfusion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MRI.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IEEE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Trans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Biomed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Eng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2018;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65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2058-2065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29989941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10.1109/TBME.2017.2783241]</w:t>
      </w:r>
    </w:p>
    <w:p w14:paraId="1773DAA6" w14:textId="368DF7C9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Raj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R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Luostarinen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Pursiainen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Posti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JP,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Takala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RSK,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Bendel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Konttila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Korja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learning-based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dynamic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mortality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after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traumatic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brain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injury.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Sci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Rep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9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17672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31776366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10.1038/s41598-019-53889-6]</w:t>
      </w:r>
    </w:p>
    <w:p w14:paraId="5297D823" w14:textId="073DF710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Miyagawa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T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Sasaki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Yamaura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Intracranial</w:t>
      </w:r>
      <w:r w:rsidR="00C60A4F">
        <w:rPr>
          <w:rFonts w:ascii="Book Antiqua" w:hAnsi="Book Antiqua"/>
        </w:rPr>
        <w:t xml:space="preserve"> </w:t>
      </w:r>
      <w:proofErr w:type="gramStart"/>
      <w:r w:rsidRPr="006A1D59">
        <w:rPr>
          <w:rFonts w:ascii="Book Antiqua" w:hAnsi="Book Antiqua"/>
        </w:rPr>
        <w:t>pressure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based</w:t>
      </w:r>
      <w:proofErr w:type="gram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decision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making: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suspected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increased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intracranial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pressure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with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learning.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PLoS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One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15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e0240845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33085690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10.1371/journal.pone.0240845]</w:t>
      </w:r>
    </w:p>
    <w:p w14:paraId="264B9BA5" w14:textId="2B01EEAF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29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Swiercz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M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Mariak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Z,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Krejza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Lewko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Szydlik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Intracranial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pressure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processing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with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neural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networks: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ICP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trends.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Acta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Neurochir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(Wien)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142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401-406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10883336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10.1007/s007010050449]</w:t>
      </w:r>
    </w:p>
    <w:p w14:paraId="3D9ED61E" w14:textId="05419373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30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Megjhani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M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Alkhachroum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Terilli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Rubinos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Kromm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Wallace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Connolly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ES,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Roh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Agarwal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Claassen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Padmanabhan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Hu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X,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Park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active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framework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enhancing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identification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non-artifactual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intracranial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pressure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waveforms.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Physiol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Meas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40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015002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30562165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10.1088/1361-6579/aaf979]</w:t>
      </w:r>
    </w:p>
    <w:p w14:paraId="11891A30" w14:textId="654F2A91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31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Tanioka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S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Ishida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Nakano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Kawakita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Kanamaru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Nakatsuka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Y,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Nishikawa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Suzuki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H;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pSEED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group.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Analysis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Matricellular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Proteins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Clinical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Variables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Early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Delayed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Cerebral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Ischemia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After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Aneurysmal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Subarachnoid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Hemorrhage.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Mol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Neurobiol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56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7128-7135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30989629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10.1007/s12035-019-1601-7]</w:t>
      </w:r>
    </w:p>
    <w:p w14:paraId="53BE5C62" w14:textId="30337A71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32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Savin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I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Ershova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Kurdyumova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Ershova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Khomenko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Danilov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Shifrin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Zelman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Healthcare-associated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ventriculitis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meningitis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neuro-ICU: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Incidence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risk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factors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selected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machine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learning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approach.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Crit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2018;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45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95-104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29413730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10.1016/j.jcrc.2018.01.022]</w:t>
      </w:r>
    </w:p>
    <w:p w14:paraId="48EAF73D" w14:textId="691B31CA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Stapleton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CJ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Acharjee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Irvine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Wolcott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ZC,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Patel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AB,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Kimberly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WT.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High-throughput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metabolite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profiling: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identification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plasma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taurine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potential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lastRenderedPageBreak/>
        <w:t>biomarker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functional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outcome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after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aneurysmal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subarachnoid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hemorrhage.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Neurosurg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2019: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1-8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31756713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10.3171/2019.</w:t>
      </w:r>
      <w:proofErr w:type="gramStart"/>
      <w:r w:rsidRPr="006A1D59">
        <w:rPr>
          <w:rFonts w:ascii="Book Antiqua" w:hAnsi="Book Antiqua"/>
        </w:rPr>
        <w:t>9.JNS</w:t>
      </w:r>
      <w:proofErr w:type="gramEnd"/>
      <w:r w:rsidRPr="006A1D59">
        <w:rPr>
          <w:rFonts w:ascii="Book Antiqua" w:hAnsi="Book Antiqua"/>
        </w:rPr>
        <w:t>191346]</w:t>
      </w:r>
    </w:p>
    <w:p w14:paraId="791BBE9E" w14:textId="228FDA4E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34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Stell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A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Sinnott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Jiang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Donald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Chambers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Citerio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Enblad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Gregson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Howells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Kiening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Nilsson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Ragauskas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Sahuquillo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Piper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Federating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distributed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clinical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data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for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prediction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adverse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hypotensive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events.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Philos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Trans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A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Math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Phys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Eng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Sci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2009;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367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2679-2690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19487204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10.1098/rsta.2009.0042]</w:t>
      </w:r>
    </w:p>
    <w:p w14:paraId="386C9CF9" w14:textId="3D2B70DC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35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Badash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I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Burtt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K,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Solorzano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JN.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Innovations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surgery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simulation: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review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past,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current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future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techniques.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Ann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Transl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Med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2016;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4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453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28090509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10.21037/atm.2016.12.24]</w:t>
      </w:r>
    </w:p>
    <w:p w14:paraId="39CED3C0" w14:textId="0C02CB7C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36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Cooper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MA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Ibrahim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Lyu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Makary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MA.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Underreporting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robotic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surgery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complications.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J</w:t>
      </w:r>
      <w:r w:rsidR="00C60A4F">
        <w:rPr>
          <w:rFonts w:ascii="Book Antiqua" w:hAnsi="Book Antiqua"/>
          <w:i/>
          <w:iCs/>
        </w:rPr>
        <w:t xml:space="preserve"> </w:t>
      </w:r>
      <w:proofErr w:type="spellStart"/>
      <w:r w:rsidRPr="006A1D59">
        <w:rPr>
          <w:rFonts w:ascii="Book Antiqua" w:hAnsi="Book Antiqua"/>
          <w:i/>
          <w:iCs/>
        </w:rPr>
        <w:t>Healthc</w:t>
      </w:r>
      <w:proofErr w:type="spellEnd"/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Qual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2015;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37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133-138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23980819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10.1111/jhq.12036]</w:t>
      </w:r>
    </w:p>
    <w:p w14:paraId="4E9E37AD" w14:textId="29A230DC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37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Liu</w:t>
      </w:r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VX</w:t>
      </w:r>
      <w:r w:rsidRPr="006A1D59">
        <w:rPr>
          <w:rFonts w:ascii="Book Antiqua" w:hAnsi="Book Antiqua"/>
        </w:rPr>
        <w:t>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The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future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AI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critical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augmented,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not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artificial,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intelligence.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Crit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Care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2020;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24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673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33267905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10.1186/s13054-020-03404-5]</w:t>
      </w:r>
    </w:p>
    <w:p w14:paraId="26CADA44" w14:textId="3479DC16" w:rsidR="006A1D59" w:rsidRPr="006A1D59" w:rsidRDefault="006A1D59" w:rsidP="006A1D5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A1D59">
        <w:rPr>
          <w:rFonts w:ascii="Book Antiqua" w:hAnsi="Book Antiqua"/>
        </w:rPr>
        <w:t>38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  <w:b/>
          <w:bCs/>
        </w:rPr>
        <w:t>Bruynseels</w:t>
      </w:r>
      <w:proofErr w:type="spellEnd"/>
      <w:r w:rsidR="00C60A4F">
        <w:rPr>
          <w:rFonts w:ascii="Book Antiqua" w:hAnsi="Book Antiqua"/>
          <w:b/>
          <w:bCs/>
        </w:rPr>
        <w:t xml:space="preserve"> </w:t>
      </w:r>
      <w:r w:rsidRPr="006A1D59">
        <w:rPr>
          <w:rFonts w:ascii="Book Antiqua" w:hAnsi="Book Antiqua"/>
          <w:b/>
          <w:bCs/>
        </w:rPr>
        <w:t>K</w:t>
      </w:r>
      <w:r w:rsidRPr="006A1D59">
        <w:rPr>
          <w:rFonts w:ascii="Book Antiqua" w:hAnsi="Book Antiqua"/>
        </w:rPr>
        <w:t>,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Santoni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</w:t>
      </w:r>
      <w:r w:rsidR="00C60A4F">
        <w:rPr>
          <w:rFonts w:ascii="Book Antiqua" w:hAnsi="Book Antiqua"/>
        </w:rPr>
        <w:t xml:space="preserve"> </w:t>
      </w:r>
      <w:proofErr w:type="spellStart"/>
      <w:r w:rsidRPr="006A1D59">
        <w:rPr>
          <w:rFonts w:ascii="Book Antiqua" w:hAnsi="Book Antiqua"/>
        </w:rPr>
        <w:t>Sio</w:t>
      </w:r>
      <w:proofErr w:type="spellEnd"/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F,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van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den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Hoven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J.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Digital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Twins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Health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Care: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Ethical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Implications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of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an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Emerging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Engineering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Paradigm.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i/>
          <w:iCs/>
        </w:rPr>
        <w:t>Front</w:t>
      </w:r>
      <w:r w:rsidR="00C60A4F">
        <w:rPr>
          <w:rFonts w:ascii="Book Antiqua" w:hAnsi="Book Antiqua"/>
          <w:i/>
          <w:iCs/>
        </w:rPr>
        <w:t xml:space="preserve"> </w:t>
      </w:r>
      <w:r w:rsidRPr="006A1D59">
        <w:rPr>
          <w:rFonts w:ascii="Book Antiqua" w:hAnsi="Book Antiqua"/>
          <w:i/>
          <w:iCs/>
        </w:rPr>
        <w:t>Genet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2018;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  <w:b/>
          <w:bCs/>
        </w:rPr>
        <w:t>9</w:t>
      </w:r>
      <w:r w:rsidRPr="006A1D59">
        <w:rPr>
          <w:rFonts w:ascii="Book Antiqua" w:hAnsi="Book Antiqua"/>
        </w:rPr>
        <w:t>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31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[PMID: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29487613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DOI:</w:t>
      </w:r>
      <w:r w:rsidR="00C60A4F">
        <w:rPr>
          <w:rFonts w:ascii="Book Antiqua" w:hAnsi="Book Antiqua"/>
        </w:rPr>
        <w:t xml:space="preserve"> </w:t>
      </w:r>
      <w:r w:rsidRPr="006A1D59">
        <w:rPr>
          <w:rFonts w:ascii="Book Antiqua" w:hAnsi="Book Antiqua"/>
        </w:rPr>
        <w:t>10.3389/fgene.2018.00031]</w:t>
      </w:r>
    </w:p>
    <w:p w14:paraId="363930D8" w14:textId="77777777" w:rsidR="00A77B3E" w:rsidRDefault="006A1D59" w:rsidP="00C60A4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60A4F">
        <w:rPr>
          <w:rFonts w:ascii="Book Antiqua" w:hAnsi="Book Antiqua"/>
          <w:highlight w:val="yellow"/>
        </w:rPr>
        <w:t>39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b/>
          <w:bCs/>
          <w:highlight w:val="yellow"/>
        </w:rPr>
        <w:t>Andrews</w:t>
      </w:r>
      <w:r w:rsidR="00C60A4F" w:rsidRPr="00C60A4F">
        <w:rPr>
          <w:rFonts w:ascii="Book Antiqua" w:hAnsi="Book Antiqua"/>
          <w:b/>
          <w:bCs/>
          <w:highlight w:val="yellow"/>
        </w:rPr>
        <w:t xml:space="preserve"> </w:t>
      </w:r>
      <w:r w:rsidRPr="00C60A4F">
        <w:rPr>
          <w:rFonts w:ascii="Book Antiqua" w:hAnsi="Book Antiqua"/>
          <w:b/>
          <w:bCs/>
          <w:highlight w:val="yellow"/>
        </w:rPr>
        <w:t>PS</w:t>
      </w:r>
      <w:r w:rsidRPr="00C60A4F">
        <w:rPr>
          <w:rFonts w:ascii="Book Antiqua" w:hAnsi="Book Antiqua"/>
          <w:highlight w:val="yellow"/>
        </w:rPr>
        <w:t>,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Polack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FAC,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Sampson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AT,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Scott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L,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Coles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M.</w:t>
      </w:r>
      <w:r w:rsidR="00C60A4F" w:rsidRPr="00C60A4F">
        <w:rPr>
          <w:rFonts w:ascii="Book Antiqua" w:hAnsi="Book Antiqua"/>
          <w:highlight w:val="yellow"/>
        </w:rPr>
        <w:t xml:space="preserve"> </w:t>
      </w:r>
      <w:bookmarkStart w:id="70" w:name="OLE_LINK43"/>
      <w:bookmarkStart w:id="71" w:name="OLE_LINK44"/>
      <w:r w:rsidRPr="00C60A4F">
        <w:rPr>
          <w:rFonts w:ascii="Book Antiqua" w:hAnsi="Book Antiqua"/>
          <w:highlight w:val="yellow"/>
        </w:rPr>
        <w:t>Simulating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biology: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towards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understanding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what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the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simulation</w:t>
      </w:r>
      <w:r w:rsidR="00C60A4F" w:rsidRPr="00C60A4F">
        <w:rPr>
          <w:rFonts w:ascii="Book Antiqua" w:hAnsi="Book Antiqua"/>
          <w:highlight w:val="yellow"/>
        </w:rPr>
        <w:t xml:space="preserve"> </w:t>
      </w:r>
      <w:r w:rsidRPr="00C60A4F">
        <w:rPr>
          <w:rFonts w:ascii="Book Antiqua" w:hAnsi="Book Antiqua"/>
          <w:highlight w:val="yellow"/>
        </w:rPr>
        <w:t>shows</w:t>
      </w:r>
      <w:bookmarkEnd w:id="68"/>
      <w:bookmarkEnd w:id="69"/>
      <w:bookmarkEnd w:id="70"/>
      <w:bookmarkEnd w:id="71"/>
      <w:r w:rsidR="00C60A4F" w:rsidRPr="00C60A4F">
        <w:rPr>
          <w:rFonts w:ascii="Book Antiqua" w:hAnsi="Book Antiqua"/>
          <w:highlight w:val="yellow"/>
        </w:rPr>
        <w:t>. 2008. [cited 1 February 2021]. Available from: https://core.ac.uk/display/13611</w:t>
      </w:r>
    </w:p>
    <w:p w14:paraId="110E9691" w14:textId="77777777" w:rsidR="00C60A4F" w:rsidRDefault="00C60A4F" w:rsidP="00C60A4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388D3C33" w14:textId="05906F68" w:rsidR="00C60A4F" w:rsidRPr="00C60A4F" w:rsidRDefault="00C60A4F" w:rsidP="00C60A4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  <w:sectPr w:rsidR="00C60A4F" w:rsidRPr="00C60A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B468C" w14:textId="77777777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DE306A" w14:textId="0650C22F" w:rsidR="00A77B3E" w:rsidRPr="00957217" w:rsidRDefault="00EE1B0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2" w:name="OLE_LINK137"/>
      <w:bookmarkStart w:id="73" w:name="OLE_LINK138"/>
      <w:r>
        <w:rPr>
          <w:rFonts w:ascii="Book Antiqua" w:eastAsia="Book Antiqua" w:hAnsi="Book Antiqua" w:cs="Book Antiqua"/>
          <w:color w:val="000000"/>
        </w:rPr>
        <w:t>All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bookmarkEnd w:id="72"/>
    <w:bookmarkEnd w:id="73"/>
    <w:p w14:paraId="45F43E41" w14:textId="77777777" w:rsidR="00A77B3E" w:rsidRDefault="00A77B3E">
      <w:pPr>
        <w:spacing w:line="360" w:lineRule="auto"/>
        <w:jc w:val="both"/>
      </w:pPr>
    </w:p>
    <w:p w14:paraId="4605253F" w14:textId="4838FBB6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E72AF5D" w14:textId="77777777" w:rsidR="00A77B3E" w:rsidRDefault="00A77B3E">
      <w:pPr>
        <w:spacing w:line="360" w:lineRule="auto"/>
        <w:jc w:val="both"/>
      </w:pPr>
    </w:p>
    <w:p w14:paraId="20BE5595" w14:textId="57829DFA" w:rsidR="00A77B3E" w:rsidRDefault="00EE1B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manuscript</w:t>
      </w:r>
    </w:p>
    <w:p w14:paraId="48F359E2" w14:textId="77777777" w:rsidR="00C60A4F" w:rsidRDefault="00C60A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E603F4" w14:textId="4FA35E68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</w:t>
      </w:r>
      <w:r w:rsidR="00957217">
        <w:rPr>
          <w:rFonts w:ascii="Book Antiqua" w:eastAsia="Book Antiqua" w:hAnsi="Book Antiqua" w:cs="Book Antiqua"/>
          <w:color w:val="000000"/>
        </w:rPr>
        <w:t>ety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Medicine</w:t>
      </w:r>
      <w:r>
        <w:rPr>
          <w:rFonts w:ascii="Book Antiqua" w:eastAsia="Book Antiqua" w:hAnsi="Book Antiqua" w:cs="Book Antiqua"/>
          <w:color w:val="000000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</w:t>
      </w:r>
      <w:r w:rsidR="00957217">
        <w:rPr>
          <w:rFonts w:ascii="Book Antiqua" w:eastAsia="Book Antiqua" w:hAnsi="Book Antiqua" w:cs="Book Antiqua"/>
          <w:color w:val="000000"/>
        </w:rPr>
        <w:t>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College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Chest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Physicians</w:t>
      </w:r>
      <w:r>
        <w:rPr>
          <w:rFonts w:ascii="Book Antiqua" w:eastAsia="Book Antiqua" w:hAnsi="Book Antiqua" w:cs="Book Antiqua"/>
          <w:color w:val="000000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and </w:t>
      </w:r>
      <w:r w:rsidR="00957217">
        <w:rPr>
          <w:rFonts w:ascii="Book Antiqua" w:eastAsia="Book Antiqua" w:hAnsi="Book Antiqua" w:cs="Book Antiqua"/>
          <w:color w:val="000000"/>
        </w:rPr>
        <w:t>American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College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of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Physicians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3284C7" w14:textId="77777777" w:rsidR="00A77B3E" w:rsidRDefault="00A77B3E">
      <w:pPr>
        <w:spacing w:line="360" w:lineRule="auto"/>
        <w:jc w:val="both"/>
      </w:pPr>
    </w:p>
    <w:p w14:paraId="541C97AA" w14:textId="2BA7C11E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7F338A3" w14:textId="5B5CE80E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8D0A3EC" w14:textId="01388B56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72D8559" w14:textId="77777777" w:rsidR="00A77B3E" w:rsidRDefault="00A77B3E">
      <w:pPr>
        <w:spacing w:line="360" w:lineRule="auto"/>
        <w:jc w:val="both"/>
      </w:pPr>
    </w:p>
    <w:p w14:paraId="2861A7D6" w14:textId="1A2C46F2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care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957217">
        <w:rPr>
          <w:rFonts w:ascii="Book Antiqua" w:eastAsia="Book Antiqua" w:hAnsi="Book Antiqua" w:cs="Book Antiqua"/>
          <w:color w:val="000000"/>
        </w:rPr>
        <w:t>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45708400" w14:textId="72EDFBE3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884C3E1" w14:textId="1338C346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85B33FA" w14:textId="04263AD8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0DE5E23A" w14:textId="069885A1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7248DD5" w14:textId="21E7A85D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061F826" w14:textId="4B1B6CF6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979A67E" w14:textId="1F57E72B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AF4FDB3" w14:textId="77777777" w:rsidR="00A77B3E" w:rsidRDefault="00A77B3E">
      <w:pPr>
        <w:spacing w:line="360" w:lineRule="auto"/>
        <w:jc w:val="both"/>
      </w:pPr>
    </w:p>
    <w:p w14:paraId="63B59245" w14:textId="59D6C447" w:rsidR="00A77B3E" w:rsidRDefault="00EE1B08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Cavdar</w:t>
      </w:r>
      <w:proofErr w:type="spellEnd"/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C60A4F">
        <w:rPr>
          <w:rFonts w:ascii="Book Antiqua" w:eastAsia="Book Antiqua" w:hAnsi="Book Antiqua" w:cs="Book Antiqua"/>
          <w:color w:val="000000"/>
        </w:rPr>
        <w:t>a PL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>
        <w:rPr>
          <w:rFonts w:ascii="Book Antiqua" w:hAnsi="Book Antiqua" w:cs="Book Antiqua" w:hint="eastAsia"/>
          <w:color w:val="000000"/>
          <w:lang w:eastAsia="zh-CN"/>
        </w:rPr>
        <w:t>Zhang</w:t>
      </w:r>
      <w:r w:rsidR="00C60A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95B80">
        <w:rPr>
          <w:rFonts w:ascii="Book Antiqua" w:hAnsi="Book Antiqua" w:cs="Book Antiqua" w:hint="eastAsia"/>
          <w:color w:val="000000"/>
          <w:lang w:eastAsia="zh-CN"/>
        </w:rPr>
        <w:t>H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</w:t>
      </w:r>
      <w:r w:rsidR="00F95B80">
        <w:rPr>
          <w:rFonts w:ascii="Book Antiqua" w:eastAsia="Book Antiqua" w:hAnsi="Book Antiqua" w:cs="Book Antiqua"/>
          <w:b/>
          <w:color w:val="000000"/>
        </w:rPr>
        <w:t>or: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B93D87" w14:textId="56AFB47A" w:rsidR="00A77B3E" w:rsidRDefault="00EE1B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87A436E" w14:textId="77777777" w:rsidR="005848D6" w:rsidRDefault="005848D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7C08EF3" wp14:editId="4138D2A0">
            <wp:extent cx="5920072" cy="353394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26" cy="353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798F33" w14:textId="63D612E5" w:rsidR="00A77B3E" w:rsidRPr="00F95B80" w:rsidRDefault="00EE1B08">
      <w:pPr>
        <w:spacing w:line="360" w:lineRule="auto"/>
        <w:jc w:val="both"/>
        <w:rPr>
          <w:lang w:eastAsia="zh-CN"/>
        </w:rPr>
      </w:pPr>
      <w:bookmarkStart w:id="74" w:name="OLE_LINK139"/>
      <w:bookmarkStart w:id="75" w:name="OLE_LINK140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A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 w:rsidRPr="00F95B80">
        <w:rPr>
          <w:rFonts w:ascii="Book Antiqua" w:eastAsia="Book Antiqua" w:hAnsi="Book Antiqua" w:cs="Book Antiqua"/>
          <w:b/>
          <w:color w:val="000000"/>
        </w:rPr>
        <w:t>directed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 w:rsidRPr="00F95B80">
        <w:rPr>
          <w:rFonts w:ascii="Book Antiqua" w:eastAsia="Book Antiqua" w:hAnsi="Book Antiqua" w:cs="Book Antiqua"/>
          <w:b/>
          <w:color w:val="000000"/>
        </w:rPr>
        <w:t>acyclic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 w:rsidRPr="00F95B80">
        <w:rPr>
          <w:rFonts w:ascii="Book Antiqua" w:eastAsia="Book Antiqua" w:hAnsi="Book Antiqua" w:cs="Book Antiqua"/>
          <w:b/>
          <w:color w:val="000000"/>
        </w:rPr>
        <w:t>graph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b/>
          <w:color w:val="000000"/>
        </w:rPr>
        <w:t>for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b/>
          <w:color w:val="000000"/>
        </w:rPr>
        <w:t>stroke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b/>
          <w:color w:val="000000"/>
        </w:rPr>
        <w:t>patients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b/>
          <w:color w:val="000000"/>
        </w:rPr>
        <w:t>that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b/>
          <w:color w:val="000000"/>
        </w:rPr>
        <w:t>link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concepts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through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Bayesian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networks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built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from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an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underlying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understanding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of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disease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/>
          <w:color w:val="000000"/>
        </w:rPr>
        <w:t>processes.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Yellow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boxes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concepts,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red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solid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lines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factors,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dashed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red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lines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semi-actionable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factors,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bCs/>
          <w:iCs/>
          <w:color w:val="000000"/>
        </w:rPr>
        <w:t>arrows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Bayesian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connections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b</w:t>
      </w:r>
      <w:r w:rsidR="00F95B80">
        <w:rPr>
          <w:rFonts w:ascii="Book Antiqua" w:eastAsia="Book Antiqua" w:hAnsi="Book Antiqua" w:cs="Book Antiqua"/>
          <w:color w:val="000000"/>
        </w:rPr>
        <w:t>etween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color w:val="000000"/>
        </w:rPr>
        <w:t>variables.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color w:val="000000"/>
        </w:rPr>
        <w:t>O</w:t>
      </w:r>
      <w:r w:rsidR="00F95B80" w:rsidRPr="00F95B8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F95B80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color w:val="000000"/>
        </w:rPr>
        <w:t>Oxygen</w:t>
      </w:r>
      <w:r w:rsidR="00F95B80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CO</w:t>
      </w:r>
      <w:r w:rsidRPr="00F95B8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F95B80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Carbon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 w:rsidRPr="00F95B80">
        <w:rPr>
          <w:rFonts w:ascii="Book Antiqua" w:eastAsia="Book Antiqua" w:hAnsi="Book Antiqua" w:cs="Book Antiqua"/>
          <w:color w:val="000000"/>
        </w:rPr>
        <w:t>dioxide</w:t>
      </w:r>
      <w:r w:rsidR="00F95B80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color w:val="000000"/>
        </w:rPr>
        <w:t>BP</w:t>
      </w:r>
      <w:r w:rsidR="00F95B80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Blood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 w:rsidRPr="00F95B80">
        <w:rPr>
          <w:rFonts w:ascii="Book Antiqua" w:eastAsia="Book Antiqua" w:hAnsi="Book Antiqua" w:cs="Book Antiqua"/>
          <w:color w:val="000000"/>
        </w:rPr>
        <w:t>pressure</w:t>
      </w:r>
      <w:r w:rsidR="00F95B80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F95B80">
        <w:rPr>
          <w:rFonts w:ascii="Book Antiqua" w:eastAsia="Book Antiqua" w:hAnsi="Book Antiqua" w:cs="Book Antiqua"/>
          <w:color w:val="000000"/>
        </w:rPr>
        <w:t>Na</w:t>
      </w:r>
      <w:r w:rsidR="00F95B80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F95B80">
        <w:rPr>
          <w:rFonts w:ascii="Book Antiqua" w:eastAsia="Book Antiqua" w:hAnsi="Book Antiqua" w:cs="Book Antiqua"/>
          <w:color w:val="000000"/>
        </w:rPr>
        <w:t>Sodium</w:t>
      </w:r>
      <w:r w:rsidR="00F95B80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74"/>
    <w:bookmarkEnd w:id="75"/>
    <w:p w14:paraId="5377993A" w14:textId="77777777" w:rsidR="00A77B3E" w:rsidRDefault="005848D6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3BF50F81" wp14:editId="4360975D">
            <wp:extent cx="5934075" cy="303841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45" cy="3040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3E3018" w14:textId="0DECE068" w:rsidR="00A77B3E" w:rsidRPr="003645CE" w:rsidRDefault="00EE1B08">
      <w:pPr>
        <w:spacing w:line="360" w:lineRule="auto"/>
        <w:jc w:val="both"/>
        <w:rPr>
          <w:lang w:eastAsia="zh-CN"/>
        </w:rPr>
      </w:pPr>
      <w:bookmarkStart w:id="76" w:name="OLE_LINK141"/>
      <w:bookmarkStart w:id="77" w:name="OLE_LINK142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A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directed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acyclic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graph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for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acute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brain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b/>
          <w:color w:val="000000"/>
        </w:rPr>
        <w:t>fail</w:t>
      </w:r>
      <w:r w:rsidRPr="003645CE">
        <w:rPr>
          <w:rFonts w:ascii="Book Antiqua" w:eastAsia="Book Antiqua" w:hAnsi="Book Antiqua" w:cs="Book Antiqua"/>
          <w:b/>
          <w:color w:val="000000"/>
        </w:rPr>
        <w:t>ure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that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links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concepts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through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Bayesian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networks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built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from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an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underlying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understanding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of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disease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/>
          <w:color w:val="000000"/>
        </w:rPr>
        <w:t>processes.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Yellow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boxes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concepts,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red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solid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lines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factors,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dashed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red</w:t>
      </w:r>
      <w:r w:rsidR="00C60A4F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lines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semi-actionable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factors,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bCs/>
          <w:iCs/>
          <w:color w:val="000000"/>
        </w:rPr>
        <w:t>arrows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represent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Bayesian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connections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be</w:t>
      </w:r>
      <w:r w:rsidR="003645CE">
        <w:rPr>
          <w:rFonts w:ascii="Book Antiqua" w:eastAsia="Book Antiqua" w:hAnsi="Book Antiqua" w:cs="Book Antiqua"/>
          <w:color w:val="000000"/>
        </w:rPr>
        <w:t>tween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different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variables.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MAP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Mean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color w:val="000000"/>
        </w:rPr>
        <w:t>arterial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color w:val="000000"/>
        </w:rPr>
        <w:t>press</w:t>
      </w:r>
      <w:r w:rsidR="003645CE">
        <w:rPr>
          <w:rFonts w:ascii="Book Antiqua" w:eastAsia="Book Antiqua" w:hAnsi="Book Antiqua" w:cs="Book Antiqua"/>
          <w:color w:val="000000"/>
        </w:rPr>
        <w:t>ure</w:t>
      </w:r>
      <w:r w:rsidR="003645CE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CPP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Cerebral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color w:val="000000"/>
        </w:rPr>
        <w:t>perfusion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color w:val="000000"/>
        </w:rPr>
        <w:t>pre</w:t>
      </w:r>
      <w:r w:rsidR="003645CE">
        <w:rPr>
          <w:rFonts w:ascii="Book Antiqua" w:eastAsia="Book Antiqua" w:hAnsi="Book Antiqua" w:cs="Book Antiqua"/>
          <w:color w:val="000000"/>
        </w:rPr>
        <w:t>ssure</w:t>
      </w:r>
      <w:r w:rsidR="003645CE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NH</w:t>
      </w:r>
      <w:r w:rsidR="003645CE" w:rsidRPr="003645CE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Ammonium</w:t>
      </w:r>
      <w:r w:rsidR="003645CE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Na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Sodium</w:t>
      </w:r>
      <w:r w:rsidR="003645CE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BUN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Blood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color w:val="000000"/>
        </w:rPr>
        <w:t>urea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 w:rsidRPr="003645CE">
        <w:rPr>
          <w:rFonts w:ascii="Book Antiqua" w:eastAsia="Book Antiqua" w:hAnsi="Book Antiqua" w:cs="Book Antiqua"/>
          <w:color w:val="000000"/>
        </w:rPr>
        <w:t>nitro</w:t>
      </w:r>
      <w:r w:rsidR="003645CE">
        <w:rPr>
          <w:rFonts w:ascii="Book Antiqua" w:eastAsia="Book Antiqua" w:hAnsi="Book Antiqua" w:cs="Book Antiqua"/>
          <w:color w:val="000000"/>
        </w:rPr>
        <w:t>gen</w:t>
      </w:r>
      <w:r w:rsidR="003645CE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Ca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="003645CE">
        <w:rPr>
          <w:rFonts w:ascii="Book Antiqua" w:eastAsia="Book Antiqua" w:hAnsi="Book Antiqua" w:cs="Book Antiqua"/>
          <w:color w:val="000000"/>
        </w:rPr>
        <w:t>Calcium</w:t>
      </w:r>
      <w:r w:rsidR="003645CE">
        <w:rPr>
          <w:rFonts w:ascii="Book Antiqua" w:hAnsi="Book Antiqua" w:cs="Book Antiqua" w:hint="eastAsia"/>
          <w:color w:val="000000"/>
          <w:lang w:eastAsia="zh-CN"/>
        </w:rPr>
        <w:t>;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O</w:t>
      </w:r>
      <w:r w:rsidRPr="003645CE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645CE">
        <w:rPr>
          <w:rFonts w:ascii="Book Antiqua" w:hAnsi="Book Antiqua" w:cs="Book Antiqua" w:hint="eastAsia"/>
          <w:color w:val="000000"/>
          <w:lang w:eastAsia="zh-CN"/>
        </w:rPr>
        <w:t>: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3645CE">
        <w:rPr>
          <w:rFonts w:ascii="Book Antiqua" w:eastAsia="Book Antiqua" w:hAnsi="Book Antiqua" w:cs="Book Antiqua"/>
          <w:color w:val="000000"/>
        </w:rPr>
        <w:t>Oxygen</w:t>
      </w:r>
      <w:r w:rsidR="00AE7537">
        <w:rPr>
          <w:rFonts w:ascii="Book Antiqua" w:hAnsi="Book Antiqua" w:cs="Book Antiqua"/>
          <w:color w:val="000000"/>
          <w:lang w:eastAsia="zh-CN"/>
        </w:rPr>
        <w:t xml:space="preserve">; ABF: </w:t>
      </w:r>
      <w:r w:rsidR="00AE7537" w:rsidRPr="00AE7537">
        <w:rPr>
          <w:rFonts w:ascii="Book Antiqua" w:hAnsi="Book Antiqua" w:cs="Book Antiqua"/>
          <w:bCs/>
          <w:color w:val="000000"/>
          <w:lang w:eastAsia="zh-CN"/>
        </w:rPr>
        <w:t>Acute brain failure</w:t>
      </w:r>
      <w:r w:rsidR="00AE7537">
        <w:rPr>
          <w:rFonts w:ascii="Book Antiqua" w:hAnsi="Book Antiqua" w:cs="Book Antiqua"/>
          <w:bCs/>
          <w:color w:val="000000"/>
          <w:lang w:eastAsia="zh-CN"/>
        </w:rPr>
        <w:t>; CNS: C</w:t>
      </w:r>
      <w:r w:rsidR="00AE7537" w:rsidRPr="00AE7537">
        <w:rPr>
          <w:rFonts w:ascii="Book Antiqua" w:hAnsi="Book Antiqua" w:cs="Book Antiqua"/>
          <w:bCs/>
          <w:color w:val="000000"/>
          <w:lang w:eastAsia="zh-CN"/>
        </w:rPr>
        <w:t>entral nervous system</w:t>
      </w:r>
      <w:r w:rsidR="00AE7537">
        <w:rPr>
          <w:rFonts w:ascii="Book Antiqua" w:hAnsi="Book Antiqua" w:cs="Book Antiqua"/>
          <w:bCs/>
          <w:color w:val="000000"/>
          <w:lang w:eastAsia="zh-CN"/>
        </w:rPr>
        <w:t>.</w:t>
      </w:r>
    </w:p>
    <w:bookmarkEnd w:id="76"/>
    <w:bookmarkEnd w:id="77"/>
    <w:p w14:paraId="22C7E362" w14:textId="77777777" w:rsidR="00A77B3E" w:rsidRDefault="005848D6">
      <w:pPr>
        <w:spacing w:line="360" w:lineRule="auto"/>
        <w:jc w:val="both"/>
      </w:pPr>
      <w: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6B9B99E8" wp14:editId="4B6C524A">
            <wp:extent cx="5654195" cy="40862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06" cy="4087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6AF832" w14:textId="2BCD2DDD" w:rsidR="00A77B3E" w:rsidRPr="009A1C86" w:rsidRDefault="00EE1B08">
      <w:pPr>
        <w:spacing w:line="360" w:lineRule="auto"/>
        <w:jc w:val="both"/>
        <w:rPr>
          <w:b/>
        </w:rPr>
      </w:pPr>
      <w:bookmarkStart w:id="78" w:name="OLE_LINK143"/>
      <w:bookmarkStart w:id="79" w:name="OLE_LINK144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0A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C60A4F">
        <w:rPr>
          <w:rFonts w:ascii="Book Antiqua" w:eastAsia="Book Antiqua" w:hAnsi="Book Antiqua" w:cs="Book Antiqua"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Accurate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verification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and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validation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of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the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model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using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the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iterative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steps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of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A1C86">
        <w:rPr>
          <w:rFonts w:ascii="Book Antiqua" w:eastAsia="Book Antiqua" w:hAnsi="Book Antiqua" w:cs="Book Antiqua"/>
          <w:b/>
          <w:color w:val="000000"/>
        </w:rPr>
        <w:t>program</w:t>
      </w:r>
      <w:r w:rsidR="009A1C86">
        <w:rPr>
          <w:rFonts w:ascii="Book Antiqua" w:eastAsia="Book Antiqua" w:hAnsi="Book Antiqua" w:cs="Book Antiqua"/>
          <w:b/>
          <w:color w:val="000000"/>
        </w:rPr>
        <w:t>ming,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1C86">
        <w:rPr>
          <w:rFonts w:ascii="Book Antiqua" w:eastAsia="Book Antiqua" w:hAnsi="Book Antiqua" w:cs="Book Antiqua"/>
          <w:b/>
          <w:color w:val="000000"/>
        </w:rPr>
        <w:t>simulation,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1C86">
        <w:rPr>
          <w:rFonts w:ascii="Book Antiqua" w:eastAsia="Book Antiqua" w:hAnsi="Book Antiqua" w:cs="Book Antiqua"/>
          <w:b/>
          <w:color w:val="000000"/>
        </w:rPr>
        <w:t>and</w:t>
      </w:r>
      <w:r w:rsidR="00C60A4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="009A1C86">
        <w:rPr>
          <w:rFonts w:ascii="Book Antiqua" w:eastAsia="Book Antiqua" w:hAnsi="Book Antiqua" w:cs="Book Antiqua"/>
          <w:b/>
          <w:color w:val="000000"/>
        </w:rPr>
        <w:t>analysis</w:t>
      </w:r>
      <w:r w:rsidR="009A1C86" w:rsidRPr="009A1C86">
        <w:rPr>
          <w:rFonts w:ascii="Book Antiqua" w:hAnsi="Book Antiqua" w:cs="Book Antiqua" w:hint="eastAsia"/>
          <w:b/>
          <w:color w:val="000000"/>
          <w:vertAlign w:val="superscript"/>
          <w:lang w:eastAsia="zh-CN"/>
        </w:rPr>
        <w:t>[</w:t>
      </w:r>
      <w:proofErr w:type="gramEnd"/>
      <w:r w:rsidR="009A1C86" w:rsidRPr="009A1C86">
        <w:rPr>
          <w:rFonts w:ascii="Book Antiqua" w:eastAsia="Book Antiqua" w:hAnsi="Book Antiqua" w:cs="Book Antiqua"/>
          <w:b/>
          <w:color w:val="000000"/>
          <w:vertAlign w:val="superscript"/>
        </w:rPr>
        <w:t>39</w:t>
      </w:r>
      <w:r w:rsidR="009A1C86" w:rsidRPr="009A1C86">
        <w:rPr>
          <w:rFonts w:ascii="Book Antiqua" w:hAnsi="Book Antiqua" w:cs="Book Antiqua" w:hint="eastAsia"/>
          <w:b/>
          <w:color w:val="000000"/>
          <w:vertAlign w:val="superscript"/>
          <w:lang w:eastAsia="zh-CN"/>
        </w:rPr>
        <w:t>]</w:t>
      </w:r>
      <w:r w:rsidRPr="009A1C86">
        <w:rPr>
          <w:rFonts w:ascii="Book Antiqua" w:eastAsia="Book Antiqua" w:hAnsi="Book Antiqua" w:cs="Book Antiqua"/>
          <w:b/>
          <w:color w:val="000000"/>
        </w:rPr>
        <w:t>.</w:t>
      </w:r>
      <w:bookmarkEnd w:id="78"/>
      <w:bookmarkEnd w:id="79"/>
    </w:p>
    <w:sectPr w:rsidR="00A77B3E" w:rsidRPr="009A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850F" w14:textId="77777777" w:rsidR="006645B8" w:rsidRDefault="006645B8" w:rsidP="00ED4845">
      <w:r>
        <w:separator/>
      </w:r>
    </w:p>
  </w:endnote>
  <w:endnote w:type="continuationSeparator" w:id="0">
    <w:p w14:paraId="2861ADFA" w14:textId="77777777" w:rsidR="006645B8" w:rsidRDefault="006645B8" w:rsidP="00E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9980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F8C08C" w14:textId="77777777" w:rsidR="006224D0" w:rsidRDefault="006224D0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FF7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FF7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FA628" w14:textId="77777777" w:rsidR="006224D0" w:rsidRDefault="00622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340E" w14:textId="77777777" w:rsidR="006645B8" w:rsidRDefault="006645B8" w:rsidP="00ED4845">
      <w:r>
        <w:separator/>
      </w:r>
    </w:p>
  </w:footnote>
  <w:footnote w:type="continuationSeparator" w:id="0">
    <w:p w14:paraId="662467DF" w14:textId="77777777" w:rsidR="006645B8" w:rsidRDefault="006645B8" w:rsidP="00ED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0C2C"/>
    <w:rsid w:val="000F22B9"/>
    <w:rsid w:val="001F1F82"/>
    <w:rsid w:val="003645CE"/>
    <w:rsid w:val="00386640"/>
    <w:rsid w:val="00392328"/>
    <w:rsid w:val="003A7613"/>
    <w:rsid w:val="003B12F1"/>
    <w:rsid w:val="003F5238"/>
    <w:rsid w:val="003F5448"/>
    <w:rsid w:val="00423234"/>
    <w:rsid w:val="0048296E"/>
    <w:rsid w:val="0048500C"/>
    <w:rsid w:val="00517EDE"/>
    <w:rsid w:val="00524E14"/>
    <w:rsid w:val="005730F3"/>
    <w:rsid w:val="005848D6"/>
    <w:rsid w:val="005A62A5"/>
    <w:rsid w:val="005F16FC"/>
    <w:rsid w:val="006224D0"/>
    <w:rsid w:val="006645B8"/>
    <w:rsid w:val="006A1D59"/>
    <w:rsid w:val="006A56A5"/>
    <w:rsid w:val="006D6616"/>
    <w:rsid w:val="00703731"/>
    <w:rsid w:val="007119D7"/>
    <w:rsid w:val="00782787"/>
    <w:rsid w:val="007B463F"/>
    <w:rsid w:val="007B7FE8"/>
    <w:rsid w:val="007C0FF7"/>
    <w:rsid w:val="007F1613"/>
    <w:rsid w:val="00857167"/>
    <w:rsid w:val="008C1E70"/>
    <w:rsid w:val="008D6EAD"/>
    <w:rsid w:val="00910987"/>
    <w:rsid w:val="00923667"/>
    <w:rsid w:val="009463CA"/>
    <w:rsid w:val="00957217"/>
    <w:rsid w:val="009729CA"/>
    <w:rsid w:val="009A1C86"/>
    <w:rsid w:val="009B5326"/>
    <w:rsid w:val="009C64F3"/>
    <w:rsid w:val="009F438F"/>
    <w:rsid w:val="00A229E7"/>
    <w:rsid w:val="00A77B3E"/>
    <w:rsid w:val="00A93D71"/>
    <w:rsid w:val="00AC66F7"/>
    <w:rsid w:val="00AE41A5"/>
    <w:rsid w:val="00AE7537"/>
    <w:rsid w:val="00B55568"/>
    <w:rsid w:val="00B561D2"/>
    <w:rsid w:val="00BA6629"/>
    <w:rsid w:val="00BF2716"/>
    <w:rsid w:val="00C60A4F"/>
    <w:rsid w:val="00C96AEE"/>
    <w:rsid w:val="00CA2A55"/>
    <w:rsid w:val="00CF27B3"/>
    <w:rsid w:val="00D03FB4"/>
    <w:rsid w:val="00D263AA"/>
    <w:rsid w:val="00D76169"/>
    <w:rsid w:val="00E00C41"/>
    <w:rsid w:val="00E87C4D"/>
    <w:rsid w:val="00ED4845"/>
    <w:rsid w:val="00EE1B08"/>
    <w:rsid w:val="00F33D46"/>
    <w:rsid w:val="00F36ADD"/>
    <w:rsid w:val="00F95B80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4BECF"/>
  <w15:docId w15:val="{695BF0D2-D412-41F0-B492-2D946BB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4845"/>
    <w:rPr>
      <w:sz w:val="18"/>
      <w:szCs w:val="18"/>
    </w:rPr>
  </w:style>
  <w:style w:type="paragraph" w:styleId="a5">
    <w:name w:val="footer"/>
    <w:basedOn w:val="a"/>
    <w:link w:val="a6"/>
    <w:uiPriority w:val="99"/>
    <w:rsid w:val="00ED4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845"/>
    <w:rPr>
      <w:sz w:val="18"/>
      <w:szCs w:val="18"/>
    </w:rPr>
  </w:style>
  <w:style w:type="paragraph" w:styleId="a7">
    <w:name w:val="Normal (Web)"/>
    <w:basedOn w:val="a"/>
    <w:uiPriority w:val="99"/>
    <w:unhideWhenUsed/>
    <w:rsid w:val="006A1D5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Balloon Text"/>
    <w:basedOn w:val="a"/>
    <w:link w:val="a9"/>
    <w:rsid w:val="005848D6"/>
    <w:rPr>
      <w:sz w:val="18"/>
      <w:szCs w:val="18"/>
    </w:rPr>
  </w:style>
  <w:style w:type="character" w:customStyle="1" w:styleId="a9">
    <w:name w:val="批注框文本 字符"/>
    <w:basedOn w:val="a0"/>
    <w:link w:val="a8"/>
    <w:rsid w:val="0058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Lal, Amos, M.B.B.S.</dc:creator>
  <cp:lastModifiedBy>jiaping yan</cp:lastModifiedBy>
  <cp:revision>8</cp:revision>
  <dcterms:created xsi:type="dcterms:W3CDTF">2021-06-25T16:27:00Z</dcterms:created>
  <dcterms:modified xsi:type="dcterms:W3CDTF">2021-07-02T11:37:00Z</dcterms:modified>
</cp:coreProperties>
</file>