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pStyle w:val="30"/>
        <w:spacing w:line="360" w:lineRule="auto"/>
        <w:jc w:val="both"/>
        <w:rPr>
          <w:rFonts w:ascii="Book Antiqua" w:hAnsi="Book Antiqua" w:cstheme="minorHAnsi"/>
          <w:sz w:val="24"/>
          <w:szCs w:val="24"/>
        </w:rPr>
      </w:pPr>
      <w:r>
        <w:rPr>
          <w:rFonts w:ascii="Book Antiqua" w:hAnsi="Book Antiqua" w:cstheme="minorHAnsi"/>
          <w:b/>
          <w:bCs/>
          <w:sz w:val="24"/>
          <w:szCs w:val="24"/>
        </w:rPr>
        <w:t xml:space="preserve">Manuscript </w:t>
      </w:r>
      <w:r>
        <w:rPr>
          <w:rFonts w:hint="eastAsia" w:ascii="Book Antiqua" w:hAnsi="Book Antiqua" w:cstheme="minorHAnsi"/>
          <w:b/>
          <w:bCs/>
          <w:sz w:val="24"/>
          <w:szCs w:val="24"/>
          <w:lang w:eastAsia="zh-CN"/>
        </w:rPr>
        <w:t>NO</w:t>
      </w:r>
      <w:r>
        <w:rPr>
          <w:rFonts w:ascii="Book Antiqua" w:hAnsi="Book Antiqua" w:cstheme="minorHAnsi"/>
          <w:b/>
          <w:bCs/>
          <w:sz w:val="24"/>
          <w:szCs w:val="24"/>
        </w:rPr>
        <w:t xml:space="preserve">: </w:t>
      </w:r>
      <w:r>
        <w:rPr>
          <w:rFonts w:ascii="Book Antiqua" w:hAnsi="Book Antiqua" w:cstheme="minorHAnsi"/>
          <w:sz w:val="24"/>
          <w:szCs w:val="24"/>
        </w:rPr>
        <w:t>64778</w:t>
      </w:r>
    </w:p>
    <w:p>
      <w:pPr>
        <w:pStyle w:val="30"/>
        <w:spacing w:line="360" w:lineRule="auto"/>
        <w:jc w:val="both"/>
        <w:rPr>
          <w:rFonts w:ascii="Book Antiqua" w:hAnsi="Book Antiqua" w:cstheme="minorHAnsi"/>
          <w:b/>
          <w:bCs/>
          <w:sz w:val="24"/>
          <w:szCs w:val="24"/>
        </w:rPr>
      </w:pPr>
      <w:r>
        <w:rPr>
          <w:rFonts w:ascii="Book Antiqua" w:hAnsi="Book Antiqua" w:cstheme="minorHAnsi"/>
          <w:b/>
          <w:bCs/>
          <w:sz w:val="24"/>
          <w:szCs w:val="24"/>
        </w:rPr>
        <w:t xml:space="preserve">Manuscript Type: </w:t>
      </w:r>
      <w:r>
        <w:rPr>
          <w:rFonts w:ascii="Book Antiqua" w:hAnsi="Book Antiqua" w:cstheme="minorHAnsi"/>
          <w:sz w:val="24"/>
          <w:szCs w:val="24"/>
        </w:rPr>
        <w:t>MINIREVIEWS</w:t>
      </w:r>
    </w:p>
    <w:p>
      <w:pPr>
        <w:pStyle w:val="30"/>
        <w:spacing w:line="360" w:lineRule="auto"/>
        <w:jc w:val="both"/>
        <w:rPr>
          <w:rFonts w:ascii="Book Antiqua" w:hAnsi="Book Antiqua" w:cstheme="minorHAnsi"/>
          <w:b/>
          <w:bCs/>
          <w:sz w:val="24"/>
          <w:szCs w:val="24"/>
        </w:rPr>
      </w:pPr>
    </w:p>
    <w:p>
      <w:pPr>
        <w:pStyle w:val="30"/>
        <w:spacing w:line="360" w:lineRule="auto"/>
        <w:jc w:val="both"/>
        <w:rPr>
          <w:rFonts w:ascii="Book Antiqua" w:hAnsi="Book Antiqua" w:cstheme="minorHAnsi"/>
          <w:b/>
          <w:bCs/>
          <w:sz w:val="24"/>
          <w:szCs w:val="24"/>
        </w:rPr>
      </w:pPr>
      <w:r>
        <w:rPr>
          <w:rFonts w:ascii="Book Antiqua" w:hAnsi="Book Antiqua" w:cstheme="minorHAnsi"/>
          <w:b/>
          <w:bCs/>
          <w:sz w:val="24"/>
          <w:szCs w:val="24"/>
        </w:rPr>
        <w:t>Connecting brain and body: Transdiagnostic relevance of connective tissue variants to neuropsychiatric symptom expression</w:t>
      </w:r>
    </w:p>
    <w:p>
      <w:pPr>
        <w:spacing w:line="360" w:lineRule="auto"/>
        <w:jc w:val="both"/>
        <w:rPr>
          <w:rFonts w:ascii="Book Antiqua" w:hAnsi="Book Antiqua" w:cstheme="minorHAnsi"/>
          <w:b/>
          <w:bCs/>
        </w:rPr>
      </w:pPr>
    </w:p>
    <w:p>
      <w:pPr>
        <w:spacing w:line="360" w:lineRule="auto"/>
        <w:jc w:val="both"/>
        <w:rPr>
          <w:rFonts w:ascii="Book Antiqua" w:hAnsi="Book Antiqua"/>
        </w:rPr>
      </w:pPr>
      <w:r>
        <w:rPr>
          <w:rFonts w:ascii="Book Antiqua" w:hAnsi="Book Antiqua" w:cstheme="minorHAnsi"/>
        </w:rPr>
        <w:t xml:space="preserve">Sharp HEC </w:t>
      </w:r>
      <w:r>
        <w:rPr>
          <w:rFonts w:ascii="Book Antiqua" w:hAnsi="Book Antiqua" w:cstheme="minorHAnsi"/>
          <w:i/>
          <w:iCs/>
        </w:rPr>
        <w:t>et al</w:t>
      </w:r>
      <w:r>
        <w:rPr>
          <w:rFonts w:ascii="Book Antiqua" w:hAnsi="Book Antiqua" w:cstheme="minorHAnsi"/>
        </w:rPr>
        <w:t xml:space="preserve">. </w:t>
      </w:r>
      <w:r>
        <w:rPr>
          <w:rFonts w:ascii="Book Antiqua" w:hAnsi="Book Antiqua" w:eastAsia="Book Antiqua" w:cs="Book Antiqua"/>
          <w:color w:val="000000"/>
        </w:rPr>
        <w:t>Psychopathology and hypermobility</w:t>
      </w:r>
    </w:p>
    <w:p>
      <w:pPr>
        <w:pStyle w:val="30"/>
        <w:spacing w:line="360" w:lineRule="auto"/>
        <w:jc w:val="both"/>
        <w:rPr>
          <w:rFonts w:ascii="Book Antiqua" w:hAnsi="Book Antiqua" w:cstheme="minorHAnsi"/>
          <w:b/>
          <w:bCs/>
          <w:sz w:val="24"/>
          <w:szCs w:val="24"/>
        </w:rPr>
      </w:pP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Harriet Emma Clare Sharp, Hugo D Critchley, Jessica A Eccles</w:t>
      </w:r>
    </w:p>
    <w:p>
      <w:pPr>
        <w:pStyle w:val="30"/>
        <w:spacing w:line="360" w:lineRule="auto"/>
        <w:jc w:val="both"/>
        <w:rPr>
          <w:rFonts w:ascii="Book Antiqua" w:hAnsi="Book Antiqua" w:cstheme="minorHAnsi"/>
          <w:sz w:val="24"/>
          <w:szCs w:val="24"/>
        </w:rPr>
      </w:pPr>
    </w:p>
    <w:p>
      <w:pPr>
        <w:spacing w:line="360" w:lineRule="auto"/>
        <w:jc w:val="both"/>
        <w:rPr>
          <w:rFonts w:ascii="Book Antiqua" w:hAnsi="Book Antiqua"/>
        </w:rPr>
      </w:pPr>
      <w:r>
        <w:rPr>
          <w:rFonts w:ascii="Book Antiqua" w:hAnsi="Book Antiqua" w:eastAsia="Book Antiqua" w:cs="Book Antiqua"/>
          <w:b/>
          <w:bCs/>
          <w:color w:val="000000"/>
        </w:rPr>
        <w:t xml:space="preserve">Harriet Emma Clare Sharp, Hugo D Critchley, Jessica A Eccles, </w:t>
      </w:r>
      <w:r>
        <w:rPr>
          <w:rFonts w:ascii="Book Antiqua" w:hAnsi="Book Antiqua" w:eastAsia="Book Antiqua" w:cs="Book Antiqua"/>
          <w:color w:val="000000"/>
        </w:rPr>
        <w:t>Department of Medical Neuroscience, Brighton and Sussex Medical School, University of Sussex, Brighton BN1 9PX, East Sussex,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Harriet Emma Clare Sharp, Hugo D Critchley, Jessica A Eccles, </w:t>
      </w:r>
      <w:r>
        <w:rPr>
          <w:rFonts w:ascii="Book Antiqua" w:hAnsi="Book Antiqua" w:eastAsia="Book Antiqua" w:cs="Book Antiqua"/>
          <w:color w:val="000000"/>
        </w:rPr>
        <w:t>Department of Psychiatry, Sussex Partnership NHS Foundation Trust, Worthing, BN13 3EP, West Sussex, United Kingdom</w:t>
      </w:r>
    </w:p>
    <w:p>
      <w:pPr>
        <w:pStyle w:val="30"/>
        <w:spacing w:line="360" w:lineRule="auto"/>
        <w:jc w:val="both"/>
        <w:rPr>
          <w:rFonts w:ascii="Book Antiqua" w:hAnsi="Book Antiqua" w:cstheme="minorHAnsi"/>
          <w:b/>
          <w:bCs/>
          <w:sz w:val="24"/>
          <w:szCs w:val="24"/>
        </w:rPr>
      </w:pPr>
    </w:p>
    <w:p>
      <w:pPr>
        <w:pStyle w:val="30"/>
        <w:spacing w:line="360" w:lineRule="auto"/>
        <w:jc w:val="both"/>
        <w:rPr>
          <w:rFonts w:ascii="Book Antiqua" w:hAnsi="Book Antiqua"/>
          <w:sz w:val="24"/>
          <w:szCs w:val="24"/>
        </w:rPr>
      </w:pPr>
      <w:r>
        <w:rPr>
          <w:rFonts w:ascii="Book Antiqua" w:hAnsi="Book Antiqua" w:cs="Calibri"/>
          <w:b/>
          <w:bCs/>
          <w:color w:val="000000"/>
          <w:sz w:val="24"/>
          <w:szCs w:val="24"/>
        </w:rPr>
        <w:t>Author contributions</w:t>
      </w:r>
      <w:r>
        <w:rPr>
          <w:rFonts w:ascii="Book Antiqua" w:hAnsi="Book Antiqua" w:cs="Calibri"/>
          <w:color w:val="000000"/>
          <w:sz w:val="24"/>
          <w:szCs w:val="24"/>
        </w:rPr>
        <w:t>:</w:t>
      </w:r>
      <w:r>
        <w:rPr>
          <w:rFonts w:ascii="Book Antiqua" w:hAnsi="Book Antiqua" w:cs="Calibri"/>
          <w:color w:val="000000"/>
          <w:sz w:val="24"/>
          <w:szCs w:val="24"/>
          <w:lang w:val="en-US" w:eastAsia="zh-CN"/>
        </w:rPr>
        <w:t xml:space="preserve"> </w:t>
      </w:r>
      <w:r>
        <w:rPr>
          <w:rFonts w:ascii="Book Antiqua" w:hAnsi="Book Antiqua" w:eastAsia="Book Antiqua" w:cs="Book Antiqua"/>
          <w:color w:val="000000"/>
          <w:sz w:val="24"/>
          <w:szCs w:val="24"/>
        </w:rPr>
        <w:t>Sharp HEC, Critchley HD and Eccles JA equally shaped the ideas and structure of this review</w:t>
      </w:r>
      <w:r>
        <w:rPr>
          <w:rFonts w:ascii="Book Antiqua" w:hAnsi="Book Antiqua" w:eastAsia="宋体" w:cs="Book Antiqua"/>
          <w:color w:val="000000"/>
          <w:sz w:val="24"/>
          <w:szCs w:val="24"/>
          <w:lang w:val="en-US" w:eastAsia="zh-CN"/>
        </w:rPr>
        <w:t>;</w:t>
      </w:r>
      <w:r>
        <w:rPr>
          <w:rFonts w:ascii="Book Antiqua" w:hAnsi="Book Antiqua" w:eastAsia="Book Antiqua" w:cs="Book Antiqua"/>
          <w:color w:val="000000"/>
          <w:sz w:val="24"/>
          <w:szCs w:val="24"/>
        </w:rPr>
        <w:t xml:space="preserve"> Sharp HEC searched the relevant literature and took the lead in writing the manuscript</w:t>
      </w:r>
      <w:r>
        <w:rPr>
          <w:rFonts w:ascii="Book Antiqua" w:hAnsi="Book Antiqua" w:eastAsia="宋体" w:cs="Book Antiqua"/>
          <w:color w:val="000000"/>
          <w:sz w:val="24"/>
          <w:szCs w:val="24"/>
          <w:lang w:val="en-US" w:eastAsia="zh-CN"/>
        </w:rPr>
        <w:t>;</w:t>
      </w:r>
      <w:r>
        <w:rPr>
          <w:rFonts w:ascii="Book Antiqua" w:hAnsi="Book Antiqua" w:eastAsia="Book Antiqua" w:cs="Book Antiqua"/>
          <w:color w:val="000000"/>
          <w:sz w:val="24"/>
          <w:szCs w:val="24"/>
        </w:rPr>
        <w:t xml:space="preserve"> Sharp HEC, Critchley HD and Eccles JA provided full input to and critical feedback of the final manuscript</w:t>
      </w:r>
      <w:r>
        <w:rPr>
          <w:rFonts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sz w:val="24"/>
          <w:szCs w:val="24"/>
        </w:rPr>
        <w:t>all authors have read and approved the final manuscript.</w:t>
      </w:r>
    </w:p>
    <w:p>
      <w:pPr>
        <w:pStyle w:val="30"/>
        <w:spacing w:line="360" w:lineRule="auto"/>
        <w:jc w:val="both"/>
        <w:rPr>
          <w:rFonts w:ascii="Book Antiqua" w:hAnsi="Book Antiqua" w:cstheme="minorHAnsi"/>
          <w:sz w:val="24"/>
          <w:szCs w:val="24"/>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Corresponding author: Hugo D Critchley, DPhil, MBChB, Professor, </w:t>
      </w:r>
      <w:r>
        <w:rPr>
          <w:rFonts w:ascii="Book Antiqua" w:hAnsi="Book Antiqua" w:eastAsia="Book Antiqua" w:cs="Book Antiqua"/>
          <w:color w:val="000000"/>
        </w:rPr>
        <w:t xml:space="preserve">Department of Medical Neuroscience, Brighton and Sussex Medical School, University of Sussex, Brighton BN1 9PX, East Sussex, United Kingdom. </w:t>
      </w:r>
      <w:r>
        <w:fldChar w:fldCharType="begin"/>
      </w:r>
      <w:r>
        <w:instrText xml:space="preserve"> HYPERLINK "mailto:h.critchley@bsms.ac.uk" </w:instrText>
      </w:r>
      <w:r>
        <w:fldChar w:fldCharType="separate"/>
      </w:r>
      <w:r>
        <w:rPr>
          <w:rStyle w:val="23"/>
          <w:rFonts w:ascii="Book Antiqua" w:hAnsi="Book Antiqua" w:eastAsia="Book Antiqua" w:cs="Book Antiqua"/>
          <w:color w:val="auto"/>
          <w:u w:val="none"/>
        </w:rPr>
        <w:t>h.critchley@bsms.ac.uk</w:t>
      </w:r>
      <w:r>
        <w:rPr>
          <w:rStyle w:val="23"/>
          <w:rFonts w:ascii="Book Antiqua" w:hAnsi="Book Antiqua" w:eastAsia="Book Antiqua" w:cs="Book Antiqua"/>
          <w:color w:val="auto"/>
          <w:u w:val="none"/>
        </w:rPr>
        <w:fldChar w:fldCharType="end"/>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26,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12,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w:t>
      </w:r>
      <w:r>
        <w:rPr>
          <w:rFonts w:ascii="Book Antiqua" w:hAnsi="Book Antiqua" w:cs="Book Antiqua" w:eastAsiaTheme="minorEastAsia"/>
          <w:color w:val="000000"/>
          <w:lang w:eastAsia="zh-CN"/>
        </w:rPr>
        <w:t>gust 18, 2021</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lang w:val="en-US" w:eastAsia="zh-CN"/>
        </w:rPr>
        <w:t>October 19, 2021</w:t>
      </w:r>
    </w:p>
    <w:p>
      <w:pPr>
        <w:spacing w:line="360" w:lineRule="auto"/>
        <w:jc w:val="both"/>
        <w:rPr>
          <w:rFonts w:ascii="Book Antiqua" w:hAnsi="Book Antiqua" w:eastAsiaTheme="minorHAnsi" w:cstheme="minorHAnsi"/>
          <w:b/>
          <w:bCs/>
          <w:lang w:eastAsia="en-US"/>
        </w:rPr>
      </w:pPr>
      <w:r>
        <w:rPr>
          <w:rFonts w:ascii="Book Antiqua" w:hAnsi="Book Antiqua" w:cstheme="minorHAnsi"/>
          <w:b/>
          <w:bCs/>
        </w:rPr>
        <w:br w:type="page"/>
      </w:r>
    </w:p>
    <w:p>
      <w:pPr>
        <w:pStyle w:val="30"/>
        <w:spacing w:line="360" w:lineRule="auto"/>
        <w:jc w:val="both"/>
        <w:rPr>
          <w:rFonts w:ascii="Book Antiqua" w:hAnsi="Book Antiqua" w:cstheme="minorHAnsi"/>
          <w:b/>
          <w:bCs/>
          <w:sz w:val="24"/>
          <w:szCs w:val="24"/>
        </w:rPr>
      </w:pPr>
      <w:r>
        <w:rPr>
          <w:rFonts w:ascii="Book Antiqua" w:hAnsi="Book Antiqua" w:cstheme="minorHAnsi"/>
          <w:b/>
          <w:bCs/>
          <w:sz w:val="24"/>
          <w:szCs w:val="24"/>
        </w:rPr>
        <w:t>Abstract</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The mind is embodied; thoughts and feelings interact with states of physiological arousal and physical integrity of the body.</w:t>
      </w:r>
      <w:r>
        <w:rPr>
          <w:rFonts w:ascii="Book Antiqua" w:hAnsi="Book Antiqua" w:cstheme="minorHAnsi"/>
          <w:sz w:val="24"/>
          <w:szCs w:val="24"/>
          <w:lang w:eastAsia="zh-CN"/>
        </w:rPr>
        <w:t xml:space="preserve"> </w:t>
      </w:r>
      <w:r>
        <w:rPr>
          <w:rFonts w:ascii="Book Antiqua" w:hAnsi="Book Antiqua" w:cstheme="minorHAnsi"/>
          <w:sz w:val="24"/>
          <w:szCs w:val="24"/>
        </w:rPr>
        <w:t xml:space="preserve">In this context, there is mounting evidence for an association between psychiatric presentations and the expression variant connective tissue, commonly recognised as joint </w:t>
      </w:r>
      <w:r>
        <w:rPr>
          <w:rFonts w:ascii="Book Antiqua" w:hAnsi="Book Antiqua" w:cstheme="minorHAnsi"/>
          <w:color w:val="000000" w:themeColor="text1"/>
          <w:sz w:val="24"/>
          <w:szCs w:val="24"/>
          <w14:textFill>
            <w14:solidFill>
              <w14:schemeClr w14:val="tx1"/>
            </w14:solidFill>
          </w14:textFill>
        </w:rPr>
        <w:t xml:space="preserve">hypermobility. Joint hypermobility is common, frequently under-recognised, significantly impacts quality of life, and can exist in isolation or as the hallmark of hypermobility spectrum disorders (encompassing joint hypermobility syndrome and hypermobile Ehlers-Danlos syndrome). In </w:t>
      </w:r>
      <w:r>
        <w:rPr>
          <w:rFonts w:ascii="Book Antiqua" w:hAnsi="Book Antiqua" w:cstheme="minorHAnsi"/>
          <w:sz w:val="24"/>
          <w:szCs w:val="24"/>
        </w:rPr>
        <w:t>this narrative review, we appraise the current evidence linking psychiatric disorders across the lifespan, beginning with the relatively well-established connection with anxiety, to hypermobility.</w:t>
      </w:r>
      <w:r>
        <w:rPr>
          <w:rFonts w:ascii="Book Antiqua" w:hAnsi="Book Antiqua" w:cstheme="minorHAnsi"/>
          <w:sz w:val="24"/>
          <w:szCs w:val="24"/>
          <w:lang w:eastAsia="zh-CN"/>
        </w:rPr>
        <w:t xml:space="preserve"> </w:t>
      </w:r>
      <w:r>
        <w:rPr>
          <w:rFonts w:ascii="Book Antiqua" w:hAnsi="Book Antiqua" w:cstheme="minorHAnsi"/>
          <w:sz w:val="24"/>
          <w:szCs w:val="24"/>
        </w:rPr>
        <w:t>We next consider emerging associations with affective illnesses, eating disorders, alongside less well researched links with personality disorders, substance misuse and psychosis. We then review related findings relevant to neurodevelopmental disorders and stress-sensitive medical conditions. With growing understanding of mind-body interactions, we discuss potential aetiopathogenetic contributions of dysautonomia, aberrant interoceptive processing, immune dysregulation and proprioceptive impairments in the context of psychosocial stressors and genetic predisposition. We examine clinical implications of these evolving findings, calling for increased awareness amongst healthcare professionals of the transdiagnostic nature of hypermobility and related disorders. A role for early screening and detection of hypermobility in those presenting with mental health and somatic symptoms is further highlighted, with a view to facilitate preventative approaches alongside longer-term holistic management strategies. Finally, suggestions are offered for directions of future scientific exploration which may be key to further delineating fundamental mind-body-brain interactions.</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sz w:val="24"/>
          <w:szCs w:val="24"/>
        </w:rPr>
      </w:pPr>
      <w:r>
        <w:rPr>
          <w:rFonts w:ascii="Book Antiqua" w:hAnsi="Book Antiqua" w:cstheme="minorHAnsi"/>
          <w:b/>
          <w:bCs/>
          <w:sz w:val="24"/>
          <w:szCs w:val="24"/>
        </w:rPr>
        <w:t>Key Words</w:t>
      </w:r>
      <w:r>
        <w:rPr>
          <w:rFonts w:ascii="Book Antiqua" w:hAnsi="Book Antiqua" w:cstheme="minorHAnsi"/>
          <w:sz w:val="24"/>
          <w:szCs w:val="24"/>
        </w:rPr>
        <w:t>: Joint hypermobility; Hypermobile Ehlers-Danlos syndrome; Psychopathology; Psychiatric disorders; Neurodevelopmental disorders; Mind-body relations</w:t>
      </w:r>
    </w:p>
    <w:p>
      <w:pPr>
        <w:pStyle w:val="30"/>
        <w:spacing w:line="360" w:lineRule="auto"/>
        <w:jc w:val="both"/>
        <w:rPr>
          <w:rFonts w:ascii="Book Antiqua" w:hAnsi="Book Antiqua" w:cstheme="minorHAnsi"/>
          <w:sz w:val="24"/>
          <w:szCs w:val="24"/>
        </w:rPr>
      </w:pPr>
    </w:p>
    <w:p>
      <w:pPr>
        <w:spacing w:line="360" w:lineRule="auto"/>
        <w:jc w:val="both"/>
        <w:rPr>
          <w:rFonts w:ascii="Book Antiqua" w:hAnsi="Book Antiqua" w:cstheme="minorHAnsi"/>
          <w:sz w:val="24"/>
          <w:szCs w:val="24"/>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cs="Arial"/>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Sharp HE</w:t>
      </w:r>
      <w:r>
        <w:rPr>
          <w:rFonts w:ascii="Book Antiqua" w:hAnsi="Book Antiqua" w:eastAsia="宋体" w:cs="Book Antiqua"/>
          <w:color w:val="000000"/>
          <w:highlight w:val="none"/>
          <w:lang w:val="en-US" w:eastAsia="zh-CN"/>
        </w:rPr>
        <w:t>C</w:t>
      </w:r>
      <w:r>
        <w:rPr>
          <w:rFonts w:ascii="Book Antiqua" w:hAnsi="Book Antiqua" w:eastAsia="Book Antiqua" w:cs="Book Antiqua"/>
          <w:color w:val="000000"/>
          <w:highlight w:val="none"/>
        </w:rPr>
        <w:t xml:space="preserve">, Critchley HD, Eccles JA. Connecting brain and body: Transdiagnostic relevance of connective tissue variants to neuropsychiatric symptom expression.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 xml:space="preserve">11(10): </w:t>
      </w:r>
      <w:r>
        <w:rPr>
          <w:rFonts w:hint="default" w:ascii="Book Antiqua" w:hAnsi="Book Antiqua" w:eastAsia="Book Antiqua" w:cs="Book Antiqua"/>
          <w:i w:val="0"/>
          <w:iCs w:val="0"/>
          <w:color w:val="000000"/>
          <w:kern w:val="0"/>
          <w:sz w:val="24"/>
          <w:szCs w:val="24"/>
          <w:highlight w:val="none"/>
          <w:u w:val="none"/>
          <w:lang w:val="en-US" w:eastAsia="zh-CN" w:bidi="ar"/>
        </w:rPr>
        <w:t>805-820</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https://www.wjgnet.com/2220-3206/full/v11/i10/</w:t>
      </w:r>
      <w:r>
        <w:rPr>
          <w:rFonts w:hint="eastAsia" w:ascii="Book Antiqua" w:hAnsi="Book Antiqua" w:eastAsia="宋体" w:cs="Book Antiqua"/>
          <w:color w:val="000000"/>
          <w:highlight w:val="none"/>
          <w:lang w:val="en-US" w:eastAsia="zh-CN"/>
        </w:rPr>
        <w:t>805</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https://dx.doi.org/10.5498/wjp.v11.i10.</w:t>
      </w:r>
      <w:r>
        <w:rPr>
          <w:rFonts w:hint="eastAsia" w:ascii="Book Antiqua" w:hAnsi="Book Antiqua" w:eastAsia="宋体" w:cs="Book Antiqua"/>
          <w:color w:val="000000"/>
          <w:highlight w:val="none"/>
          <w:lang w:val="en-US" w:eastAsia="zh-CN"/>
        </w:rPr>
        <w:t>805</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sz w:val="24"/>
          <w:szCs w:val="24"/>
        </w:rPr>
      </w:pPr>
      <w:r>
        <w:rPr>
          <w:rFonts w:ascii="Book Antiqua" w:hAnsi="Book Antiqua" w:cstheme="minorHAnsi"/>
          <w:b/>
          <w:bCs/>
          <w:sz w:val="24"/>
          <w:szCs w:val="24"/>
        </w:rPr>
        <w:t xml:space="preserve">Core tip: </w:t>
      </w:r>
      <w:r>
        <w:rPr>
          <w:rFonts w:ascii="Book Antiqua" w:hAnsi="Book Antiqua"/>
          <w:sz w:val="24"/>
          <w:szCs w:val="24"/>
        </w:rPr>
        <w:t>The association between vulnerability to psychological or psychiatric symptoms and hypermobile joints may initially appear counterintuitive to many clinicians. However, a relationship with anxiety is consistently confirmed across multiple studies worldwide. In this narrative review, we appraise increasing evidence linking neuropsychiatric presentations to hypermobility across the lifespan, including emerging links to neurodevelopmental disorders and stress-sensitive medical conditions. We discuss pertinent mechanistic insights in the context of growing understanding of mind-body interactions.</w:t>
      </w:r>
      <w:r>
        <w:rPr>
          <w:rFonts w:ascii="Book Antiqua" w:hAnsi="Book Antiqua"/>
          <w:sz w:val="24"/>
          <w:szCs w:val="24"/>
          <w:lang w:eastAsia="zh-CN"/>
        </w:rPr>
        <w:t xml:space="preserve"> </w:t>
      </w:r>
      <w:r>
        <w:rPr>
          <w:rFonts w:ascii="Book Antiqua" w:hAnsi="Book Antiqua"/>
          <w:sz w:val="24"/>
          <w:szCs w:val="24"/>
        </w:rPr>
        <w:t>We offer direction for future research and highlight implications for clinical practice, notably roles of timely screening and detection alongside longer-term holistic management strategies.</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sz w:val="24"/>
          <w:szCs w:val="24"/>
        </w:rPr>
      </w:pPr>
      <w:r>
        <w:rPr>
          <w:rFonts w:ascii="Book Antiqua" w:hAnsi="Book Antiqua" w:cstheme="minorHAnsi"/>
          <w:b/>
          <w:bCs/>
          <w:sz w:val="24"/>
          <w:szCs w:val="24"/>
          <w:u w:val="single"/>
        </w:rPr>
        <w:t>INTRODUCTION</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There is a rapidly growing body of evidence showing a curious excess of psychiatric burden among individuals with joint hypermobility. Common constitutional variants of connective tissue often present as joint hypermobility, reflecting increased laxity of ligaments and extended movement of joints beyond typically ‘normal’ limits (otherwise described as joint hyperlaxity, being double-jointed)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w:t>
      </w:r>
      <w:r>
        <w:rPr>
          <w:rFonts w:ascii="Book Antiqua" w:hAnsi="Book Antiqua" w:cstheme="minorHAnsi"/>
          <w:sz w:val="24"/>
          <w:szCs w:val="24"/>
        </w:rPr>
        <w:t>. Internationally, joint hypermobility is found in up to 20% of the general population, and is influenced by age, sex and ethnicity; hypermobility is more frequent in children, with higher prevalence in women, and Asian and African populations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w:t>
      </w:r>
      <w:r>
        <w:rPr>
          <w:rFonts w:ascii="Book Antiqua" w:hAnsi="Book Antiqua" w:cstheme="minorHAnsi"/>
          <w:sz w:val="24"/>
          <w:szCs w:val="24"/>
        </w:rPr>
        <w:t>. Hypermobility is also highly heritable, and has been proposed to be an autosomal dominant trait with incomplete penetrance, variable expressivity and influenced by sex</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w:t>
      </w:r>
      <w:r>
        <w:rPr>
          <w:rFonts w:ascii="Book Antiqua" w:hAnsi="Book Antiqua" w:cstheme="minorHAnsi"/>
          <w:sz w:val="24"/>
          <w:szCs w:val="24"/>
        </w:rPr>
        <w:t>. The epidemiological characterisation is influenced by clinical definitions and assessment tools; the 9-point Beighton score is used most frequently to assess hypermobility in both clinical and research settings, although other methods include the Hospital del Mar criteria</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4]</w:t>
      </w:r>
      <w:r>
        <w:rPr>
          <w:rFonts w:ascii="Book Antiqua" w:hAnsi="Book Antiqua" w:cstheme="minorHAnsi"/>
          <w:sz w:val="24"/>
          <w:szCs w:val="24"/>
        </w:rPr>
        <w:t xml:space="preserve">, and self-administered hypermobility questionnaires.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Hypermobility is a descriptive term and might exist as an asymptomatic and isolated feature. However, neuropsychiatric symptoms are among extra-articular manifestations that frequently accompany more widespread musculoskeletal symptoms that typically co-occur with hypermobility.</w:t>
      </w:r>
      <w:r>
        <w:rPr>
          <w:rFonts w:ascii="Book Antiqua" w:hAnsi="Book Antiqua" w:cstheme="minorHAnsi"/>
          <w:sz w:val="24"/>
          <w:szCs w:val="24"/>
          <w:lang w:eastAsia="zh-CN"/>
        </w:rPr>
        <w:t xml:space="preserve"> </w:t>
      </w:r>
      <w:r>
        <w:rPr>
          <w:rFonts w:ascii="Book Antiqua" w:hAnsi="Book Antiqua" w:cstheme="minorHAnsi"/>
          <w:sz w:val="24"/>
          <w:szCs w:val="24"/>
        </w:rPr>
        <w:t>In these cases, hypermobility appears as one feature of a multisystemic disorder</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w:t>
      </w:r>
      <w:r>
        <w:rPr>
          <w:rFonts w:ascii="Book Antiqua" w:hAnsi="Book Antiqua" w:cstheme="minorHAnsi"/>
          <w:sz w:val="24"/>
          <w:szCs w:val="24"/>
        </w:rPr>
        <w:t>. This complexity is reflected in the current debate concerning terminology and classification: A consensus group in 2017 introduced the concept of hypermobility spectrum disorders (HSD</w:t>
      </w:r>
      <w:r>
        <w:rPr>
          <w:rFonts w:ascii="Book Antiqua" w:hAnsi="Book Antiqua" w:cstheme="minorHAnsi"/>
          <w:sz w:val="24"/>
          <w:szCs w:val="24"/>
          <w:lang w:eastAsia="zh-CN"/>
        </w:rPr>
        <w:t>)</w:t>
      </w:r>
      <w:r>
        <w:rPr>
          <w:rFonts w:ascii="Book Antiqua" w:hAnsi="Book Antiqua" w:cstheme="minorHAnsi"/>
          <w:sz w:val="24"/>
          <w:szCs w:val="24"/>
        </w:rPr>
        <w:t>; encompassing a continuum including hypermobile Ehlers-Danlos syndrome’ (hEDS, previously EDS-HT), joint hypermobility syndrome [JHS, previously diagnosed according to the Brighton Criteria – Revised (1998)]</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5]</w:t>
      </w:r>
      <w:r>
        <w:rPr>
          <w:rFonts w:ascii="Book Antiqua" w:hAnsi="Book Antiqua" w:cstheme="minorHAnsi"/>
          <w:sz w:val="24"/>
          <w:szCs w:val="24"/>
        </w:rPr>
        <w:t xml:space="preserve"> and symptomatic hypermobility not fulfilling stricter criteria for other associated syndromes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6]</w:t>
      </w:r>
      <w:r>
        <w:rPr>
          <w:rFonts w:ascii="Book Antiqua" w:hAnsi="Book Antiqua" w:cstheme="minorHAnsi"/>
          <w:sz w:val="24"/>
          <w:szCs w:val="24"/>
        </w:rPr>
        <w:t>. Diagnostic classification remains a contentious area, particularly since reliable genetic tests or physiological markers for HSD are presently lacking, so diagnosis relies solely on clinical criteria</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6]</w:t>
      </w:r>
      <w:r>
        <w:rPr>
          <w:rFonts w:ascii="Book Antiqua" w:hAnsi="Book Antiqua" w:cstheme="minorHAnsi"/>
          <w:sz w:val="24"/>
          <w:szCs w:val="24"/>
        </w:rPr>
        <w:t>. Hypermobility may also signal the presence of other heritable disorders of connective tissue including Marfan syndrome, osteogenesis imperfecta and Ehlers-Danlos syndromes which have a more clearly defined genetic basis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7]</w:t>
      </w:r>
      <w:r>
        <w:rPr>
          <w:rFonts w:ascii="Book Antiqua" w:hAnsi="Book Antiqua" w:cstheme="minorHAnsi"/>
          <w:i/>
          <w:iCs/>
          <w:sz w:val="24"/>
          <w:szCs w:val="24"/>
        </w:rPr>
        <w:t xml:space="preserve">. </w:t>
      </w:r>
      <w:r>
        <w:rPr>
          <w:rFonts w:ascii="Book Antiqua" w:hAnsi="Book Antiqua" w:cstheme="minorHAnsi"/>
          <w:sz w:val="24"/>
          <w:szCs w:val="24"/>
        </w:rPr>
        <w:t>Here, we review literature across a broad terminology referring to joint hypermobility and related syndromes.</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Joint hypermobility is frequently under-recognised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w:t>
      </w:r>
      <w:r>
        <w:rPr>
          <w:rFonts w:ascii="Book Antiqua" w:hAnsi="Book Antiqua" w:cstheme="minorHAnsi"/>
          <w:sz w:val="24"/>
          <w:szCs w:val="24"/>
        </w:rPr>
        <w:t xml:space="preserve"> and has a significant impact on quality of life across all age-groups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8,9]</w:t>
      </w:r>
      <w:r>
        <w:rPr>
          <w:rFonts w:ascii="Book Antiqua" w:hAnsi="Book Antiqua" w:cstheme="minorHAnsi"/>
          <w:sz w:val="24"/>
          <w:szCs w:val="24"/>
        </w:rPr>
        <w:t>. Anxiety symptoms and disorders have a well-established link with hypermobility, yet growing evidence also now points towards associations across psychiatric diagnoses, notably with affective illnesses, increasingly with neurodevelopmental disorders and with stress-sensitive medical conditions, including fibromyalgia, myelo-encephalomyelitis/chronic fatigue syndrome (ME/CFS) and irritable bowel syndrome (IBS). Awareness of these relationships are important to enhance understanding of early risk factors to allow screening and timely intervention for vulnerable individuals. The value of such a strategy is illustrated by a recent longitudinal study, which demonstrated that hypermobile children at age 14 years were more likely to suffer from anxiety and depression by age 18 years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w:t>
      </w:r>
      <w:r>
        <w:rPr>
          <w:rFonts w:ascii="Book Antiqua" w:hAnsi="Book Antiqua" w:cstheme="minorHAnsi"/>
          <w:sz w:val="24"/>
          <w:szCs w:val="24"/>
        </w:rPr>
        <w:t xml:space="preserve">. Increasing clinicians’ awareness of the multisystemic features associated with hypermobility, especially psychiatric morbidity, will enable appropriate detection, diagnosis, and preventative intervention and can shape the implementation of effective longer-term holistic management strategies.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This paper presents a comprehensive narrative review of existent clinical knowledge and empirical evidence regarding the association of hypermobility with psychopathology. We also present a broad perspective on this expression of body-brain-mind interactions, including current mechanistic understanding, and we highlight implications for clinical practice and directions of future research.</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b/>
          <w:bCs/>
          <w:caps/>
          <w:sz w:val="24"/>
          <w:szCs w:val="24"/>
          <w:u w:val="single"/>
        </w:rPr>
      </w:pPr>
      <w:r>
        <w:rPr>
          <w:rFonts w:ascii="Book Antiqua" w:hAnsi="Book Antiqua" w:cstheme="minorHAnsi"/>
          <w:b/>
          <w:bCs/>
          <w:caps/>
          <w:sz w:val="24"/>
          <w:szCs w:val="24"/>
          <w:u w:val="single"/>
        </w:rPr>
        <w:t>Literature search</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 xml:space="preserve">This is a narrative review based on a comprehensive search of online databases (including </w:t>
      </w:r>
      <w:r>
        <w:rPr>
          <w:rFonts w:ascii="Book Antiqua" w:hAnsi="Book Antiqua" w:cstheme="minorHAnsi"/>
          <w:caps/>
          <w:sz w:val="24"/>
          <w:szCs w:val="24"/>
        </w:rPr>
        <w:t>Medline</w:t>
      </w:r>
      <w:r>
        <w:rPr>
          <w:rFonts w:ascii="Book Antiqua" w:hAnsi="Book Antiqua" w:cstheme="minorHAnsi"/>
          <w:sz w:val="24"/>
          <w:szCs w:val="24"/>
        </w:rPr>
        <w:t>, Embase and PsychInfo). Search terms included were ‘hypermobility’ and ‘joint laxity’ combined with each diagnostic category. This search comprised studies published from 1980 to 2021. Reference lists of identified papers were further scrutinised for additional relevant articles.</w:t>
      </w:r>
    </w:p>
    <w:p>
      <w:pPr>
        <w:pStyle w:val="30"/>
        <w:spacing w:line="360" w:lineRule="auto"/>
        <w:jc w:val="both"/>
        <w:rPr>
          <w:rFonts w:ascii="Book Antiqua" w:hAnsi="Book Antiqua" w:cstheme="minorHAnsi"/>
          <w:b/>
          <w:bCs/>
          <w:sz w:val="24"/>
          <w:szCs w:val="24"/>
          <w:u w:val="single"/>
        </w:rPr>
      </w:pPr>
    </w:p>
    <w:p>
      <w:pPr>
        <w:pStyle w:val="30"/>
        <w:spacing w:line="360" w:lineRule="auto"/>
        <w:jc w:val="both"/>
        <w:rPr>
          <w:rFonts w:ascii="Book Antiqua" w:hAnsi="Book Antiqua" w:cstheme="minorHAnsi"/>
          <w:sz w:val="24"/>
          <w:szCs w:val="24"/>
        </w:rPr>
      </w:pPr>
      <w:r>
        <w:rPr>
          <w:rFonts w:ascii="Book Antiqua" w:hAnsi="Book Antiqua" w:cstheme="minorHAnsi"/>
          <w:b/>
          <w:bCs/>
          <w:sz w:val="24"/>
          <w:szCs w:val="24"/>
          <w:u w:val="single"/>
        </w:rPr>
        <w:t>RESULTS</w:t>
      </w:r>
      <w:r>
        <w:rPr>
          <w:rFonts w:ascii="Book Antiqua" w:hAnsi="Book Antiqua" w:cstheme="minorHAnsi"/>
          <w:b/>
          <w:bCs/>
          <w:sz w:val="24"/>
          <w:szCs w:val="24"/>
        </w:rPr>
        <w:t xml:space="preserve"> </w:t>
      </w:r>
    </w:p>
    <w:p>
      <w:pPr>
        <w:pStyle w:val="30"/>
        <w:spacing w:line="360" w:lineRule="auto"/>
        <w:jc w:val="both"/>
        <w:rPr>
          <w:rFonts w:ascii="Book Antiqua" w:hAnsi="Book Antiqua" w:cstheme="minorHAnsi"/>
          <w:b/>
          <w:i/>
          <w:iCs/>
          <w:sz w:val="24"/>
          <w:szCs w:val="24"/>
        </w:rPr>
      </w:pPr>
      <w:r>
        <w:rPr>
          <w:rFonts w:ascii="Book Antiqua" w:hAnsi="Book Antiqua" w:cstheme="minorHAnsi"/>
          <w:b/>
          <w:i/>
          <w:iCs/>
          <w:sz w:val="24"/>
          <w:szCs w:val="24"/>
        </w:rPr>
        <w:t>Anxiety</w:t>
      </w:r>
    </w:p>
    <w:p>
      <w:pPr>
        <w:pStyle w:val="30"/>
        <w:spacing w:line="360" w:lineRule="auto"/>
        <w:jc w:val="both"/>
        <w:rPr>
          <w:rFonts w:ascii="Book Antiqua" w:hAnsi="Book Antiqua" w:eastAsia="Times New Roman" w:cstheme="minorHAnsi"/>
          <w:bCs/>
          <w:color w:val="FF0000"/>
          <w:sz w:val="24"/>
          <w:szCs w:val="24"/>
          <w:lang w:eastAsia="en-GB"/>
        </w:rPr>
      </w:pPr>
      <w:r>
        <w:rPr>
          <w:rFonts w:ascii="Book Antiqua" w:hAnsi="Book Antiqua" w:cstheme="minorHAnsi"/>
          <w:bCs/>
          <w:sz w:val="24"/>
          <w:szCs w:val="24"/>
        </w:rPr>
        <w:t>The expression of anxiety in the context of joint hypermobility was first recognised in the late 1980s. Subsequent research has repeatedly demonstrated this association, which has been the subject of several substantive reviews (for example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11]</w:t>
      </w:r>
      <w:r>
        <w:rPr>
          <w:rFonts w:ascii="Book Antiqua" w:hAnsi="Book Antiqua" w:cstheme="minorHAnsi"/>
          <w:bCs/>
          <w:sz w:val="24"/>
          <w:szCs w:val="24"/>
        </w:rPr>
        <w:t>). Anxiety disorders are the most prevalent set of psychiatric illnesses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 xml:space="preserve">12], </w:t>
      </w:r>
      <w:r>
        <w:rPr>
          <w:rFonts w:ascii="Book Antiqua" w:hAnsi="Book Antiqua" w:cstheme="minorHAnsi"/>
          <w:bCs/>
          <w:sz w:val="24"/>
          <w:szCs w:val="24"/>
        </w:rPr>
        <w:t>and hypermobility is most strongly linked to the expression of panic disorder and agoraphobia</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13]</w:t>
      </w:r>
      <w:r>
        <w:rPr>
          <w:rFonts w:ascii="Book Antiqua" w:hAnsi="Book Antiqua" w:cstheme="minorHAnsi"/>
          <w:bCs/>
          <w:sz w:val="24"/>
          <w:szCs w:val="24"/>
        </w:rPr>
        <w:t>.</w:t>
      </w:r>
      <w:r>
        <w:rPr>
          <w:rFonts w:ascii="Book Antiqua" w:hAnsi="Book Antiqua" w:cstheme="minorHAnsi"/>
          <w:bCs/>
          <w:sz w:val="24"/>
          <w:szCs w:val="24"/>
          <w:lang w:eastAsia="zh-CN"/>
        </w:rPr>
        <w:t xml:space="preserve"> </w:t>
      </w:r>
      <w:r>
        <w:rPr>
          <w:rFonts w:ascii="Book Antiqua" w:hAnsi="Book Antiqua" w:cstheme="minorHAnsi"/>
          <w:bCs/>
          <w:sz w:val="24"/>
          <w:szCs w:val="24"/>
        </w:rPr>
        <w:t>Moreover, state anxiety is a transdiagnostic symptom that is pervasive across distinct psychiatric disorders; even in non-clinical populations, hypermobility predicts elevated levels of trait and state anxiety, without necessarily reaching formal thresholds for anxiety disorder</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14]</w:t>
      </w:r>
      <w:r>
        <w:rPr>
          <w:rFonts w:ascii="Book Antiqua" w:hAnsi="Book Antiqua" w:cstheme="minorHAnsi"/>
          <w:bCs/>
          <w:sz w:val="24"/>
          <w:szCs w:val="24"/>
        </w:rPr>
        <w:t>. This pattern has been observed in the elderly</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15]</w:t>
      </w:r>
      <w:r>
        <w:rPr>
          <w:rFonts w:ascii="Book Antiqua" w:hAnsi="Book Antiqua" w:cstheme="minorHAnsi"/>
          <w:bCs/>
          <w:sz w:val="24"/>
          <w:szCs w:val="24"/>
        </w:rPr>
        <w:t xml:space="preserve"> and in children, including both clinical</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16,17]</w:t>
      </w:r>
      <w:r>
        <w:rPr>
          <w:rFonts w:ascii="Book Antiqua" w:hAnsi="Book Antiqua" w:cstheme="minorHAnsi"/>
          <w:bCs/>
          <w:sz w:val="24"/>
          <w:szCs w:val="24"/>
        </w:rPr>
        <w:t xml:space="preserve"> and non-clinical cohorts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18]</w:t>
      </w:r>
      <w:r>
        <w:rPr>
          <w:rFonts w:ascii="Book Antiqua" w:hAnsi="Book Antiqua" w:cstheme="minorHAnsi"/>
          <w:bCs/>
          <w:sz w:val="24"/>
          <w:szCs w:val="24"/>
        </w:rPr>
        <w:t>.</w:t>
      </w:r>
    </w:p>
    <w:p>
      <w:pPr>
        <w:pStyle w:val="30"/>
        <w:spacing w:line="360" w:lineRule="auto"/>
        <w:jc w:val="both"/>
        <w:rPr>
          <w:rFonts w:ascii="Book Antiqua" w:hAnsi="Book Antiqua" w:cstheme="minorHAnsi"/>
          <w:b/>
          <w:sz w:val="24"/>
          <w:szCs w:val="24"/>
        </w:rPr>
      </w:pPr>
    </w:p>
    <w:p>
      <w:pPr>
        <w:pStyle w:val="30"/>
        <w:spacing w:line="360" w:lineRule="auto"/>
        <w:jc w:val="both"/>
        <w:rPr>
          <w:rFonts w:ascii="Book Antiqua" w:hAnsi="Book Antiqua" w:cstheme="minorHAnsi"/>
          <w:b/>
          <w:i/>
          <w:iCs/>
          <w:sz w:val="24"/>
          <w:szCs w:val="24"/>
        </w:rPr>
      </w:pPr>
      <w:r>
        <w:rPr>
          <w:rFonts w:ascii="Book Antiqua" w:hAnsi="Book Antiqua" w:cstheme="minorHAnsi"/>
          <w:b/>
          <w:i/>
          <w:iCs/>
          <w:sz w:val="24"/>
          <w:szCs w:val="24"/>
        </w:rPr>
        <w:t xml:space="preserve">Affective disorders </w:t>
      </w:r>
    </w:p>
    <w:p>
      <w:pPr>
        <w:pStyle w:val="30"/>
        <w:spacing w:line="360" w:lineRule="auto"/>
        <w:jc w:val="both"/>
        <w:rPr>
          <w:rFonts w:ascii="Book Antiqua" w:hAnsi="Book Antiqua" w:cstheme="minorHAnsi"/>
          <w:bCs/>
          <w:sz w:val="24"/>
          <w:szCs w:val="24"/>
        </w:rPr>
      </w:pPr>
      <w:r>
        <w:rPr>
          <w:rFonts w:ascii="Book Antiqua" w:hAnsi="Book Antiqua" w:cstheme="minorHAnsi"/>
          <w:bCs/>
          <w:sz w:val="24"/>
          <w:szCs w:val="24"/>
        </w:rPr>
        <w:t>Hypermobility is becoming a recognised vulnerability factor for affective disorders, particularly depression, especially if comorbid anxiety is present</w:t>
      </w:r>
      <w:r>
        <w:rPr>
          <w:rFonts w:ascii="Book Antiqua" w:hAnsi="Book Antiqua" w:cstheme="minorHAnsi"/>
          <w:bCs/>
          <w:sz w:val="24"/>
          <w:szCs w:val="24"/>
          <w:vertAlign w:val="superscript"/>
          <w:lang w:val="en-US" w:eastAsia="zh-CN"/>
        </w:rPr>
        <w:t>[</w:t>
      </w:r>
      <w:r>
        <w:rPr>
          <w:rFonts w:ascii="Book Antiqua" w:hAnsi="Book Antiqua" w:cstheme="minorHAnsi"/>
          <w:bCs/>
          <w:sz w:val="24"/>
          <w:szCs w:val="24"/>
          <w:vertAlign w:val="superscript"/>
        </w:rPr>
        <w:t>19,20]</w:t>
      </w:r>
      <w:r>
        <w:rPr>
          <w:rFonts w:ascii="Book Antiqua" w:hAnsi="Book Antiqua" w:cstheme="minorHAnsi"/>
          <w:bCs/>
          <w:sz w:val="24"/>
          <w:szCs w:val="24"/>
        </w:rPr>
        <w:t>.</w:t>
      </w:r>
      <w:r>
        <w:rPr>
          <w:rFonts w:ascii="Book Antiqua" w:hAnsi="Book Antiqua" w:cstheme="minorHAnsi"/>
          <w:bCs/>
          <w:sz w:val="24"/>
          <w:szCs w:val="24"/>
          <w:lang w:eastAsia="zh-CN"/>
        </w:rPr>
        <w:t xml:space="preserve"> </w:t>
      </w:r>
      <w:r>
        <w:rPr>
          <w:rFonts w:ascii="Book Antiqua" w:hAnsi="Book Antiqua" w:cstheme="minorHAnsi"/>
          <w:bCs/>
          <w:sz w:val="24"/>
          <w:szCs w:val="24"/>
        </w:rPr>
        <w:t>Patients with clinically significant hypermobility (</w:t>
      </w:r>
      <w:r>
        <w:rPr>
          <w:rFonts w:ascii="Book Antiqua" w:hAnsi="Book Antiqua" w:cstheme="minorHAnsi"/>
          <w:bCs/>
          <w:i/>
          <w:iCs/>
          <w:sz w:val="24"/>
          <w:szCs w:val="24"/>
        </w:rPr>
        <w:t>i.e.</w:t>
      </w:r>
      <w:r>
        <w:rPr>
          <w:rFonts w:ascii="Book Antiqua" w:hAnsi="Book Antiqua" w:cstheme="minorHAnsi"/>
          <w:bCs/>
          <w:sz w:val="24"/>
          <w:szCs w:val="24"/>
          <w:lang w:val="en-US" w:eastAsia="zh-CN"/>
        </w:rPr>
        <w:t>,</w:t>
      </w:r>
      <w:r>
        <w:rPr>
          <w:rFonts w:ascii="Book Antiqua" w:hAnsi="Book Antiqua" w:cstheme="minorHAnsi"/>
          <w:bCs/>
          <w:sz w:val="24"/>
          <w:szCs w:val="24"/>
        </w:rPr>
        <w:t xml:space="preserve"> HSD/hEDS) demonstrate higher rates of depressive disorders (for example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21]</w:t>
      </w:r>
      <w:r>
        <w:rPr>
          <w:rFonts w:ascii="Book Antiqua" w:hAnsi="Book Antiqua" w:cstheme="minorHAnsi"/>
          <w:bCs/>
          <w:sz w:val="24"/>
          <w:szCs w:val="24"/>
        </w:rPr>
        <w:t>), recently summarised in a meta-analysis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13]</w:t>
      </w:r>
      <w:r>
        <w:rPr>
          <w:rFonts w:ascii="Book Antiqua" w:hAnsi="Book Antiqua" w:cstheme="minorHAnsi"/>
          <w:bCs/>
          <w:sz w:val="24"/>
          <w:szCs w:val="24"/>
        </w:rPr>
        <w:t xml:space="preserve"> although there some inconsistencies within the literature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22]</w:t>
      </w:r>
      <w:r>
        <w:rPr>
          <w:rFonts w:ascii="Book Antiqua" w:hAnsi="Book Antiqua" w:cstheme="minorHAnsi"/>
          <w:bCs/>
          <w:sz w:val="24"/>
          <w:szCs w:val="24"/>
        </w:rPr>
        <w:t>. A population-wide study, using Swedish national registries, observed a heightened risk of depression and increased rates of attempted suicide among hypermobile (EDS and HSD) individuals and their siblings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23]</w:t>
      </w:r>
      <w:r>
        <w:rPr>
          <w:rFonts w:ascii="Book Antiqua" w:hAnsi="Book Antiqua" w:cstheme="minorHAnsi"/>
          <w:bCs/>
          <w:sz w:val="24"/>
          <w:szCs w:val="24"/>
        </w:rPr>
        <w:t>. Hypermobility is also associated with elevated self-report depressive symptoms in non-clinical populations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24]</w:t>
      </w:r>
      <w:r>
        <w:rPr>
          <w:rFonts w:ascii="Book Antiqua" w:hAnsi="Book Antiqua" w:cstheme="minorHAnsi"/>
          <w:bCs/>
          <w:sz w:val="24"/>
          <w:szCs w:val="24"/>
        </w:rPr>
        <w:t>.</w:t>
      </w:r>
      <w:r>
        <w:rPr>
          <w:rFonts w:ascii="Book Antiqua" w:hAnsi="Book Antiqua" w:cstheme="minorHAnsi"/>
          <w:bCs/>
          <w:sz w:val="24"/>
          <w:szCs w:val="24"/>
          <w:lang w:eastAsia="zh-CN"/>
        </w:rPr>
        <w:t xml:space="preserve"> </w:t>
      </w:r>
      <w:r>
        <w:rPr>
          <w:rFonts w:ascii="Book Antiqua" w:hAnsi="Book Antiqua" w:cstheme="minorHAnsi"/>
          <w:bCs/>
          <w:sz w:val="24"/>
          <w:szCs w:val="24"/>
        </w:rPr>
        <w:t>There are a number of reasons why hypermobility may be linked to depression, and in many cases it is unclear whether studies have effectively controlled for anxiety, which could act as an explanatory mediator between hypermobility and depression, since these two conditions are highly comorbid. Other potential mediating factors common to both HSD/hEDS and depression include chronic pain, fatigue or impaired sleep</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25]</w:t>
      </w:r>
      <w:r>
        <w:rPr>
          <w:rFonts w:ascii="Book Antiqua" w:hAnsi="Book Antiqua" w:cstheme="minorHAnsi"/>
          <w:bCs/>
          <w:sz w:val="24"/>
          <w:szCs w:val="24"/>
        </w:rPr>
        <w:t>.</w:t>
      </w:r>
    </w:p>
    <w:p>
      <w:pPr>
        <w:pStyle w:val="30"/>
        <w:spacing w:line="360" w:lineRule="auto"/>
        <w:ind w:firstLine="240" w:firstLineChars="100"/>
        <w:jc w:val="both"/>
        <w:rPr>
          <w:rFonts w:ascii="Book Antiqua" w:hAnsi="Book Antiqua" w:cstheme="minorHAnsi"/>
          <w:bCs/>
          <w:sz w:val="24"/>
          <w:szCs w:val="24"/>
        </w:rPr>
      </w:pPr>
      <w:r>
        <w:rPr>
          <w:rFonts w:ascii="Book Antiqua" w:hAnsi="Book Antiqua" w:cstheme="minorHAnsi"/>
          <w:bCs/>
          <w:sz w:val="24"/>
          <w:szCs w:val="24"/>
        </w:rPr>
        <w:t>An increased risk of bipolar affective disorder (BPAD) is also reported in individuals with ESD/HSD (relative risk, RR = 2.7)</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23]</w:t>
      </w:r>
      <w:r>
        <w:rPr>
          <w:rFonts w:ascii="Book Antiqua" w:hAnsi="Book Antiqua" w:cstheme="minorHAnsi"/>
          <w:bCs/>
          <w:sz w:val="24"/>
          <w:szCs w:val="24"/>
        </w:rPr>
        <w:t>. In this study, no difference in rates of schizophrenia were observed between people with and without hypermobility.</w:t>
      </w:r>
      <w:r>
        <w:rPr>
          <w:rFonts w:ascii="Book Antiqua" w:hAnsi="Book Antiqua" w:cstheme="minorHAnsi"/>
          <w:bCs/>
          <w:sz w:val="24"/>
          <w:szCs w:val="24"/>
          <w:lang w:eastAsia="zh-CN"/>
        </w:rPr>
        <w:t xml:space="preserve"> </w:t>
      </w:r>
      <w:r>
        <w:rPr>
          <w:rFonts w:ascii="Book Antiqua" w:hAnsi="Book Antiqua" w:cstheme="minorHAnsi"/>
          <w:bCs/>
          <w:sz w:val="24"/>
          <w:szCs w:val="24"/>
        </w:rPr>
        <w:t>Similarly, hypermobility is over-represented in patients with BPAD diagnosis attending a psychiatric outpatient setting</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26]</w:t>
      </w:r>
      <w:r>
        <w:rPr>
          <w:rFonts w:ascii="Book Antiqua" w:hAnsi="Book Antiqua" w:cstheme="minorHAnsi"/>
          <w:bCs/>
          <w:sz w:val="24"/>
          <w:szCs w:val="24"/>
        </w:rPr>
        <w:t xml:space="preserve">. However, further detailed studies are lacking, and the potential mediating role of other conditions, such as attention deficit hyperactivity disorder (ADHD; see below), are as yet unexplored. Thus the link between hypermobility and BPAD remains preliminary. </w:t>
      </w:r>
    </w:p>
    <w:p>
      <w:pPr>
        <w:pStyle w:val="30"/>
        <w:spacing w:line="360" w:lineRule="auto"/>
        <w:jc w:val="both"/>
        <w:rPr>
          <w:rFonts w:ascii="Book Antiqua" w:hAnsi="Book Antiqua" w:cstheme="minorHAnsi"/>
          <w:b/>
          <w:sz w:val="24"/>
          <w:szCs w:val="24"/>
          <w:u w:val="single"/>
        </w:rPr>
      </w:pPr>
    </w:p>
    <w:p>
      <w:pPr>
        <w:pStyle w:val="30"/>
        <w:spacing w:line="360" w:lineRule="auto"/>
        <w:jc w:val="both"/>
        <w:rPr>
          <w:rFonts w:ascii="Book Antiqua" w:hAnsi="Book Antiqua" w:cstheme="minorHAnsi"/>
          <w:b/>
          <w:i/>
          <w:iCs/>
          <w:sz w:val="24"/>
          <w:szCs w:val="24"/>
        </w:rPr>
      </w:pPr>
      <w:r>
        <w:rPr>
          <w:rFonts w:ascii="Book Antiqua" w:hAnsi="Book Antiqua" w:cstheme="minorHAnsi"/>
          <w:b/>
          <w:i/>
          <w:iCs/>
          <w:sz w:val="24"/>
          <w:szCs w:val="24"/>
        </w:rPr>
        <w:t>Eating disorders</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There are several case series and reports that describe the co-occurrence of EDS and eating disorders (reviewed in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27]</w:t>
      </w:r>
      <w:r>
        <w:rPr>
          <w:rFonts w:ascii="Book Antiqua" w:hAnsi="Book Antiqua" w:cstheme="minorHAnsi"/>
          <w:sz w:val="24"/>
          <w:szCs w:val="24"/>
        </w:rPr>
        <w:t>). Elevated rates of hypermobility occur in both psychiatric outpatients with eating disorders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27]</w:t>
      </w:r>
      <w:r>
        <w:rPr>
          <w:rFonts w:ascii="Book Antiqua" w:hAnsi="Book Antiqua" w:cstheme="minorHAnsi"/>
          <w:sz w:val="24"/>
          <w:szCs w:val="24"/>
        </w:rPr>
        <w:t xml:space="preserve"> and in hospitalised in-patients with anorexia nervosa</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28]</w:t>
      </w:r>
      <w:r>
        <w:rPr>
          <w:rFonts w:ascii="Book Antiqua" w:hAnsi="Book Antiqua" w:cstheme="minorHAnsi"/>
          <w:sz w:val="24"/>
          <w:szCs w:val="24"/>
        </w:rPr>
        <w:t>, who experienced excess gastrointestinal symptoms, orthostatic intolerance and fatigue (symptoms common to HSD/hEDS). A higher lifetime prevalence of eating disorder was also demonstrated in students with non-clinical hypermobility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29]</w:t>
      </w:r>
      <w:r>
        <w:rPr>
          <w:rFonts w:ascii="Book Antiqua" w:hAnsi="Book Antiqua" w:cstheme="minorHAnsi"/>
          <w:sz w:val="24"/>
          <w:szCs w:val="24"/>
        </w:rPr>
        <w:t>.</w:t>
      </w:r>
      <w:r>
        <w:rPr>
          <w:rFonts w:ascii="Book Antiqua" w:hAnsi="Book Antiqua" w:cstheme="minorHAnsi"/>
          <w:color w:val="FF0000"/>
          <w:sz w:val="24"/>
          <w:szCs w:val="24"/>
        </w:rPr>
        <w:t xml:space="preserve"> </w:t>
      </w:r>
      <w:r>
        <w:rPr>
          <w:rFonts w:ascii="Book Antiqua" w:hAnsi="Book Antiqua" w:cstheme="minorHAnsi"/>
          <w:sz w:val="24"/>
          <w:szCs w:val="24"/>
        </w:rPr>
        <w:t>However, large and comprehensive epidemiological studies investigating this proposed link are lacking.</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Mechanistically however, a proposed model of the relationship between eating disorders and HSD/hEDS recognises the contribution of both articular (such as temporo-mandibular disorders) and extra-articular features (including gastrointestinal problems, smell and taste abnormalities, dental problems, oral mucosal fragility) to difficult or painful eating, which reinforce dysregulated eating behaviour and associated weight loss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27,29]</w:t>
      </w:r>
      <w:r>
        <w:rPr>
          <w:rFonts w:ascii="Book Antiqua" w:hAnsi="Book Antiqua" w:cstheme="minorHAnsi"/>
          <w:sz w:val="24"/>
          <w:szCs w:val="24"/>
        </w:rPr>
        <w:t xml:space="preserve">. Thus HSD/hEDS can plausibly contribute to, mask or even be misdiagnosed as an eating disorder. </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b/>
          <w:i/>
          <w:iCs/>
          <w:sz w:val="24"/>
          <w:szCs w:val="24"/>
        </w:rPr>
      </w:pPr>
      <w:r>
        <w:rPr>
          <w:rFonts w:ascii="Book Antiqua" w:hAnsi="Book Antiqua" w:cstheme="minorHAnsi"/>
          <w:b/>
          <w:i/>
          <w:iCs/>
          <w:sz w:val="24"/>
          <w:szCs w:val="24"/>
        </w:rPr>
        <w:t xml:space="preserve">Psychosis </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The link between hypermobility and schizophrenia-type psychosis remains much less apparent than that seen in relation to anxiety, affective and eating disorders.</w:t>
      </w:r>
      <w:r>
        <w:rPr>
          <w:rFonts w:ascii="Book Antiqua" w:hAnsi="Book Antiqua" w:cstheme="minorHAnsi"/>
          <w:sz w:val="24"/>
          <w:szCs w:val="24"/>
          <w:lang w:eastAsia="zh-CN"/>
        </w:rPr>
        <w:t xml:space="preserve"> </w:t>
      </w:r>
      <w:r>
        <w:rPr>
          <w:rFonts w:ascii="Book Antiqua" w:hAnsi="Book Antiqua" w:cstheme="minorHAnsi"/>
          <w:sz w:val="24"/>
          <w:szCs w:val="24"/>
        </w:rPr>
        <w:t>One case-control study reported similar prevalence of HSD/hEDS in patients with schizophrenia and controls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30]</w:t>
      </w:r>
      <w:r>
        <w:rPr>
          <w:rFonts w:ascii="Book Antiqua" w:hAnsi="Book Antiqua" w:cstheme="minorHAnsi"/>
          <w:sz w:val="24"/>
          <w:szCs w:val="24"/>
        </w:rPr>
        <w:t>, a finding that was confirmed in a population matched cohort study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23]</w:t>
      </w:r>
      <w:r>
        <w:rPr>
          <w:rFonts w:ascii="Book Antiqua" w:hAnsi="Book Antiqua" w:cstheme="minorHAnsi"/>
          <w:sz w:val="24"/>
          <w:szCs w:val="24"/>
        </w:rPr>
        <w:t>. Even in psychiatric outpatients, schizophrenia was reported to be negatively associated with hypermobility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26]</w:t>
      </w:r>
      <w:r>
        <w:rPr>
          <w:rFonts w:ascii="Book Antiqua" w:hAnsi="Book Antiqua" w:cstheme="minorHAnsi"/>
          <w:sz w:val="24"/>
          <w:szCs w:val="24"/>
        </w:rPr>
        <w:t>. Nevertheless, hypermobility is implicated as a clinical marker for co-morbid anxiety in schizophrenia: Patients with comorbid hypermobility and schizophrenia express elevated rates of panic/agoraphobia disorder, exacerbating positive psychotic symptoms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31]</w:t>
      </w:r>
      <w:r>
        <w:rPr>
          <w:rFonts w:ascii="Book Antiqua" w:hAnsi="Book Antiqua" w:cstheme="minorHAnsi"/>
          <w:sz w:val="24"/>
          <w:szCs w:val="24"/>
        </w:rPr>
        <w:t>.</w:t>
      </w:r>
    </w:p>
    <w:p>
      <w:pPr>
        <w:pStyle w:val="30"/>
        <w:spacing w:line="360" w:lineRule="auto"/>
        <w:jc w:val="both"/>
        <w:rPr>
          <w:rFonts w:ascii="Book Antiqua" w:hAnsi="Book Antiqua" w:cstheme="minorHAnsi"/>
          <w:b/>
          <w:sz w:val="24"/>
          <w:szCs w:val="24"/>
          <w:u w:val="single"/>
        </w:rPr>
      </w:pPr>
    </w:p>
    <w:p>
      <w:pPr>
        <w:pStyle w:val="30"/>
        <w:spacing w:line="360" w:lineRule="auto"/>
        <w:jc w:val="both"/>
        <w:rPr>
          <w:rFonts w:ascii="Book Antiqua" w:hAnsi="Book Antiqua" w:cstheme="minorHAnsi"/>
          <w:b/>
          <w:i/>
          <w:iCs/>
          <w:sz w:val="24"/>
          <w:szCs w:val="24"/>
        </w:rPr>
      </w:pPr>
      <w:r>
        <w:rPr>
          <w:rFonts w:ascii="Book Antiqua" w:hAnsi="Book Antiqua" w:cstheme="minorHAnsi"/>
          <w:b/>
          <w:i/>
          <w:iCs/>
          <w:sz w:val="24"/>
          <w:szCs w:val="24"/>
        </w:rPr>
        <w:t>Personality disorder</w:t>
      </w:r>
    </w:p>
    <w:p>
      <w:pPr>
        <w:pStyle w:val="30"/>
        <w:spacing w:line="360" w:lineRule="auto"/>
        <w:jc w:val="both"/>
        <w:rPr>
          <w:rFonts w:ascii="Book Antiqua" w:hAnsi="Book Antiqua" w:cstheme="minorHAnsi"/>
          <w:bCs/>
          <w:sz w:val="24"/>
          <w:szCs w:val="24"/>
        </w:rPr>
      </w:pPr>
      <w:r>
        <w:rPr>
          <w:rFonts w:ascii="Book Antiqua" w:hAnsi="Book Antiqua" w:cstheme="minorHAnsi"/>
          <w:bCs/>
          <w:sz w:val="24"/>
          <w:szCs w:val="24"/>
        </w:rPr>
        <w:t>Only one case-control study to date has investigated personality disorder in hypermobility, revealing elevated prevalence of personality disorder in JHS (RR</w:t>
      </w:r>
      <w:r>
        <w:rPr>
          <w:rFonts w:ascii="Book Antiqua" w:hAnsi="Book Antiqua" w:cstheme="minorHAnsi"/>
          <w:bCs/>
          <w:sz w:val="24"/>
          <w:szCs w:val="24"/>
          <w:lang w:val="en-US" w:eastAsia="zh-CN"/>
        </w:rPr>
        <w:t xml:space="preserve"> </w:t>
      </w:r>
      <w:r>
        <w:rPr>
          <w:rFonts w:ascii="Book Antiqua" w:hAnsi="Book Antiqua" w:cstheme="minorHAnsi"/>
          <w:bCs/>
          <w:sz w:val="24"/>
          <w:szCs w:val="24"/>
        </w:rPr>
        <w:t>=</w:t>
      </w:r>
      <w:r>
        <w:rPr>
          <w:rFonts w:ascii="Book Antiqua" w:hAnsi="Book Antiqua" w:cstheme="minorHAnsi"/>
          <w:bCs/>
          <w:sz w:val="24"/>
          <w:szCs w:val="24"/>
          <w:lang w:val="en-US" w:eastAsia="zh-CN"/>
        </w:rPr>
        <w:t xml:space="preserve"> </w:t>
      </w:r>
      <w:r>
        <w:rPr>
          <w:rFonts w:ascii="Book Antiqua" w:hAnsi="Book Antiqua" w:cstheme="minorHAnsi"/>
          <w:bCs/>
          <w:sz w:val="24"/>
          <w:szCs w:val="24"/>
        </w:rPr>
        <w:t>5.8), especially of the obsessive-compulsive (anankastic) subtype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21]</w:t>
      </w:r>
      <w:r>
        <w:rPr>
          <w:rFonts w:ascii="Book Antiqua" w:hAnsi="Book Antiqua" w:cstheme="minorHAnsi"/>
          <w:bCs/>
          <w:sz w:val="24"/>
          <w:szCs w:val="24"/>
        </w:rPr>
        <w:t>. It was speculated that that joint instability and associated imprecision of proprioception might underlie compensatory over-controlling behaviours (in the context of anxiety), and even that unrecognised JHS can contribute to perfectionism.</w:t>
      </w:r>
      <w:r>
        <w:rPr>
          <w:rFonts w:ascii="Book Antiqua" w:hAnsi="Book Antiqua" w:cstheme="minorHAnsi"/>
          <w:bCs/>
          <w:sz w:val="24"/>
          <w:szCs w:val="24"/>
          <w:lang w:eastAsia="zh-CN"/>
        </w:rPr>
        <w:t xml:space="preserve"> </w:t>
      </w:r>
      <w:r>
        <w:rPr>
          <w:rFonts w:ascii="Book Antiqua" w:hAnsi="Book Antiqua" w:cstheme="minorHAnsi"/>
          <w:bCs/>
          <w:sz w:val="24"/>
          <w:szCs w:val="24"/>
        </w:rPr>
        <w:t>However, rates of hypermobility were reported elsewhere to be no different in psychiatric outpatients with or without personality disorder</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26]</w:t>
      </w:r>
      <w:r>
        <w:rPr>
          <w:rFonts w:ascii="Book Antiqua" w:hAnsi="Book Antiqua" w:cstheme="minorHAnsi"/>
          <w:bCs/>
          <w:sz w:val="24"/>
          <w:szCs w:val="24"/>
        </w:rPr>
        <w:t xml:space="preserve">. While a number of possible putative mechanisms might link hypermobility to personality disorder (including anxious temperament and/or neurodevelopmental conditions including as ADHD), these findings should be interpreted cautiously, as there is an obvious need for large and well powered studies. </w:t>
      </w:r>
    </w:p>
    <w:p>
      <w:pPr>
        <w:pStyle w:val="30"/>
        <w:spacing w:line="360" w:lineRule="auto"/>
        <w:jc w:val="both"/>
        <w:rPr>
          <w:rFonts w:ascii="Book Antiqua" w:hAnsi="Book Antiqua" w:cstheme="minorHAnsi"/>
          <w:b/>
          <w:sz w:val="24"/>
          <w:szCs w:val="24"/>
          <w:u w:val="single"/>
        </w:rPr>
      </w:pPr>
    </w:p>
    <w:p>
      <w:pPr>
        <w:pStyle w:val="30"/>
        <w:spacing w:line="360" w:lineRule="auto"/>
        <w:jc w:val="both"/>
        <w:rPr>
          <w:rFonts w:ascii="Book Antiqua" w:hAnsi="Book Antiqua" w:cstheme="minorHAnsi"/>
          <w:b/>
          <w:i/>
          <w:iCs/>
          <w:sz w:val="24"/>
          <w:szCs w:val="24"/>
        </w:rPr>
      </w:pPr>
      <w:r>
        <w:rPr>
          <w:rFonts w:ascii="Book Antiqua" w:hAnsi="Book Antiqua" w:cstheme="minorHAnsi"/>
          <w:b/>
          <w:i/>
          <w:iCs/>
          <w:sz w:val="24"/>
          <w:szCs w:val="24"/>
        </w:rPr>
        <w:t>Addictions/substance misuse</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Studies investigating addiction and substance misuse in the context of hypermobility are sparse. Early findings of elevated hypermobility scores in female chronic alcoholic patients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32]</w:t>
      </w:r>
      <w:r>
        <w:rPr>
          <w:rFonts w:ascii="Book Antiqua" w:hAnsi="Book Antiqua" w:cstheme="minorHAnsi"/>
          <w:sz w:val="24"/>
          <w:szCs w:val="24"/>
        </w:rPr>
        <w:t xml:space="preserve"> have not been replicated since. One longitudinal study revealed significantly higher prevalence of at-risk drinkers and smokers in young females with hypermobility compared to controls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33]</w:t>
      </w:r>
      <w:r>
        <w:rPr>
          <w:rFonts w:ascii="Book Antiqua" w:hAnsi="Book Antiqua" w:cstheme="minorHAnsi"/>
          <w:sz w:val="24"/>
          <w:szCs w:val="24"/>
        </w:rPr>
        <w:t xml:space="preserve">. It is possible that alcohol and tobacco use could be overused to cope with chronic pain and anxiety (or indeed to self-medicate against ADHD symptoms, see below) and further studies should evaluate and control for these variables. </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b/>
          <w:i/>
          <w:iCs/>
          <w:sz w:val="24"/>
          <w:szCs w:val="24"/>
        </w:rPr>
      </w:pPr>
      <w:r>
        <w:rPr>
          <w:rFonts w:ascii="Book Antiqua" w:hAnsi="Book Antiqua" w:cstheme="minorHAnsi"/>
          <w:b/>
          <w:i/>
          <w:iCs/>
          <w:sz w:val="24"/>
          <w:szCs w:val="24"/>
        </w:rPr>
        <w:t>Neurodevelopmental disorders</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In recent years, several authors have highlighted a relationship between hypermobility and neurodevelopmental disorders, notably autism (autistic spectrum disorders, ASD),</w:t>
      </w:r>
      <w:r>
        <w:rPr>
          <w:rFonts w:ascii="Book Antiqua" w:hAnsi="Book Antiqua" w:cstheme="minorHAnsi"/>
          <w:sz w:val="24"/>
          <w:szCs w:val="24"/>
          <w:lang w:eastAsia="zh-CN"/>
        </w:rPr>
        <w:t xml:space="preserve"> </w:t>
      </w:r>
      <w:r>
        <w:rPr>
          <w:rFonts w:ascii="Book Antiqua" w:hAnsi="Book Antiqua" w:cstheme="minorHAnsi"/>
          <w:sz w:val="24"/>
          <w:szCs w:val="24"/>
        </w:rPr>
        <w:t>ADHD and developmental coordination disorder (DCD)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34</w:t>
      </w:r>
      <w:r>
        <w:rPr>
          <w:rFonts w:ascii="Book Antiqua" w:hAnsi="Book Antiqua" w:cstheme="minorHAnsi"/>
          <w:sz w:val="24"/>
          <w:szCs w:val="24"/>
          <w:vertAlign w:val="superscript"/>
          <w:lang w:val="en-US" w:eastAsia="zh-CN"/>
        </w:rPr>
        <w:t>,</w:t>
      </w:r>
      <w:r>
        <w:rPr>
          <w:rFonts w:ascii="Book Antiqua" w:hAnsi="Book Antiqua" w:cstheme="minorHAnsi"/>
          <w:sz w:val="24"/>
          <w:szCs w:val="24"/>
          <w:vertAlign w:val="superscript"/>
        </w:rPr>
        <w:t>35]</w:t>
      </w:r>
      <w:r>
        <w:rPr>
          <w:rFonts w:ascii="Book Antiqua" w:hAnsi="Book Antiqua" w:cstheme="minorHAnsi"/>
          <w:sz w:val="24"/>
          <w:szCs w:val="24"/>
        </w:rPr>
        <w:t>. Interest in tic disorder (Tourette syndrome) and hypermobility is also growing.</w:t>
      </w:r>
      <w:r>
        <w:rPr>
          <w:rFonts w:ascii="Book Antiqua" w:hAnsi="Book Antiqua" w:cstheme="minorHAnsi"/>
          <w:sz w:val="24"/>
          <w:szCs w:val="24"/>
          <w:lang w:eastAsia="zh-CN"/>
        </w:rPr>
        <w:t xml:space="preserve"> </w:t>
      </w:r>
      <w:r>
        <w:rPr>
          <w:rFonts w:ascii="Book Antiqua" w:hAnsi="Book Antiqua" w:cstheme="minorHAnsi"/>
          <w:sz w:val="24"/>
          <w:szCs w:val="24"/>
        </w:rPr>
        <w:t>Hypermobility is frequently co-morbid with neurodevelopmental disorders and may contribute to the accompanying physical behavioural and cognitive symptoms that encompass motor difficulties, sleep and feeding problems, sensory hypersensitivities, behavioural hyperactivity, inattention, dysexecutive issues, speech and language problems and social deficits. Neurodevelopmental disorders most often present in school age children, and thus may precede or overshadow recognition of comorbid HSD/hEDS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35]</w:t>
      </w:r>
      <w:r>
        <w:rPr>
          <w:rFonts w:ascii="Book Antiqua" w:hAnsi="Book Antiqua" w:cstheme="minorHAnsi"/>
          <w:sz w:val="24"/>
          <w:szCs w:val="24"/>
        </w:rPr>
        <w:t>. Nevertheless, these two clinical entities retain their association through into adulthood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26,36]</w:t>
      </w:r>
      <w:r>
        <w:rPr>
          <w:rFonts w:ascii="Book Antiqua" w:hAnsi="Book Antiqua" w:cstheme="minorHAnsi"/>
          <w:sz w:val="24"/>
          <w:szCs w:val="24"/>
        </w:rPr>
        <w:t>. Interestingly, however, subclinical expression of neurodevelopmental (ADHD, ASD or DCD) traits in the general population are not strongly associated with hypermobility, suggesting that the expression of this association is limited to clinical populations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37]</w:t>
      </w:r>
      <w:r>
        <w:rPr>
          <w:rFonts w:ascii="Book Antiqua" w:hAnsi="Book Antiqua" w:cstheme="minorHAnsi"/>
          <w:sz w:val="24"/>
          <w:szCs w:val="24"/>
        </w:rPr>
        <w:t>.</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b/>
          <w:bCs/>
          <w:iCs/>
          <w:sz w:val="24"/>
          <w:szCs w:val="24"/>
        </w:rPr>
      </w:pPr>
      <w:r>
        <w:rPr>
          <w:rFonts w:ascii="Book Antiqua" w:hAnsi="Book Antiqua" w:cstheme="minorHAnsi"/>
          <w:b/>
          <w:bCs/>
          <w:iCs/>
          <w:sz w:val="24"/>
          <w:szCs w:val="24"/>
        </w:rPr>
        <w:t xml:space="preserve">Autism: </w:t>
      </w:r>
      <w:r>
        <w:rPr>
          <w:rFonts w:ascii="Book Antiqua" w:hAnsi="Book Antiqua" w:cstheme="minorHAnsi"/>
          <w:bCs/>
          <w:sz w:val="24"/>
          <w:szCs w:val="24"/>
        </w:rPr>
        <w:t>Evidence for an overlap between hypermobility and autism is growing.</w:t>
      </w:r>
      <w:r>
        <w:rPr>
          <w:rFonts w:ascii="Book Antiqua" w:hAnsi="Book Antiqua" w:cstheme="minorHAnsi"/>
          <w:bCs/>
          <w:sz w:val="24"/>
          <w:szCs w:val="24"/>
          <w:lang w:eastAsia="zh-CN"/>
        </w:rPr>
        <w:t xml:space="preserve"> </w:t>
      </w:r>
      <w:r>
        <w:rPr>
          <w:rFonts w:ascii="Book Antiqua" w:hAnsi="Book Antiqua" w:cstheme="minorHAnsi"/>
          <w:bCs/>
          <w:sz w:val="24"/>
          <w:szCs w:val="24"/>
        </w:rPr>
        <w:t>Initially described in case reports (reviewed in</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38]</w:t>
      </w:r>
      <w:r>
        <w:rPr>
          <w:rFonts w:ascii="Book Antiqua" w:hAnsi="Book Antiqua" w:cstheme="minorHAnsi"/>
          <w:bCs/>
          <w:sz w:val="24"/>
          <w:szCs w:val="24"/>
        </w:rPr>
        <w:t>), excess hypermobility has since been demonstrated in children with ASD (average age 4 years) in a case-control study</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39]</w:t>
      </w:r>
      <w:r>
        <w:rPr>
          <w:rFonts w:ascii="Book Antiqua" w:hAnsi="Book Antiqua" w:cstheme="minorHAnsi"/>
          <w:bCs/>
          <w:sz w:val="24"/>
          <w:szCs w:val="24"/>
        </w:rPr>
        <w:t>, although differences in passive muscular tonicity may be a confound</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40]</w:t>
      </w:r>
      <w:r>
        <w:rPr>
          <w:rFonts w:ascii="Book Antiqua" w:hAnsi="Book Antiqua" w:cstheme="minorHAnsi"/>
          <w:bCs/>
          <w:sz w:val="24"/>
          <w:szCs w:val="24"/>
        </w:rPr>
        <w:t>.</w:t>
      </w:r>
      <w:r>
        <w:rPr>
          <w:rFonts w:ascii="Book Antiqua" w:hAnsi="Book Antiqua" w:cstheme="minorHAnsi"/>
          <w:bCs/>
          <w:color w:val="FF0000"/>
          <w:sz w:val="24"/>
          <w:szCs w:val="24"/>
        </w:rPr>
        <w:t xml:space="preserve"> </w:t>
      </w:r>
      <w:r>
        <w:rPr>
          <w:rFonts w:ascii="Book Antiqua" w:hAnsi="Book Antiqua" w:cstheme="minorHAnsi"/>
          <w:bCs/>
          <w:sz w:val="24"/>
          <w:szCs w:val="24"/>
        </w:rPr>
        <w:t>At a population-level, elevated rates of ASD is apparent in individuals with EDS/JHS and their siblings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23]</w:t>
      </w:r>
      <w:r>
        <w:rPr>
          <w:rFonts w:ascii="Book Antiqua" w:hAnsi="Book Antiqua" w:cstheme="minorHAnsi"/>
          <w:bCs/>
          <w:sz w:val="24"/>
          <w:szCs w:val="24"/>
        </w:rPr>
        <w:t>.</w:t>
      </w:r>
      <w:r>
        <w:rPr>
          <w:rFonts w:ascii="Book Antiqua" w:hAnsi="Book Antiqua" w:cstheme="minorHAnsi"/>
          <w:bCs/>
          <w:color w:val="FF0000"/>
          <w:sz w:val="24"/>
          <w:szCs w:val="24"/>
        </w:rPr>
        <w:t xml:space="preserve"> </w:t>
      </w:r>
      <w:r>
        <w:rPr>
          <w:rFonts w:ascii="Book Antiqua" w:hAnsi="Book Antiqua" w:cstheme="minorHAnsi"/>
          <w:bCs/>
          <w:sz w:val="24"/>
          <w:szCs w:val="24"/>
        </w:rPr>
        <w:t>Both ASD and HSD/hEDS are considered heritable spectrum disorders that appear in infancy and share clinical presentations that include motor and coordination difficulties, sensory hypersensitivity/hyperalgesia, autonomic dysfunction, proprioceptive impairments and sleep disorders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34]</w:t>
      </w:r>
      <w:r>
        <w:rPr>
          <w:rFonts w:ascii="Book Antiqua" w:hAnsi="Book Antiqua" w:cstheme="minorHAnsi"/>
          <w:bCs/>
          <w:sz w:val="24"/>
          <w:szCs w:val="24"/>
        </w:rPr>
        <w:t>. This has led to the suggestion that EDS/HSD might be considered as a subtype of ASD</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34]</w:t>
      </w:r>
      <w:r>
        <w:rPr>
          <w:rFonts w:ascii="Book Antiqua" w:hAnsi="Book Antiqua" w:cstheme="minorHAnsi"/>
          <w:bCs/>
          <w:sz w:val="24"/>
          <w:szCs w:val="24"/>
        </w:rPr>
        <w:t>.</w:t>
      </w:r>
    </w:p>
    <w:p>
      <w:pPr>
        <w:pStyle w:val="30"/>
        <w:spacing w:line="360" w:lineRule="auto"/>
        <w:ind w:firstLine="240" w:firstLineChars="100"/>
        <w:jc w:val="both"/>
        <w:rPr>
          <w:rFonts w:ascii="Book Antiqua" w:hAnsi="Book Antiqua" w:cstheme="minorHAnsi"/>
          <w:bCs/>
          <w:i/>
          <w:iCs/>
          <w:color w:val="FF0000"/>
          <w:sz w:val="24"/>
          <w:szCs w:val="24"/>
        </w:rPr>
      </w:pPr>
      <w:r>
        <w:rPr>
          <w:rFonts w:ascii="Book Antiqua" w:hAnsi="Book Antiqua" w:cstheme="minorHAnsi"/>
          <w:bCs/>
          <w:sz w:val="24"/>
          <w:szCs w:val="24"/>
        </w:rPr>
        <w:t>Furthermore, there has been longstanding recognition of the positive association between ASD and heritable disorders of connective tissue including Marfan’s syndrome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41]</w:t>
      </w:r>
      <w:r>
        <w:rPr>
          <w:rFonts w:ascii="Book Antiqua" w:hAnsi="Book Antiqua" w:cstheme="minorHAnsi"/>
          <w:bCs/>
          <w:sz w:val="24"/>
          <w:szCs w:val="24"/>
        </w:rPr>
        <w:t xml:space="preserve"> and osteogenesis imperfecta</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42]</w:t>
      </w:r>
      <w:r>
        <w:rPr>
          <w:rFonts w:ascii="Book Antiqua" w:hAnsi="Book Antiqua" w:cstheme="minorHAnsi"/>
          <w:bCs/>
          <w:sz w:val="24"/>
          <w:szCs w:val="24"/>
        </w:rPr>
        <w:t xml:space="preserve">. ASD is known to be associated with several genetic causes, the most common being Fragile X syndrome (caused by mutations in </w:t>
      </w:r>
      <w:r>
        <w:rPr>
          <w:rFonts w:ascii="Book Antiqua" w:hAnsi="Book Antiqua" w:cstheme="minorHAnsi"/>
          <w:bCs/>
          <w:i/>
          <w:iCs/>
          <w:sz w:val="24"/>
          <w:szCs w:val="24"/>
        </w:rPr>
        <w:t>FMR1</w:t>
      </w:r>
      <w:r>
        <w:rPr>
          <w:rFonts w:ascii="Book Antiqua" w:hAnsi="Book Antiqua" w:cstheme="minorHAnsi"/>
          <w:bCs/>
          <w:sz w:val="24"/>
          <w:szCs w:val="24"/>
        </w:rPr>
        <w:t xml:space="preserve"> gene). Up to half of patients with Fragile X syndrome are hypermobile.</w:t>
      </w:r>
      <w:r>
        <w:rPr>
          <w:rFonts w:ascii="Book Antiqua" w:hAnsi="Book Antiqua" w:cstheme="minorHAnsi"/>
          <w:bCs/>
          <w:sz w:val="24"/>
          <w:szCs w:val="24"/>
          <w:lang w:eastAsia="zh-CN"/>
        </w:rPr>
        <w:t xml:space="preserve"> </w:t>
      </w:r>
      <w:r>
        <w:rPr>
          <w:rFonts w:ascii="Book Antiqua" w:hAnsi="Book Antiqua" w:cstheme="minorHAnsi"/>
          <w:bCs/>
          <w:sz w:val="24"/>
          <w:szCs w:val="24"/>
        </w:rPr>
        <w:t>Soft skin, scoliosis and flat feet are common, providing further evidence for variant of collagen or related connective tissue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43]</w:t>
      </w:r>
      <w:r>
        <w:rPr>
          <w:rFonts w:ascii="Book Antiqua" w:hAnsi="Book Antiqua" w:cstheme="minorHAnsi"/>
          <w:bCs/>
          <w:sz w:val="24"/>
          <w:szCs w:val="24"/>
        </w:rPr>
        <w:t xml:space="preserve">: The gene </w:t>
      </w:r>
      <w:r>
        <w:rPr>
          <w:rFonts w:ascii="Book Antiqua" w:hAnsi="Book Antiqua" w:cstheme="minorHAnsi"/>
          <w:bCs/>
          <w:i/>
          <w:iCs/>
          <w:sz w:val="24"/>
          <w:szCs w:val="24"/>
        </w:rPr>
        <w:t>FMR1</w:t>
      </w:r>
      <w:r>
        <w:rPr>
          <w:rFonts w:ascii="Book Antiqua" w:hAnsi="Book Antiqua" w:cstheme="minorHAnsi"/>
          <w:bCs/>
          <w:sz w:val="24"/>
          <w:szCs w:val="24"/>
        </w:rPr>
        <w:t xml:space="preserve"> negatively regulates protein translation, which theoretically could cause downstream effects on collagen formation</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43]</w:t>
      </w:r>
      <w:r>
        <w:rPr>
          <w:rFonts w:ascii="Book Antiqua" w:hAnsi="Book Antiqua" w:cstheme="minorHAnsi"/>
          <w:bCs/>
          <w:sz w:val="24"/>
          <w:szCs w:val="24"/>
        </w:rPr>
        <w:t>. More broadly, across monogenic genetic syndromes strongly associated with both ASD and hypermobility, and known genetic causes of EDS subtypes, analyses of gene interactions reveal extensive gene clustering that might represent a biological mechanisms for the observed clinical overlap</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34]</w:t>
      </w:r>
      <w:r>
        <w:rPr>
          <w:rFonts w:ascii="Book Antiqua" w:hAnsi="Book Antiqua" w:cstheme="minorHAnsi"/>
          <w:bCs/>
          <w:sz w:val="24"/>
          <w:szCs w:val="24"/>
        </w:rPr>
        <w:t xml:space="preserve">. </w:t>
      </w:r>
    </w:p>
    <w:p>
      <w:pPr>
        <w:pStyle w:val="30"/>
        <w:spacing w:line="360" w:lineRule="auto"/>
        <w:jc w:val="both"/>
        <w:rPr>
          <w:rFonts w:ascii="Book Antiqua" w:hAnsi="Book Antiqua" w:cstheme="minorHAnsi"/>
          <w:bCs/>
          <w:sz w:val="24"/>
          <w:szCs w:val="24"/>
        </w:rPr>
      </w:pPr>
    </w:p>
    <w:p>
      <w:pPr>
        <w:pStyle w:val="30"/>
        <w:spacing w:line="360" w:lineRule="auto"/>
        <w:jc w:val="both"/>
        <w:rPr>
          <w:rFonts w:ascii="Book Antiqua" w:hAnsi="Book Antiqua" w:cstheme="minorHAnsi"/>
          <w:b/>
          <w:iCs/>
          <w:sz w:val="24"/>
          <w:szCs w:val="24"/>
        </w:rPr>
      </w:pPr>
      <w:r>
        <w:rPr>
          <w:rFonts w:ascii="Book Antiqua" w:hAnsi="Book Antiqua" w:cstheme="minorHAnsi"/>
          <w:b/>
          <w:iCs/>
          <w:sz w:val="24"/>
          <w:szCs w:val="24"/>
        </w:rPr>
        <w:t xml:space="preserve">ADHD: </w:t>
      </w:r>
      <w:r>
        <w:rPr>
          <w:rFonts w:ascii="Book Antiqua" w:hAnsi="Book Antiqua" w:cstheme="minorHAnsi"/>
          <w:bCs/>
          <w:sz w:val="24"/>
          <w:szCs w:val="24"/>
        </w:rPr>
        <w:t>Increasing clinical awareness of the co-occurrence of ADHD and hypermobility was confirmed by two case-control studies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44,45]</w:t>
      </w:r>
      <w:r>
        <w:rPr>
          <w:rFonts w:ascii="Book Antiqua" w:hAnsi="Book Antiqua" w:cstheme="minorHAnsi"/>
          <w:bCs/>
          <w:sz w:val="24"/>
          <w:szCs w:val="24"/>
        </w:rPr>
        <w:t xml:space="preserve"> and a population based cohort study</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23]</w:t>
      </w:r>
      <w:r>
        <w:rPr>
          <w:rFonts w:ascii="Book Antiqua" w:hAnsi="Book Antiqua" w:cstheme="minorHAnsi"/>
          <w:bCs/>
          <w:sz w:val="24"/>
          <w:szCs w:val="24"/>
        </w:rPr>
        <w:t>, which also demonstrated higher rates of ADHD in siblings of children with HSD/hEDS diagnosis. Co-occurrence of ADHD and HSD/hEDS is also seen in adults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36,46]</w:t>
      </w:r>
      <w:r>
        <w:rPr>
          <w:rFonts w:ascii="Book Antiqua" w:hAnsi="Book Antiqua" w:cstheme="minorHAnsi"/>
          <w:bCs/>
          <w:sz w:val="24"/>
          <w:szCs w:val="24"/>
        </w:rPr>
        <w:t>.</w:t>
      </w:r>
    </w:p>
    <w:p>
      <w:pPr>
        <w:pStyle w:val="30"/>
        <w:spacing w:line="360" w:lineRule="auto"/>
        <w:jc w:val="both"/>
        <w:rPr>
          <w:rFonts w:ascii="Book Antiqua" w:hAnsi="Book Antiqua" w:cstheme="minorHAnsi"/>
          <w:bCs/>
          <w:i/>
          <w:iCs/>
          <w:sz w:val="24"/>
          <w:szCs w:val="24"/>
        </w:rPr>
      </w:pPr>
    </w:p>
    <w:p>
      <w:pPr>
        <w:pStyle w:val="30"/>
        <w:spacing w:line="360" w:lineRule="auto"/>
        <w:jc w:val="both"/>
        <w:rPr>
          <w:rFonts w:ascii="Book Antiqua" w:hAnsi="Book Antiqua" w:cstheme="minorHAnsi"/>
          <w:bCs/>
          <w:iCs/>
          <w:sz w:val="24"/>
          <w:szCs w:val="24"/>
        </w:rPr>
      </w:pPr>
      <w:r>
        <w:rPr>
          <w:rFonts w:ascii="Book Antiqua" w:hAnsi="Book Antiqua" w:cstheme="minorHAnsi"/>
          <w:b/>
          <w:iCs/>
          <w:sz w:val="24"/>
          <w:szCs w:val="24"/>
        </w:rPr>
        <w:t xml:space="preserve">DCD: </w:t>
      </w:r>
      <w:r>
        <w:rPr>
          <w:rFonts w:ascii="Book Antiqua" w:hAnsi="Book Antiqua" w:cstheme="minorHAnsi"/>
          <w:bCs/>
          <w:sz w:val="24"/>
          <w:szCs w:val="24"/>
        </w:rPr>
        <w:t>According to DSM-5</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47]</w:t>
      </w:r>
      <w:r>
        <w:rPr>
          <w:rFonts w:ascii="Book Antiqua" w:hAnsi="Book Antiqua" w:cstheme="minorHAnsi"/>
          <w:bCs/>
          <w:sz w:val="24"/>
          <w:szCs w:val="24"/>
        </w:rPr>
        <w:t>, EDS/JHS is included both as a differential diagnosis and as a potential comorbidity of DCD (previously termed developmental dyspraxia) in acknowledgement of the functional and clinical similarities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48]</w:t>
      </w:r>
      <w:r>
        <w:rPr>
          <w:rFonts w:ascii="Book Antiqua" w:hAnsi="Book Antiqua" w:cstheme="minorHAnsi"/>
          <w:bCs/>
          <w:sz w:val="24"/>
          <w:szCs w:val="24"/>
        </w:rPr>
        <w:t>. High rates of symptoms related to HSD/hEDS are found among patients with DCD diagnosis, including pain and autonomic dysfunction, and there are significant commonalities in their motor features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48]</w:t>
      </w:r>
      <w:r>
        <w:rPr>
          <w:rFonts w:ascii="Book Antiqua" w:hAnsi="Book Antiqua" w:cstheme="minorHAnsi"/>
          <w:bCs/>
          <w:sz w:val="24"/>
          <w:szCs w:val="24"/>
        </w:rPr>
        <w:t>.</w:t>
      </w:r>
    </w:p>
    <w:p>
      <w:pPr>
        <w:pStyle w:val="30"/>
        <w:spacing w:line="360" w:lineRule="auto"/>
        <w:ind w:firstLine="240" w:firstLineChars="100"/>
        <w:jc w:val="both"/>
        <w:rPr>
          <w:rFonts w:ascii="Book Antiqua" w:hAnsi="Book Antiqua" w:cstheme="minorHAnsi"/>
          <w:bCs/>
          <w:sz w:val="24"/>
          <w:szCs w:val="24"/>
        </w:rPr>
      </w:pPr>
      <w:r>
        <w:rPr>
          <w:rFonts w:ascii="Book Antiqua" w:hAnsi="Book Antiqua" w:cstheme="minorHAnsi"/>
          <w:bCs/>
          <w:sz w:val="24"/>
          <w:szCs w:val="24"/>
        </w:rPr>
        <w:t>In children with HSD/hEDS diagnoses, high rates of clumsiness, impaired coordination and dyspraxia are observed</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 xml:space="preserve">49], </w:t>
      </w:r>
      <w:r>
        <w:rPr>
          <w:rFonts w:ascii="Book Antiqua" w:hAnsi="Book Antiqua" w:cstheme="minorHAnsi"/>
          <w:bCs/>
          <w:sz w:val="24"/>
          <w:szCs w:val="24"/>
        </w:rPr>
        <w:t>and up to 55% meet DCD criteria</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50,51]</w:t>
      </w:r>
      <w:r>
        <w:rPr>
          <w:rFonts w:ascii="Book Antiqua" w:hAnsi="Book Antiqua" w:cstheme="minorHAnsi"/>
          <w:bCs/>
          <w:sz w:val="24"/>
          <w:szCs w:val="24"/>
        </w:rPr>
        <w:t>.</w:t>
      </w:r>
      <w:r>
        <w:rPr>
          <w:rFonts w:ascii="Book Antiqua" w:hAnsi="Book Antiqua" w:cstheme="minorHAnsi"/>
          <w:bCs/>
          <w:sz w:val="24"/>
          <w:szCs w:val="24"/>
          <w:lang w:eastAsia="en-GB"/>
        </w:rPr>
        <w:t xml:space="preserve"> </w:t>
      </w:r>
      <w:r>
        <w:rPr>
          <w:rFonts w:ascii="Book Antiqua" w:hAnsi="Book Antiqua" w:cstheme="minorHAnsi"/>
          <w:bCs/>
          <w:sz w:val="24"/>
          <w:szCs w:val="24"/>
        </w:rPr>
        <w:t>Similarly, 46</w:t>
      </w:r>
      <w:r>
        <w:rPr>
          <w:rFonts w:ascii="Book Antiqua" w:hAnsi="Book Antiqua" w:cstheme="minorHAnsi"/>
          <w:bCs/>
          <w:sz w:val="24"/>
          <w:szCs w:val="24"/>
          <w:lang w:val="en-US" w:eastAsia="zh-CN"/>
        </w:rPr>
        <w:t>%</w:t>
      </w:r>
      <w:r>
        <w:rPr>
          <w:rFonts w:ascii="Book Antiqua" w:hAnsi="Book Antiqua" w:cstheme="minorHAnsi"/>
          <w:bCs/>
          <w:sz w:val="24"/>
          <w:szCs w:val="24"/>
        </w:rPr>
        <w:t>-64% of children with DCD are hypermobile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52,53]</w:t>
      </w:r>
      <w:r>
        <w:rPr>
          <w:rFonts w:ascii="Book Antiqua" w:hAnsi="Book Antiqua" w:cstheme="minorHAnsi"/>
          <w:bCs/>
          <w:sz w:val="24"/>
          <w:szCs w:val="24"/>
        </w:rPr>
        <w:t>, the exact figure depending on appropriate use of age appropriate Beighton score cut-offs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51]</w:t>
      </w:r>
      <w:r>
        <w:rPr>
          <w:rFonts w:ascii="Book Antiqua" w:hAnsi="Book Antiqua" w:cstheme="minorHAnsi"/>
          <w:bCs/>
          <w:sz w:val="24"/>
          <w:szCs w:val="24"/>
        </w:rPr>
        <w:t>.</w:t>
      </w:r>
    </w:p>
    <w:p>
      <w:pPr>
        <w:pStyle w:val="30"/>
        <w:spacing w:line="360" w:lineRule="auto"/>
        <w:jc w:val="both"/>
        <w:rPr>
          <w:rFonts w:ascii="Book Antiqua" w:hAnsi="Book Antiqua" w:cstheme="minorHAnsi"/>
          <w:bCs/>
          <w:sz w:val="24"/>
          <w:szCs w:val="24"/>
        </w:rPr>
      </w:pPr>
    </w:p>
    <w:p>
      <w:pPr>
        <w:pStyle w:val="30"/>
        <w:spacing w:line="360" w:lineRule="auto"/>
        <w:jc w:val="both"/>
        <w:rPr>
          <w:rFonts w:ascii="Book Antiqua" w:hAnsi="Book Antiqua" w:cstheme="minorHAnsi"/>
          <w:b/>
          <w:iCs/>
          <w:sz w:val="24"/>
          <w:szCs w:val="24"/>
        </w:rPr>
      </w:pPr>
      <w:r>
        <w:rPr>
          <w:rFonts w:ascii="Book Antiqua" w:hAnsi="Book Antiqua" w:cstheme="minorHAnsi"/>
          <w:b/>
          <w:iCs/>
          <w:sz w:val="24"/>
          <w:szCs w:val="24"/>
        </w:rPr>
        <w:t xml:space="preserve">Developmental tic disorder (Tourette syndrome): </w:t>
      </w:r>
      <w:r>
        <w:rPr>
          <w:rFonts w:ascii="Book Antiqua" w:hAnsi="Book Antiqua" w:cstheme="minorHAnsi"/>
          <w:bCs/>
          <w:sz w:val="24"/>
          <w:szCs w:val="24"/>
        </w:rPr>
        <w:t>Despite emergent evidence describing hypermobility in ASD, ADHD and DCD, data concerning neurodevelopmental tic disorders (such as Tourette’s syndrome) are remarkably lacking. To our knowledge, no current data have assessed this relationship in children. The first work in adults found elevated prevalence (38%) of hypermobility amongst 24 adults with Tourette syndrome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36]</w:t>
      </w:r>
      <w:r>
        <w:rPr>
          <w:rFonts w:ascii="Book Antiqua" w:hAnsi="Book Antiqua" w:cstheme="minorHAnsi"/>
          <w:bCs/>
          <w:sz w:val="24"/>
          <w:szCs w:val="24"/>
        </w:rPr>
        <w:t xml:space="preserve">. Interestingly, these individuals had a high comorbidity of obsessive-compulsive disorder diagnoses (37.5%), another condition which is yet to be investigated with respect to hypermobility. </w:t>
      </w:r>
    </w:p>
    <w:p>
      <w:pPr>
        <w:pStyle w:val="30"/>
        <w:spacing w:line="360" w:lineRule="auto"/>
        <w:jc w:val="both"/>
        <w:rPr>
          <w:rFonts w:ascii="Book Antiqua" w:hAnsi="Book Antiqua" w:cstheme="minorHAnsi"/>
          <w:bCs/>
          <w:sz w:val="24"/>
          <w:szCs w:val="24"/>
        </w:rPr>
      </w:pPr>
    </w:p>
    <w:p>
      <w:pPr>
        <w:pStyle w:val="30"/>
        <w:spacing w:line="360" w:lineRule="auto"/>
        <w:jc w:val="both"/>
        <w:rPr>
          <w:rFonts w:ascii="Book Antiqua" w:hAnsi="Book Antiqua" w:cstheme="minorHAnsi"/>
          <w:b/>
          <w:i/>
          <w:sz w:val="24"/>
          <w:szCs w:val="24"/>
        </w:rPr>
      </w:pPr>
      <w:r>
        <w:rPr>
          <w:rFonts w:ascii="Book Antiqua" w:hAnsi="Book Antiqua" w:cstheme="minorHAnsi"/>
          <w:b/>
          <w:i/>
          <w:sz w:val="24"/>
          <w:szCs w:val="24"/>
        </w:rPr>
        <w:t>Stress medical sensitive conditions</w:t>
      </w:r>
    </w:p>
    <w:p>
      <w:pPr>
        <w:pStyle w:val="30"/>
        <w:spacing w:line="360" w:lineRule="auto"/>
        <w:jc w:val="both"/>
        <w:rPr>
          <w:rFonts w:ascii="Book Antiqua" w:hAnsi="Book Antiqua" w:cstheme="minorHAnsi"/>
          <w:b/>
          <w:iCs/>
          <w:sz w:val="24"/>
          <w:szCs w:val="24"/>
        </w:rPr>
      </w:pPr>
      <w:r>
        <w:rPr>
          <w:rFonts w:ascii="Book Antiqua" w:hAnsi="Book Antiqua" w:cstheme="minorHAnsi"/>
          <w:b/>
          <w:iCs/>
          <w:sz w:val="24"/>
          <w:szCs w:val="24"/>
        </w:rPr>
        <w:t>Fibromyalgia and ME/CFS</w:t>
      </w:r>
      <w:r>
        <w:rPr>
          <w:rFonts w:ascii="Book Antiqua" w:hAnsi="Book Antiqua" w:cstheme="minorHAnsi"/>
          <w:b/>
          <w:iCs/>
          <w:sz w:val="24"/>
          <w:szCs w:val="24"/>
          <w:lang w:eastAsia="zh-CN"/>
        </w:rPr>
        <w:t xml:space="preserve">: </w:t>
      </w:r>
      <w:r>
        <w:rPr>
          <w:rFonts w:ascii="Book Antiqua" w:hAnsi="Book Antiqua" w:cstheme="minorHAnsi"/>
          <w:bCs/>
          <w:sz w:val="24"/>
          <w:szCs w:val="24"/>
        </w:rPr>
        <w:t xml:space="preserve">Fibromyalgia and ME/CFS are both common overlapping disorders characterised by chronic pain, fatigue, sleep disturbance, cognitive complaints, gastrointestinal disturbance and affective problems. </w:t>
      </w:r>
    </w:p>
    <w:p>
      <w:pPr>
        <w:pStyle w:val="30"/>
        <w:spacing w:line="360" w:lineRule="auto"/>
        <w:ind w:firstLine="240" w:firstLineChars="100"/>
        <w:jc w:val="both"/>
        <w:rPr>
          <w:rFonts w:ascii="Book Antiqua" w:hAnsi="Book Antiqua" w:cstheme="minorHAnsi"/>
          <w:bCs/>
          <w:color w:val="FF0000"/>
          <w:sz w:val="24"/>
          <w:szCs w:val="24"/>
        </w:rPr>
      </w:pPr>
      <w:r>
        <w:rPr>
          <w:rFonts w:ascii="Book Antiqua" w:hAnsi="Book Antiqua" w:cstheme="minorHAnsi"/>
          <w:bCs/>
          <w:sz w:val="24"/>
          <w:szCs w:val="24"/>
        </w:rPr>
        <w:t>There is further overlap of symptomatology and clinical findings with HSD/hEDS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54]</w:t>
      </w:r>
      <w:r>
        <w:rPr>
          <w:rFonts w:ascii="Book Antiqua" w:hAnsi="Book Antiqua" w:cstheme="minorHAnsi"/>
          <w:bCs/>
          <w:sz w:val="24"/>
          <w:szCs w:val="24"/>
        </w:rPr>
        <w:t>. High rates of hypermobility are present in patients with fibromyalgia both as adults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55]</w:t>
      </w:r>
      <w:r>
        <w:rPr>
          <w:rFonts w:ascii="Book Antiqua" w:hAnsi="Book Antiqua" w:cstheme="minorHAnsi"/>
          <w:bCs/>
          <w:sz w:val="24"/>
          <w:szCs w:val="24"/>
        </w:rPr>
        <w:t xml:space="preserve"> and children</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56]</w:t>
      </w:r>
      <w:r>
        <w:rPr>
          <w:rFonts w:ascii="Book Antiqua" w:hAnsi="Book Antiqua" w:cstheme="minorHAnsi"/>
          <w:bCs/>
          <w:sz w:val="24"/>
          <w:szCs w:val="24"/>
        </w:rPr>
        <w:t>, and in patients with ME/CFS, again both in adults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57]</w:t>
      </w:r>
      <w:r>
        <w:rPr>
          <w:rFonts w:ascii="Book Antiqua" w:hAnsi="Book Antiqua" w:cstheme="minorHAnsi"/>
          <w:bCs/>
          <w:sz w:val="24"/>
          <w:szCs w:val="24"/>
        </w:rPr>
        <w:t xml:space="preserve"> and children</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58]</w:t>
      </w:r>
      <w:r>
        <w:rPr>
          <w:rFonts w:ascii="Book Antiqua" w:hAnsi="Book Antiqua" w:cstheme="minorHAnsi"/>
          <w:bCs/>
          <w:sz w:val="24"/>
          <w:szCs w:val="24"/>
        </w:rPr>
        <w:t>. Hypermobility is specifically linked to the expression of pain and fatigue in these patients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59]</w:t>
      </w:r>
      <w:r>
        <w:rPr>
          <w:rFonts w:ascii="Book Antiqua" w:hAnsi="Book Antiqua" w:cstheme="minorHAnsi"/>
          <w:bCs/>
          <w:sz w:val="24"/>
          <w:szCs w:val="24"/>
        </w:rPr>
        <w:t>. Conversely, the majority of EDS patients suffer from marked fatigue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60]</w:t>
      </w:r>
      <w:r>
        <w:rPr>
          <w:rFonts w:ascii="Book Antiqua" w:hAnsi="Book Antiqua" w:cstheme="minorHAnsi"/>
          <w:bCs/>
          <w:sz w:val="24"/>
          <w:szCs w:val="24"/>
        </w:rPr>
        <w:t>. In fact, many patients with HSD/hEDS meet Fukada criteria for diagnosis of CFS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50]</w:t>
      </w:r>
      <w:r>
        <w:rPr>
          <w:rFonts w:ascii="Book Antiqua" w:hAnsi="Book Antiqua" w:cstheme="minorHAnsi"/>
          <w:bCs/>
          <w:sz w:val="24"/>
          <w:szCs w:val="24"/>
        </w:rPr>
        <w:t>, and hence it is argued that an assessment for hypermobility/variant connective tissues should be an integral part of a thorough evaluation of ME/CFS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61]</w:t>
      </w:r>
      <w:r>
        <w:rPr>
          <w:rFonts w:ascii="Book Antiqua" w:hAnsi="Book Antiqua" w:cstheme="minorHAnsi"/>
          <w:bCs/>
          <w:sz w:val="24"/>
          <w:szCs w:val="24"/>
        </w:rPr>
        <w:t>.</w:t>
      </w:r>
    </w:p>
    <w:p>
      <w:pPr>
        <w:pStyle w:val="30"/>
        <w:spacing w:line="360" w:lineRule="auto"/>
        <w:jc w:val="both"/>
        <w:rPr>
          <w:rFonts w:ascii="Book Antiqua" w:hAnsi="Book Antiqua" w:cstheme="minorHAnsi"/>
          <w:bCs/>
          <w:sz w:val="24"/>
          <w:szCs w:val="24"/>
        </w:rPr>
      </w:pPr>
    </w:p>
    <w:p>
      <w:pPr>
        <w:pStyle w:val="30"/>
        <w:spacing w:line="360" w:lineRule="auto"/>
        <w:jc w:val="both"/>
        <w:rPr>
          <w:rFonts w:ascii="Book Antiqua" w:hAnsi="Book Antiqua" w:cstheme="minorHAnsi"/>
          <w:b/>
          <w:iCs/>
          <w:sz w:val="24"/>
          <w:szCs w:val="24"/>
        </w:rPr>
      </w:pPr>
      <w:r>
        <w:rPr>
          <w:rFonts w:ascii="Book Antiqua" w:hAnsi="Book Antiqua" w:cstheme="minorHAnsi"/>
          <w:b/>
          <w:iCs/>
          <w:sz w:val="24"/>
          <w:szCs w:val="24"/>
        </w:rPr>
        <w:t xml:space="preserve">IBS and functional gastrointestinal disorders: </w:t>
      </w:r>
      <w:r>
        <w:rPr>
          <w:rFonts w:ascii="Book Antiqua" w:hAnsi="Book Antiqua" w:cstheme="minorHAnsi"/>
          <w:bCs/>
          <w:sz w:val="24"/>
          <w:szCs w:val="24"/>
        </w:rPr>
        <w:t>Gastrointestinal symptoms (including nausea, abdominal pain, bloating, constipation and diarrhoea) are commonly experienced by patients with HSD/hEDS diagnosis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62]</w:t>
      </w:r>
      <w:r>
        <w:rPr>
          <w:rFonts w:ascii="Book Antiqua" w:hAnsi="Book Antiqua" w:cstheme="minorHAnsi"/>
          <w:bCs/>
          <w:sz w:val="24"/>
          <w:szCs w:val="24"/>
        </w:rPr>
        <w:t>. Objectively, gastrointestinal dysmotility is observed</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63]</w:t>
      </w:r>
      <w:r>
        <w:rPr>
          <w:rFonts w:ascii="Book Antiqua" w:hAnsi="Book Antiqua" w:cstheme="minorHAnsi"/>
          <w:bCs/>
          <w:sz w:val="24"/>
          <w:szCs w:val="24"/>
        </w:rPr>
        <w:t xml:space="preserve"> and is predicted by the symptoms and signs of dysautonomia, notably the occurrence of postural tachycardia syndrome (PoTS). Interestingly, psychiatric disorders, especially mood and somatoform disorders, occur at higher rates in patients with HSD/hEDS who experience gastrointestinal dysfunction and associated abdominal pain</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64]</w:t>
      </w:r>
      <w:r>
        <w:rPr>
          <w:rFonts w:ascii="Book Antiqua" w:hAnsi="Book Antiqua" w:cstheme="minorHAnsi"/>
          <w:bCs/>
          <w:sz w:val="24"/>
          <w:szCs w:val="24"/>
        </w:rPr>
        <w:t>.</w:t>
      </w:r>
    </w:p>
    <w:p>
      <w:pPr>
        <w:pStyle w:val="30"/>
        <w:spacing w:line="360" w:lineRule="auto"/>
        <w:ind w:firstLine="240" w:firstLineChars="100"/>
        <w:jc w:val="both"/>
        <w:rPr>
          <w:rFonts w:ascii="Book Antiqua" w:hAnsi="Book Antiqua" w:cstheme="minorHAnsi"/>
          <w:bCs/>
          <w:sz w:val="24"/>
          <w:szCs w:val="24"/>
        </w:rPr>
      </w:pPr>
      <w:r>
        <w:rPr>
          <w:rFonts w:ascii="Book Antiqua" w:hAnsi="Book Antiqua" w:cstheme="minorHAnsi"/>
          <w:bCs/>
          <w:sz w:val="24"/>
          <w:szCs w:val="24"/>
        </w:rPr>
        <w:t>The prevalence of hypermobility appears to be greater in patients with IBS or gastrointestinal symptoms (especially functional dyspepsia) when compared to healthy controls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65]</w:t>
      </w:r>
      <w:r>
        <w:rPr>
          <w:rFonts w:ascii="Book Antiqua" w:hAnsi="Book Antiqua" w:cstheme="minorHAnsi"/>
          <w:bCs/>
          <w:sz w:val="24"/>
          <w:szCs w:val="24"/>
        </w:rPr>
        <w:t>. This represents a subgroup (even variant phenotype) of patients who experience primary gastrointestinal problems with co-existing HSD/hEDS, who also demonstrate high comorbidity with chronic pain and fibromyalgia. These patients show increased somatisation score, urinary autonomic (symptom) score and reduced pain-related quality of life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66]</w:t>
      </w:r>
      <w:r>
        <w:rPr>
          <w:rFonts w:ascii="Book Antiqua" w:hAnsi="Book Antiqua" w:cstheme="minorHAnsi"/>
          <w:bCs/>
          <w:sz w:val="24"/>
          <w:szCs w:val="24"/>
        </w:rPr>
        <w:t>. High rates of hypermobility are particularly observed in patients with constipation-predominant IBS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67]</w:t>
      </w:r>
      <w:r>
        <w:rPr>
          <w:rFonts w:ascii="Book Antiqua" w:hAnsi="Book Antiqua" w:cstheme="minorHAnsi"/>
          <w:bCs/>
          <w:sz w:val="24"/>
          <w:szCs w:val="24"/>
        </w:rPr>
        <w:t xml:space="preserve">, consistent with perturbation of colonic sensorimotor biomechanics consequent upon variant connective tissue. </w:t>
      </w:r>
    </w:p>
    <w:p>
      <w:pPr>
        <w:pStyle w:val="30"/>
        <w:spacing w:line="360" w:lineRule="auto"/>
        <w:ind w:firstLine="240" w:firstLineChars="100"/>
        <w:jc w:val="both"/>
        <w:rPr>
          <w:rFonts w:ascii="Book Antiqua" w:hAnsi="Book Antiqua" w:cstheme="minorHAnsi"/>
          <w:bCs/>
          <w:sz w:val="24"/>
          <w:szCs w:val="24"/>
        </w:rPr>
      </w:pPr>
      <w:r>
        <w:rPr>
          <w:rFonts w:ascii="Book Antiqua" w:hAnsi="Book Antiqua" w:cstheme="minorHAnsi"/>
          <w:bCs/>
          <w:sz w:val="24"/>
          <w:szCs w:val="24"/>
        </w:rPr>
        <w:t>However, while in adults the association between hypermobility and functional gastrointestinal disorders appears relatively robust, in children there is increasing evidence that the prevalence of hypermobility is similar for children with IBS, functional abdominal pain or functional constipation, and for healthy controls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68</w:t>
      </w:r>
      <w:r>
        <w:rPr>
          <w:rFonts w:ascii="Book Antiqua" w:hAnsi="Book Antiqua" w:cstheme="minorHAnsi"/>
          <w:bCs/>
          <w:sz w:val="24"/>
          <w:szCs w:val="24"/>
          <w:vertAlign w:val="superscript"/>
          <w:lang w:val="en-US" w:eastAsia="zh-CN"/>
        </w:rPr>
        <w:t>-</w:t>
      </w:r>
      <w:r>
        <w:rPr>
          <w:rFonts w:ascii="Book Antiqua" w:hAnsi="Book Antiqua" w:cstheme="minorHAnsi"/>
          <w:bCs/>
          <w:sz w:val="24"/>
          <w:szCs w:val="24"/>
          <w:vertAlign w:val="superscript"/>
        </w:rPr>
        <w:t>70]</w:t>
      </w:r>
      <w:r>
        <w:rPr>
          <w:rFonts w:ascii="Book Antiqua" w:hAnsi="Book Antiqua" w:cstheme="minorHAnsi"/>
          <w:bCs/>
          <w:sz w:val="24"/>
          <w:szCs w:val="24"/>
        </w:rPr>
        <w:t xml:space="preserve">. Intriguingly, this suggests that, in hypermobile individuals, IBS and functional GI symptoms may develop later in life perhaps interacting with hormonal or other maturational changes that impact connective tissue compliance. </w:t>
      </w:r>
    </w:p>
    <w:p>
      <w:pPr>
        <w:pStyle w:val="30"/>
        <w:spacing w:line="360" w:lineRule="auto"/>
        <w:jc w:val="both"/>
        <w:rPr>
          <w:rFonts w:ascii="Book Antiqua" w:hAnsi="Book Antiqua" w:cstheme="minorHAnsi"/>
          <w:bCs/>
          <w:sz w:val="24"/>
          <w:szCs w:val="24"/>
        </w:rPr>
      </w:pPr>
    </w:p>
    <w:p>
      <w:pPr>
        <w:pStyle w:val="30"/>
        <w:spacing w:line="360" w:lineRule="auto"/>
        <w:jc w:val="both"/>
        <w:rPr>
          <w:rFonts w:ascii="Book Antiqua" w:hAnsi="Book Antiqua" w:cstheme="minorHAnsi"/>
          <w:b/>
          <w:iCs/>
          <w:sz w:val="24"/>
          <w:szCs w:val="24"/>
        </w:rPr>
      </w:pPr>
      <w:r>
        <w:rPr>
          <w:rFonts w:ascii="Book Antiqua" w:hAnsi="Book Antiqua" w:cstheme="minorHAnsi"/>
          <w:b/>
          <w:iCs/>
          <w:sz w:val="24"/>
          <w:szCs w:val="24"/>
        </w:rPr>
        <w:t xml:space="preserve">Other associated stress-sensitive medical conditions: </w:t>
      </w:r>
      <w:r>
        <w:rPr>
          <w:rFonts w:ascii="Book Antiqua" w:hAnsi="Book Antiqua" w:cstheme="minorHAnsi"/>
          <w:bCs/>
          <w:sz w:val="24"/>
          <w:szCs w:val="24"/>
        </w:rPr>
        <w:t>There are reports demonstrating that HSD/hEDS is also associated with increased risk of migraine (in females)</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71]</w:t>
      </w:r>
      <w:r>
        <w:rPr>
          <w:rFonts w:ascii="Book Antiqua" w:hAnsi="Book Antiqua" w:cstheme="minorHAnsi"/>
          <w:bCs/>
          <w:sz w:val="24"/>
          <w:szCs w:val="24"/>
        </w:rPr>
        <w:t>, and with chronic regional pain syndrome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72]</w:t>
      </w:r>
      <w:r>
        <w:rPr>
          <w:rFonts w:ascii="Book Antiqua" w:hAnsi="Book Antiqua" w:cstheme="minorHAnsi"/>
          <w:bCs/>
          <w:sz w:val="24"/>
          <w:szCs w:val="24"/>
        </w:rPr>
        <w:t>, chronic myofascial pelvic pain</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73]</w:t>
      </w:r>
      <w:r>
        <w:rPr>
          <w:rFonts w:ascii="Book Antiqua" w:hAnsi="Book Antiqua" w:cstheme="minorHAnsi"/>
          <w:bCs/>
          <w:sz w:val="24"/>
          <w:szCs w:val="24"/>
        </w:rPr>
        <w:t>, and stress incontinence</w:t>
      </w:r>
      <w:r>
        <w:rPr>
          <w:rFonts w:ascii="Book Antiqua" w:hAnsi="Book Antiqua" w:cstheme="minorHAnsi"/>
          <w:bCs/>
          <w:sz w:val="24"/>
          <w:szCs w:val="24"/>
          <w:vertAlign w:val="superscript"/>
          <w:lang w:eastAsia="zh-CN"/>
        </w:rPr>
        <w:t>[</w:t>
      </w:r>
      <w:r>
        <w:rPr>
          <w:rFonts w:ascii="Book Antiqua" w:hAnsi="Book Antiqua" w:cstheme="minorHAnsi"/>
          <w:bCs/>
          <w:sz w:val="24"/>
          <w:szCs w:val="24"/>
          <w:vertAlign w:val="superscript"/>
        </w:rPr>
        <w:t>74]</w:t>
      </w:r>
      <w:r>
        <w:rPr>
          <w:rFonts w:ascii="Book Antiqua" w:hAnsi="Book Antiqua" w:cstheme="minorHAnsi"/>
          <w:bCs/>
          <w:sz w:val="24"/>
          <w:szCs w:val="24"/>
        </w:rPr>
        <w:t>.</w:t>
      </w:r>
    </w:p>
    <w:p>
      <w:pPr>
        <w:pStyle w:val="30"/>
        <w:spacing w:line="360" w:lineRule="auto"/>
        <w:jc w:val="both"/>
        <w:rPr>
          <w:rFonts w:ascii="Book Antiqua" w:hAnsi="Book Antiqua" w:cstheme="minorHAnsi"/>
          <w:bCs/>
          <w:sz w:val="24"/>
          <w:szCs w:val="24"/>
        </w:rPr>
      </w:pPr>
    </w:p>
    <w:p>
      <w:pPr>
        <w:spacing w:line="360" w:lineRule="auto"/>
        <w:jc w:val="both"/>
        <w:rPr>
          <w:rFonts w:ascii="Book Antiqua" w:hAnsi="Book Antiqua" w:eastAsiaTheme="minorHAnsi" w:cstheme="minorHAnsi"/>
          <w:bCs/>
          <w:lang w:eastAsia="en-US"/>
        </w:rPr>
      </w:pPr>
      <w:r>
        <w:rPr>
          <w:rFonts w:ascii="Book Antiqua" w:hAnsi="Book Antiqua" w:cstheme="minorHAnsi"/>
          <w:b/>
          <w:bCs/>
          <w:u w:val="single"/>
        </w:rPr>
        <w:t>DISCUSSION</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 xml:space="preserve">The ‘biopsychosocial approach’ in psychiatry acknowledges the contribution of interconnected and interacting influences on the development and maintenance of psychiatric symptoms and diagnoses, including biological vulnerabilities, psychological factors and dynamic social context. The associations highlighted within this review, linking psychiatric symptoms and conditions to constitutional differences in connective tissue (apparent, in part, as joint hypermobility), likely depend on multiple mechanisms, which may differ between disorders. Hypothetically, joint hypermobility may represent a non-specific signature of a general mechanism linking variant connective tissue to psychological vulnerability, manifesting in a continuum across neurodevelopmental and psychiatric disorders. Alternatively, a pre-existing pathological process (as yet undiscovered) could predispose to both psychopathology and hypermobility in parallel via independent actions on the musculoskeletal and central nervous systems (Figure 1). </w:t>
      </w:r>
    </w:p>
    <w:p>
      <w:pPr>
        <w:spacing w:line="360" w:lineRule="auto"/>
        <w:jc w:val="both"/>
        <w:rPr>
          <w:rFonts w:ascii="Book Antiqua" w:hAnsi="Book Antiqua" w:cstheme="minorHAnsi"/>
          <w:color w:val="FF0000"/>
        </w:rPr>
      </w:pPr>
    </w:p>
    <w:p>
      <w:pPr>
        <w:spacing w:line="360" w:lineRule="auto"/>
        <w:jc w:val="both"/>
        <w:rPr>
          <w:rFonts w:ascii="Book Antiqua" w:hAnsi="Book Antiqua" w:eastAsiaTheme="minorHAnsi" w:cstheme="minorHAnsi"/>
          <w:b/>
          <w:bCs/>
          <w:i/>
          <w:iCs/>
          <w:lang w:eastAsia="en-US"/>
        </w:rPr>
      </w:pPr>
      <w:r>
        <w:rPr>
          <w:rFonts w:ascii="Book Antiqua" w:hAnsi="Book Antiqua" w:cstheme="minorHAnsi"/>
          <w:b/>
          <w:bCs/>
          <w:i/>
          <w:iCs/>
        </w:rPr>
        <w:t>Psychosocial factors</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Through lived experience, the presence of hypermobility from early childhood may directly underpin the development of psychiatric disorders. Excluding neurodevelopmental conditions, this makes temporal sense: The presence and consequences of hypermobility in childhood precedes the typically later emergence of psychiatric disorders in adolescence and adulthood.</w:t>
      </w:r>
      <w:r>
        <w:rPr>
          <w:rFonts w:ascii="Book Antiqua" w:hAnsi="Book Antiqua" w:cstheme="minorHAnsi"/>
          <w:sz w:val="24"/>
          <w:szCs w:val="24"/>
          <w:lang w:eastAsia="zh-CN"/>
        </w:rPr>
        <w:t xml:space="preserve"> </w:t>
      </w:r>
      <w:r>
        <w:rPr>
          <w:rFonts w:ascii="Book Antiqua" w:hAnsi="Book Antiqua" w:cstheme="minorHAnsi"/>
          <w:sz w:val="24"/>
          <w:szCs w:val="24"/>
        </w:rPr>
        <w:t>When symptomatic from a young age, the daily challenges of living with physical risks and difficulties associated with HDS/hEDS (including chronic pain and disability, threat of injury secondary to connective tissue fragility, restriction of social and physical activities and associated stigma) contribute to psychiatric vulnerability, avoidant behaviours and the development of anxiety and depressive symptoms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75]</w:t>
      </w:r>
      <w:r>
        <w:rPr>
          <w:rFonts w:ascii="Book Antiqua" w:hAnsi="Book Antiqua" w:cstheme="minorHAnsi"/>
          <w:sz w:val="24"/>
          <w:szCs w:val="24"/>
        </w:rPr>
        <w:t xml:space="preserve">.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Correspondingly, intense fear of pain and subsequent pain-avoidant strategies that limit movement (kinesiophobia) are common in HSD/hEDS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76]</w:t>
      </w:r>
      <w:r>
        <w:rPr>
          <w:rFonts w:ascii="Book Antiqua" w:hAnsi="Book Antiqua" w:cstheme="minorHAnsi"/>
          <w:sz w:val="24"/>
          <w:szCs w:val="24"/>
        </w:rPr>
        <w:t>. These increase the likelihood of deconditioning and symptom progression, thereby furthering physical and psychological disability.</w:t>
      </w:r>
      <w:r>
        <w:rPr>
          <w:rFonts w:ascii="Book Antiqua" w:hAnsi="Book Antiqua" w:cstheme="minorHAnsi"/>
          <w:sz w:val="24"/>
          <w:szCs w:val="24"/>
          <w:lang w:eastAsia="zh-CN"/>
        </w:rPr>
        <w:t xml:space="preserve"> </w:t>
      </w:r>
      <w:r>
        <w:rPr>
          <w:rFonts w:ascii="Book Antiqua" w:hAnsi="Book Antiqua" w:cstheme="minorHAnsi"/>
          <w:sz w:val="24"/>
          <w:szCs w:val="24"/>
        </w:rPr>
        <w:t>In addition, problematic hypermobility is typically under-recognised and diagnostic delay is common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w:t>
      </w:r>
      <w:r>
        <w:rPr>
          <w:rFonts w:ascii="Book Antiqua" w:hAnsi="Book Antiqua" w:cstheme="minorHAnsi"/>
          <w:sz w:val="24"/>
          <w:szCs w:val="24"/>
        </w:rPr>
        <w:t>. Consequently, patients may experience frustration if their complaints are trivialised by healthcare professionals, adding to suffering and exclusion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75]</w:t>
      </w:r>
      <w:r>
        <w:rPr>
          <w:rFonts w:ascii="Book Antiqua" w:hAnsi="Book Antiqua" w:cstheme="minorHAnsi"/>
          <w:sz w:val="24"/>
          <w:szCs w:val="24"/>
        </w:rPr>
        <w:t>. High anxiety and distress may drive maladaptive behaviours including tobacco/alcohol use and disordered eating</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33]</w:t>
      </w:r>
      <w:r>
        <w:rPr>
          <w:rFonts w:ascii="Book Antiqua" w:hAnsi="Book Antiqua" w:cstheme="minorHAnsi"/>
          <w:sz w:val="24"/>
          <w:szCs w:val="24"/>
        </w:rPr>
        <w:t>, and the psychosocial complexity surrounding hypermobility is associated with poorer quality of life in both adults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w:t>
      </w:r>
      <w:r>
        <w:rPr>
          <w:rFonts w:ascii="Book Antiqua" w:hAnsi="Book Antiqua" w:cstheme="minorHAnsi"/>
          <w:sz w:val="24"/>
          <w:szCs w:val="24"/>
        </w:rPr>
        <w:t xml:space="preserve"> and children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w:t>
      </w:r>
      <w:r>
        <w:rPr>
          <w:rFonts w:ascii="Book Antiqua" w:hAnsi="Book Antiqua" w:cstheme="minorHAnsi"/>
          <w:sz w:val="24"/>
          <w:szCs w:val="24"/>
        </w:rPr>
        <w:t>. In hEDS patients, the psychological expression of high anxiety interacts with more severe fatigue and depressive symptoms, pain catastrophising, somatosensory amplification, to predict poorer social functioning and worse general health</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20]</w:t>
      </w:r>
      <w:r>
        <w:rPr>
          <w:rFonts w:ascii="Book Antiqua" w:hAnsi="Book Antiqua" w:cstheme="minorHAnsi"/>
          <w:sz w:val="24"/>
          <w:szCs w:val="24"/>
        </w:rPr>
        <w:t xml:space="preserve">.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The bidirectional interaction between pain and psychological ill-health is widely recognised; chronic pain influences psychiatric symptoms including depression and anxiety, while low mood and negative emotions increase and maintain the experience of pain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77]</w:t>
      </w:r>
      <w:r>
        <w:rPr>
          <w:rFonts w:ascii="Book Antiqua" w:hAnsi="Book Antiqua" w:cstheme="minorHAnsi"/>
          <w:sz w:val="24"/>
          <w:szCs w:val="24"/>
        </w:rPr>
        <w:t>. In this context, psychiatric disorders in HSD/hEDS may be secondary to pain symptoms rather than a primary or parallel manifestation. Hypermobility is a risk factor for chronic widespread pain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78]</w:t>
      </w:r>
      <w:r>
        <w:rPr>
          <w:rFonts w:ascii="Book Antiqua" w:hAnsi="Book Antiqua" w:cstheme="minorHAnsi"/>
          <w:sz w:val="24"/>
          <w:szCs w:val="24"/>
        </w:rPr>
        <w:t>, and hypermobile individuals exhibit sensory hypersensitivity to nociceptive stimuli</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 xml:space="preserve">79] </w:t>
      </w:r>
      <w:r>
        <w:rPr>
          <w:rFonts w:ascii="Book Antiqua" w:hAnsi="Book Antiqua" w:cstheme="minorHAnsi"/>
          <w:sz w:val="24"/>
          <w:szCs w:val="24"/>
        </w:rPr>
        <w:t>and secondary central sensitisation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80]</w:t>
      </w:r>
      <w:r>
        <w:rPr>
          <w:rFonts w:ascii="Book Antiqua" w:hAnsi="Book Antiqua" w:cstheme="minorHAnsi"/>
          <w:sz w:val="24"/>
          <w:szCs w:val="24"/>
        </w:rPr>
        <w:t>.</w:t>
      </w:r>
      <w:r>
        <w:rPr>
          <w:rFonts w:ascii="Book Antiqua" w:hAnsi="Book Antiqua" w:cstheme="minorHAnsi"/>
          <w:sz w:val="24"/>
          <w:szCs w:val="24"/>
          <w:lang w:eastAsia="zh-CN"/>
        </w:rPr>
        <w:t xml:space="preserve"> </w:t>
      </w:r>
      <w:r>
        <w:rPr>
          <w:rFonts w:ascii="Book Antiqua" w:hAnsi="Book Antiqua" w:cstheme="minorHAnsi"/>
          <w:sz w:val="24"/>
          <w:szCs w:val="24"/>
        </w:rPr>
        <w:t>In fact, the presence of pain, rather than the degree hypermobility, is associated with the expression of psychiatric symptoms in EDS patients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81]</w:t>
      </w:r>
      <w:r>
        <w:rPr>
          <w:rFonts w:ascii="Book Antiqua" w:hAnsi="Book Antiqua" w:cstheme="minorHAnsi"/>
          <w:sz w:val="24"/>
          <w:szCs w:val="24"/>
        </w:rPr>
        <w:t xml:space="preserve">. Similarly, the experience of pain and gastrointestinal dysfunction, rather than connective tissue features </w:t>
      </w:r>
      <w:r>
        <w:rPr>
          <w:rFonts w:ascii="Book Antiqua" w:hAnsi="Book Antiqua" w:cstheme="minorHAnsi"/>
          <w:i/>
          <w:iCs/>
          <w:sz w:val="24"/>
          <w:szCs w:val="24"/>
        </w:rPr>
        <w:t>per se</w:t>
      </w:r>
      <w:r>
        <w:rPr>
          <w:rFonts w:ascii="Book Antiqua" w:hAnsi="Book Antiqua" w:cstheme="minorHAnsi"/>
          <w:sz w:val="24"/>
          <w:szCs w:val="24"/>
        </w:rPr>
        <w:t>, is associated with higher rates of psychiatric disorders (especially mood and somatoform conditions) in HSD/hEDS patients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64]</w:t>
      </w:r>
      <w:r>
        <w:rPr>
          <w:rFonts w:ascii="Book Antiqua" w:hAnsi="Book Antiqua" w:cstheme="minorHAnsi"/>
          <w:sz w:val="24"/>
          <w:szCs w:val="24"/>
        </w:rPr>
        <w:t xml:space="preserve">. </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b/>
          <w:bCs/>
          <w:sz w:val="24"/>
          <w:szCs w:val="24"/>
        </w:rPr>
      </w:pPr>
      <w:r>
        <w:rPr>
          <w:rFonts w:ascii="Book Antiqua" w:hAnsi="Book Antiqua" w:cstheme="minorHAnsi"/>
          <w:b/>
          <w:bCs/>
          <w:i/>
          <w:iCs/>
          <w:sz w:val="24"/>
          <w:szCs w:val="24"/>
        </w:rPr>
        <w:t xml:space="preserve">Genetic factors </w:t>
      </w:r>
    </w:p>
    <w:p>
      <w:pPr>
        <w:pStyle w:val="30"/>
        <w:spacing w:line="360" w:lineRule="auto"/>
        <w:jc w:val="both"/>
        <w:rPr>
          <w:rFonts w:ascii="Book Antiqua" w:hAnsi="Book Antiqua" w:cstheme="minorHAnsi"/>
          <w:i/>
          <w:iCs/>
          <w:sz w:val="24"/>
          <w:szCs w:val="24"/>
        </w:rPr>
      </w:pPr>
      <w:r>
        <w:rPr>
          <w:rFonts w:ascii="Book Antiqua" w:hAnsi="Book Antiqua" w:cstheme="minorHAnsi"/>
          <w:sz w:val="24"/>
          <w:szCs w:val="24"/>
        </w:rPr>
        <w:t>The relationship with pain is more nuanced; rates of psychiatric disorder are higher for HSD/hEDS than for other chronic pain conditions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13]</w:t>
      </w:r>
      <w:r>
        <w:rPr>
          <w:rFonts w:ascii="Book Antiqua" w:hAnsi="Book Antiqua" w:cstheme="minorHAnsi"/>
          <w:sz w:val="24"/>
          <w:szCs w:val="24"/>
        </w:rPr>
        <w:t>. Thus, psychosocial theories fail to explain the full extent of all associations between hypermobility and psychopathological distress. This is particularly evident when considering neurodevelopmental disorders and in individuals with seemingly expressing sub-syndromic and isolated hypermobility. Instead, alternate theories propose that a common set of pathological mechanisms fundamentally predispose to the expression of both hypermobility and psychopathological symptoms (for example, as genetic pleiotropy).</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There is interesting evidence from animals: Hypermobility is linked to exaggerated reactivity of behavioural/emotional arousal and excitability in dogs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82]</w:t>
      </w:r>
      <w:r>
        <w:rPr>
          <w:rFonts w:ascii="Book Antiqua" w:hAnsi="Book Antiqua" w:cstheme="minorHAnsi"/>
          <w:sz w:val="24"/>
          <w:szCs w:val="24"/>
        </w:rPr>
        <w:t>. This finding suggests that the link between joint hypermobility and the affective control of bodily arousal is a universal transdiagnostic trait in mammals, influencing the expression of anxiety and behavioural responses. Moreover, such findings argue against conscious awareness and social implications of living with physical symptoms as a primary driver for the raised levels of psychopathology associated with hypermobility.</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Genetic and/or early environmental influences are suggested by the increased risk of psychiatric disorders observed in the (unaffected) first-degree relatives of HSD/hEDS patients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23]</w:t>
      </w:r>
      <w:r>
        <w:rPr>
          <w:rFonts w:ascii="Book Antiqua" w:hAnsi="Book Antiqua" w:cstheme="minorHAnsi"/>
          <w:sz w:val="24"/>
          <w:szCs w:val="24"/>
        </w:rPr>
        <w:t>. However, unlike other heritable disorders of connective tissue and EDS subtypes, genetic origins for HSD/hEDS remain poorly understood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w:t>
      </w:r>
      <w:r>
        <w:rPr>
          <w:rFonts w:ascii="Book Antiqua" w:hAnsi="Book Antiqua" w:cstheme="minorHAnsi"/>
          <w:sz w:val="24"/>
          <w:szCs w:val="24"/>
        </w:rPr>
        <w:t>. Previous identification of a genetic anomaly common to both anxiety and hypermobility, a duplication within chromosome 15, failed confirmation in subsequent studies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83]</w:t>
      </w:r>
      <w:r>
        <w:rPr>
          <w:rFonts w:ascii="Book Antiqua" w:hAnsi="Book Antiqua" w:cstheme="minorHAnsi"/>
          <w:sz w:val="24"/>
          <w:szCs w:val="24"/>
        </w:rPr>
        <w:t xml:space="preserve">. A promising link has been noted between EDS and the gene TNXb (6p21.33), encoding the extracellular matrix glycoprotein </w:t>
      </w:r>
      <w:r>
        <w:rPr>
          <w:rFonts w:ascii="Book Antiqua" w:hAnsi="Book Antiqua" w:cstheme="minorHAnsi"/>
          <w:i/>
          <w:iCs/>
          <w:sz w:val="24"/>
          <w:szCs w:val="24"/>
        </w:rPr>
        <w:t>Tenascin-XB</w:t>
      </w:r>
      <w:r>
        <w:rPr>
          <w:rFonts w:ascii="Book Antiqua" w:hAnsi="Book Antiqua" w:cstheme="minorHAnsi"/>
          <w:sz w:val="24"/>
          <w:szCs w:val="24"/>
        </w:rPr>
        <w:t>, which is directly involved in connective tissue structure</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84]</w:t>
      </w:r>
      <w:r>
        <w:rPr>
          <w:rFonts w:ascii="Book Antiqua" w:hAnsi="Book Antiqua" w:cstheme="minorHAnsi"/>
          <w:sz w:val="24"/>
          <w:szCs w:val="24"/>
        </w:rPr>
        <w:t>. This molecule was recently identified as integral in enteric motor neurons and influencing nociceptive sensory neurons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85]</w:t>
      </w:r>
      <w:r>
        <w:rPr>
          <w:rFonts w:ascii="Book Antiqua" w:hAnsi="Book Antiqua" w:cstheme="minorHAnsi"/>
          <w:sz w:val="24"/>
          <w:szCs w:val="24"/>
        </w:rPr>
        <w:t xml:space="preserve"> and is expressed in the brain, suggesting further roles within the central nervous system. The extracellular matrix plays a critical role in both variant connective tissue and central nervous system development, and so alterations could predispose to abnormalities across central and peripheral systems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86]</w:t>
      </w:r>
      <w:r>
        <w:rPr>
          <w:rFonts w:ascii="Book Antiqua" w:hAnsi="Book Antiqua" w:cstheme="minorHAnsi"/>
          <w:sz w:val="24"/>
          <w:szCs w:val="24"/>
        </w:rPr>
        <w:t xml:space="preserve">. </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b/>
          <w:bCs/>
          <w:i/>
          <w:iCs/>
          <w:sz w:val="24"/>
          <w:szCs w:val="24"/>
        </w:rPr>
      </w:pPr>
      <w:r>
        <w:rPr>
          <w:rFonts w:ascii="Book Antiqua" w:hAnsi="Book Antiqua" w:cstheme="minorHAnsi"/>
          <w:b/>
          <w:bCs/>
          <w:i/>
          <w:iCs/>
          <w:sz w:val="24"/>
          <w:szCs w:val="24"/>
        </w:rPr>
        <w:t>Autonomic dysregulation and interoception</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HSD/hEDS frequently co-occurs with autonomic dysfunction commonly experienced as symptoms of orthostatic intolerance and, in severe cases,</w:t>
      </w:r>
      <w:r>
        <w:rPr>
          <w:rFonts w:ascii="Book Antiqua" w:hAnsi="Book Antiqua" w:cstheme="minorHAnsi"/>
          <w:sz w:val="24"/>
          <w:szCs w:val="24"/>
          <w:lang w:eastAsia="zh-CN"/>
        </w:rPr>
        <w:t xml:space="preserve"> </w:t>
      </w:r>
      <w:r>
        <w:rPr>
          <w:rFonts w:ascii="Book Antiqua" w:hAnsi="Book Antiqua" w:cstheme="minorHAnsi"/>
          <w:sz w:val="24"/>
          <w:szCs w:val="24"/>
        </w:rPr>
        <w:t>PoTS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87]</w:t>
      </w:r>
      <w:r>
        <w:rPr>
          <w:rFonts w:ascii="Book Antiqua" w:hAnsi="Book Antiqua" w:cstheme="minorHAnsi"/>
          <w:sz w:val="24"/>
          <w:szCs w:val="24"/>
        </w:rPr>
        <w:t>. The diagnosis of PoTS focuses on the characteristic elevation of heart rate during postural change and accompanying orthostatic intolerance</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88]</w:t>
      </w:r>
      <w:r>
        <w:rPr>
          <w:rFonts w:ascii="Book Antiqua" w:hAnsi="Book Antiqua" w:cstheme="minorHAnsi"/>
          <w:sz w:val="24"/>
          <w:szCs w:val="24"/>
        </w:rPr>
        <w:t>. The widespread presence of variant connective tissue is implicated as one potential physiological mechanism for the overlap between HSD/hEDS and dysautonomia. Within blood vessels, more compliant connective tissue may cause abnormal vascular reactivity, notably increased venous pooling on standing, which reduces venous return.</w:t>
      </w:r>
      <w:r>
        <w:rPr>
          <w:rFonts w:ascii="Book Antiqua" w:hAnsi="Book Antiqua" w:cstheme="minorHAnsi"/>
          <w:sz w:val="24"/>
          <w:szCs w:val="24"/>
          <w:lang w:eastAsia="zh-CN"/>
        </w:rPr>
        <w:t xml:space="preserve"> </w:t>
      </w:r>
      <w:r>
        <w:rPr>
          <w:rFonts w:ascii="Book Antiqua" w:hAnsi="Book Antiqua" w:cstheme="minorHAnsi"/>
          <w:sz w:val="24"/>
          <w:szCs w:val="24"/>
        </w:rPr>
        <w:t>Heart rate acceleration and a secondary hyperadrenergic state would thus result</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87]</w:t>
      </w:r>
      <w:r>
        <w:rPr>
          <w:rFonts w:ascii="Book Antiqua" w:hAnsi="Book Antiqua" w:cstheme="minorHAnsi"/>
          <w:sz w:val="24"/>
          <w:szCs w:val="24"/>
        </w:rPr>
        <w:t xml:space="preserve">.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There is significant phenomenological overlap between symptoms of anxiety and panic and the symptoms of autonomic disfunction in orthostatic intolerance and PoTS: Physical symptoms include palpitations, breathlessness and dizziness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88]</w:t>
      </w:r>
      <w:r>
        <w:rPr>
          <w:rFonts w:ascii="Book Antiqua" w:hAnsi="Book Antiqua" w:cstheme="minorHAnsi"/>
          <w:sz w:val="24"/>
          <w:szCs w:val="24"/>
        </w:rPr>
        <w:t>, and these themselves could trigger and amplify anxiety states or be misperceived or diagnosed as panic attacks. Enhanced bodily awareness (described below) may be both a consequence and maintaining factor for such experiences, since altered autonomic reactivity will influence emotional state and vulnerability to psychiatric disorders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89]</w:t>
      </w:r>
      <w:r>
        <w:rPr>
          <w:rFonts w:ascii="Book Antiqua" w:hAnsi="Book Antiqua" w:cstheme="minorHAnsi"/>
          <w:sz w:val="24"/>
          <w:szCs w:val="24"/>
        </w:rPr>
        <w:t>. Autonomic dysfunction is also demonstrable in children with neurodevelopmental conditions linked to hypermobility, notably ASD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90]</w:t>
      </w:r>
      <w:r>
        <w:rPr>
          <w:rFonts w:ascii="Book Antiqua" w:hAnsi="Book Antiqua" w:cstheme="minorHAnsi"/>
          <w:sz w:val="24"/>
          <w:szCs w:val="24"/>
        </w:rPr>
        <w:t xml:space="preserve"> and ADHD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91]</w:t>
      </w:r>
      <w:r>
        <w:rPr>
          <w:rFonts w:ascii="Book Antiqua" w:hAnsi="Book Antiqua" w:cstheme="minorHAnsi"/>
          <w:sz w:val="24"/>
          <w:szCs w:val="24"/>
        </w:rPr>
        <w:t>. Again, there is symptomatic overlap between PoTS and ASD in both affective symptoms and sensory sensitivities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34]</w:t>
      </w:r>
      <w:r>
        <w:rPr>
          <w:rFonts w:ascii="Book Antiqua" w:hAnsi="Book Antiqua" w:cstheme="minorHAnsi"/>
          <w:sz w:val="24"/>
          <w:szCs w:val="24"/>
        </w:rPr>
        <w:t xml:space="preserve">. The causal relationship between altered autonomic function and neurodevelopmental phenotypes remains unclear but evidence for an interactive association continues to grow. </w:t>
      </w:r>
    </w:p>
    <w:p>
      <w:pPr>
        <w:pStyle w:val="30"/>
        <w:spacing w:line="360" w:lineRule="auto"/>
        <w:ind w:firstLine="240" w:firstLineChars="100"/>
        <w:jc w:val="both"/>
        <w:rPr>
          <w:rFonts w:ascii="Book Antiqua" w:hAnsi="Book Antiqua" w:cstheme="minorHAnsi"/>
          <w:color w:val="FF0000"/>
          <w:sz w:val="24"/>
          <w:szCs w:val="24"/>
        </w:rPr>
      </w:pPr>
      <w:r>
        <w:rPr>
          <w:rFonts w:ascii="Book Antiqua" w:hAnsi="Book Antiqua" w:cstheme="minorHAnsi"/>
          <w:sz w:val="24"/>
          <w:szCs w:val="24"/>
        </w:rPr>
        <w:t>Interoception refers to the afferent signalling to brain of changes in the internal physiological state of the body, and the perception of these changes. Interoceptive signals therefore represent the sensory limb of autonomic control loops (</w:t>
      </w:r>
      <w:r>
        <w:rPr>
          <w:rFonts w:ascii="Book Antiqua" w:hAnsi="Book Antiqua" w:cstheme="minorHAnsi"/>
          <w:i/>
          <w:iCs/>
          <w:sz w:val="24"/>
          <w:szCs w:val="24"/>
        </w:rPr>
        <w:t>e.g.</w:t>
      </w:r>
      <w:r>
        <w:rPr>
          <w:rFonts w:ascii="Book Antiqua" w:hAnsi="Book Antiqua" w:cstheme="minorHAnsi"/>
          <w:i/>
          <w:iCs/>
          <w:sz w:val="24"/>
          <w:szCs w:val="24"/>
          <w:lang w:val="en-US" w:eastAsia="zh-CN"/>
        </w:rPr>
        <w:t>,</w:t>
      </w:r>
      <w:r>
        <w:rPr>
          <w:rFonts w:ascii="Book Antiqua" w:hAnsi="Book Antiqua" w:cstheme="minorHAnsi"/>
          <w:sz w:val="24"/>
          <w:szCs w:val="24"/>
        </w:rPr>
        <w:t xml:space="preserve"> the baroreflex), yet also reach perceptual awareness as physiological feelings including palpitations, nausea and arousal. In this way, interoceptive signals can guide motivation behaviour and are fundamental components of emotional feeling states. Central interoceptive representation and/or misinterpretation of dysregulated peripheral autonomic function may underpin the generation of a range of symptoms associated with hypermobility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92]</w:t>
      </w:r>
      <w:r>
        <w:rPr>
          <w:rFonts w:ascii="Book Antiqua" w:hAnsi="Book Antiqua" w:cstheme="minorHAnsi"/>
          <w:sz w:val="24"/>
          <w:szCs w:val="24"/>
        </w:rPr>
        <w:t>. Dysregulated interoceptive processes are implicated in the expression of specific psychiatric symptoms, particularly anxiety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92]</w:t>
      </w:r>
      <w:r>
        <w:rPr>
          <w:rFonts w:ascii="Book Antiqua" w:hAnsi="Book Antiqua" w:cstheme="minorHAnsi"/>
          <w:sz w:val="24"/>
          <w:szCs w:val="24"/>
        </w:rPr>
        <w:t>. Hypermobile individuals demonstrate enhanced subjective sensitivity to internal bodily sensations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93]</w:t>
      </w:r>
      <w:r>
        <w:rPr>
          <w:rFonts w:ascii="Book Antiqua" w:hAnsi="Book Antiqua" w:cstheme="minorHAnsi"/>
          <w:sz w:val="24"/>
          <w:szCs w:val="24"/>
        </w:rPr>
        <w:t xml:space="preserve"> and in more objective measures of detecting interoceptive signals.</w:t>
      </w:r>
      <w:r>
        <w:rPr>
          <w:rFonts w:ascii="Book Antiqua" w:hAnsi="Book Antiqua" w:cstheme="minorHAnsi"/>
          <w:sz w:val="24"/>
          <w:szCs w:val="24"/>
          <w:lang w:eastAsia="zh-CN"/>
        </w:rPr>
        <w:t xml:space="preserve"> </w:t>
      </w:r>
      <w:r>
        <w:rPr>
          <w:rFonts w:ascii="Book Antiqua" w:hAnsi="Book Antiqua" w:cstheme="minorHAnsi"/>
          <w:sz w:val="24"/>
          <w:szCs w:val="24"/>
        </w:rPr>
        <w:t>These differences are shown to mediate the relationship between state anxiety and hypermobility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94]</w:t>
      </w:r>
      <w:r>
        <w:rPr>
          <w:rFonts w:ascii="Book Antiqua" w:hAnsi="Book Antiqua" w:cstheme="minorHAnsi"/>
          <w:sz w:val="24"/>
          <w:szCs w:val="24"/>
        </w:rPr>
        <w:t xml:space="preserve"> and offer a potential treatment target for intervention.</w:t>
      </w:r>
    </w:p>
    <w:p>
      <w:pPr>
        <w:pStyle w:val="30"/>
        <w:spacing w:line="360" w:lineRule="auto"/>
        <w:ind w:firstLine="240" w:firstLineChars="100"/>
        <w:jc w:val="both"/>
        <w:rPr>
          <w:rFonts w:ascii="Book Antiqua" w:hAnsi="Book Antiqua" w:cstheme="minorHAnsi"/>
          <w:sz w:val="24"/>
          <w:szCs w:val="24"/>
          <w:lang w:eastAsia="zh-CN"/>
        </w:rPr>
      </w:pPr>
      <w:r>
        <w:rPr>
          <w:rFonts w:ascii="Book Antiqua" w:hAnsi="Book Antiqua" w:cstheme="minorHAnsi"/>
          <w:sz w:val="24"/>
          <w:szCs w:val="24"/>
        </w:rPr>
        <w:t>Neuroimaging studies in hypermobile individuals reveal structural</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93]</w:t>
      </w:r>
      <w:r>
        <w:rPr>
          <w:rFonts w:ascii="Book Antiqua" w:hAnsi="Book Antiqua" w:cstheme="minorHAnsi"/>
          <w:sz w:val="24"/>
          <w:szCs w:val="24"/>
        </w:rPr>
        <w:t xml:space="preserve"> and functional brain differences</w:t>
      </w:r>
      <w:r>
        <w:rPr>
          <w:rFonts w:ascii="Book Antiqua" w:hAnsi="Book Antiqua" w:cstheme="minorHAnsi"/>
          <w:sz w:val="24"/>
          <w:szCs w:val="24"/>
          <w:vertAlign w:val="superscript"/>
        </w:rPr>
        <w:t>[94]</w:t>
      </w:r>
      <w:r>
        <w:rPr>
          <w:rFonts w:ascii="Book Antiqua" w:hAnsi="Book Antiqua" w:cstheme="minorHAnsi"/>
          <w:sz w:val="24"/>
          <w:szCs w:val="24"/>
        </w:rPr>
        <w:t xml:space="preserve"> notably within brain systems critical to emotional processing and anxiety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95]</w:t>
      </w:r>
      <w:r>
        <w:rPr>
          <w:rFonts w:ascii="Book Antiqua" w:hAnsi="Book Antiqua" w:cstheme="minorHAnsi"/>
          <w:sz w:val="24"/>
          <w:szCs w:val="24"/>
        </w:rPr>
        <w:t>, including regions such as insular cortex, that are also specifically implicated in interoceptive representation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94</w:t>
      </w:r>
      <w:r>
        <w:rPr>
          <w:rFonts w:ascii="Book Antiqua" w:hAnsi="Book Antiqua" w:cstheme="minorHAnsi"/>
          <w:sz w:val="24"/>
          <w:szCs w:val="24"/>
        </w:rPr>
        <w:t>. However, much of this work has been conducted in sub-clinical cohorts. While findings endorse a potential autonomic/interoceptive basis to vulnerability to anxiety and other neuropsychiatric symptoms, further work is needed to map these relationships in patients with psychiatric disorders in the context of hypermobility and to dissect levels of putative interoceptive dysfunction.</w:t>
      </w:r>
      <w:r>
        <w:rPr>
          <w:rFonts w:ascii="Book Antiqua" w:hAnsi="Book Antiqua" w:cstheme="minorHAnsi"/>
          <w:sz w:val="24"/>
          <w:szCs w:val="24"/>
          <w:lang w:eastAsia="zh-CN"/>
        </w:rPr>
        <w:t xml:space="preserve"> </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b/>
          <w:bCs/>
          <w:i/>
          <w:iCs/>
          <w:sz w:val="24"/>
          <w:szCs w:val="24"/>
        </w:rPr>
      </w:pPr>
      <w:r>
        <w:rPr>
          <w:rFonts w:ascii="Book Antiqua" w:hAnsi="Book Antiqua" w:cstheme="minorHAnsi"/>
          <w:b/>
          <w:bCs/>
          <w:i/>
          <w:iCs/>
          <w:sz w:val="24"/>
          <w:szCs w:val="24"/>
        </w:rPr>
        <w:t xml:space="preserve">Immune dysregulation </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Extensive bi-directional communication exists between the brain and the immune system and, increasingly, immune mechanisms are implicated in the pathogenesis of psychiatric disorders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96]</w:t>
      </w:r>
      <w:r>
        <w:rPr>
          <w:rFonts w:ascii="Book Antiqua" w:hAnsi="Book Antiqua" w:cstheme="minorHAnsi"/>
          <w:sz w:val="24"/>
          <w:szCs w:val="24"/>
        </w:rPr>
        <w:t>. A specific association appears to exist between immune system and hypermobility:</w:t>
      </w:r>
      <w:r>
        <w:rPr>
          <w:rFonts w:ascii="Book Antiqua" w:hAnsi="Book Antiqua" w:cstheme="minorHAnsi"/>
          <w:sz w:val="24"/>
          <w:szCs w:val="24"/>
          <w:lang w:eastAsia="zh-CN"/>
        </w:rPr>
        <w:t xml:space="preserve"> </w:t>
      </w:r>
      <w:r>
        <w:rPr>
          <w:rFonts w:ascii="Book Antiqua" w:hAnsi="Book Antiqua" w:cstheme="minorHAnsi"/>
          <w:sz w:val="24"/>
          <w:szCs w:val="24"/>
        </w:rPr>
        <w:t>Mast cell related disorders (giving allergy-like symptoms often across multiple organ systems) are commonly reported in patients with EDS/hEDS, highlighting a deep interrelationship between connective tissue and immune function occurring across genetic, molecular and physiological levels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97]</w:t>
      </w:r>
      <w:r>
        <w:rPr>
          <w:rFonts w:ascii="Book Antiqua" w:hAnsi="Book Antiqua" w:cstheme="minorHAnsi"/>
          <w:sz w:val="24"/>
          <w:szCs w:val="24"/>
        </w:rPr>
        <w:t>. The concurrent expression of connective tissue impairments and immune dysfunction is speculated to influence vulnerability to psychiatric disorders. This may extend to neurodevelopmental disorders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34]</w:t>
      </w:r>
      <w:r>
        <w:rPr>
          <w:rFonts w:ascii="Book Antiqua" w:hAnsi="Book Antiqua" w:cstheme="minorHAnsi"/>
          <w:sz w:val="24"/>
          <w:szCs w:val="24"/>
        </w:rPr>
        <w:t>, as recent evidence highlights immune dysregulation in ASD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98]</w:t>
      </w:r>
      <w:r>
        <w:rPr>
          <w:rFonts w:ascii="Book Antiqua" w:hAnsi="Book Antiqua" w:cstheme="minorHAnsi"/>
          <w:sz w:val="24"/>
          <w:szCs w:val="24"/>
        </w:rPr>
        <w:t>.</w:t>
      </w:r>
    </w:p>
    <w:p>
      <w:pPr>
        <w:pStyle w:val="30"/>
        <w:spacing w:line="360" w:lineRule="auto"/>
        <w:jc w:val="both"/>
        <w:rPr>
          <w:rFonts w:ascii="Book Antiqua" w:hAnsi="Book Antiqua" w:cstheme="minorHAnsi"/>
          <w:sz w:val="24"/>
          <w:szCs w:val="24"/>
          <w:u w:val="single"/>
        </w:rPr>
      </w:pPr>
    </w:p>
    <w:p>
      <w:pPr>
        <w:pStyle w:val="30"/>
        <w:spacing w:line="360" w:lineRule="auto"/>
        <w:jc w:val="both"/>
        <w:rPr>
          <w:rFonts w:ascii="Book Antiqua" w:hAnsi="Book Antiqua" w:cstheme="minorHAnsi"/>
          <w:b/>
          <w:bCs/>
          <w:i/>
          <w:iCs/>
          <w:sz w:val="24"/>
          <w:szCs w:val="24"/>
          <w:lang w:eastAsia="zh-CN"/>
        </w:rPr>
      </w:pPr>
      <w:r>
        <w:rPr>
          <w:rFonts w:ascii="Book Antiqua" w:hAnsi="Book Antiqua" w:cstheme="minorHAnsi"/>
          <w:b/>
          <w:bCs/>
          <w:i/>
          <w:iCs/>
          <w:sz w:val="24"/>
          <w:szCs w:val="24"/>
        </w:rPr>
        <w:t>Proprioceptive abnormalities</w:t>
      </w:r>
      <w:r>
        <w:rPr>
          <w:rFonts w:ascii="Book Antiqua" w:hAnsi="Book Antiqua" w:cstheme="minorHAnsi"/>
          <w:b/>
          <w:bCs/>
          <w:i/>
          <w:iCs/>
          <w:sz w:val="24"/>
          <w:szCs w:val="24"/>
          <w:lang w:eastAsia="zh-CN"/>
        </w:rPr>
        <w:t xml:space="preserve"> </w:t>
      </w:r>
    </w:p>
    <w:p>
      <w:pPr>
        <w:pStyle w:val="30"/>
        <w:spacing w:line="360" w:lineRule="auto"/>
        <w:jc w:val="both"/>
        <w:rPr>
          <w:rFonts w:ascii="Book Antiqua" w:hAnsi="Book Antiqua" w:cstheme="minorHAnsi"/>
          <w:sz w:val="24"/>
          <w:szCs w:val="24"/>
          <w:u w:val="single"/>
        </w:rPr>
      </w:pPr>
      <w:r>
        <w:rPr>
          <w:rFonts w:ascii="Book Antiqua" w:hAnsi="Book Antiqua" w:cstheme="minorHAnsi"/>
          <w:sz w:val="24"/>
          <w:szCs w:val="24"/>
        </w:rPr>
        <w:t>Abnormal proprioception is observed in both hypermobility and neurodevelopmental disorders and may account for their association</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38]</w:t>
      </w:r>
      <w:r>
        <w:rPr>
          <w:rFonts w:ascii="Book Antiqua" w:hAnsi="Book Antiqua" w:cstheme="minorHAnsi"/>
          <w:sz w:val="24"/>
          <w:szCs w:val="24"/>
        </w:rPr>
        <w:t>.</w:t>
      </w:r>
      <w:r>
        <w:rPr>
          <w:rFonts w:ascii="Book Antiqua" w:hAnsi="Book Antiqua" w:cstheme="minorHAnsi"/>
          <w:sz w:val="24"/>
          <w:szCs w:val="24"/>
          <w:lang w:eastAsia="zh-CN"/>
        </w:rPr>
        <w:t xml:space="preserve"> </w:t>
      </w:r>
      <w:r>
        <w:rPr>
          <w:rFonts w:ascii="Book Antiqua" w:hAnsi="Book Antiqua" w:cstheme="minorHAnsi"/>
          <w:sz w:val="24"/>
          <w:szCs w:val="24"/>
        </w:rPr>
        <w:t>Symptoms of both are present from early in childhood and appear highly heritable. Impaired proprioception particularly affects the lower limbs of children and adults with HSD/hEDS</w:t>
      </w:r>
      <w:r>
        <w:rPr>
          <w:rFonts w:ascii="Book Antiqua" w:hAnsi="Book Antiqua" w:cstheme="minorHAnsi"/>
          <w:sz w:val="24"/>
          <w:szCs w:val="24"/>
          <w:vertAlign w:val="superscript"/>
          <w:lang w:eastAsia="zh-CN"/>
        </w:rPr>
        <w:t>[99</w:t>
      </w:r>
      <w:r>
        <w:rPr>
          <w:rFonts w:ascii="Book Antiqua" w:hAnsi="Book Antiqua" w:cstheme="minorHAnsi"/>
          <w:sz w:val="24"/>
          <w:szCs w:val="24"/>
          <w:vertAlign w:val="superscript"/>
        </w:rPr>
        <w:t>]</w:t>
      </w:r>
      <w:r>
        <w:rPr>
          <w:rFonts w:ascii="Book Antiqua" w:hAnsi="Book Antiqua" w:cstheme="minorHAnsi"/>
          <w:sz w:val="24"/>
          <w:szCs w:val="24"/>
          <w:lang w:eastAsia="en-GB"/>
        </w:rPr>
        <w:t xml:space="preserve"> and often leads to issues with coordination, balance, clumsiness and motor problems. Poor </w:t>
      </w:r>
      <w:r>
        <w:rPr>
          <w:rFonts w:ascii="Book Antiqua" w:hAnsi="Book Antiqua" w:cstheme="minorHAnsi"/>
          <w:sz w:val="24"/>
          <w:szCs w:val="24"/>
        </w:rPr>
        <w:t>proprioception may directly account for the relationship between hypermobility and DCD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100]</w:t>
      </w:r>
      <w:r>
        <w:rPr>
          <w:rFonts w:ascii="Book Antiqua" w:hAnsi="Book Antiqua" w:cstheme="minorHAnsi"/>
          <w:sz w:val="24"/>
          <w:szCs w:val="24"/>
        </w:rPr>
        <w:t>. Moreover, it is speculated that maintaining motor competences despite impaired proprioceptive function may overload executive functions and compete for attentional resources. This may in turn reinforce inattention in ADHD</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101]</w:t>
      </w:r>
      <w:r>
        <w:rPr>
          <w:rFonts w:ascii="Book Antiqua" w:hAnsi="Book Antiqua" w:cstheme="minorHAnsi"/>
          <w:sz w:val="24"/>
          <w:szCs w:val="24"/>
        </w:rPr>
        <w:t>, and could further impact the timely acquisition of social and communication skills, thereby exacerbating ASD traits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34]</w:t>
      </w:r>
      <w:r>
        <w:rPr>
          <w:rFonts w:ascii="Book Antiqua" w:hAnsi="Book Antiqua" w:cstheme="minorHAnsi"/>
          <w:sz w:val="24"/>
          <w:szCs w:val="24"/>
        </w:rPr>
        <w:t>.</w:t>
      </w:r>
    </w:p>
    <w:p>
      <w:pPr>
        <w:pStyle w:val="30"/>
        <w:spacing w:line="360" w:lineRule="auto"/>
        <w:jc w:val="both"/>
        <w:rPr>
          <w:rFonts w:ascii="Book Antiqua" w:hAnsi="Book Antiqua" w:cstheme="minorHAnsi"/>
          <w:b/>
          <w:bCs/>
          <w:sz w:val="24"/>
          <w:szCs w:val="24"/>
          <w:u w:val="single"/>
        </w:rPr>
      </w:pPr>
    </w:p>
    <w:p>
      <w:pPr>
        <w:pStyle w:val="30"/>
        <w:spacing w:line="360" w:lineRule="auto"/>
        <w:jc w:val="both"/>
        <w:rPr>
          <w:rFonts w:ascii="Book Antiqua" w:hAnsi="Book Antiqua" w:cstheme="minorHAnsi"/>
          <w:b/>
          <w:bCs/>
          <w:i/>
          <w:sz w:val="24"/>
          <w:szCs w:val="24"/>
        </w:rPr>
      </w:pPr>
      <w:r>
        <w:rPr>
          <w:rFonts w:ascii="Book Antiqua" w:hAnsi="Book Antiqua" w:cstheme="minorHAnsi"/>
          <w:b/>
          <w:bCs/>
          <w:i/>
          <w:sz w:val="24"/>
          <w:szCs w:val="24"/>
        </w:rPr>
        <w:t xml:space="preserve">Implications for practice </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We echo other authors calling for widened awareness of the diverse manifestations of hypermobility, particularly in psychiatry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34]</w:t>
      </w:r>
      <w:r>
        <w:rPr>
          <w:rFonts w:ascii="Book Antiqua" w:hAnsi="Book Antiqua" w:cstheme="minorHAnsi"/>
          <w:sz w:val="24"/>
          <w:szCs w:val="24"/>
        </w:rPr>
        <w:t>. A recently proposed ‘neuroconnective phenotype’ model usefully describes the symptom profiles often expressed by people with hypermobility, including behavioural, psychopathological, somatic symptoms, somatosensory symptoms and somatic illness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11]</w:t>
      </w:r>
      <w:r>
        <w:rPr>
          <w:rFonts w:ascii="Book Antiqua" w:hAnsi="Book Antiqua" w:cstheme="minorHAnsi"/>
          <w:sz w:val="24"/>
          <w:szCs w:val="24"/>
        </w:rPr>
        <w:t>. Considering the evidence presented here, we recommend vigilance for potentially overlooked mental health symptoms within the plethora of difficulties faced by patients living with HSD/hEDS.</w:t>
      </w:r>
      <w:r>
        <w:rPr>
          <w:rFonts w:ascii="Book Antiqua" w:hAnsi="Book Antiqua" w:cstheme="minorHAnsi"/>
          <w:sz w:val="24"/>
          <w:szCs w:val="24"/>
          <w:lang w:eastAsia="zh-CN"/>
        </w:rPr>
        <w:t xml:space="preserve"> </w:t>
      </w:r>
      <w:r>
        <w:rPr>
          <w:rFonts w:ascii="Book Antiqua" w:hAnsi="Book Antiqua" w:cstheme="minorHAnsi"/>
          <w:sz w:val="24"/>
          <w:szCs w:val="24"/>
        </w:rPr>
        <w:t xml:space="preserve">These should be part of a holistic clinical formulation that can enable appropriate psychoeducation, referral to mental health services, prompt diagnosis and access to optimal treatments.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Alongside this, we recommend screening for hypermobility, particularly in those presenting with neurodevelopmental disorders, but also in other mental health presentations, notably of panic and anxiety, in the context of physical symptoms, since articular and extra-articular features are often present</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102]</w:t>
      </w:r>
      <w:r>
        <w:rPr>
          <w:rFonts w:ascii="Book Antiqua" w:hAnsi="Book Antiqua" w:cstheme="minorHAnsi"/>
          <w:sz w:val="24"/>
          <w:szCs w:val="24"/>
        </w:rPr>
        <w:t xml:space="preserve"> (Table 1). Simple screening using a 5-point questionnaire can detect hypermobility with high sensitivity and specificity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w:t>
      </w:r>
      <w:r>
        <w:rPr>
          <w:rFonts w:ascii="Book Antiqua" w:hAnsi="Book Antiqua" w:cstheme="minorHAnsi"/>
          <w:sz w:val="24"/>
          <w:szCs w:val="24"/>
        </w:rPr>
        <w:t xml:space="preserve"> (Table 2). Early assessment can prompt referral to specialist services and thus reduce delayed or misdiagnosis of HSD/hEDS. It also widens opportunities for early intervention to prevent progression of psychological as well as physical symptoms throughout the lifespan.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Currently, there no specific guidelines for the psychological or pharmacological management of psychiatric conditions in patients with HSD/hEDS. Nevertheless, considering the complex difficulties faced by these patients, we recommend multidisciplinary management across mental and physical health professionals, including early involvement of physiotherapy to facilitate improvement of proprioception and bodily awareness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19]</w:t>
      </w:r>
      <w:r>
        <w:rPr>
          <w:rFonts w:ascii="Book Antiqua" w:hAnsi="Book Antiqua" w:cstheme="minorHAnsi"/>
          <w:sz w:val="24"/>
          <w:szCs w:val="24"/>
        </w:rPr>
        <w:t>.</w:t>
      </w:r>
    </w:p>
    <w:p>
      <w:pPr>
        <w:pStyle w:val="30"/>
        <w:spacing w:line="360" w:lineRule="auto"/>
        <w:jc w:val="both"/>
        <w:rPr>
          <w:rFonts w:ascii="Book Antiqua" w:hAnsi="Book Antiqua" w:cstheme="minorHAnsi"/>
          <w:b/>
          <w:bCs/>
          <w:sz w:val="24"/>
          <w:szCs w:val="24"/>
        </w:rPr>
      </w:pPr>
    </w:p>
    <w:p>
      <w:pPr>
        <w:pStyle w:val="30"/>
        <w:spacing w:line="360" w:lineRule="auto"/>
        <w:jc w:val="both"/>
        <w:rPr>
          <w:rFonts w:ascii="Book Antiqua" w:hAnsi="Book Antiqua" w:cstheme="minorHAnsi"/>
          <w:b/>
          <w:bCs/>
          <w:i/>
          <w:sz w:val="24"/>
          <w:szCs w:val="24"/>
        </w:rPr>
      </w:pPr>
      <w:r>
        <w:rPr>
          <w:rFonts w:ascii="Book Antiqua" w:hAnsi="Book Antiqua" w:cstheme="minorHAnsi"/>
          <w:b/>
          <w:bCs/>
          <w:i/>
          <w:sz w:val="24"/>
          <w:szCs w:val="24"/>
        </w:rPr>
        <w:t>Limitations</w:t>
      </w:r>
    </w:p>
    <w:p>
      <w:pPr>
        <w:pStyle w:val="30"/>
        <w:spacing w:line="360" w:lineRule="auto"/>
        <w:jc w:val="both"/>
        <w:rPr>
          <w:rFonts w:ascii="Book Antiqua" w:hAnsi="Book Antiqua" w:cstheme="minorHAnsi"/>
          <w:color w:val="FF0000"/>
          <w:sz w:val="24"/>
          <w:szCs w:val="24"/>
        </w:rPr>
      </w:pPr>
      <w:r>
        <w:rPr>
          <w:rFonts w:ascii="Book Antiqua" w:hAnsi="Book Antiqua" w:cstheme="minorHAnsi"/>
          <w:sz w:val="24"/>
          <w:szCs w:val="24"/>
        </w:rPr>
        <w:t>One considerable limitation in evaluating the growing evidence base describing the association between joint hypermobility and psychiatric disorder is the variable use of assessment tools to measure hypermobility.</w:t>
      </w:r>
      <w:r>
        <w:rPr>
          <w:rFonts w:ascii="Book Antiqua" w:hAnsi="Book Antiqua" w:cstheme="minorHAnsi"/>
          <w:sz w:val="24"/>
          <w:szCs w:val="24"/>
          <w:lang w:eastAsia="zh-CN"/>
        </w:rPr>
        <w:t xml:space="preserve"> </w:t>
      </w:r>
      <w:r>
        <w:rPr>
          <w:rFonts w:ascii="Book Antiqua" w:hAnsi="Book Antiqua" w:cstheme="minorHAnsi"/>
          <w:sz w:val="24"/>
          <w:szCs w:val="24"/>
        </w:rPr>
        <w:t>Specific genetic tests or biomarkers do not exist. The use of assorted self-report questionnaires and distinct clinical assessment scales is liable to subjective interpretation and observer dependence, limiting reliability. Furthermore, the application of age-dependent cut-off scores remains controversial. Our review has considered articles covering the whole spectrum of hypermobility and related disorders yet highlights the need for further disentangling research.</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 xml:space="preserve">Nevertheless, individuals with higher anxiety and more severe symptoms are more likely to seek medical attention, join patient support associations and participate in research studies, even among ‘non-clinical’ populations. Those recruited may be experiencing higher distress, and hence introduce sampling bias. Published studies may therefore overlook (and over-pathologise) the spectrum of hypermobility presentations. </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i/>
          <w:sz w:val="24"/>
          <w:szCs w:val="24"/>
        </w:rPr>
      </w:pPr>
      <w:r>
        <w:rPr>
          <w:rFonts w:ascii="Book Antiqua" w:hAnsi="Book Antiqua" w:cstheme="minorHAnsi"/>
          <w:b/>
          <w:bCs/>
          <w:i/>
          <w:sz w:val="24"/>
          <w:szCs w:val="24"/>
        </w:rPr>
        <w:t xml:space="preserve">Future research </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There is strong evidence linking the expression of mental health disorders to hypermobility as a signature of variant connective tissue. However, future research is needed to investigate the genetic, neural and psychophysiological mechanisms for such mind-body interactions. Longitudinal studies are needed to better identify which hypermobility individuals develop psychiatric symptoms or diagnoses to delineate contributions of precipitating, perpetuating, and preventative factors and map how these progress with time. Such fresh insights offer the potential for the implementation of early preventative strategies in at-risk individuals, minimising complications in later life.</w:t>
      </w:r>
    </w:p>
    <w:p>
      <w:pPr>
        <w:pStyle w:val="30"/>
        <w:spacing w:line="360" w:lineRule="auto"/>
        <w:ind w:firstLine="240" w:firstLineChars="100"/>
        <w:jc w:val="both"/>
        <w:rPr>
          <w:rFonts w:ascii="Book Antiqua" w:hAnsi="Book Antiqua" w:cstheme="minorHAnsi"/>
          <w:i/>
          <w:iCs/>
          <w:color w:val="FF0000"/>
          <w:sz w:val="24"/>
          <w:szCs w:val="24"/>
        </w:rPr>
      </w:pPr>
      <w:r>
        <w:rPr>
          <w:rFonts w:ascii="Book Antiqua" w:hAnsi="Book Antiqua" w:cstheme="minorHAnsi"/>
          <w:sz w:val="24"/>
          <w:szCs w:val="24"/>
        </w:rPr>
        <w:t>We argue that variant connective tissue contributes to the pathogenesis of mental health disorders: This likely represents an ‘endophenotype’; a measurable component along the pathway between phenotype and disease, an important emerging concept in neuropsychiatric research</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103]</w:t>
      </w:r>
      <w:r>
        <w:rPr>
          <w:rFonts w:ascii="Book Antiqua" w:hAnsi="Book Antiqua" w:cstheme="minorHAnsi"/>
          <w:sz w:val="24"/>
          <w:szCs w:val="24"/>
        </w:rPr>
        <w:t>. In this respect, hypermobility is clearly heritable, and presents with excess relative risk in relatives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23]</w:t>
      </w:r>
      <w:r>
        <w:rPr>
          <w:rFonts w:ascii="Book Antiqua" w:hAnsi="Book Antiqua" w:cstheme="minorHAnsi"/>
          <w:sz w:val="24"/>
          <w:szCs w:val="24"/>
        </w:rPr>
        <w:t>. In addition, its role has biological plausibility, is not state dependent, and is easily testable. However, there remains much to understand, not least how hypermobility is connected with candidate genes. In this context, across psychiatric disorders the presence of hypermobility could represent a phenotypic subgroup of patients</w:t>
      </w:r>
      <w:r>
        <w:rPr>
          <w:rFonts w:ascii="Book Antiqua" w:hAnsi="Book Antiqua" w:cstheme="minorHAnsi"/>
          <w:sz w:val="24"/>
          <w:szCs w:val="24"/>
          <w:vertAlign w:val="superscript"/>
        </w:rPr>
        <w:t>[103]</w:t>
      </w:r>
      <w:r>
        <w:rPr>
          <w:rFonts w:ascii="Book Antiqua" w:hAnsi="Book Antiqua" w:cstheme="minorHAnsi"/>
          <w:sz w:val="24"/>
          <w:szCs w:val="24"/>
        </w:rPr>
        <w:t xml:space="preserve">. Hypermobility may also act as a clinical marker for specific target symptoms </w:t>
      </w:r>
      <w:r>
        <w:rPr>
          <w:rFonts w:ascii="Book Antiqua" w:hAnsi="Book Antiqua" w:cstheme="minorHAnsi"/>
          <w:i/>
          <w:iCs/>
          <w:sz w:val="24"/>
          <w:szCs w:val="24"/>
        </w:rPr>
        <w:t>e.g</w:t>
      </w:r>
      <w:r>
        <w:rPr>
          <w:rFonts w:ascii="Book Antiqua" w:hAnsi="Book Antiqua" w:cstheme="minorHAnsi"/>
          <w:sz w:val="24"/>
          <w:szCs w:val="24"/>
        </w:rPr>
        <w:t>.</w:t>
      </w:r>
      <w:r>
        <w:rPr>
          <w:rFonts w:ascii="Book Antiqua" w:hAnsi="Book Antiqua" w:cstheme="minorHAnsi"/>
          <w:sz w:val="24"/>
          <w:szCs w:val="24"/>
          <w:lang w:val="en-US" w:eastAsia="zh-CN"/>
        </w:rPr>
        <w:t>,</w:t>
      </w:r>
      <w:r>
        <w:rPr>
          <w:rFonts w:ascii="Book Antiqua" w:hAnsi="Book Antiqua" w:cstheme="minorHAnsi"/>
          <w:sz w:val="24"/>
          <w:szCs w:val="24"/>
        </w:rPr>
        <w:t xml:space="preserve"> anxiety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16]</w:t>
      </w:r>
      <w:r>
        <w:rPr>
          <w:rFonts w:ascii="Book Antiqua" w:hAnsi="Book Antiqua" w:cstheme="minorHAnsi"/>
          <w:sz w:val="24"/>
          <w:szCs w:val="24"/>
        </w:rPr>
        <w:t>, as demonstrated in hypermobile patients with schizophrenia</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31]</w:t>
      </w:r>
      <w:r>
        <w:rPr>
          <w:rFonts w:ascii="Book Antiqua" w:hAnsi="Book Antiqua" w:cstheme="minorHAnsi"/>
          <w:sz w:val="24"/>
          <w:szCs w:val="24"/>
        </w:rPr>
        <w:t xml:space="preserve"> or for sensory hypersensitivities, </w:t>
      </w:r>
      <w:r>
        <w:rPr>
          <w:rFonts w:ascii="Book Antiqua" w:hAnsi="Book Antiqua" w:cstheme="minorHAnsi"/>
          <w:i/>
          <w:iCs/>
          <w:sz w:val="24"/>
          <w:szCs w:val="24"/>
        </w:rPr>
        <w:t>e.g</w:t>
      </w:r>
      <w:r>
        <w:rPr>
          <w:rFonts w:ascii="Book Antiqua" w:hAnsi="Book Antiqua" w:cstheme="minorHAnsi"/>
          <w:sz w:val="24"/>
          <w:szCs w:val="24"/>
        </w:rPr>
        <w:t>.</w:t>
      </w:r>
      <w:r>
        <w:rPr>
          <w:rFonts w:ascii="Book Antiqua" w:hAnsi="Book Antiqua" w:cstheme="minorHAnsi"/>
          <w:sz w:val="24"/>
          <w:szCs w:val="24"/>
          <w:lang w:val="en-US" w:eastAsia="zh-CN"/>
        </w:rPr>
        <w:t>,</w:t>
      </w:r>
      <w:r>
        <w:rPr>
          <w:rFonts w:ascii="Book Antiqua" w:hAnsi="Book Antiqua" w:cstheme="minorHAnsi"/>
          <w:sz w:val="24"/>
          <w:szCs w:val="24"/>
        </w:rPr>
        <w:t xml:space="preserve"> to olfactory stimuli in patients with panic disorder</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104]</w:t>
      </w:r>
      <w:r>
        <w:rPr>
          <w:rFonts w:ascii="Book Antiqua" w:hAnsi="Book Antiqua" w:cstheme="minorHAnsi"/>
          <w:sz w:val="24"/>
          <w:szCs w:val="24"/>
        </w:rPr>
        <w:t xml:space="preserve">. </w:t>
      </w:r>
    </w:p>
    <w:p>
      <w:pPr>
        <w:pStyle w:val="30"/>
        <w:spacing w:line="360" w:lineRule="auto"/>
        <w:ind w:firstLine="240" w:firstLineChars="100"/>
        <w:jc w:val="both"/>
        <w:rPr>
          <w:rFonts w:ascii="Book Antiqua" w:hAnsi="Book Antiqua" w:cstheme="minorHAnsi"/>
          <w:i/>
          <w:iCs/>
          <w:color w:val="FF0000"/>
          <w:sz w:val="24"/>
          <w:szCs w:val="24"/>
        </w:rPr>
      </w:pPr>
      <w:r>
        <w:rPr>
          <w:rFonts w:ascii="Book Antiqua" w:hAnsi="Book Antiqua" w:cstheme="minorHAnsi"/>
          <w:sz w:val="24"/>
          <w:szCs w:val="24"/>
        </w:rPr>
        <w:t>More research is also needed to determine if this patient subset responds differently to treatment, allowing for a ‘personalised medicine’ approach. For example, a dietary intervention (low FODMAP) for irritable bowel syndrome is reportedly more effective in hypermobile compared to non-hypermobile patients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105]</w:t>
      </w:r>
      <w:r>
        <w:rPr>
          <w:rFonts w:ascii="Book Antiqua" w:hAnsi="Book Antiqua" w:cstheme="minorHAnsi"/>
          <w:sz w:val="24"/>
          <w:szCs w:val="24"/>
        </w:rPr>
        <w:t>. Dysfunctional coping strategies are associated with hypermobility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33]</w:t>
      </w:r>
      <w:r>
        <w:rPr>
          <w:rFonts w:ascii="Book Antiqua" w:hAnsi="Book Antiqua" w:cstheme="minorHAnsi"/>
          <w:sz w:val="24"/>
          <w:szCs w:val="24"/>
        </w:rPr>
        <w:t>, so psychological approaches addressing these could prove beneficial. Anecdotally, sensitivity to unwanted drug side-effects is high in this group. The first randomised controlled trial of a targeted non-pharmacological therapy for anxiety in the context of hypermobility is currently ongoing, comparing modified interoceptive training to standard supportive treatment in individuals with hypermobility and anxiety</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106]</w:t>
      </w:r>
      <w:r>
        <w:rPr>
          <w:rFonts w:ascii="Book Antiqua" w:hAnsi="Book Antiqua" w:cstheme="minorHAnsi"/>
          <w:iCs/>
          <w:sz w:val="24"/>
          <w:szCs w:val="24"/>
        </w:rPr>
        <w:t>.</w:t>
      </w:r>
    </w:p>
    <w:p>
      <w:pPr>
        <w:pStyle w:val="30"/>
        <w:spacing w:line="360" w:lineRule="auto"/>
        <w:jc w:val="both"/>
        <w:rPr>
          <w:rFonts w:ascii="Book Antiqua" w:hAnsi="Book Antiqua" w:cstheme="minorHAnsi"/>
          <w:i/>
          <w:iCs/>
          <w:color w:val="FF0000"/>
          <w:sz w:val="24"/>
          <w:szCs w:val="24"/>
        </w:rPr>
      </w:pPr>
    </w:p>
    <w:p>
      <w:pPr>
        <w:pStyle w:val="30"/>
        <w:spacing w:line="360" w:lineRule="auto"/>
        <w:jc w:val="both"/>
        <w:rPr>
          <w:rFonts w:ascii="Book Antiqua" w:hAnsi="Book Antiqua" w:cstheme="minorHAnsi"/>
          <w:b/>
          <w:bCs/>
          <w:sz w:val="24"/>
          <w:szCs w:val="24"/>
        </w:rPr>
      </w:pPr>
      <w:r>
        <w:rPr>
          <w:rFonts w:ascii="Book Antiqua" w:hAnsi="Book Antiqua" w:cstheme="minorHAnsi"/>
          <w:b/>
          <w:bCs/>
          <w:sz w:val="24"/>
          <w:szCs w:val="24"/>
          <w:u w:val="single"/>
        </w:rPr>
        <w:t>CONCLUSION</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 xml:space="preserve">In conclusion, alongside the well-known link between hypermobility and anxiety, recognition of which has expanded across age groups, there is growing evidence of associations with depression, eating disorders, neurodevelopmental conditions and stress-sensitive medical conditions. There remains a paucity of evidence for links with schizophrenia and addictions. We recommend clinicians across different specialities are aware of the transdiagnostic nature of HSD/hEDS, which may present with both primary and secondary difficulties in psychological and physical domains. In particular, professionals encountering patients with mental health difficulties should consider the prospect of underlying hypermobility as a potential influence on neuropsychiatric symptom progression in this subgroup of patients. </w:t>
      </w:r>
    </w:p>
    <w:p>
      <w:pPr>
        <w:pStyle w:val="30"/>
        <w:spacing w:line="360" w:lineRule="auto"/>
        <w:ind w:firstLine="240" w:firstLineChars="100"/>
        <w:jc w:val="both"/>
        <w:rPr>
          <w:rFonts w:ascii="Book Antiqua" w:hAnsi="Book Antiqua" w:cstheme="minorHAnsi"/>
          <w:sz w:val="24"/>
          <w:szCs w:val="24"/>
        </w:rPr>
      </w:pPr>
      <w:r>
        <w:rPr>
          <w:rFonts w:ascii="Book Antiqua" w:hAnsi="Book Antiqua" w:cstheme="minorHAnsi"/>
          <w:sz w:val="24"/>
          <w:szCs w:val="24"/>
        </w:rPr>
        <w:t>While hypermobility and psychopathological attributes are conventionally considered distinct, their association affirms the pervasive interplay of mind, brain and body. Perceptions, emotions, cognitions and behaviours are dynamically coupled to the state of the body through both unconscious and conscious mechanisms</w:t>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89]</w:t>
      </w:r>
      <w:r>
        <w:rPr>
          <w:rFonts w:ascii="Book Antiqua" w:hAnsi="Book Antiqua" w:cstheme="minorHAnsi"/>
          <w:sz w:val="24"/>
          <w:szCs w:val="24"/>
        </w:rPr>
        <w:t xml:space="preserve">. Further investigation of the psychophysiological, cellular, molecular and genetic underpinnings of the link between hypermobility and psychiatric disorders may provide clinically relevant insights to improve recognition, identify treatment targets, and plan holistic management strategies across the lifespan that combine both psychiatric and somatic approaches. </w:t>
      </w:r>
    </w:p>
    <w:p>
      <w:pPr>
        <w:pStyle w:val="30"/>
        <w:spacing w:line="360" w:lineRule="auto"/>
        <w:jc w:val="both"/>
        <w:rPr>
          <w:rFonts w:ascii="Book Antiqua" w:hAnsi="Book Antiqua" w:cstheme="minorHAnsi"/>
          <w:b/>
          <w:bCs/>
          <w:sz w:val="24"/>
          <w:szCs w:val="24"/>
          <w:u w:val="single"/>
        </w:rPr>
      </w:pPr>
    </w:p>
    <w:p>
      <w:pPr>
        <w:pStyle w:val="30"/>
        <w:spacing w:line="360" w:lineRule="auto"/>
        <w:jc w:val="both"/>
        <w:rPr>
          <w:rFonts w:ascii="Book Antiqua" w:hAnsi="Book Antiqua" w:cstheme="minorHAnsi"/>
          <w:b/>
          <w:bCs/>
          <w:sz w:val="24"/>
          <w:szCs w:val="24"/>
          <w:u w:val="single"/>
        </w:rPr>
      </w:pPr>
      <w:r>
        <w:rPr>
          <w:rFonts w:ascii="Book Antiqua" w:hAnsi="Book Antiqua" w:cstheme="minorHAnsi"/>
          <w:b/>
          <w:bCs/>
          <w:sz w:val="24"/>
          <w:szCs w:val="24"/>
          <w:u w:val="single"/>
        </w:rPr>
        <w:t>ACKNOWLEDGEMENTS</w:t>
      </w:r>
    </w:p>
    <w:p>
      <w:pPr>
        <w:pStyle w:val="30"/>
        <w:spacing w:line="360" w:lineRule="auto"/>
        <w:jc w:val="both"/>
        <w:rPr>
          <w:rFonts w:ascii="Book Antiqua" w:hAnsi="Book Antiqua" w:cstheme="minorHAnsi"/>
          <w:sz w:val="24"/>
          <w:szCs w:val="24"/>
        </w:rPr>
      </w:pPr>
      <w:r>
        <w:rPr>
          <w:rFonts w:ascii="Book Antiqua" w:hAnsi="Book Antiqua" w:cstheme="minorHAnsi"/>
          <w:sz w:val="24"/>
          <w:szCs w:val="24"/>
        </w:rPr>
        <w:t xml:space="preserve">We wish to thank Professor Rodney Grahame, Professor Christopher Mathias, Dr. Valeria Iodice, Professor Antonio Bulbena and Dr. Baeza-Velasco for their inspiration for this paper. We are also grateful to the journal’s editors and to Rosie Mulgrue for proof-reading input. </w:t>
      </w:r>
    </w:p>
    <w:p>
      <w:pPr>
        <w:spacing w:line="360" w:lineRule="auto"/>
        <w:jc w:val="both"/>
        <w:rPr>
          <w:rFonts w:ascii="Book Antiqua" w:hAnsi="Book Antiqua" w:cstheme="minorHAnsi"/>
          <w:b/>
          <w:bCs/>
          <w:u w:val="single"/>
        </w:rPr>
      </w:pPr>
      <w:r>
        <w:rPr>
          <w:rFonts w:ascii="Book Antiqua" w:hAnsi="Book Antiqua" w:cstheme="minorHAnsi"/>
          <w:b/>
          <w:bCs/>
        </w:rPr>
        <w:br w:type="page"/>
      </w:r>
    </w:p>
    <w:p>
      <w:pPr>
        <w:spacing w:line="360" w:lineRule="auto"/>
        <w:jc w:val="both"/>
        <w:rPr>
          <w:rFonts w:ascii="Book Antiqua" w:hAnsi="Book Antiqua" w:cstheme="minorHAnsi"/>
          <w:b/>
          <w:bCs/>
        </w:rPr>
      </w:pPr>
      <w:r>
        <w:rPr>
          <w:rFonts w:ascii="Book Antiqua" w:hAnsi="Book Antiqua" w:cstheme="minorHAnsi"/>
          <w:b/>
          <w:bCs/>
        </w:rPr>
        <w:t>REFERENCES</w:t>
      </w:r>
    </w:p>
    <w:p>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Hakim A</w:t>
      </w:r>
      <w:r>
        <w:rPr>
          <w:rFonts w:ascii="Book Antiqua" w:hAnsi="Book Antiqua" w:cs="Book Antiqua"/>
        </w:rPr>
        <w:t xml:space="preserve">, Grahame R. Joint hypermobility. </w:t>
      </w:r>
      <w:r>
        <w:rPr>
          <w:rFonts w:ascii="Book Antiqua" w:hAnsi="Book Antiqua" w:cs="Book Antiqua"/>
          <w:i/>
          <w:iCs/>
        </w:rPr>
        <w:t>Best Pract Res Clin Rheumatol</w:t>
      </w:r>
      <w:r>
        <w:rPr>
          <w:rFonts w:ascii="Book Antiqua" w:hAnsi="Book Antiqua" w:cs="Book Antiqua"/>
        </w:rPr>
        <w:t xml:space="preserve"> 2003; </w:t>
      </w:r>
      <w:r>
        <w:rPr>
          <w:rFonts w:ascii="Book Antiqua" w:hAnsi="Book Antiqua" w:cs="Book Antiqua"/>
          <w:b/>
          <w:bCs/>
        </w:rPr>
        <w:t>17</w:t>
      </w:r>
      <w:r>
        <w:rPr>
          <w:rFonts w:ascii="Book Antiqua" w:hAnsi="Book Antiqua" w:cs="Book Antiqua"/>
        </w:rPr>
        <w:t>: 989-1004 [PMID: 15123047 DOI: 10.1016/j.berh.2003.08.001]</w:t>
      </w:r>
    </w:p>
    <w:p>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Remvig L</w:t>
      </w:r>
      <w:r>
        <w:rPr>
          <w:rFonts w:ascii="Book Antiqua" w:hAnsi="Book Antiqua" w:cs="Book Antiqua"/>
          <w:bCs/>
        </w:rPr>
        <w:t>,</w:t>
      </w:r>
      <w:r>
        <w:rPr>
          <w:rFonts w:ascii="Book Antiqua" w:hAnsi="Book Antiqua" w:cs="Book Antiqua"/>
        </w:rPr>
        <w:t xml:space="preserve"> Jensen DV, Ward RC. Epidemiology of general joint hypermobility and basis for the proposed criteria for benign joint hypermobility syndrome: review of the literature.</w:t>
      </w:r>
      <w:r>
        <w:rPr>
          <w:rFonts w:ascii="Book Antiqua" w:hAnsi="Book Antiqua" w:cs="Book Antiqua"/>
          <w:i/>
        </w:rPr>
        <w:t xml:space="preserve"> J Rheumatol </w:t>
      </w:r>
      <w:r>
        <w:rPr>
          <w:rFonts w:ascii="Book Antiqua" w:hAnsi="Book Antiqua" w:cs="Book Antiqua"/>
        </w:rPr>
        <w:t xml:space="preserve">2007; </w:t>
      </w:r>
      <w:r>
        <w:rPr>
          <w:rFonts w:ascii="Book Antiqua" w:hAnsi="Book Antiqua" w:cs="Book Antiqua"/>
          <w:b/>
        </w:rPr>
        <w:t>34</w:t>
      </w:r>
      <w:r>
        <w:rPr>
          <w:rFonts w:ascii="Book Antiqua" w:hAnsi="Book Antiqua" w:cs="Book Antiqua"/>
        </w:rPr>
        <w:t>: 804-809 [PMID: 17407233]</w:t>
      </w:r>
    </w:p>
    <w:p>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Castori M</w:t>
      </w:r>
      <w:r>
        <w:rPr>
          <w:rFonts w:ascii="Book Antiqua" w:hAnsi="Book Antiqua" w:cs="Book Antiqua"/>
        </w:rPr>
        <w:t xml:space="preserve">. Ehlers-danlos syndrome, hypermobility type: an underdiagnosed hereditary connective tissue disorder with mucocutaneous, articular, and systemic manifestations. </w:t>
      </w:r>
      <w:r>
        <w:rPr>
          <w:rFonts w:ascii="Book Antiqua" w:hAnsi="Book Antiqua" w:cs="Book Antiqua"/>
          <w:i/>
          <w:iCs/>
        </w:rPr>
        <w:t>ISRN Dermatol</w:t>
      </w:r>
      <w:r>
        <w:rPr>
          <w:rFonts w:ascii="Book Antiqua" w:hAnsi="Book Antiqua" w:cs="Book Antiqua"/>
        </w:rPr>
        <w:t xml:space="preserve"> 2012; </w:t>
      </w:r>
      <w:r>
        <w:rPr>
          <w:rFonts w:ascii="Book Antiqua" w:hAnsi="Book Antiqua" w:cs="Book Antiqua"/>
          <w:b/>
          <w:bCs/>
        </w:rPr>
        <w:t>2012</w:t>
      </w:r>
      <w:r>
        <w:rPr>
          <w:rFonts w:ascii="Book Antiqua" w:hAnsi="Book Antiqua" w:cs="Book Antiqua"/>
        </w:rPr>
        <w:t>: 751768 [PMID: 23227356 DOI: 10.5402/2012/751768]</w:t>
      </w:r>
    </w:p>
    <w:p>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Bulbena A</w:t>
      </w:r>
      <w:r>
        <w:rPr>
          <w:rFonts w:ascii="Book Antiqua" w:hAnsi="Book Antiqua" w:cs="Book Antiqua"/>
        </w:rPr>
        <w:t xml:space="preserve">, Duró JC, Porta M, Faus S, Vallescar R, Martín-Santos R. Clinical assessment of hypermobility of joints: assembling criteria. </w:t>
      </w:r>
      <w:r>
        <w:rPr>
          <w:rFonts w:ascii="Book Antiqua" w:hAnsi="Book Antiqua" w:cs="Book Antiqua"/>
          <w:i/>
          <w:iCs/>
        </w:rPr>
        <w:t>J Rheumatol</w:t>
      </w:r>
      <w:r>
        <w:rPr>
          <w:rFonts w:ascii="Book Antiqua" w:hAnsi="Book Antiqua" w:cs="Book Antiqua"/>
        </w:rPr>
        <w:t xml:space="preserve"> 1992; </w:t>
      </w:r>
      <w:r>
        <w:rPr>
          <w:rFonts w:ascii="Book Antiqua" w:hAnsi="Book Antiqua" w:cs="Book Antiqua"/>
          <w:b/>
          <w:bCs/>
        </w:rPr>
        <w:t>19</w:t>
      </w:r>
      <w:r>
        <w:rPr>
          <w:rFonts w:ascii="Book Antiqua" w:hAnsi="Book Antiqua" w:cs="Book Antiqua"/>
        </w:rPr>
        <w:t>: 115-122 [PMID: 1556672]</w:t>
      </w:r>
    </w:p>
    <w:p>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Grahame R</w:t>
      </w:r>
      <w:r>
        <w:rPr>
          <w:rFonts w:ascii="Book Antiqua" w:hAnsi="Book Antiqua" w:cs="Book Antiqua"/>
        </w:rPr>
        <w:t xml:space="preserve">, Bird HA, Child A. The revised (Brighton 1998) criteria for the diagnosis of benign joint hypermobility syndrome (BJHS). </w:t>
      </w:r>
      <w:r>
        <w:rPr>
          <w:rFonts w:ascii="Book Antiqua" w:hAnsi="Book Antiqua" w:cs="Book Antiqua"/>
          <w:i/>
          <w:iCs/>
        </w:rPr>
        <w:t>J Rheumatol</w:t>
      </w:r>
      <w:r>
        <w:rPr>
          <w:rFonts w:ascii="Book Antiqua" w:hAnsi="Book Antiqua" w:cs="Book Antiqua"/>
        </w:rPr>
        <w:t xml:space="preserve"> 2000; </w:t>
      </w:r>
      <w:r>
        <w:rPr>
          <w:rFonts w:ascii="Book Antiqua" w:hAnsi="Book Antiqua" w:cs="Book Antiqua"/>
          <w:b/>
          <w:bCs/>
        </w:rPr>
        <w:t>27</w:t>
      </w:r>
      <w:r>
        <w:rPr>
          <w:rFonts w:ascii="Book Antiqua" w:hAnsi="Book Antiqua" w:cs="Book Antiqua"/>
        </w:rPr>
        <w:t>: 1777-1779 [PMID: 10914867]</w:t>
      </w:r>
    </w:p>
    <w:p>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Castori M</w:t>
      </w:r>
      <w:r>
        <w:rPr>
          <w:rFonts w:ascii="Book Antiqua" w:hAnsi="Book Antiqua" w:cs="Book Antiqua"/>
        </w:rPr>
        <w:t xml:space="preserve">, Tinkle B, Levy H, Grahame R, Malfait F, Hakim A. A framework for the classification of joint hypermobility and related conditions. </w:t>
      </w:r>
      <w:r>
        <w:rPr>
          <w:rFonts w:ascii="Book Antiqua" w:hAnsi="Book Antiqua" w:cs="Book Antiqua"/>
          <w:i/>
          <w:iCs/>
        </w:rPr>
        <w:t>Am J Med Genet C Semin Med Genet</w:t>
      </w:r>
      <w:r>
        <w:rPr>
          <w:rFonts w:ascii="Book Antiqua" w:hAnsi="Book Antiqua" w:cs="Book Antiqua"/>
        </w:rPr>
        <w:t xml:space="preserve"> 2017; </w:t>
      </w:r>
      <w:r>
        <w:rPr>
          <w:rFonts w:ascii="Book Antiqua" w:hAnsi="Book Antiqua" w:cs="Book Antiqua"/>
          <w:b/>
          <w:bCs/>
        </w:rPr>
        <w:t>175</w:t>
      </w:r>
      <w:r>
        <w:rPr>
          <w:rFonts w:ascii="Book Antiqua" w:hAnsi="Book Antiqua" w:cs="Book Antiqua"/>
        </w:rPr>
        <w:t>: 148-157 [PMID: 28145606 DOI: 10.1002/ajmg.c.31539]</w:t>
      </w:r>
    </w:p>
    <w:p>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Colombi M</w:t>
      </w:r>
      <w:r>
        <w:rPr>
          <w:rFonts w:ascii="Book Antiqua" w:hAnsi="Book Antiqua" w:cs="Book Antiqua"/>
        </w:rPr>
        <w:t xml:space="preserve">, Dordoni C, Chiarelli N, Ritelli M. Differential diagnosis and diagnostic flow chart of joint hypermobility syndrome/ehlers-danlos syndrome hypermobility type compared to other heritable connective tissue disorders. </w:t>
      </w:r>
      <w:r>
        <w:rPr>
          <w:rFonts w:ascii="Book Antiqua" w:hAnsi="Book Antiqua" w:cs="Book Antiqua"/>
          <w:i/>
          <w:iCs/>
        </w:rPr>
        <w:t>Am J Med Genet C Semin Med Genet</w:t>
      </w:r>
      <w:r>
        <w:rPr>
          <w:rFonts w:ascii="Book Antiqua" w:hAnsi="Book Antiqua" w:cs="Book Antiqua"/>
        </w:rPr>
        <w:t xml:space="preserve"> 2015; </w:t>
      </w:r>
      <w:r>
        <w:rPr>
          <w:rFonts w:ascii="Book Antiqua" w:hAnsi="Book Antiqua" w:cs="Book Antiqua"/>
          <w:b/>
          <w:bCs/>
        </w:rPr>
        <w:t>169C</w:t>
      </w:r>
      <w:r>
        <w:rPr>
          <w:rFonts w:ascii="Book Antiqua" w:hAnsi="Book Antiqua" w:cs="Book Antiqua"/>
        </w:rPr>
        <w:t>: 6-22 [PMID: 25821090 DOI: 10.1002/ajmg.c.31429]</w:t>
      </w:r>
    </w:p>
    <w:p>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Rombaut L</w:t>
      </w:r>
      <w:r>
        <w:rPr>
          <w:rFonts w:ascii="Book Antiqua" w:hAnsi="Book Antiqua" w:cs="Book Antiqua"/>
        </w:rPr>
        <w:t xml:space="preserve">, Malfait F, Cools A, De Paepe A, Calders P. Musculoskeletal complaints, physical activity and health-related quality of life among patients with the Ehlers-Danlos syndrome hypermobility type. </w:t>
      </w:r>
      <w:r>
        <w:rPr>
          <w:rFonts w:ascii="Book Antiqua" w:hAnsi="Book Antiqua" w:cs="Book Antiqua"/>
          <w:i/>
          <w:iCs/>
        </w:rPr>
        <w:t>Disabil Rehabil</w:t>
      </w:r>
      <w:r>
        <w:rPr>
          <w:rFonts w:ascii="Book Antiqua" w:hAnsi="Book Antiqua" w:cs="Book Antiqua"/>
        </w:rPr>
        <w:t xml:space="preserve"> 2010; </w:t>
      </w:r>
      <w:r>
        <w:rPr>
          <w:rFonts w:ascii="Book Antiqua" w:hAnsi="Book Antiqua" w:cs="Book Antiqua"/>
          <w:b/>
          <w:bCs/>
        </w:rPr>
        <w:t>32</w:t>
      </w:r>
      <w:r>
        <w:rPr>
          <w:rFonts w:ascii="Book Antiqua" w:hAnsi="Book Antiqua" w:cs="Book Antiqua"/>
        </w:rPr>
        <w:t>: 1339-1345 [PMID: 20156051 DOI: 10.3109/09638280903514739]</w:t>
      </w:r>
    </w:p>
    <w:p>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Pacey V</w:t>
      </w:r>
      <w:r>
        <w:rPr>
          <w:rFonts w:ascii="Book Antiqua" w:hAnsi="Book Antiqua" w:cs="Book Antiqua"/>
        </w:rPr>
        <w:t xml:space="preserve">, Tofts L, Adams RD, Munns CF, Nicholson LL. Quality of life prediction in children with joint hypermobility syndrome. </w:t>
      </w:r>
      <w:r>
        <w:rPr>
          <w:rFonts w:ascii="Book Antiqua" w:hAnsi="Book Antiqua" w:cs="Book Antiqua"/>
          <w:i/>
          <w:iCs/>
        </w:rPr>
        <w:t>J Paediatr Child Health</w:t>
      </w:r>
      <w:r>
        <w:rPr>
          <w:rFonts w:ascii="Book Antiqua" w:hAnsi="Book Antiqua" w:cs="Book Antiqua"/>
        </w:rPr>
        <w:t xml:space="preserve"> 2015; </w:t>
      </w:r>
      <w:r>
        <w:rPr>
          <w:rFonts w:ascii="Book Antiqua" w:hAnsi="Book Antiqua" w:cs="Book Antiqua"/>
          <w:b/>
          <w:bCs/>
        </w:rPr>
        <w:t>51</w:t>
      </w:r>
      <w:r>
        <w:rPr>
          <w:rFonts w:ascii="Book Antiqua" w:hAnsi="Book Antiqua" w:cs="Book Antiqua"/>
        </w:rPr>
        <w:t>: 689-695 [PMID: 25622801 DOI: 10.1111/jpc.12826]</w:t>
      </w:r>
    </w:p>
    <w:p>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Eccles JA</w:t>
      </w:r>
      <w:r>
        <w:rPr>
          <w:rFonts w:ascii="Book Antiqua" w:hAnsi="Book Antiqua" w:cs="Book Antiqua"/>
          <w:bCs/>
        </w:rPr>
        <w:t>,</w:t>
      </w:r>
      <w:r>
        <w:rPr>
          <w:rFonts w:ascii="Book Antiqua" w:hAnsi="Book Antiqua" w:cs="Book Antiqua"/>
        </w:rPr>
        <w:t xml:space="preserve"> Scott HE, Davies KA, Bond R, David AS, Harrison NA, Critchley HD. Joint hypermobility and its relevance to common mental illness in adolescents: a population-based longitudinal study. </w:t>
      </w:r>
      <w:r>
        <w:rPr>
          <w:rFonts w:ascii="Book Antiqua" w:hAnsi="Book Antiqua" w:cs="Book Antiqua"/>
          <w:i/>
        </w:rPr>
        <w:t>med</w:t>
      </w:r>
      <w:r>
        <w:rPr>
          <w:rFonts w:ascii="Book Antiqua" w:hAnsi="Book Antiqua" w:cs="Book Antiqua"/>
          <w:i/>
          <w:caps/>
        </w:rPr>
        <w:t>r</w:t>
      </w:r>
      <w:r>
        <w:rPr>
          <w:rFonts w:ascii="Book Antiqua" w:hAnsi="Book Antiqua" w:cs="Book Antiqua"/>
          <w:i/>
        </w:rPr>
        <w:t>xiv</w:t>
      </w:r>
      <w:r>
        <w:rPr>
          <w:rFonts w:ascii="Book Antiqua" w:hAnsi="Book Antiqua" w:cs="Book Antiqua"/>
        </w:rPr>
        <w:t xml:space="preserve"> 2020; Preprint [DOI: 10.1101/2020.09.14.20191130]</w:t>
      </w:r>
    </w:p>
    <w:p>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Bulbena A</w:t>
      </w:r>
      <w:r>
        <w:rPr>
          <w:rFonts w:ascii="Book Antiqua" w:hAnsi="Book Antiqua" w:cs="Book Antiqua"/>
        </w:rPr>
        <w:t xml:space="preserve">, Pailhez G, Bulbena-Cabré A, Mallorquí-Bagué N, Baeza-Velasco C. Joint hypermobility, anxiety and psychosomatics: two and a half decades of progress toward a new phenotype. </w:t>
      </w:r>
      <w:r>
        <w:rPr>
          <w:rFonts w:ascii="Book Antiqua" w:hAnsi="Book Antiqua" w:cs="Book Antiqua"/>
          <w:i/>
          <w:iCs/>
        </w:rPr>
        <w:t>Adv Psychosom Med</w:t>
      </w:r>
      <w:r>
        <w:rPr>
          <w:rFonts w:ascii="Book Antiqua" w:hAnsi="Book Antiqua" w:cs="Book Antiqua"/>
        </w:rPr>
        <w:t xml:space="preserve"> 2015; </w:t>
      </w:r>
      <w:r>
        <w:rPr>
          <w:rFonts w:ascii="Book Antiqua" w:hAnsi="Book Antiqua" w:cs="Book Antiqua"/>
          <w:b/>
          <w:bCs/>
        </w:rPr>
        <w:t>34</w:t>
      </w:r>
      <w:r>
        <w:rPr>
          <w:rFonts w:ascii="Book Antiqua" w:hAnsi="Book Antiqua" w:cs="Book Antiqua"/>
        </w:rPr>
        <w:t>: 143-157 [PMID: 25832520 DOI: 10.1159/000369113]</w:t>
      </w:r>
    </w:p>
    <w:p>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Kessler RC</w:t>
      </w:r>
      <w:r>
        <w:rPr>
          <w:rFonts w:ascii="Book Antiqua" w:hAnsi="Book Antiqua" w:cs="Book Antiqua"/>
        </w:rPr>
        <w:t xml:space="preserve">, Ruscio AM, Shear K, Wittchen HU. Epidemiology of anxiety disorders. </w:t>
      </w:r>
      <w:r>
        <w:rPr>
          <w:rFonts w:ascii="Book Antiqua" w:hAnsi="Book Antiqua" w:cs="Book Antiqua"/>
          <w:i/>
          <w:iCs/>
        </w:rPr>
        <w:t>Curr Top Behav Neurosci</w:t>
      </w:r>
      <w:r>
        <w:rPr>
          <w:rFonts w:ascii="Book Antiqua" w:hAnsi="Book Antiqua" w:cs="Book Antiqua"/>
        </w:rPr>
        <w:t xml:space="preserve"> 2010; </w:t>
      </w:r>
      <w:r>
        <w:rPr>
          <w:rFonts w:ascii="Book Antiqua" w:hAnsi="Book Antiqua" w:cs="Book Antiqua"/>
          <w:b/>
          <w:bCs/>
        </w:rPr>
        <w:t>2</w:t>
      </w:r>
      <w:r>
        <w:rPr>
          <w:rFonts w:ascii="Book Antiqua" w:hAnsi="Book Antiqua" w:cs="Book Antiqua"/>
        </w:rPr>
        <w:t>: 21-35 [PMID: 21309104]</w:t>
      </w:r>
    </w:p>
    <w:p>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Smith TO</w:t>
      </w:r>
      <w:r>
        <w:rPr>
          <w:rFonts w:ascii="Book Antiqua" w:hAnsi="Book Antiqua" w:cs="Book Antiqua"/>
        </w:rPr>
        <w:t xml:space="preserve">, Easton V, Bacon H, Jerman E, Armon K, Poland F, Macgregor AJ. The relationship between benign joint hypermobility syndrome and psychological distress: a systematic review and meta-analysis. </w:t>
      </w:r>
      <w:r>
        <w:rPr>
          <w:rFonts w:ascii="Book Antiqua" w:hAnsi="Book Antiqua" w:cs="Book Antiqua"/>
          <w:i/>
          <w:iCs/>
        </w:rPr>
        <w:t>Rheumatology (Oxford)</w:t>
      </w:r>
      <w:r>
        <w:rPr>
          <w:rFonts w:ascii="Book Antiqua" w:hAnsi="Book Antiqua" w:cs="Book Antiqua"/>
        </w:rPr>
        <w:t xml:space="preserve"> 2014; </w:t>
      </w:r>
      <w:r>
        <w:rPr>
          <w:rFonts w:ascii="Book Antiqua" w:hAnsi="Book Antiqua" w:cs="Book Antiqua"/>
          <w:b/>
          <w:bCs/>
        </w:rPr>
        <w:t>53</w:t>
      </w:r>
      <w:r>
        <w:rPr>
          <w:rFonts w:ascii="Book Antiqua" w:hAnsi="Book Antiqua" w:cs="Book Antiqua"/>
        </w:rPr>
        <w:t>: 114-122 [PMID: 24080253 DOI: 10.1093/rheumatology/ket317]</w:t>
      </w:r>
    </w:p>
    <w:p>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Bulbena A</w:t>
      </w:r>
      <w:r>
        <w:rPr>
          <w:rFonts w:ascii="Book Antiqua" w:hAnsi="Book Antiqua" w:cs="Book Antiqua"/>
        </w:rPr>
        <w:t xml:space="preserve">, Agulló A, Pailhez G, Martín-Santos R, Porta M, Guitart J, Gago J. Is joint hypermobility related to anxiety in a nonclinical population also? </w:t>
      </w:r>
      <w:r>
        <w:rPr>
          <w:rFonts w:ascii="Book Antiqua" w:hAnsi="Book Antiqua" w:cs="Book Antiqua"/>
          <w:i/>
          <w:iCs/>
        </w:rPr>
        <w:t>Psychosomatics</w:t>
      </w:r>
      <w:r>
        <w:rPr>
          <w:rFonts w:ascii="Book Antiqua" w:hAnsi="Book Antiqua" w:cs="Book Antiqua"/>
        </w:rPr>
        <w:t xml:space="preserve"> 2004; </w:t>
      </w:r>
      <w:r>
        <w:rPr>
          <w:rFonts w:ascii="Book Antiqua" w:hAnsi="Book Antiqua" w:cs="Book Antiqua"/>
          <w:b/>
          <w:bCs/>
        </w:rPr>
        <w:t>45</w:t>
      </w:r>
      <w:r>
        <w:rPr>
          <w:rFonts w:ascii="Book Antiqua" w:hAnsi="Book Antiqua" w:cs="Book Antiqua"/>
        </w:rPr>
        <w:t>: 432-437 [PMID: 15345789 DOI: 10.1176/appi.psy.45.5.432]</w:t>
      </w:r>
    </w:p>
    <w:p>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Bulbena-Cabré A</w:t>
      </w:r>
      <w:r>
        <w:rPr>
          <w:rFonts w:ascii="Book Antiqua" w:hAnsi="Book Antiqua" w:cs="Book Antiqua"/>
        </w:rPr>
        <w:t xml:space="preserve">, Rojo C, Pailhez G, Buron Maso E, Martín-Lopez LM, Bulbena A. Joint hypermobility is also associated with anxiety disorders in the elderly population. </w:t>
      </w:r>
      <w:r>
        <w:rPr>
          <w:rFonts w:ascii="Book Antiqua" w:hAnsi="Book Antiqua" w:cs="Book Antiqua"/>
          <w:i/>
          <w:iCs/>
        </w:rPr>
        <w:t>Int J Geriatr Psychiatry</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e113-e119 [PMID: 28543732 DOI: 10.1002/gps.4733]</w:t>
      </w:r>
    </w:p>
    <w:p>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Bulbena-Cabre A</w:t>
      </w:r>
      <w:r>
        <w:rPr>
          <w:rFonts w:ascii="Book Antiqua" w:hAnsi="Book Antiqua" w:cs="Book Antiqua"/>
        </w:rPr>
        <w:t xml:space="preserve">, Duñó L, Almeda S, Batlle S, Camprodon-Rosanas E, Martín-Lopez LM, Bulbena A. Joint hypermobility is a marker for anxiety in children. </w:t>
      </w:r>
      <w:r>
        <w:rPr>
          <w:rFonts w:ascii="Book Antiqua" w:hAnsi="Book Antiqua" w:cs="Book Antiqua"/>
          <w:i/>
          <w:iCs/>
        </w:rPr>
        <w:t>Rev Psiquiatr Salud Ment (Engl Ed)</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68-76 [PMID: 30926372 DOI: 10.1016/j.rpsm.2019.01.004]</w:t>
      </w:r>
    </w:p>
    <w:p>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Javadi Parvaneh V</w:t>
      </w:r>
      <w:r>
        <w:rPr>
          <w:rFonts w:ascii="Book Antiqua" w:hAnsi="Book Antiqua" w:cs="Book Antiqua"/>
        </w:rPr>
        <w:t xml:space="preserve">, Modaress S, Zahed G, Rahmani K, Shiari R. Prevalence of generalized joint hypermobility in children with anxiety disorders. </w:t>
      </w:r>
      <w:r>
        <w:rPr>
          <w:rFonts w:ascii="Book Antiqua" w:hAnsi="Book Antiqua" w:cs="Book Antiqua"/>
          <w:i/>
          <w:iCs/>
        </w:rPr>
        <w:t>BMC Musculoskelet Disord</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337 [PMID: 32487116 DOI: 10.1186/s12891-020-03377-0]</w:t>
      </w:r>
    </w:p>
    <w:p>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Ezpeleta L</w:t>
      </w:r>
      <w:r>
        <w:rPr>
          <w:rFonts w:ascii="Book Antiqua" w:hAnsi="Book Antiqua" w:cs="Book Antiqua"/>
        </w:rPr>
        <w:t xml:space="preserve">, Navarro JB, Osa N, Penelo E, Bulbena A. Joint Hypermobility Classes in 9-Year-Old Children from the General Population and Anxiety Symptoms. </w:t>
      </w:r>
      <w:r>
        <w:rPr>
          <w:rFonts w:ascii="Book Antiqua" w:hAnsi="Book Antiqua" w:cs="Book Antiqua"/>
          <w:i/>
          <w:iCs/>
        </w:rPr>
        <w:t>J Dev Behav Pediatr</w:t>
      </w:r>
      <w:r>
        <w:rPr>
          <w:rFonts w:ascii="Book Antiqua" w:hAnsi="Book Antiqua" w:cs="Book Antiqua"/>
        </w:rPr>
        <w:t xml:space="preserve"> 2018; </w:t>
      </w:r>
      <w:r>
        <w:rPr>
          <w:rFonts w:ascii="Book Antiqua" w:hAnsi="Book Antiqua" w:cs="Book Antiqua"/>
          <w:b/>
          <w:bCs/>
        </w:rPr>
        <w:t>39</w:t>
      </w:r>
      <w:r>
        <w:rPr>
          <w:rFonts w:ascii="Book Antiqua" w:hAnsi="Book Antiqua" w:cs="Book Antiqua"/>
        </w:rPr>
        <w:t>: 481-488 [PMID: 29847358 DOI: 10.1097/DBP.0000000000000577]</w:t>
      </w:r>
    </w:p>
    <w:p>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Bulbena A</w:t>
      </w:r>
      <w:r>
        <w:rPr>
          <w:rFonts w:ascii="Book Antiqua" w:hAnsi="Book Antiqua" w:cs="Book Antiqua"/>
        </w:rPr>
        <w:t xml:space="preserve">, Baeza-Velasco C, Bulbena-Cabré A, Pailhez G, Critchley H, Chopra P, Mallorquí-Bagué N, Frank C, Porges S. Psychiatric and psychological aspects in the Ehlers-Danlos syndromes. </w:t>
      </w:r>
      <w:r>
        <w:rPr>
          <w:rFonts w:ascii="Book Antiqua" w:hAnsi="Book Antiqua" w:cs="Book Antiqua"/>
          <w:i/>
          <w:iCs/>
        </w:rPr>
        <w:t>Am J Med Genet C Semin Med Genet</w:t>
      </w:r>
      <w:r>
        <w:rPr>
          <w:rFonts w:ascii="Book Antiqua" w:hAnsi="Book Antiqua" w:cs="Book Antiqua"/>
        </w:rPr>
        <w:t xml:space="preserve"> 2017; </w:t>
      </w:r>
      <w:r>
        <w:rPr>
          <w:rFonts w:ascii="Book Antiqua" w:hAnsi="Book Antiqua" w:cs="Book Antiqua"/>
          <w:b/>
          <w:bCs/>
        </w:rPr>
        <w:t>175</w:t>
      </w:r>
      <w:r>
        <w:rPr>
          <w:rFonts w:ascii="Book Antiqua" w:hAnsi="Book Antiqua" w:cs="Book Antiqua"/>
        </w:rPr>
        <w:t>: 237-245 [PMID: 28186381 DOI: 10.1002/ajmg.c.31544]</w:t>
      </w:r>
    </w:p>
    <w:p>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Baeza-Velasco C</w:t>
      </w:r>
      <w:r>
        <w:rPr>
          <w:rFonts w:ascii="Book Antiqua" w:hAnsi="Book Antiqua" w:cs="Book Antiqua"/>
        </w:rPr>
        <w:t xml:space="preserve">, Bourdon C, Montalescot L, de Cazotte C, Pailhez G, Bulbena A, Hamonet C. Low- and high-anxious hypermobile Ehlers-Danlos syndrome patients: comparison of psychosocial and health variables. </w:t>
      </w:r>
      <w:r>
        <w:rPr>
          <w:rFonts w:ascii="Book Antiqua" w:hAnsi="Book Antiqua" w:cs="Book Antiqua"/>
          <w:i/>
          <w:iCs/>
        </w:rPr>
        <w:t>Rheumatol Int</w:t>
      </w:r>
      <w:r>
        <w:rPr>
          <w:rFonts w:ascii="Book Antiqua" w:hAnsi="Book Antiqua" w:cs="Book Antiqua"/>
        </w:rPr>
        <w:t xml:space="preserve"> 2018; </w:t>
      </w:r>
      <w:r>
        <w:rPr>
          <w:rFonts w:ascii="Book Antiqua" w:hAnsi="Book Antiqua" w:cs="Book Antiqua"/>
          <w:b/>
          <w:bCs/>
        </w:rPr>
        <w:t>38</w:t>
      </w:r>
      <w:r>
        <w:rPr>
          <w:rFonts w:ascii="Book Antiqua" w:hAnsi="Book Antiqua" w:cs="Book Antiqua"/>
        </w:rPr>
        <w:t>: 871-878 [PMID: 29497845 DOI: 10.1007/s00296-018-4003-7]</w:t>
      </w:r>
    </w:p>
    <w:p>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Pasquini M</w:t>
      </w:r>
      <w:r>
        <w:rPr>
          <w:rFonts w:ascii="Book Antiqua" w:hAnsi="Book Antiqua" w:cs="Book Antiqua"/>
        </w:rPr>
        <w:t xml:space="preserve">, Celletti C, Berardelli I, Roselli V, Mastroeni S, Castori M, Biondi M, Camerota F. Unexpected association between joint hypermobility syndrome/Ehlers-Danlos syndrome hypermobility type and obsessive-compulsive personality disorder. </w:t>
      </w:r>
      <w:r>
        <w:rPr>
          <w:rFonts w:ascii="Book Antiqua" w:hAnsi="Book Antiqua" w:cs="Book Antiqua"/>
          <w:i/>
          <w:iCs/>
        </w:rPr>
        <w:t>Rheumatol Int</w:t>
      </w:r>
      <w:r>
        <w:rPr>
          <w:rFonts w:ascii="Book Antiqua" w:hAnsi="Book Antiqua" w:cs="Book Antiqua"/>
        </w:rPr>
        <w:t xml:space="preserve"> 2014; </w:t>
      </w:r>
      <w:r>
        <w:rPr>
          <w:rFonts w:ascii="Book Antiqua" w:hAnsi="Book Antiqua" w:cs="Book Antiqua"/>
          <w:b/>
          <w:bCs/>
        </w:rPr>
        <w:t>34</w:t>
      </w:r>
      <w:r>
        <w:rPr>
          <w:rFonts w:ascii="Book Antiqua" w:hAnsi="Book Antiqua" w:cs="Book Antiqua"/>
        </w:rPr>
        <w:t>: 631-636 [PMID: 24272065 DOI: 10.1007/s00296-013-2901-2]</w:t>
      </w:r>
    </w:p>
    <w:p>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Gurer G,</w:t>
      </w:r>
      <w:r>
        <w:rPr>
          <w:rFonts w:ascii="Book Antiqua" w:hAnsi="Book Antiqua" w:cs="Book Antiqua"/>
        </w:rPr>
        <w:t xml:space="preserve"> Sendur F, Gultekin BK, Ozcan ME. The anxiety between individuals with and without joint hypermobility. </w:t>
      </w:r>
      <w:r>
        <w:rPr>
          <w:rFonts w:ascii="Book Antiqua" w:hAnsi="Book Antiqua" w:cs="Book Antiqua"/>
          <w:i/>
        </w:rPr>
        <w:t>Europ J Psychiatry</w:t>
      </w:r>
      <w:r>
        <w:rPr>
          <w:rFonts w:ascii="Book Antiqua" w:hAnsi="Book Antiqua" w:cs="Book Antiqua"/>
        </w:rPr>
        <w:t xml:space="preserve"> 2010; </w:t>
      </w:r>
      <w:r>
        <w:rPr>
          <w:rFonts w:ascii="Book Antiqua" w:hAnsi="Book Antiqua" w:cs="Book Antiqua"/>
          <w:b/>
        </w:rPr>
        <w:t>24</w:t>
      </w:r>
      <w:r>
        <w:rPr>
          <w:rFonts w:ascii="Book Antiqua" w:hAnsi="Book Antiqua" w:cs="Book Antiqua"/>
        </w:rPr>
        <w:t>: 205-209 [DOI: 10.4321/S0213-61632010000400002]</w:t>
      </w:r>
    </w:p>
    <w:p>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Cederlöf M</w:t>
      </w:r>
      <w:r>
        <w:rPr>
          <w:rFonts w:ascii="Book Antiqua" w:hAnsi="Book Antiqua" w:cs="Book Antiqua"/>
        </w:rPr>
        <w:t xml:space="preserve">, Larsson H, Lichtenstein P, Almqvist C, Serlachius E, Ludvigsson JF. Nationwide population-based cohort study of psychiatric disorders in individuals with Ehlers-Danlos syndrome or hypermobility syndrome and their siblings. </w:t>
      </w:r>
      <w:r>
        <w:rPr>
          <w:rFonts w:ascii="Book Antiqua" w:hAnsi="Book Antiqua" w:cs="Book Antiqua"/>
          <w:i/>
          <w:iCs/>
        </w:rPr>
        <w:t>BMC Psychiatry</w:t>
      </w:r>
      <w:r>
        <w:rPr>
          <w:rFonts w:ascii="Book Antiqua" w:hAnsi="Book Antiqua" w:cs="Book Antiqua"/>
        </w:rPr>
        <w:t xml:space="preserve"> 2016; </w:t>
      </w:r>
      <w:r>
        <w:rPr>
          <w:rFonts w:ascii="Book Antiqua" w:hAnsi="Book Antiqua" w:cs="Book Antiqua"/>
          <w:b/>
          <w:bCs/>
        </w:rPr>
        <w:t>16</w:t>
      </w:r>
      <w:r>
        <w:rPr>
          <w:rFonts w:ascii="Book Antiqua" w:hAnsi="Book Antiqua" w:cs="Book Antiqua"/>
        </w:rPr>
        <w:t>: 207 [PMID: 27377649 DOI: 10.1186/s12888-016-0922-6]</w:t>
      </w:r>
    </w:p>
    <w:p>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Baeza-Velasco C</w:t>
      </w:r>
      <w:r>
        <w:rPr>
          <w:rFonts w:ascii="Book Antiqua" w:hAnsi="Book Antiqua" w:cs="Book Antiqua"/>
        </w:rPr>
        <w:t xml:space="preserve">, Gely-Nargeot MC, Vilarrasa AB, Fenetrier C, Bravo JF. Association between psychopathological factors and joint hypermobility syndrome in a group of undergraduates from a French university. </w:t>
      </w:r>
      <w:r>
        <w:rPr>
          <w:rFonts w:ascii="Book Antiqua" w:hAnsi="Book Antiqua" w:cs="Book Antiqua"/>
          <w:i/>
          <w:iCs/>
        </w:rPr>
        <w:t>Int J Psychiatry Med</w:t>
      </w:r>
      <w:r>
        <w:rPr>
          <w:rFonts w:ascii="Book Antiqua" w:hAnsi="Book Antiqua" w:cs="Book Antiqua"/>
        </w:rPr>
        <w:t xml:space="preserve"> 2011; </w:t>
      </w:r>
      <w:r>
        <w:rPr>
          <w:rFonts w:ascii="Book Antiqua" w:hAnsi="Book Antiqua" w:cs="Book Antiqua"/>
          <w:b/>
          <w:bCs/>
        </w:rPr>
        <w:t>41</w:t>
      </w:r>
      <w:r>
        <w:rPr>
          <w:rFonts w:ascii="Book Antiqua" w:hAnsi="Book Antiqua" w:cs="Book Antiqua"/>
        </w:rPr>
        <w:t>: 187-201 [PMID: 21675349 DOI: 10.2190/PM.41.2.g]</w:t>
      </w:r>
    </w:p>
    <w:p>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Albayrak İ</w:t>
      </w:r>
      <w:r>
        <w:rPr>
          <w:rFonts w:ascii="Book Antiqua" w:hAnsi="Book Antiqua" w:cs="Book Antiqua"/>
        </w:rPr>
        <w:t xml:space="preserve">, Yilmaz H, Akkurt HE, Salli A, Karaca G. Is pain the only symptom in patients with benign joint hypermobility syndrome? </w:t>
      </w:r>
      <w:r>
        <w:rPr>
          <w:rFonts w:ascii="Book Antiqua" w:hAnsi="Book Antiqua" w:cs="Book Antiqua"/>
          <w:i/>
          <w:iCs/>
        </w:rPr>
        <w:t>Clin Rheumatol</w:t>
      </w:r>
      <w:r>
        <w:rPr>
          <w:rFonts w:ascii="Book Antiqua" w:hAnsi="Book Antiqua" w:cs="Book Antiqua"/>
        </w:rPr>
        <w:t xml:space="preserve"> 2015; </w:t>
      </w:r>
      <w:r>
        <w:rPr>
          <w:rFonts w:ascii="Book Antiqua" w:hAnsi="Book Antiqua" w:cs="Book Antiqua"/>
          <w:b/>
          <w:bCs/>
        </w:rPr>
        <w:t>34</w:t>
      </w:r>
      <w:r>
        <w:rPr>
          <w:rFonts w:ascii="Book Antiqua" w:hAnsi="Book Antiqua" w:cs="Book Antiqua"/>
        </w:rPr>
        <w:t>: 1613-1619 [PMID: 24744155 DOI: 10.1007/s10067-014-2610-6]</w:t>
      </w:r>
    </w:p>
    <w:p>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Eccles JA</w:t>
      </w:r>
      <w:r>
        <w:rPr>
          <w:rFonts w:ascii="Book Antiqua" w:hAnsi="Book Antiqua" w:cs="Book Antiqua"/>
          <w:bCs/>
        </w:rPr>
        <w:t>. Hypermobility and Autonomic Hyperactivity: Relevance for the Expression of Psychiatric Symptoms. PhD Thesis,</w:t>
      </w:r>
      <w:r>
        <w:rPr>
          <w:rFonts w:ascii="Book Antiqua" w:hAnsi="Book Antiqua" w:cs="Book Antiqua"/>
        </w:rPr>
        <w:t xml:space="preserve"> University of Brighton; 2016. Available from: https://cris.brighton.ac.uk/ws/portalfiles/portal/4755648/FINAL+ECCLES.pdf </w:t>
      </w:r>
    </w:p>
    <w:p>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Baeza-Velasco C</w:t>
      </w:r>
      <w:r>
        <w:rPr>
          <w:rFonts w:ascii="Book Antiqua" w:hAnsi="Book Antiqua" w:cs="Book Antiqua"/>
        </w:rPr>
        <w:t xml:space="preserve">, Van den Bossche T, Grossin D, Hamonet C. Difficulty eating and significant weight loss in joint hypermobility syndrome/Ehlers-Danlos syndrome, hypermobility type. </w:t>
      </w:r>
      <w:r>
        <w:rPr>
          <w:rFonts w:ascii="Book Antiqua" w:hAnsi="Book Antiqua" w:cs="Book Antiqua"/>
          <w:i/>
          <w:iCs/>
        </w:rPr>
        <w:t>Eat Weight Disord</w:t>
      </w:r>
      <w:r>
        <w:rPr>
          <w:rFonts w:ascii="Book Antiqua" w:hAnsi="Book Antiqua" w:cs="Book Antiqua"/>
        </w:rPr>
        <w:t xml:space="preserve"> 2016; </w:t>
      </w:r>
      <w:r>
        <w:rPr>
          <w:rFonts w:ascii="Book Antiqua" w:hAnsi="Book Antiqua" w:cs="Book Antiqua"/>
          <w:b/>
          <w:bCs/>
        </w:rPr>
        <w:t>21</w:t>
      </w:r>
      <w:r>
        <w:rPr>
          <w:rFonts w:ascii="Book Antiqua" w:hAnsi="Book Antiqua" w:cs="Book Antiqua"/>
        </w:rPr>
        <w:t>: 175-183 [PMID: 26506923 DOI: 10.1007/s40519-015-0232-x]</w:t>
      </w:r>
    </w:p>
    <w:p>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Goh M,</w:t>
      </w:r>
      <w:r>
        <w:rPr>
          <w:rFonts w:ascii="Book Antiqua" w:hAnsi="Book Antiqua" w:cs="Book Antiqua"/>
        </w:rPr>
        <w:t xml:space="preserve"> Olver J, Huang C, Millard M, O'Callaghan C. Prevalence and familial patterns of gastrointestinal symptoms, joint hypermobility and diurnal blood pressure variations in patients with anorexia nervosa. </w:t>
      </w:r>
      <w:r>
        <w:rPr>
          <w:rFonts w:ascii="Book Antiqua" w:hAnsi="Book Antiqua" w:cs="Book Antiqua"/>
          <w:i/>
        </w:rPr>
        <w:t xml:space="preserve">J Eat Disord </w:t>
      </w:r>
      <w:r>
        <w:rPr>
          <w:rFonts w:ascii="Book Antiqua" w:hAnsi="Book Antiqua" w:cs="Book Antiqua"/>
        </w:rPr>
        <w:t xml:space="preserve">2013; </w:t>
      </w:r>
      <w:r>
        <w:rPr>
          <w:rFonts w:ascii="Book Antiqua" w:hAnsi="Book Antiqua" w:cs="Book Antiqua"/>
          <w:b/>
        </w:rPr>
        <w:t>1</w:t>
      </w:r>
      <w:r>
        <w:rPr>
          <w:rFonts w:ascii="Book Antiqua" w:hAnsi="Book Antiqua" w:cs="Book Antiqua"/>
        </w:rPr>
        <w:t>: O45 [DOI: 10.1186/2050-2974-1-S1-O45]</w:t>
      </w:r>
    </w:p>
    <w:p>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Baeza-Velasco C</w:t>
      </w:r>
      <w:r>
        <w:rPr>
          <w:rFonts w:ascii="Book Antiqua" w:hAnsi="Book Antiqua" w:cs="Book Antiqua"/>
        </w:rPr>
        <w:t xml:space="preserve">, Pailhez G, Bulbena A, Baghdadli A. Joint hypermobility and the heritable disorders of connective tissue: clinical and empirical evidence of links with psychiatry. </w:t>
      </w:r>
      <w:r>
        <w:rPr>
          <w:rFonts w:ascii="Book Antiqua" w:hAnsi="Book Antiqua" w:cs="Book Antiqua"/>
          <w:i/>
          <w:iCs/>
        </w:rPr>
        <w:t>Gen Hosp Psychiatry</w:t>
      </w:r>
      <w:r>
        <w:rPr>
          <w:rFonts w:ascii="Book Antiqua" w:hAnsi="Book Antiqua" w:cs="Book Antiqua"/>
        </w:rPr>
        <w:t xml:space="preserve"> 2015; </w:t>
      </w:r>
      <w:r>
        <w:rPr>
          <w:rFonts w:ascii="Book Antiqua" w:hAnsi="Book Antiqua" w:cs="Book Antiqua"/>
          <w:b/>
          <w:bCs/>
        </w:rPr>
        <w:t>37</w:t>
      </w:r>
      <w:r>
        <w:rPr>
          <w:rFonts w:ascii="Book Antiqua" w:hAnsi="Book Antiqua" w:cs="Book Antiqua"/>
        </w:rPr>
        <w:t>: 24-30 [PMID: 25459977 DOI: 10.1016/j.genhosppsych.2014.10.002]</w:t>
      </w:r>
    </w:p>
    <w:p>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Pailhez G</w:t>
      </w:r>
      <w:r>
        <w:rPr>
          <w:rFonts w:ascii="Book Antiqua" w:hAnsi="Book Antiqua" w:cs="Book Antiqua"/>
        </w:rPr>
        <w:t xml:space="preserve">, Rodríguez A, Ariza J, Palomo AL, Bulbena A. [Somatotype and schizophrenia. A case-control study]. </w:t>
      </w:r>
      <w:r>
        <w:rPr>
          <w:rFonts w:ascii="Book Antiqua" w:hAnsi="Book Antiqua" w:cs="Book Antiqua"/>
          <w:i/>
          <w:iCs/>
        </w:rPr>
        <w:t>Actas Esp Psiquiatr</w:t>
      </w:r>
      <w:r>
        <w:rPr>
          <w:rFonts w:ascii="Book Antiqua" w:hAnsi="Book Antiqua" w:cs="Book Antiqua"/>
        </w:rPr>
        <w:t xml:space="preserve"> 2009; </w:t>
      </w:r>
      <w:r>
        <w:rPr>
          <w:rFonts w:ascii="Book Antiqua" w:hAnsi="Book Antiqua" w:cs="Book Antiqua"/>
          <w:b/>
          <w:bCs/>
        </w:rPr>
        <w:t>37</w:t>
      </w:r>
      <w:r>
        <w:rPr>
          <w:rFonts w:ascii="Book Antiqua" w:hAnsi="Book Antiqua" w:cs="Book Antiqua"/>
        </w:rPr>
        <w:t>: 258-266 [PMID: 19960384]</w:t>
      </w:r>
    </w:p>
    <w:p>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Bulbena A</w:t>
      </w:r>
      <w:r>
        <w:rPr>
          <w:rFonts w:ascii="Book Antiqua" w:hAnsi="Book Antiqua" w:cs="Book Antiqua"/>
          <w:bCs/>
        </w:rPr>
        <w:t>,</w:t>
      </w:r>
      <w:r>
        <w:rPr>
          <w:rFonts w:ascii="Book Antiqua" w:hAnsi="Book Antiqua" w:cs="Book Antiqua"/>
        </w:rPr>
        <w:t xml:space="preserve"> Sperry L, Anguiano B, Pailhez G, Gago J. Joint hypermobility in schizophrenia: a potential marker for co-morbid anxiety. </w:t>
      </w:r>
      <w:r>
        <w:rPr>
          <w:rFonts w:ascii="Book Antiqua" w:hAnsi="Book Antiqua" w:cs="Book Antiqua"/>
          <w:i/>
        </w:rPr>
        <w:t xml:space="preserve">Open Psychiatry J </w:t>
      </w:r>
      <w:r>
        <w:rPr>
          <w:rFonts w:ascii="Book Antiqua" w:hAnsi="Book Antiqua" w:cs="Book Antiqua"/>
        </w:rPr>
        <w:t xml:space="preserve">2007; </w:t>
      </w:r>
      <w:r>
        <w:rPr>
          <w:rFonts w:ascii="Book Antiqua" w:hAnsi="Book Antiqua" w:cs="Book Antiqua"/>
          <w:b/>
        </w:rPr>
        <w:t>1</w:t>
      </w:r>
      <w:r>
        <w:rPr>
          <w:rFonts w:ascii="Book Antiqua" w:hAnsi="Book Antiqua" w:cs="Book Antiqua"/>
        </w:rPr>
        <w:t>: 31-33 [DOI: 10.2174/187435440701013104]</w:t>
      </w:r>
    </w:p>
    <w:p>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Carlsson C</w:t>
      </w:r>
      <w:r>
        <w:rPr>
          <w:rFonts w:ascii="Book Antiqua" w:hAnsi="Book Antiqua" w:cs="Book Antiqua"/>
        </w:rPr>
        <w:t xml:space="preserve">, Rundgren A. Hypermobility of the joints in women alcoholics. </w:t>
      </w:r>
      <w:r>
        <w:rPr>
          <w:rFonts w:ascii="Book Antiqua" w:hAnsi="Book Antiqua" w:cs="Book Antiqua"/>
          <w:i/>
          <w:iCs/>
        </w:rPr>
        <w:t>J Stud Alcohol</w:t>
      </w:r>
      <w:r>
        <w:rPr>
          <w:rFonts w:ascii="Book Antiqua" w:hAnsi="Book Antiqua" w:cs="Book Antiqua"/>
        </w:rPr>
        <w:t xml:space="preserve"> 1980; </w:t>
      </w:r>
      <w:r>
        <w:rPr>
          <w:rFonts w:ascii="Book Antiqua" w:hAnsi="Book Antiqua" w:cs="Book Antiqua"/>
          <w:b/>
          <w:bCs/>
        </w:rPr>
        <w:t>41</w:t>
      </w:r>
      <w:r>
        <w:rPr>
          <w:rFonts w:ascii="Book Antiqua" w:hAnsi="Book Antiqua" w:cs="Book Antiqua"/>
        </w:rPr>
        <w:t>: 78-81 [PMID: 7366216 DOI: 10.15288/jsa.1980.41.78]</w:t>
      </w:r>
    </w:p>
    <w:p>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Baeza-Velasco C</w:t>
      </w:r>
      <w:r>
        <w:rPr>
          <w:rFonts w:ascii="Book Antiqua" w:hAnsi="Book Antiqua" w:cs="Book Antiqua"/>
        </w:rPr>
        <w:t xml:space="preserve">, Stoebner-Delbarre A, Cousson-Gélie F, Pailhez G, Bulbena A, Baguet F, Gély-Nargeot MC. Increased tobacco and alcohol use among women with joint hypermobility: a way to cope with anxiety? </w:t>
      </w:r>
      <w:r>
        <w:rPr>
          <w:rFonts w:ascii="Book Antiqua" w:hAnsi="Book Antiqua" w:cs="Book Antiqua"/>
          <w:i/>
          <w:iCs/>
        </w:rPr>
        <w:t>Rheumatol Int</w:t>
      </w:r>
      <w:r>
        <w:rPr>
          <w:rFonts w:ascii="Book Antiqua" w:hAnsi="Book Antiqua" w:cs="Book Antiqua"/>
        </w:rPr>
        <w:t xml:space="preserve"> 2015; </w:t>
      </w:r>
      <w:r>
        <w:rPr>
          <w:rFonts w:ascii="Book Antiqua" w:hAnsi="Book Antiqua" w:cs="Book Antiqua"/>
          <w:b/>
          <w:bCs/>
        </w:rPr>
        <w:t>35</w:t>
      </w:r>
      <w:r>
        <w:rPr>
          <w:rFonts w:ascii="Book Antiqua" w:hAnsi="Book Antiqua" w:cs="Book Antiqua"/>
        </w:rPr>
        <w:t>: 177-181 [PMID: 24874121 DOI: 10.1007/s00296-014-3053-8]</w:t>
      </w:r>
    </w:p>
    <w:p>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Casanova EL</w:t>
      </w:r>
      <w:r>
        <w:rPr>
          <w:rFonts w:ascii="Book Antiqua" w:hAnsi="Book Antiqua" w:cs="Book Antiqua"/>
        </w:rPr>
        <w:t xml:space="preserve">, Baeza-Velasco C, Buchanan CB, Casanova MF. The Relationship between Autism and Ehlers-Danlos Syndromes/Hypermobility Spectrum Disorders. </w:t>
      </w:r>
      <w:r>
        <w:rPr>
          <w:rFonts w:ascii="Book Antiqua" w:hAnsi="Book Antiqua" w:cs="Book Antiqua"/>
          <w:i/>
          <w:iCs/>
        </w:rPr>
        <w:t>J Pers Med</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xml:space="preserve"> [PMID: 33271870 DOI: 10.3390/jpm10040260]</w:t>
      </w:r>
    </w:p>
    <w:p>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Baeza-Velasco C</w:t>
      </w:r>
      <w:r>
        <w:rPr>
          <w:rFonts w:ascii="Book Antiqua" w:hAnsi="Book Antiqua" w:cs="Book Antiqua"/>
        </w:rPr>
        <w:t xml:space="preserve">, Grahame R, Bravo JF. A connective tissue disorder may underlie ESSENCE problems in childhood. </w:t>
      </w:r>
      <w:r>
        <w:rPr>
          <w:rFonts w:ascii="Book Antiqua" w:hAnsi="Book Antiqua" w:cs="Book Antiqua"/>
          <w:i/>
          <w:iCs/>
        </w:rPr>
        <w:t>Res Dev Disabil</w:t>
      </w:r>
      <w:r>
        <w:rPr>
          <w:rFonts w:ascii="Book Antiqua" w:hAnsi="Book Antiqua" w:cs="Book Antiqua"/>
        </w:rPr>
        <w:t xml:space="preserve"> 2017; </w:t>
      </w:r>
      <w:r>
        <w:rPr>
          <w:rFonts w:ascii="Book Antiqua" w:hAnsi="Book Antiqua" w:cs="Book Antiqua"/>
          <w:b/>
          <w:bCs/>
        </w:rPr>
        <w:t>60</w:t>
      </w:r>
      <w:r>
        <w:rPr>
          <w:rFonts w:ascii="Book Antiqua" w:hAnsi="Book Antiqua" w:cs="Book Antiqua"/>
        </w:rPr>
        <w:t>: 232-242 [PMID: 27802895 DOI: 10.1016/j.ridd.2016.10.011]</w:t>
      </w:r>
    </w:p>
    <w:p>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Csecs JLL,</w:t>
      </w:r>
      <w:r>
        <w:rPr>
          <w:rFonts w:ascii="Book Antiqua" w:hAnsi="Book Antiqua" w:cs="Book Antiqua"/>
        </w:rPr>
        <w:t xml:space="preserve"> Iodice V, Rae CL, Brooke A, Simmons R, Dowell NG, Fenella Prowse, Themelis K, Critchley PD, Eccles PA. Increased rate of joint hypermobility in autism and related neurodevelopmental conditions is linked to dysautonomia and pain. </w:t>
      </w:r>
      <w:r>
        <w:rPr>
          <w:rFonts w:ascii="Book Antiqua" w:hAnsi="Book Antiqua" w:cs="Book Antiqua"/>
          <w:i/>
        </w:rPr>
        <w:t>medRxiv</w:t>
      </w:r>
      <w:r>
        <w:rPr>
          <w:rFonts w:ascii="Book Antiqua" w:hAnsi="Book Antiqua" w:cs="Book Antiqua"/>
        </w:rPr>
        <w:t xml:space="preserve"> 2020; Preprint [DOI: 10.1101/2020.09.14.20194118]</w:t>
      </w:r>
    </w:p>
    <w:p>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Glans M</w:t>
      </w:r>
      <w:r>
        <w:rPr>
          <w:rFonts w:ascii="Book Antiqua" w:hAnsi="Book Antiqua" w:cs="Book Antiqua"/>
        </w:rPr>
        <w:t xml:space="preserve">, Bejerot S, Humble MB. Generalised joint hypermobility and neurodevelopmental traits in a non-clinical adult population. </w:t>
      </w:r>
      <w:r>
        <w:rPr>
          <w:rFonts w:ascii="Book Antiqua" w:hAnsi="Book Antiqua" w:cs="Book Antiqua"/>
          <w:i/>
          <w:iCs/>
        </w:rPr>
        <w:t>BJPsych Open</w:t>
      </w:r>
      <w:r>
        <w:rPr>
          <w:rFonts w:ascii="Book Antiqua" w:hAnsi="Book Antiqua" w:cs="Book Antiqua"/>
        </w:rPr>
        <w:t xml:space="preserve"> 2017; </w:t>
      </w:r>
      <w:r>
        <w:rPr>
          <w:rFonts w:ascii="Book Antiqua" w:hAnsi="Book Antiqua" w:cs="Book Antiqua"/>
          <w:b/>
          <w:bCs/>
        </w:rPr>
        <w:t>3</w:t>
      </w:r>
      <w:r>
        <w:rPr>
          <w:rFonts w:ascii="Book Antiqua" w:hAnsi="Book Antiqua" w:cs="Book Antiqua"/>
        </w:rPr>
        <w:t>: 236-242 [PMID: 28959454 DOI: 10.1192/bjpo.bp.116.004325]</w:t>
      </w:r>
    </w:p>
    <w:p>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Baeza-Velasco C</w:t>
      </w:r>
      <w:r>
        <w:rPr>
          <w:rFonts w:ascii="Book Antiqua" w:hAnsi="Book Antiqua" w:cs="Book Antiqua"/>
        </w:rPr>
        <w:t xml:space="preserve">, Cohen D, Hamonet C, Vlamynck E, Diaz L, Cravero C, Cappe E, Guinchat V. Autism, Joint Hypermobility-Related Disorders and Pain. </w:t>
      </w:r>
      <w:r>
        <w:rPr>
          <w:rFonts w:ascii="Book Antiqua" w:hAnsi="Book Antiqua" w:cs="Book Antiqua"/>
          <w:i/>
          <w:iCs/>
        </w:rPr>
        <w:t>Front Psychiatry</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656 [PMID: 30581396 DOI: 10.3389/fpsyt.2018.00656]</w:t>
      </w:r>
    </w:p>
    <w:p>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Shetreat-Klein M</w:t>
      </w:r>
      <w:r>
        <w:rPr>
          <w:rFonts w:ascii="Book Antiqua" w:hAnsi="Book Antiqua" w:cs="Book Antiqua"/>
        </w:rPr>
        <w:t xml:space="preserve">, Shinnar S, Rapin I. Abnormalities of joint mobility and gait in children with autism spectrum disorders. </w:t>
      </w:r>
      <w:r>
        <w:rPr>
          <w:rFonts w:ascii="Book Antiqua" w:hAnsi="Book Antiqua" w:cs="Book Antiqua"/>
          <w:i/>
          <w:iCs/>
        </w:rPr>
        <w:t>Brain Dev</w:t>
      </w:r>
      <w:r>
        <w:rPr>
          <w:rFonts w:ascii="Book Antiqua" w:hAnsi="Book Antiqua" w:cs="Book Antiqua"/>
        </w:rPr>
        <w:t xml:space="preserve"> 2014; </w:t>
      </w:r>
      <w:r>
        <w:rPr>
          <w:rFonts w:ascii="Book Antiqua" w:hAnsi="Book Antiqua" w:cs="Book Antiqua"/>
          <w:b/>
          <w:bCs/>
        </w:rPr>
        <w:t>36</w:t>
      </w:r>
      <w:r>
        <w:rPr>
          <w:rFonts w:ascii="Book Antiqua" w:hAnsi="Book Antiqua" w:cs="Book Antiqua"/>
        </w:rPr>
        <w:t>: 91-96 [PMID: 22401670 DOI: 10.1016/j.braindev.2012.02.005]</w:t>
      </w:r>
    </w:p>
    <w:p>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Paquet A</w:t>
      </w:r>
      <w:r>
        <w:rPr>
          <w:rFonts w:ascii="Book Antiqua" w:hAnsi="Book Antiqua" w:cs="Book Antiqua"/>
        </w:rPr>
        <w:t xml:space="preserve">, Olliac B, Golse B, Vaivre-Douret L. Evaluation of neuromuscular tone phenotypes in children with autism spectrum disorder: An exploratory study. </w:t>
      </w:r>
      <w:r>
        <w:rPr>
          <w:rFonts w:ascii="Book Antiqua" w:hAnsi="Book Antiqua" w:cs="Book Antiqua"/>
          <w:i/>
          <w:iCs/>
        </w:rPr>
        <w:t>Neurophysiol Clin</w:t>
      </w:r>
      <w:r>
        <w:rPr>
          <w:rFonts w:ascii="Book Antiqua" w:hAnsi="Book Antiqua" w:cs="Book Antiqua"/>
        </w:rPr>
        <w:t xml:space="preserve"> 2017; </w:t>
      </w:r>
      <w:r>
        <w:rPr>
          <w:rFonts w:ascii="Book Antiqua" w:hAnsi="Book Antiqua" w:cs="Book Antiqua"/>
          <w:b/>
          <w:bCs/>
        </w:rPr>
        <w:t>47</w:t>
      </w:r>
      <w:r>
        <w:rPr>
          <w:rFonts w:ascii="Book Antiqua" w:hAnsi="Book Antiqua" w:cs="Book Antiqua"/>
        </w:rPr>
        <w:t>: 261-268 [PMID: 28784338 DOI: 10.1016/j.neucli.2017.07.001]</w:t>
      </w:r>
    </w:p>
    <w:p>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Blair DR</w:t>
      </w:r>
      <w:r>
        <w:rPr>
          <w:rFonts w:ascii="Book Antiqua" w:hAnsi="Book Antiqua" w:cs="Book Antiqua"/>
        </w:rPr>
        <w:t xml:space="preserve">, Lyttle CS, Mortensen JM, Bearden CF, Jensen AB, Khiabanian H, Melamed R, Rabadan R, Bernstam EV, Brunak S, Jensen LJ, Nicolae D, Shah NH, Grossman RL, Cox NJ, White KP, Rzhetsky A. A nondegenerate code of deleterious variants in Mendelian loci contributes to complex disease risk. </w:t>
      </w:r>
      <w:r>
        <w:rPr>
          <w:rFonts w:ascii="Book Antiqua" w:hAnsi="Book Antiqua" w:cs="Book Antiqua"/>
          <w:i/>
          <w:iCs/>
        </w:rPr>
        <w:t>Cell</w:t>
      </w:r>
      <w:r>
        <w:rPr>
          <w:rFonts w:ascii="Book Antiqua" w:hAnsi="Book Antiqua" w:cs="Book Antiqua"/>
        </w:rPr>
        <w:t xml:space="preserve"> 2013; </w:t>
      </w:r>
      <w:r>
        <w:rPr>
          <w:rFonts w:ascii="Book Antiqua" w:hAnsi="Book Antiqua" w:cs="Book Antiqua"/>
          <w:b/>
          <w:bCs/>
        </w:rPr>
        <w:t>155</w:t>
      </w:r>
      <w:r>
        <w:rPr>
          <w:rFonts w:ascii="Book Antiqua" w:hAnsi="Book Antiqua" w:cs="Book Antiqua"/>
        </w:rPr>
        <w:t>: 70-80 [PMID: 24074861 DOI: 10.1016/j.cell.2013.08.030]</w:t>
      </w:r>
    </w:p>
    <w:p>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Balasubramanian M</w:t>
      </w:r>
      <w:r>
        <w:rPr>
          <w:rFonts w:ascii="Book Antiqua" w:hAnsi="Book Antiqua" w:cs="Book Antiqua"/>
        </w:rPr>
        <w:t xml:space="preserve">, Jones R, Milne E, Marshall C, Arundel P, Smith K, Bishop NJ. Autism and heritable bone fragility: A true association? </w:t>
      </w:r>
      <w:r>
        <w:rPr>
          <w:rFonts w:ascii="Book Antiqua" w:hAnsi="Book Antiqua" w:cs="Book Antiqua"/>
          <w:i/>
          <w:iCs/>
        </w:rPr>
        <w:t>Bone Rep</w:t>
      </w:r>
      <w:r>
        <w:rPr>
          <w:rFonts w:ascii="Book Antiqua" w:hAnsi="Book Antiqua" w:cs="Book Antiqua"/>
        </w:rPr>
        <w:t xml:space="preserve"> 2018; </w:t>
      </w:r>
      <w:r>
        <w:rPr>
          <w:rFonts w:ascii="Book Antiqua" w:hAnsi="Book Antiqua" w:cs="Book Antiqua"/>
          <w:b/>
          <w:bCs/>
        </w:rPr>
        <w:t>8</w:t>
      </w:r>
      <w:r>
        <w:rPr>
          <w:rFonts w:ascii="Book Antiqua" w:hAnsi="Book Antiqua" w:cs="Book Antiqua"/>
        </w:rPr>
        <w:t>: 156-162 [PMID: 29955634 DOI: 10.1016/j.bonr.2018.04.002]</w:t>
      </w:r>
    </w:p>
    <w:p>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Ciaccio C</w:t>
      </w:r>
      <w:r>
        <w:rPr>
          <w:rFonts w:ascii="Book Antiqua" w:hAnsi="Book Antiqua" w:cs="Book Antiqua"/>
        </w:rPr>
        <w:t xml:space="preserve">, Fontana L, Milani D, Tabano S, Miozzo M, Esposito S. Fragile X syndrome: a review of clinical and molecular diagnoses. </w:t>
      </w:r>
      <w:r>
        <w:rPr>
          <w:rFonts w:ascii="Book Antiqua" w:hAnsi="Book Antiqua" w:cs="Book Antiqua"/>
          <w:i/>
          <w:iCs/>
        </w:rPr>
        <w:t>Ital J Pediatr</w:t>
      </w:r>
      <w:r>
        <w:rPr>
          <w:rFonts w:ascii="Book Antiqua" w:hAnsi="Book Antiqua" w:cs="Book Antiqua"/>
        </w:rPr>
        <w:t xml:space="preserve"> 2017; </w:t>
      </w:r>
      <w:r>
        <w:rPr>
          <w:rFonts w:ascii="Book Antiqua" w:hAnsi="Book Antiqua" w:cs="Book Antiqua"/>
          <w:b/>
          <w:bCs/>
        </w:rPr>
        <w:t>43</w:t>
      </w:r>
      <w:r>
        <w:rPr>
          <w:rFonts w:ascii="Book Antiqua" w:hAnsi="Book Antiqua" w:cs="Book Antiqua"/>
        </w:rPr>
        <w:t>: 39 [PMID: 28420439 DOI: 10.1186/s13052-017-0355-y]</w:t>
      </w:r>
    </w:p>
    <w:p>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Doğan ŞK</w:t>
      </w:r>
      <w:r>
        <w:rPr>
          <w:rFonts w:ascii="Book Antiqua" w:hAnsi="Book Antiqua" w:cs="Book Antiqua"/>
          <w:bCs/>
        </w:rPr>
        <w:t>,</w:t>
      </w:r>
      <w:r>
        <w:rPr>
          <w:rFonts w:ascii="Book Antiqua" w:hAnsi="Book Antiqua" w:cs="Book Antiqua"/>
        </w:rPr>
        <w:t xml:space="preserve"> Taner Y, Evcik D. Benign joint hypermobility syndrome in patients with attention deficit/hyperactivity disorders. </w:t>
      </w:r>
      <w:r>
        <w:rPr>
          <w:rFonts w:ascii="Book Antiqua" w:hAnsi="Book Antiqua" w:cs="Book Antiqua"/>
          <w:i/>
        </w:rPr>
        <w:t>Arch Rheumatol</w:t>
      </w:r>
      <w:r>
        <w:rPr>
          <w:rFonts w:ascii="Book Antiqua" w:hAnsi="Book Antiqua" w:cs="Book Antiqua"/>
        </w:rPr>
        <w:t xml:space="preserve"> 2011; </w:t>
      </w:r>
      <w:r>
        <w:rPr>
          <w:rFonts w:ascii="Book Antiqua" w:hAnsi="Book Antiqua" w:cs="Book Antiqua"/>
          <w:b/>
        </w:rPr>
        <w:t>26</w:t>
      </w:r>
      <w:r>
        <w:rPr>
          <w:rFonts w:ascii="Book Antiqua" w:hAnsi="Book Antiqua" w:cs="Book Antiqua"/>
        </w:rPr>
        <w:t>: 187-192 [DOI: 10.5606/tjr.2011.029]</w:t>
      </w:r>
    </w:p>
    <w:p>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Shiari R,</w:t>
      </w:r>
      <w:r>
        <w:rPr>
          <w:rFonts w:ascii="Book Antiqua" w:hAnsi="Book Antiqua" w:cs="Book Antiqua"/>
        </w:rPr>
        <w:t xml:space="preserve"> Saeidifard F, Zahed G. Evaluation of the prevalence of joint laxity in children with attention deficit/hyperactivity disorder. </w:t>
      </w:r>
      <w:r>
        <w:rPr>
          <w:rFonts w:ascii="Book Antiqua" w:hAnsi="Book Antiqua" w:cs="Book Antiqua"/>
          <w:i/>
        </w:rPr>
        <w:t>Ann Paediatr Rheumatol</w:t>
      </w:r>
      <w:r>
        <w:rPr>
          <w:rFonts w:ascii="Book Antiqua" w:hAnsi="Book Antiqua" w:cs="Book Antiqua"/>
        </w:rPr>
        <w:t xml:space="preserve"> 2013; </w:t>
      </w:r>
      <w:r>
        <w:rPr>
          <w:rFonts w:ascii="Book Antiqua" w:hAnsi="Book Antiqua" w:cs="Book Antiqua"/>
          <w:b/>
        </w:rPr>
        <w:t>7</w:t>
      </w:r>
      <w:r>
        <w:rPr>
          <w:rFonts w:ascii="Book Antiqua" w:hAnsi="Book Antiqua" w:cs="Book Antiqua"/>
        </w:rPr>
        <w:t>: 8 [DOI: 10.5455/apr.032420131219]</w:t>
      </w:r>
    </w:p>
    <w:p>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Hollertz O</w:t>
      </w:r>
      <w:r>
        <w:rPr>
          <w:rFonts w:ascii="Book Antiqua" w:hAnsi="Book Antiqua" w:cs="Book Antiqua"/>
        </w:rPr>
        <w:t xml:space="preserve">. [Searching for a biological marker common for both ADHD and EDS]. </w:t>
      </w:r>
      <w:r>
        <w:rPr>
          <w:rFonts w:ascii="Book Antiqua" w:hAnsi="Book Antiqua" w:cs="Book Antiqua"/>
          <w:i/>
          <w:iCs/>
        </w:rPr>
        <w:t>Lakartidningen</w:t>
      </w:r>
      <w:r>
        <w:rPr>
          <w:rFonts w:ascii="Book Antiqua" w:hAnsi="Book Antiqua" w:cs="Book Antiqua"/>
        </w:rPr>
        <w:t xml:space="preserve"> 2012; </w:t>
      </w:r>
      <w:r>
        <w:rPr>
          <w:rFonts w:ascii="Book Antiqua" w:hAnsi="Book Antiqua" w:cs="Book Antiqua"/>
          <w:b/>
          <w:bCs/>
        </w:rPr>
        <w:t>109</w:t>
      </w:r>
      <w:r>
        <w:rPr>
          <w:rFonts w:ascii="Book Antiqua" w:hAnsi="Book Antiqua" w:cs="Book Antiqua"/>
        </w:rPr>
        <w:t>: 41-42 [PMID: 22468413]</w:t>
      </w:r>
    </w:p>
    <w:p>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Association AP</w:t>
      </w:r>
      <w:r>
        <w:rPr>
          <w:rFonts w:ascii="Book Antiqua" w:hAnsi="Book Antiqua" w:cs="Book Antiqua"/>
        </w:rPr>
        <w:t>. Diagnostic and statistical manual of mental disorders (DSM-5®): American Psychiatric Pub; 2013 [DOI: 10.1176/appi.books.9780890425596]</w:t>
      </w:r>
    </w:p>
    <w:p>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Kirby A</w:t>
      </w:r>
      <w:r>
        <w:rPr>
          <w:rFonts w:ascii="Book Antiqua" w:hAnsi="Book Antiqua" w:cs="Book Antiqua"/>
        </w:rPr>
        <w:t xml:space="preserve">, Davies R. Developmental Coordination Disorder and Joint Hypermobility Syndrome--overlapping disorders? Implications for research and clinical practice. </w:t>
      </w:r>
      <w:r>
        <w:rPr>
          <w:rFonts w:ascii="Book Antiqua" w:hAnsi="Book Antiqua" w:cs="Book Antiqua"/>
          <w:i/>
          <w:iCs/>
        </w:rPr>
        <w:t>Child Care Health Dev</w:t>
      </w:r>
      <w:r>
        <w:rPr>
          <w:rFonts w:ascii="Book Antiqua" w:hAnsi="Book Antiqua" w:cs="Book Antiqua"/>
        </w:rPr>
        <w:t xml:space="preserve"> 2007; </w:t>
      </w:r>
      <w:r>
        <w:rPr>
          <w:rFonts w:ascii="Book Antiqua" w:hAnsi="Book Antiqua" w:cs="Book Antiqua"/>
          <w:b/>
          <w:bCs/>
        </w:rPr>
        <w:t>33</w:t>
      </w:r>
      <w:r>
        <w:rPr>
          <w:rFonts w:ascii="Book Antiqua" w:hAnsi="Book Antiqua" w:cs="Book Antiqua"/>
        </w:rPr>
        <w:t>: 513-519 [PMID: 17725772 DOI: 10.1111/j.1365-2214.2006.00694.x]</w:t>
      </w:r>
    </w:p>
    <w:p>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Adib N</w:t>
      </w:r>
      <w:r>
        <w:rPr>
          <w:rFonts w:ascii="Book Antiqua" w:hAnsi="Book Antiqua" w:cs="Book Antiqua"/>
        </w:rPr>
        <w:t xml:space="preserve">, Davies K, Grahame R, Woo P, Murray KJ. Joint hypermobility syndrome in childhood. A not so benign multisystem disorder? </w:t>
      </w:r>
      <w:r>
        <w:rPr>
          <w:rFonts w:ascii="Book Antiqua" w:hAnsi="Book Antiqua" w:cs="Book Antiqua"/>
          <w:i/>
          <w:iCs/>
        </w:rPr>
        <w:t>Rheumatology (Oxford)</w:t>
      </w:r>
      <w:r>
        <w:rPr>
          <w:rFonts w:ascii="Book Antiqua" w:hAnsi="Book Antiqua" w:cs="Book Antiqua"/>
        </w:rPr>
        <w:t xml:space="preserve"> 2005; </w:t>
      </w:r>
      <w:r>
        <w:rPr>
          <w:rFonts w:ascii="Book Antiqua" w:hAnsi="Book Antiqua" w:cs="Book Antiqua"/>
          <w:b/>
          <w:bCs/>
        </w:rPr>
        <w:t>44</w:t>
      </w:r>
      <w:r>
        <w:rPr>
          <w:rFonts w:ascii="Book Antiqua" w:hAnsi="Book Antiqua" w:cs="Book Antiqua"/>
        </w:rPr>
        <w:t>: 744-750 [PMID: 15728418 DOI: 10.1093/rheumatology/keh557]</w:t>
      </w:r>
    </w:p>
    <w:p>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Castori M</w:t>
      </w:r>
      <w:r>
        <w:rPr>
          <w:rFonts w:ascii="Book Antiqua" w:hAnsi="Book Antiqua" w:cs="Book Antiqua"/>
        </w:rPr>
        <w:t xml:space="preserve">, Dordoni C, Valiante M, Sperduti I, Ritelli M, Morlino S, Chiarelli N, Celletti C, Venturini M, Camerota F, Calzavara-Pinton P, Grammatico P, Colombi M. Nosology and inheritance pattern(s) of joint hypermobility syndrome and Ehlers-Danlos syndrome, hypermobility type: a study of intrafamilial and interfamilial variability in 23 Italian pedigrees. </w:t>
      </w:r>
      <w:r>
        <w:rPr>
          <w:rFonts w:ascii="Book Antiqua" w:hAnsi="Book Antiqua" w:cs="Book Antiqua"/>
          <w:i/>
          <w:iCs/>
        </w:rPr>
        <w:t>Am J Med Genet A</w:t>
      </w:r>
      <w:r>
        <w:rPr>
          <w:rFonts w:ascii="Book Antiqua" w:hAnsi="Book Antiqua" w:cs="Book Antiqua"/>
        </w:rPr>
        <w:t xml:space="preserve"> 2014; </w:t>
      </w:r>
      <w:r>
        <w:rPr>
          <w:rFonts w:ascii="Book Antiqua" w:hAnsi="Book Antiqua" w:cs="Book Antiqua"/>
          <w:b/>
          <w:bCs/>
        </w:rPr>
        <w:t>164A</w:t>
      </w:r>
      <w:r>
        <w:rPr>
          <w:rFonts w:ascii="Book Antiqua" w:hAnsi="Book Antiqua" w:cs="Book Antiqua"/>
        </w:rPr>
        <w:t>: 3010-3020 [PMID: 25338840 DOI: 10.1002/ajmg.a.36805]</w:t>
      </w:r>
    </w:p>
    <w:p>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Piedimonte C</w:t>
      </w:r>
      <w:r>
        <w:rPr>
          <w:rFonts w:ascii="Book Antiqua" w:hAnsi="Book Antiqua" w:cs="Book Antiqua"/>
        </w:rPr>
        <w:t xml:space="preserve">, Penge R, Morlino S, Sperduti I, Terzani A, Giannini MT, Colombi M, Grammatico P, Cardona F, Castori M. Exploring relationships between joint hypermobility and neurodevelopment in children (4-13 years) with hereditary connective tissue disorders and developmental coordination disorder. </w:t>
      </w:r>
      <w:r>
        <w:rPr>
          <w:rFonts w:ascii="Book Antiqua" w:hAnsi="Book Antiqua" w:cs="Book Antiqua"/>
          <w:i/>
          <w:iCs/>
        </w:rPr>
        <w:t>Am J Med Genet B Neuropsychiatr Genet</w:t>
      </w:r>
      <w:r>
        <w:rPr>
          <w:rFonts w:ascii="Book Antiqua" w:hAnsi="Book Antiqua" w:cs="Book Antiqua"/>
        </w:rPr>
        <w:t xml:space="preserve"> 2018; </w:t>
      </w:r>
      <w:r>
        <w:rPr>
          <w:rFonts w:ascii="Book Antiqua" w:hAnsi="Book Antiqua" w:cs="Book Antiqua"/>
          <w:b/>
          <w:bCs/>
        </w:rPr>
        <w:t>177</w:t>
      </w:r>
      <w:r>
        <w:rPr>
          <w:rFonts w:ascii="Book Antiqua" w:hAnsi="Book Antiqua" w:cs="Book Antiqua"/>
        </w:rPr>
        <w:t>: 546-556 [PMID: 30070022 DOI: 10.1002/ajmg.b.32646]</w:t>
      </w:r>
    </w:p>
    <w:p>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Jelsma LD</w:t>
      </w:r>
      <w:r>
        <w:rPr>
          <w:rFonts w:ascii="Book Antiqua" w:hAnsi="Book Antiqua" w:cs="Book Antiqua"/>
        </w:rPr>
        <w:t xml:space="preserve">, Geuze RH, Klerks MH, Niemeijer AS, Smits-Engelsman BC. The relationship between joint mobility and motor performance in children with and without the diagnosis of developmental coordination disorder. </w:t>
      </w:r>
      <w:r>
        <w:rPr>
          <w:rFonts w:ascii="Book Antiqua" w:hAnsi="Book Antiqua" w:cs="Book Antiqua"/>
          <w:i/>
          <w:iCs/>
        </w:rPr>
        <w:t>BMC Pediatr</w:t>
      </w:r>
      <w:r>
        <w:rPr>
          <w:rFonts w:ascii="Book Antiqua" w:hAnsi="Book Antiqua" w:cs="Book Antiqua"/>
        </w:rPr>
        <w:t xml:space="preserve"> 2013; </w:t>
      </w:r>
      <w:r>
        <w:rPr>
          <w:rFonts w:ascii="Book Antiqua" w:hAnsi="Book Antiqua" w:cs="Book Antiqua"/>
          <w:b/>
          <w:bCs/>
        </w:rPr>
        <w:t>13</w:t>
      </w:r>
      <w:r>
        <w:rPr>
          <w:rFonts w:ascii="Book Antiqua" w:hAnsi="Book Antiqua" w:cs="Book Antiqua"/>
        </w:rPr>
        <w:t>: 35 [PMID: 23497034 DOI: 10.1186/1471-2431-13-35]</w:t>
      </w:r>
    </w:p>
    <w:p>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Celletti C</w:t>
      </w:r>
      <w:r>
        <w:rPr>
          <w:rFonts w:ascii="Book Antiqua" w:hAnsi="Book Antiqua" w:cs="Book Antiqua"/>
        </w:rPr>
        <w:t xml:space="preserve">, Mari G, Ghibellini G, Celli M, Castori M, Camerota F. Phenotypic variability in developmental coordination disorder: Clustering of generalized joint hypermobility with attention deficit/hyperactivity disorder, atypical swallowing and narrative difficulties. </w:t>
      </w:r>
      <w:r>
        <w:rPr>
          <w:rFonts w:ascii="Book Antiqua" w:hAnsi="Book Antiqua" w:cs="Book Antiqua"/>
          <w:i/>
          <w:iCs/>
        </w:rPr>
        <w:t>Am J Med Genet C Semin Med Genet</w:t>
      </w:r>
      <w:r>
        <w:rPr>
          <w:rFonts w:ascii="Book Antiqua" w:hAnsi="Book Antiqua" w:cs="Book Antiqua"/>
        </w:rPr>
        <w:t xml:space="preserve"> 2015; </w:t>
      </w:r>
      <w:r>
        <w:rPr>
          <w:rFonts w:ascii="Book Antiqua" w:hAnsi="Book Antiqua" w:cs="Book Antiqua"/>
          <w:b/>
          <w:bCs/>
        </w:rPr>
        <w:t>169C</w:t>
      </w:r>
      <w:r>
        <w:rPr>
          <w:rFonts w:ascii="Book Antiqua" w:hAnsi="Book Antiqua" w:cs="Book Antiqua"/>
        </w:rPr>
        <w:t>: 117-122 [PMID: 25821095 DOI: 10.1002/ajmg.c.31427]</w:t>
      </w:r>
    </w:p>
    <w:p>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Hakim A</w:t>
      </w:r>
      <w:r>
        <w:rPr>
          <w:rFonts w:ascii="Book Antiqua" w:hAnsi="Book Antiqua" w:cs="Book Antiqua"/>
        </w:rPr>
        <w:t xml:space="preserve">, De Wandele I, O'Callaghan C, Pocinki A, Rowe P. Chronic fatigue in Ehlers-Danlos syndrome-Hypermobile type. </w:t>
      </w:r>
      <w:r>
        <w:rPr>
          <w:rFonts w:ascii="Book Antiqua" w:hAnsi="Book Antiqua" w:cs="Book Antiqua"/>
          <w:i/>
          <w:iCs/>
        </w:rPr>
        <w:t>Am J Med Genet C Semin Med Genet</w:t>
      </w:r>
      <w:r>
        <w:rPr>
          <w:rFonts w:ascii="Book Antiqua" w:hAnsi="Book Antiqua" w:cs="Book Antiqua"/>
        </w:rPr>
        <w:t xml:space="preserve"> 2017; </w:t>
      </w:r>
      <w:r>
        <w:rPr>
          <w:rFonts w:ascii="Book Antiqua" w:hAnsi="Book Antiqua" w:cs="Book Antiqua"/>
          <w:b/>
          <w:bCs/>
        </w:rPr>
        <w:t>175</w:t>
      </w:r>
      <w:r>
        <w:rPr>
          <w:rFonts w:ascii="Book Antiqua" w:hAnsi="Book Antiqua" w:cs="Book Antiqua"/>
        </w:rPr>
        <w:t>: 175-180 [PMID: 28186393 DOI: 10.1002/ajmg.c.31542]</w:t>
      </w:r>
    </w:p>
    <w:p>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Ofluoglu D</w:t>
      </w:r>
      <w:r>
        <w:rPr>
          <w:rFonts w:ascii="Book Antiqua" w:hAnsi="Book Antiqua" w:cs="Book Antiqua"/>
        </w:rPr>
        <w:t xml:space="preserve">, Gunduz OH, Kul-Panza E, Guven Z. Hypermobility in women with fibromyalgia syndrome. </w:t>
      </w:r>
      <w:r>
        <w:rPr>
          <w:rFonts w:ascii="Book Antiqua" w:hAnsi="Book Antiqua" w:cs="Book Antiqua"/>
          <w:i/>
          <w:iCs/>
        </w:rPr>
        <w:t>Clin Rheumatol</w:t>
      </w:r>
      <w:r>
        <w:rPr>
          <w:rFonts w:ascii="Book Antiqua" w:hAnsi="Book Antiqua" w:cs="Book Antiqua"/>
        </w:rPr>
        <w:t xml:space="preserve"> 2006; </w:t>
      </w:r>
      <w:r>
        <w:rPr>
          <w:rFonts w:ascii="Book Antiqua" w:hAnsi="Book Antiqua" w:cs="Book Antiqua"/>
          <w:b/>
          <w:bCs/>
        </w:rPr>
        <w:t>25</w:t>
      </w:r>
      <w:r>
        <w:rPr>
          <w:rFonts w:ascii="Book Antiqua" w:hAnsi="Book Antiqua" w:cs="Book Antiqua"/>
        </w:rPr>
        <w:t>: 291-293 [PMID: 16228925 DOI: 10.1007/s10067-005-0040-1]</w:t>
      </w:r>
    </w:p>
    <w:p>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Kashikar-Zuck S</w:t>
      </w:r>
      <w:r>
        <w:rPr>
          <w:rFonts w:ascii="Book Antiqua" w:hAnsi="Book Antiqua" w:cs="Book Antiqua"/>
        </w:rPr>
        <w:t xml:space="preserve">, King C, Ting TV, Arnold LM. Juvenile Fibromyalgia: Different from the Adult Chronic Pain Syndrome? </w:t>
      </w:r>
      <w:r>
        <w:rPr>
          <w:rFonts w:ascii="Book Antiqua" w:hAnsi="Book Antiqua" w:cs="Book Antiqua"/>
          <w:i/>
          <w:iCs/>
        </w:rPr>
        <w:t>Curr Rheumatol Rep</w:t>
      </w:r>
      <w:r>
        <w:rPr>
          <w:rFonts w:ascii="Book Antiqua" w:hAnsi="Book Antiqua" w:cs="Book Antiqua"/>
        </w:rPr>
        <w:t xml:space="preserve"> 2016; </w:t>
      </w:r>
      <w:r>
        <w:rPr>
          <w:rFonts w:ascii="Book Antiqua" w:hAnsi="Book Antiqua" w:cs="Book Antiqua"/>
          <w:b/>
          <w:bCs/>
        </w:rPr>
        <w:t>18</w:t>
      </w:r>
      <w:r>
        <w:rPr>
          <w:rFonts w:ascii="Book Antiqua" w:hAnsi="Book Antiqua" w:cs="Book Antiqua"/>
        </w:rPr>
        <w:t>: 19 [PMID: 26984803 DOI: 10.1007/s11926-016-0569-9]</w:t>
      </w:r>
    </w:p>
    <w:p>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Bragée B</w:t>
      </w:r>
      <w:r>
        <w:rPr>
          <w:rFonts w:ascii="Book Antiqua" w:hAnsi="Book Antiqua" w:cs="Book Antiqua"/>
        </w:rPr>
        <w:t xml:space="preserve">, Michos A, Drum B, Fahlgren M, Szulkin R, Bertilson BC. Signs of Intracranial Hypertension, Hypermobility, and Craniocervical Obstructions in Patients With Myalgic Encephalomyelitis/Chronic Fatigue Syndrome. </w:t>
      </w:r>
      <w:r>
        <w:rPr>
          <w:rFonts w:ascii="Book Antiqua" w:hAnsi="Book Antiqua" w:cs="Book Antiqua"/>
          <w:i/>
          <w:iCs/>
        </w:rPr>
        <w:t>Front Neurol</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828 [PMID: 32982905 DOI: 10.3389/fneur.2020.00828]</w:t>
      </w:r>
    </w:p>
    <w:p>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Barron DF</w:t>
      </w:r>
      <w:r>
        <w:rPr>
          <w:rFonts w:ascii="Book Antiqua" w:hAnsi="Book Antiqua" w:cs="Book Antiqua"/>
        </w:rPr>
        <w:t xml:space="preserve">, Cohen BA, Geraghty MT, Violand R, Rowe PC. Joint hypermobility is more common in children with chronic fatigue syndrome than in healthy controls. </w:t>
      </w:r>
      <w:r>
        <w:rPr>
          <w:rFonts w:ascii="Book Antiqua" w:hAnsi="Book Antiqua" w:cs="Book Antiqua"/>
          <w:i/>
          <w:iCs/>
        </w:rPr>
        <w:t>J Pediatr</w:t>
      </w:r>
      <w:r>
        <w:rPr>
          <w:rFonts w:ascii="Book Antiqua" w:hAnsi="Book Antiqua" w:cs="Book Antiqua"/>
        </w:rPr>
        <w:t xml:space="preserve"> 2002; </w:t>
      </w:r>
      <w:r>
        <w:rPr>
          <w:rFonts w:ascii="Book Antiqua" w:hAnsi="Book Antiqua" w:cs="Book Antiqua"/>
          <w:b/>
          <w:bCs/>
        </w:rPr>
        <w:t>141</w:t>
      </w:r>
      <w:r>
        <w:rPr>
          <w:rFonts w:ascii="Book Antiqua" w:hAnsi="Book Antiqua" w:cs="Book Antiqua"/>
        </w:rPr>
        <w:t>: 421-425 [PMID: 12219066 DOI: 10.1067/mpd.2002.127496]</w:t>
      </w:r>
    </w:p>
    <w:p>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Eccles JA</w:t>
      </w:r>
      <w:r>
        <w:rPr>
          <w:rFonts w:ascii="Book Antiqua" w:hAnsi="Book Antiqua" w:cs="Book Antiqua"/>
        </w:rPr>
        <w:t xml:space="preserve">, Thompson B, Themelis K, Amato ML, Stocks R, Pound A, Jones AM, Cipinova Z, Shah-Goodwin L, Timeyin J, Thompson CR, Batty T, Harrison NA, Critchley HD, Davies KA. Beyond bones: The relevance of variants of connective tissue (hypermobility) to fibromyalgia, ME/CFS and controversies surrounding diagnostic classification: an observational study. </w:t>
      </w:r>
      <w:r>
        <w:rPr>
          <w:rFonts w:ascii="Book Antiqua" w:hAnsi="Book Antiqua" w:cs="Book Antiqua"/>
          <w:i/>
          <w:iCs/>
        </w:rPr>
        <w:t>Clin Med (Lond)</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53-58 [PMID: 33479068 DOI: 10.7861/clinmed.2020-0743]</w:t>
      </w:r>
    </w:p>
    <w:p>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Voermans NC</w:t>
      </w:r>
      <w:r>
        <w:rPr>
          <w:rFonts w:ascii="Book Antiqua" w:hAnsi="Book Antiqua" w:cs="Book Antiqua"/>
        </w:rPr>
        <w:t xml:space="preserve">, Knoop H, van de Kamp N, Hamel BC, Bleijenberg G, van Engelen BG. Fatigue is a frequent and clinically relevant problem in Ehlers-Danlos Syndrome. </w:t>
      </w:r>
      <w:r>
        <w:rPr>
          <w:rFonts w:ascii="Book Antiqua" w:hAnsi="Book Antiqua" w:cs="Book Antiqua"/>
          <w:i/>
          <w:iCs/>
        </w:rPr>
        <w:t>Semin Arthritis Rheum</w:t>
      </w:r>
      <w:r>
        <w:rPr>
          <w:rFonts w:ascii="Book Antiqua" w:hAnsi="Book Antiqua" w:cs="Book Antiqua"/>
        </w:rPr>
        <w:t xml:space="preserve"> 2010; </w:t>
      </w:r>
      <w:r>
        <w:rPr>
          <w:rFonts w:ascii="Book Antiqua" w:hAnsi="Book Antiqua" w:cs="Book Antiqua"/>
          <w:b/>
          <w:bCs/>
        </w:rPr>
        <w:t>40</w:t>
      </w:r>
      <w:r>
        <w:rPr>
          <w:rFonts w:ascii="Book Antiqua" w:hAnsi="Book Antiqua" w:cs="Book Antiqua"/>
        </w:rPr>
        <w:t>: 267-274 [PMID: 19878973 DOI: 10.1016/j.semarthrit.2009.08.003]</w:t>
      </w:r>
    </w:p>
    <w:p>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Rowe PC</w:t>
      </w:r>
      <w:r>
        <w:rPr>
          <w:rFonts w:ascii="Book Antiqua" w:hAnsi="Book Antiqua" w:cs="Book Antiqua"/>
        </w:rPr>
        <w:t xml:space="preserve">, Barron DF, Calkins H, Maumenee IH, Tong PY, Geraghty MT. Orthostatic intolerance and chronic fatigue syndrome associated with Ehlers-Danlos syndrome. </w:t>
      </w:r>
      <w:r>
        <w:rPr>
          <w:rFonts w:ascii="Book Antiqua" w:hAnsi="Book Antiqua" w:cs="Book Antiqua"/>
          <w:i/>
          <w:iCs/>
        </w:rPr>
        <w:t>J Pediatr</w:t>
      </w:r>
      <w:r>
        <w:rPr>
          <w:rFonts w:ascii="Book Antiqua" w:hAnsi="Book Antiqua" w:cs="Book Antiqua"/>
        </w:rPr>
        <w:t xml:space="preserve"> 1999; </w:t>
      </w:r>
      <w:r>
        <w:rPr>
          <w:rFonts w:ascii="Book Antiqua" w:hAnsi="Book Antiqua" w:cs="Book Antiqua"/>
          <w:b/>
          <w:bCs/>
        </w:rPr>
        <w:t>135</w:t>
      </w:r>
      <w:r>
        <w:rPr>
          <w:rFonts w:ascii="Book Antiqua" w:hAnsi="Book Antiqua" w:cs="Book Antiqua"/>
        </w:rPr>
        <w:t>: 494-499 [PMID: 10518084 DOI: 10.1016/s0022-3476(99)70173-3]</w:t>
      </w:r>
    </w:p>
    <w:p>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Beckers AB</w:t>
      </w:r>
      <w:r>
        <w:rPr>
          <w:rFonts w:ascii="Book Antiqua" w:hAnsi="Book Antiqua" w:cs="Book Antiqua"/>
        </w:rPr>
        <w:t xml:space="preserve">, Keszthelyi D, Fikree A, Vork L, Masclee A, Farmer AD, Aziz Q. Gastrointestinal disorders in joint hypermobility syndrome/Ehlers-Danlos syndrome hypermobility type: A review for the gastroenterologist. </w:t>
      </w:r>
      <w:r>
        <w:rPr>
          <w:rFonts w:ascii="Book Antiqua" w:hAnsi="Book Antiqua" w:cs="Book Antiqua"/>
          <w:i/>
          <w:iCs/>
        </w:rPr>
        <w:t>Neurogastroenterol Motil</w:t>
      </w:r>
      <w:r>
        <w:rPr>
          <w:rFonts w:ascii="Book Antiqua" w:hAnsi="Book Antiqua" w:cs="Book Antiqua"/>
        </w:rPr>
        <w:t xml:space="preserve"> 2017; </w:t>
      </w:r>
      <w:r>
        <w:rPr>
          <w:rFonts w:ascii="Book Antiqua" w:hAnsi="Book Antiqua" w:cs="Book Antiqua"/>
          <w:b/>
          <w:bCs/>
        </w:rPr>
        <w:t>29</w:t>
      </w:r>
      <w:r>
        <w:rPr>
          <w:rFonts w:ascii="Book Antiqua" w:hAnsi="Book Antiqua" w:cs="Book Antiqua"/>
        </w:rPr>
        <w:t xml:space="preserve"> [PMID: 28086259 DOI: 10.1111/nmo.13013]</w:t>
      </w:r>
    </w:p>
    <w:p>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Alomari M</w:t>
      </w:r>
      <w:r>
        <w:rPr>
          <w:rFonts w:ascii="Book Antiqua" w:hAnsi="Book Antiqua" w:cs="Book Antiqua"/>
        </w:rPr>
        <w:t xml:space="preserve">, Hitawala A, Chadalavada P, Covut F, Al Momani L, Khazaaleh S, Gosai F, Al Ashi S, Abushahin A, Schneider A. Prevalence and Predictors of Gastrointestinal Dysmotility in Patients with Hypermobile Ehlers-Danlos Syndrome: A Tertiary Care Center Experience. </w:t>
      </w:r>
      <w:r>
        <w:rPr>
          <w:rFonts w:ascii="Book Antiqua" w:hAnsi="Book Antiqua" w:cs="Book Antiqua"/>
          <w:i/>
          <w:iCs/>
        </w:rPr>
        <w:t>Cureus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e7881 [PMID: 32489735 DOI: 10.7759/cureus.7881]</w:t>
      </w:r>
    </w:p>
    <w:p>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Wasim S</w:t>
      </w:r>
      <w:r>
        <w:rPr>
          <w:rFonts w:ascii="Book Antiqua" w:hAnsi="Book Antiqua" w:cs="Book Antiqua"/>
        </w:rPr>
        <w:t xml:space="preserve">, Suddaby JS, Parikh M, Leylachian S, Ho B, Guerin A, So J. Pain and gastrointestinal dysfunction are significant associations with psychiatric disorders in patients with Ehlers-Danlos syndrome and hypermobility spectrum disorders: a retrospective study. </w:t>
      </w:r>
      <w:r>
        <w:rPr>
          <w:rFonts w:ascii="Book Antiqua" w:hAnsi="Book Antiqua" w:cs="Book Antiqua"/>
          <w:i/>
          <w:iCs/>
        </w:rPr>
        <w:t>Rheumatol Int</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1241-1248 [PMID: 30923956 DOI: 10.1007/s00296-019-04293-w]</w:t>
      </w:r>
    </w:p>
    <w:p>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Fikree A</w:t>
      </w:r>
      <w:r>
        <w:rPr>
          <w:rFonts w:ascii="Book Antiqua" w:hAnsi="Book Antiqua" w:cs="Book Antiqua"/>
        </w:rPr>
        <w:t xml:space="preserve">, Grahame R, Aktar R, Farmer AD, Hakim AJ, Morris JK, Knowles CH, Aziz Q. A prospective evaluation of undiagnosed joint hypermobility syndrome in patients with gastrointestinal symptoms. </w:t>
      </w:r>
      <w:r>
        <w:rPr>
          <w:rFonts w:ascii="Book Antiqua" w:hAnsi="Book Antiqua" w:cs="Book Antiqua"/>
          <w:i/>
          <w:iCs/>
        </w:rPr>
        <w:t>Clin Gastroenterol Hepatol</w:t>
      </w:r>
      <w:r>
        <w:rPr>
          <w:rFonts w:ascii="Book Antiqua" w:hAnsi="Book Antiqua" w:cs="Book Antiqua"/>
        </w:rPr>
        <w:t xml:space="preserve"> 2014; </w:t>
      </w:r>
      <w:r>
        <w:rPr>
          <w:rFonts w:ascii="Book Antiqua" w:hAnsi="Book Antiqua" w:cs="Book Antiqua"/>
          <w:b/>
          <w:bCs/>
        </w:rPr>
        <w:t>12</w:t>
      </w:r>
      <w:r>
        <w:rPr>
          <w:rFonts w:ascii="Book Antiqua" w:hAnsi="Book Antiqua" w:cs="Book Antiqua"/>
        </w:rPr>
        <w:t>: 1680-87.e2 [PMID: 24440216 DOI: 10.1016/j.cgh.2014.01.014]</w:t>
      </w:r>
    </w:p>
    <w:p>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Fikree A</w:t>
      </w:r>
      <w:r>
        <w:rPr>
          <w:rFonts w:ascii="Book Antiqua" w:hAnsi="Book Antiqua" w:cs="Book Antiqua"/>
        </w:rPr>
        <w:t xml:space="preserve">, Aktar R, Grahame R, Hakim AJ, Morris JK, Knowles CH, Aziz Q. Functional gastrointestinal disorders are associated with the joint hypermobility syndrome in secondary care: a case-control study. </w:t>
      </w:r>
      <w:r>
        <w:rPr>
          <w:rFonts w:ascii="Book Antiqua" w:hAnsi="Book Antiqua" w:cs="Book Antiqua"/>
          <w:i/>
          <w:iCs/>
        </w:rPr>
        <w:t>Neurogastroenterol Motil</w:t>
      </w:r>
      <w:r>
        <w:rPr>
          <w:rFonts w:ascii="Book Antiqua" w:hAnsi="Book Antiqua" w:cs="Book Antiqua"/>
        </w:rPr>
        <w:t xml:space="preserve"> 2015; </w:t>
      </w:r>
      <w:r>
        <w:rPr>
          <w:rFonts w:ascii="Book Antiqua" w:hAnsi="Book Antiqua" w:cs="Book Antiqua"/>
          <w:b/>
          <w:bCs/>
        </w:rPr>
        <w:t>27</w:t>
      </w:r>
      <w:r>
        <w:rPr>
          <w:rFonts w:ascii="Book Antiqua" w:hAnsi="Book Antiqua" w:cs="Book Antiqua"/>
        </w:rPr>
        <w:t>: 569-579 [PMID: 25817057 DOI: 10.1111/nmo.12535]</w:t>
      </w:r>
    </w:p>
    <w:p>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Zweig A</w:t>
      </w:r>
      <w:r>
        <w:rPr>
          <w:rFonts w:ascii="Book Antiqua" w:hAnsi="Book Antiqua" w:cs="Book Antiqua"/>
        </w:rPr>
        <w:t xml:space="preserve">, Schindler V, Becker AS, van Maren A, Pohl D. Higher prevalence of joint hypermobility in constipation predominant irritable bowel syndrome. </w:t>
      </w:r>
      <w:r>
        <w:rPr>
          <w:rFonts w:ascii="Book Antiqua" w:hAnsi="Book Antiqua" w:cs="Book Antiqua"/>
          <w:i/>
          <w:iCs/>
        </w:rPr>
        <w:t>Neurogastroenterol Motil</w:t>
      </w:r>
      <w:r>
        <w:rPr>
          <w:rFonts w:ascii="Book Antiqua" w:hAnsi="Book Antiqua" w:cs="Book Antiqua"/>
        </w:rPr>
        <w:t xml:space="preserve"> 2018; </w:t>
      </w:r>
      <w:r>
        <w:rPr>
          <w:rFonts w:ascii="Book Antiqua" w:hAnsi="Book Antiqua" w:cs="Book Antiqua"/>
          <w:b/>
          <w:bCs/>
        </w:rPr>
        <w:t>30</w:t>
      </w:r>
      <w:r>
        <w:rPr>
          <w:rFonts w:ascii="Book Antiqua" w:hAnsi="Book Antiqua" w:cs="Book Antiqua"/>
        </w:rPr>
        <w:t>: e13353 [PMID: 29687534 DOI: 10.1111/nmo.13353]</w:t>
      </w:r>
    </w:p>
    <w:p>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Shulman RJ</w:t>
      </w:r>
      <w:r>
        <w:rPr>
          <w:rFonts w:ascii="Book Antiqua" w:hAnsi="Book Antiqua" w:cs="Book Antiqua"/>
        </w:rPr>
        <w:t xml:space="preserve">, Self MM, Czyzewski DI, Goldberg J, Heitkemper M. The Prevalence of Hypermobility in Children with Irritable Bowel Syndrome and Functional Abdominal Pain Is Similar to that in Healthy Children. </w:t>
      </w:r>
      <w:r>
        <w:rPr>
          <w:rFonts w:ascii="Book Antiqua" w:hAnsi="Book Antiqua" w:cs="Book Antiqua"/>
          <w:i/>
          <w:iCs/>
        </w:rPr>
        <w:t>J Pediatr</w:t>
      </w:r>
      <w:r>
        <w:rPr>
          <w:rFonts w:ascii="Book Antiqua" w:hAnsi="Book Antiqua" w:cs="Book Antiqua"/>
        </w:rPr>
        <w:t xml:space="preserve"> 2020; </w:t>
      </w:r>
      <w:r>
        <w:rPr>
          <w:rFonts w:ascii="Book Antiqua" w:hAnsi="Book Antiqua" w:cs="Book Antiqua"/>
          <w:b/>
          <w:bCs/>
        </w:rPr>
        <w:t>222</w:t>
      </w:r>
      <w:r>
        <w:rPr>
          <w:rFonts w:ascii="Book Antiqua" w:hAnsi="Book Antiqua" w:cs="Book Antiqua"/>
        </w:rPr>
        <w:t>: 134-140.e2 [PMID: 32381468 DOI: 10.1016/j.jpeds.2020.03.033]</w:t>
      </w:r>
    </w:p>
    <w:p>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Saps M</w:t>
      </w:r>
      <w:r>
        <w:rPr>
          <w:rFonts w:ascii="Book Antiqua" w:hAnsi="Book Antiqua" w:cs="Book Antiqua"/>
        </w:rPr>
        <w:t xml:space="preserve">, Blom PJJ, Velasco-Benitez CA, Benninga MA. Functional Gastrointestinal Disorders and Joint Hypermobility: A School-based Study. </w:t>
      </w:r>
      <w:r>
        <w:rPr>
          <w:rFonts w:ascii="Book Antiqua" w:hAnsi="Book Antiqua" w:cs="Book Antiqua"/>
          <w:i/>
          <w:iCs/>
        </w:rPr>
        <w:t>J Pediatr Gastroenterol Nutr</w:t>
      </w:r>
      <w:r>
        <w:rPr>
          <w:rFonts w:ascii="Book Antiqua" w:hAnsi="Book Antiqua" w:cs="Book Antiqua"/>
        </w:rPr>
        <w:t xml:space="preserve"> 2018; </w:t>
      </w:r>
      <w:r>
        <w:rPr>
          <w:rFonts w:ascii="Book Antiqua" w:hAnsi="Book Antiqua" w:cs="Book Antiqua"/>
          <w:b/>
          <w:bCs/>
        </w:rPr>
        <w:t>66</w:t>
      </w:r>
      <w:r>
        <w:rPr>
          <w:rFonts w:ascii="Book Antiqua" w:hAnsi="Book Antiqua" w:cs="Book Antiqua"/>
        </w:rPr>
        <w:t>: 387-390 [PMID: 28837511 DOI: 10.1097/MPG.0000000000001724]</w:t>
      </w:r>
    </w:p>
    <w:p>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Khorasgani SMF</w:t>
      </w:r>
      <w:r>
        <w:rPr>
          <w:rFonts w:ascii="Book Antiqua" w:hAnsi="Book Antiqua" w:cs="Book Antiqua"/>
        </w:rPr>
        <w:t xml:space="preserve">, Ramezani N, Varnousfaderani NE. Joint hypermobility in children with and without functional constipation. </w:t>
      </w:r>
      <w:r>
        <w:rPr>
          <w:rFonts w:ascii="Book Antiqua" w:hAnsi="Book Antiqua" w:cs="Book Antiqua"/>
          <w:i/>
          <w:iCs/>
        </w:rPr>
        <w:t>J Res Med Sci</w:t>
      </w:r>
      <w:r>
        <w:rPr>
          <w:rFonts w:ascii="Book Antiqua" w:hAnsi="Book Antiqua" w:cs="Book Antiqua"/>
        </w:rPr>
        <w:t xml:space="preserve"> 2020; </w:t>
      </w:r>
      <w:r>
        <w:rPr>
          <w:rFonts w:ascii="Book Antiqua" w:hAnsi="Book Antiqua" w:cs="Book Antiqua"/>
          <w:b/>
          <w:bCs/>
        </w:rPr>
        <w:t>25</w:t>
      </w:r>
      <w:r>
        <w:rPr>
          <w:rFonts w:ascii="Book Antiqua" w:hAnsi="Book Antiqua" w:cs="Book Antiqua"/>
        </w:rPr>
        <w:t>: 28 [PMID: 32419785 DOI: 10.4103/jrms.JRMS_881_19]</w:t>
      </w:r>
    </w:p>
    <w:p>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Bendik EM</w:t>
      </w:r>
      <w:r>
        <w:rPr>
          <w:rFonts w:ascii="Book Antiqua" w:hAnsi="Book Antiqua" w:cs="Book Antiqua"/>
        </w:rPr>
        <w:t xml:space="preserve">, Tinkle BT, Al-shuik E, Levin L, Martin A, Thaler R, Atzinger CL, Rueger J, Martin VT. Joint hypermobility syndrome: A common clinical disorder associated with migraine in women. </w:t>
      </w:r>
      <w:r>
        <w:rPr>
          <w:rFonts w:ascii="Book Antiqua" w:hAnsi="Book Antiqua" w:cs="Book Antiqua"/>
          <w:i/>
          <w:iCs/>
        </w:rPr>
        <w:t>Cephalalgia</w:t>
      </w:r>
      <w:r>
        <w:rPr>
          <w:rFonts w:ascii="Book Antiqua" w:hAnsi="Book Antiqua" w:cs="Book Antiqua"/>
        </w:rPr>
        <w:t xml:space="preserve"> 2011; </w:t>
      </w:r>
      <w:r>
        <w:rPr>
          <w:rFonts w:ascii="Book Antiqua" w:hAnsi="Book Antiqua" w:cs="Book Antiqua"/>
          <w:b/>
          <w:bCs/>
        </w:rPr>
        <w:t>31</w:t>
      </w:r>
      <w:r>
        <w:rPr>
          <w:rFonts w:ascii="Book Antiqua" w:hAnsi="Book Antiqua" w:cs="Book Antiqua"/>
        </w:rPr>
        <w:t>: 603-613 [PMID: 21278238 DOI: 10.1177/0333102410392606]</w:t>
      </w:r>
    </w:p>
    <w:p>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Stoler JM</w:t>
      </w:r>
      <w:r>
        <w:rPr>
          <w:rFonts w:ascii="Book Antiqua" w:hAnsi="Book Antiqua" w:cs="Book Antiqua"/>
        </w:rPr>
        <w:t xml:space="preserve">, Oaklander AL. Patients with Ehlers Danlos syndrome and CRPS: a possible association? </w:t>
      </w:r>
      <w:r>
        <w:rPr>
          <w:rFonts w:ascii="Book Antiqua" w:hAnsi="Book Antiqua" w:cs="Book Antiqua"/>
          <w:i/>
          <w:iCs/>
        </w:rPr>
        <w:t>Pain</w:t>
      </w:r>
      <w:r>
        <w:rPr>
          <w:rFonts w:ascii="Book Antiqua" w:hAnsi="Book Antiqua" w:cs="Book Antiqua"/>
        </w:rPr>
        <w:t xml:space="preserve"> 2006; </w:t>
      </w:r>
      <w:r>
        <w:rPr>
          <w:rFonts w:ascii="Book Antiqua" w:hAnsi="Book Antiqua" w:cs="Book Antiqua"/>
          <w:b/>
          <w:bCs/>
        </w:rPr>
        <w:t>123</w:t>
      </w:r>
      <w:r>
        <w:rPr>
          <w:rFonts w:ascii="Book Antiqua" w:hAnsi="Book Antiqua" w:cs="Book Antiqua"/>
        </w:rPr>
        <w:t>: 204-209 [PMID: 16600507 DOI: 10.1016/j.pain.2006.02.022]</w:t>
      </w:r>
    </w:p>
    <w:p>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Hastings J</w:t>
      </w:r>
      <w:r>
        <w:rPr>
          <w:rFonts w:ascii="Book Antiqua" w:hAnsi="Book Antiqua" w:cs="Book Antiqua"/>
        </w:rPr>
        <w:t xml:space="preserve">, Forster JE, Witzeman K. Joint Hypermobility among Female Patients Presenting with Chronic Myofascial Pelvic Pain. </w:t>
      </w:r>
      <w:r>
        <w:rPr>
          <w:rFonts w:ascii="Book Antiqua" w:hAnsi="Book Antiqua" w:cs="Book Antiqua"/>
          <w:i/>
          <w:iCs/>
        </w:rPr>
        <w:t>PM R</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1193-1199 [PMID: 30729750 DOI: 10.1002/pmrj.12131]</w:t>
      </w:r>
    </w:p>
    <w:p>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Karan A</w:t>
      </w:r>
      <w:r>
        <w:rPr>
          <w:rFonts w:ascii="Book Antiqua" w:hAnsi="Book Antiqua" w:cs="Book Antiqua"/>
        </w:rPr>
        <w:t xml:space="preserve">, Isikoglu M, Aksac B, Attar E, Eskiyurt N, Yalcin O. Hypermobility syndrome in 105 women with pure urinary stress incontinence and in 105 controls. </w:t>
      </w:r>
      <w:r>
        <w:rPr>
          <w:rFonts w:ascii="Book Antiqua" w:hAnsi="Book Antiqua" w:cs="Book Antiqua"/>
          <w:i/>
          <w:iCs/>
        </w:rPr>
        <w:t>Arch Gynecol Obstet</w:t>
      </w:r>
      <w:r>
        <w:rPr>
          <w:rFonts w:ascii="Book Antiqua" w:hAnsi="Book Antiqua" w:cs="Book Antiqua"/>
        </w:rPr>
        <w:t xml:space="preserve"> 2004; </w:t>
      </w:r>
      <w:r>
        <w:rPr>
          <w:rFonts w:ascii="Book Antiqua" w:hAnsi="Book Antiqua" w:cs="Book Antiqua"/>
          <w:b/>
          <w:bCs/>
        </w:rPr>
        <w:t>269</w:t>
      </w:r>
      <w:r>
        <w:rPr>
          <w:rFonts w:ascii="Book Antiqua" w:hAnsi="Book Antiqua" w:cs="Book Antiqua"/>
        </w:rPr>
        <w:t>: 89-90 [PMID: 14648174 DOI: 10.1007/s00404-002-0429-x]</w:t>
      </w:r>
    </w:p>
    <w:p>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Baeza-Velasco C</w:t>
      </w:r>
      <w:r>
        <w:rPr>
          <w:rFonts w:ascii="Book Antiqua" w:hAnsi="Book Antiqua" w:cs="Book Antiqua"/>
        </w:rPr>
        <w:t xml:space="preserve">, Gély-Nargeot MC, Bulbena Vilarrasa A, Bravo JF. Joint hypermobility syndrome: problems that require psychological intervention. </w:t>
      </w:r>
      <w:r>
        <w:rPr>
          <w:rFonts w:ascii="Book Antiqua" w:hAnsi="Book Antiqua" w:cs="Book Antiqua"/>
          <w:i/>
          <w:iCs/>
        </w:rPr>
        <w:t>Rheumatol Int</w:t>
      </w:r>
      <w:r>
        <w:rPr>
          <w:rFonts w:ascii="Book Antiqua" w:hAnsi="Book Antiqua" w:cs="Book Antiqua"/>
        </w:rPr>
        <w:t xml:space="preserve"> 2011; </w:t>
      </w:r>
      <w:r>
        <w:rPr>
          <w:rFonts w:ascii="Book Antiqua" w:hAnsi="Book Antiqua" w:cs="Book Antiqua"/>
          <w:b/>
          <w:bCs/>
        </w:rPr>
        <w:t>31</w:t>
      </w:r>
      <w:r>
        <w:rPr>
          <w:rFonts w:ascii="Book Antiqua" w:hAnsi="Book Antiqua" w:cs="Book Antiqua"/>
        </w:rPr>
        <w:t>: 1131-1136 [PMID: 21373784 DOI: 10.1007/s00296-011-1839-5]</w:t>
      </w:r>
    </w:p>
    <w:p>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Celletti C</w:t>
      </w:r>
      <w:r>
        <w:rPr>
          <w:rFonts w:ascii="Book Antiqua" w:hAnsi="Book Antiqua" w:cs="Book Antiqua"/>
        </w:rPr>
        <w:t xml:space="preserve">, Castori M, La Torre G, Camerota F. Evaluation of kinesiophobia and its correlations with pain and fatigue in joint hypermobility syndrome/Ehlers-Danlos syndrome hypermobility type. </w:t>
      </w:r>
      <w:r>
        <w:rPr>
          <w:rFonts w:ascii="Book Antiqua" w:hAnsi="Book Antiqua" w:cs="Book Antiqua"/>
          <w:i/>
          <w:iCs/>
        </w:rPr>
        <w:t>Biomed Res Int</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580460 [PMID: 23936820 DOI: 10.1155/2013/580460]</w:t>
      </w:r>
    </w:p>
    <w:p>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Bair MJ</w:t>
      </w:r>
      <w:r>
        <w:rPr>
          <w:rFonts w:ascii="Book Antiqua" w:hAnsi="Book Antiqua" w:cs="Book Antiqua"/>
        </w:rPr>
        <w:t xml:space="preserve">, Robinson RL, Katon W, Kroenke K. Depression and pain comorbidity: a literature review. </w:t>
      </w:r>
      <w:r>
        <w:rPr>
          <w:rFonts w:ascii="Book Antiqua" w:hAnsi="Book Antiqua" w:cs="Book Antiqua"/>
          <w:i/>
          <w:iCs/>
        </w:rPr>
        <w:t>Arch Intern Med</w:t>
      </w:r>
      <w:r>
        <w:rPr>
          <w:rFonts w:ascii="Book Antiqua" w:hAnsi="Book Antiqua" w:cs="Book Antiqua"/>
        </w:rPr>
        <w:t xml:space="preserve"> 2003; </w:t>
      </w:r>
      <w:r>
        <w:rPr>
          <w:rFonts w:ascii="Book Antiqua" w:hAnsi="Book Antiqua" w:cs="Book Antiqua"/>
          <w:b/>
          <w:bCs/>
        </w:rPr>
        <w:t>163</w:t>
      </w:r>
      <w:r>
        <w:rPr>
          <w:rFonts w:ascii="Book Antiqua" w:hAnsi="Book Antiqua" w:cs="Book Antiqua"/>
        </w:rPr>
        <w:t>: 2433-2445 [PMID: 14609780 DOI: 10.1001/archinte.163.20.2433]</w:t>
      </w:r>
    </w:p>
    <w:p>
      <w:pPr>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Tobias JH</w:t>
      </w:r>
      <w:r>
        <w:rPr>
          <w:rFonts w:ascii="Book Antiqua" w:hAnsi="Book Antiqua" w:cs="Book Antiqua"/>
        </w:rPr>
        <w:t xml:space="preserve">, Deere K, Palmer S, Clark EM, Clinch J. Joint hypermobility is a risk factor for musculoskeletal pain during adolescence: findings of a prospective cohort study. </w:t>
      </w:r>
      <w:r>
        <w:rPr>
          <w:rFonts w:ascii="Book Antiqua" w:hAnsi="Book Antiqua" w:cs="Book Antiqua"/>
          <w:i/>
          <w:iCs/>
        </w:rPr>
        <w:t>Arthritis Rheum</w:t>
      </w:r>
      <w:r>
        <w:rPr>
          <w:rFonts w:ascii="Book Antiqua" w:hAnsi="Book Antiqua" w:cs="Book Antiqua"/>
        </w:rPr>
        <w:t xml:space="preserve"> 2013; </w:t>
      </w:r>
      <w:r>
        <w:rPr>
          <w:rFonts w:ascii="Book Antiqua" w:hAnsi="Book Antiqua" w:cs="Book Antiqua"/>
          <w:b/>
          <w:bCs/>
        </w:rPr>
        <w:t>65</w:t>
      </w:r>
      <w:r>
        <w:rPr>
          <w:rFonts w:ascii="Book Antiqua" w:hAnsi="Book Antiqua" w:cs="Book Antiqua"/>
        </w:rPr>
        <w:t>: 1107-1115 [PMID: 23450628 DOI: 10.1002/art.37836]</w:t>
      </w:r>
    </w:p>
    <w:p>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Rombaut L</w:t>
      </w:r>
      <w:r>
        <w:rPr>
          <w:rFonts w:ascii="Book Antiqua" w:hAnsi="Book Antiqua" w:cs="Book Antiqua"/>
        </w:rPr>
        <w:t xml:space="preserve">, Scheper M, De Wandele I, De Vries J, Meeus M, Malfait F, Engelbert R, Calders P. Chronic pain in patients with the hypermobility type of Ehlers-Danlos syndrome: evidence for generalized hyperalgesia. </w:t>
      </w:r>
      <w:r>
        <w:rPr>
          <w:rFonts w:ascii="Book Antiqua" w:hAnsi="Book Antiqua" w:cs="Book Antiqua"/>
          <w:i/>
          <w:iCs/>
        </w:rPr>
        <w:t>Clin Rheumatol</w:t>
      </w:r>
      <w:r>
        <w:rPr>
          <w:rFonts w:ascii="Book Antiqua" w:hAnsi="Book Antiqua" w:cs="Book Antiqua"/>
        </w:rPr>
        <w:t xml:space="preserve"> 2015; </w:t>
      </w:r>
      <w:r>
        <w:rPr>
          <w:rFonts w:ascii="Book Antiqua" w:hAnsi="Book Antiqua" w:cs="Book Antiqua"/>
          <w:b/>
          <w:bCs/>
        </w:rPr>
        <w:t>34</w:t>
      </w:r>
      <w:r>
        <w:rPr>
          <w:rFonts w:ascii="Book Antiqua" w:hAnsi="Book Antiqua" w:cs="Book Antiqua"/>
        </w:rPr>
        <w:t>: 1121-1129 [PMID: 24487572 DOI: 10.1007/s10067-014-2499-0]</w:t>
      </w:r>
    </w:p>
    <w:p>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Di Stefano G</w:t>
      </w:r>
      <w:r>
        <w:rPr>
          <w:rFonts w:ascii="Book Antiqua" w:hAnsi="Book Antiqua" w:cs="Book Antiqua"/>
        </w:rPr>
        <w:t xml:space="preserve">, Celletti C, Baron R, Castori M, Di Franco M, La Cesa S, Leone C, Pepe A, Cruccu G, Truini A, Camerota F. Central sensitization as the mechanism underlying pain in joint hypermobility syndrome/Ehlers-Danlos syndrome, hypermobility type. </w:t>
      </w:r>
      <w:r>
        <w:rPr>
          <w:rFonts w:ascii="Book Antiqua" w:hAnsi="Book Antiqua" w:cs="Book Antiqua"/>
          <w:i/>
          <w:iCs/>
        </w:rPr>
        <w:t>Eur J Pain</w:t>
      </w:r>
      <w:r>
        <w:rPr>
          <w:rFonts w:ascii="Book Antiqua" w:hAnsi="Book Antiqua" w:cs="Book Antiqua"/>
        </w:rPr>
        <w:t xml:space="preserve"> 2016; </w:t>
      </w:r>
      <w:r>
        <w:rPr>
          <w:rFonts w:ascii="Book Antiqua" w:hAnsi="Book Antiqua" w:cs="Book Antiqua"/>
          <w:b/>
          <w:bCs/>
        </w:rPr>
        <w:t>20</w:t>
      </w:r>
      <w:r>
        <w:rPr>
          <w:rFonts w:ascii="Book Antiqua" w:hAnsi="Book Antiqua" w:cs="Book Antiqua"/>
        </w:rPr>
        <w:t>: 1319-1325 [PMID: 26919608 DOI: 10.1002/ejp.856]</w:t>
      </w:r>
    </w:p>
    <w:p>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Hershenfeld SA</w:t>
      </w:r>
      <w:r>
        <w:rPr>
          <w:rFonts w:ascii="Book Antiqua" w:hAnsi="Book Antiqua" w:cs="Book Antiqua"/>
        </w:rPr>
        <w:t xml:space="preserve">, Wasim S, McNiven V, Parikh M, Majewski P, Faghfoury H, So J. Psychiatric disorders in Ehlers-Danlos syndrome are frequent, diverse and strongly associated with pain. </w:t>
      </w:r>
      <w:r>
        <w:rPr>
          <w:rFonts w:ascii="Book Antiqua" w:hAnsi="Book Antiqua" w:cs="Book Antiqua"/>
          <w:i/>
          <w:iCs/>
        </w:rPr>
        <w:t>Rheumatol Int</w:t>
      </w:r>
      <w:r>
        <w:rPr>
          <w:rFonts w:ascii="Book Antiqua" w:hAnsi="Book Antiqua" w:cs="Book Antiqua"/>
        </w:rPr>
        <w:t xml:space="preserve"> 2016; </w:t>
      </w:r>
      <w:r>
        <w:rPr>
          <w:rFonts w:ascii="Book Antiqua" w:hAnsi="Book Antiqua" w:cs="Book Antiqua"/>
          <w:b/>
          <w:bCs/>
        </w:rPr>
        <w:t>36</w:t>
      </w:r>
      <w:r>
        <w:rPr>
          <w:rFonts w:ascii="Book Antiqua" w:hAnsi="Book Antiqua" w:cs="Book Antiqua"/>
        </w:rPr>
        <w:t>: 341-348 [PMID: 26433894 DOI: 10.1007/s00296-015-3375-1]</w:t>
      </w:r>
    </w:p>
    <w:p>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Bowen J</w:t>
      </w:r>
      <w:r>
        <w:rPr>
          <w:rFonts w:ascii="Book Antiqua" w:hAnsi="Book Antiqua" w:cs="Book Antiqua"/>
        </w:rPr>
        <w:t xml:space="preserve">, Fatjó J, Serpell JA, Bulbena-Cabré A, Leighton E, Bulbena A. First evidence for an association between joint hypermobility and excitability in a non-human species, the domestic dog. </w:t>
      </w:r>
      <w:r>
        <w:rPr>
          <w:rFonts w:ascii="Book Antiqua" w:hAnsi="Book Antiqua" w:cs="Book Antiqua"/>
          <w:i/>
          <w:iCs/>
        </w:rPr>
        <w:t>Sci Rep</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8629 [PMID: 31197220 DOI: 10.1038/s41598-019-45096-0]</w:t>
      </w:r>
    </w:p>
    <w:p>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Tabiner M</w:t>
      </w:r>
      <w:r>
        <w:rPr>
          <w:rFonts w:ascii="Book Antiqua" w:hAnsi="Book Antiqua" w:cs="Book Antiqua"/>
        </w:rPr>
        <w:t xml:space="preserve">, Youings S, Dennis N, Baldwin D, Buis C, Mayers A, Jacobs PA, Crolla JA. Failure to find DUP25 in patients with anxiety disorders, in control individuals, or in previously reported positive control cell lines. </w:t>
      </w:r>
      <w:r>
        <w:rPr>
          <w:rFonts w:ascii="Book Antiqua" w:hAnsi="Book Antiqua" w:cs="Book Antiqua"/>
          <w:i/>
          <w:iCs/>
        </w:rPr>
        <w:t>Am J Hum Genet</w:t>
      </w:r>
      <w:r>
        <w:rPr>
          <w:rFonts w:ascii="Book Antiqua" w:hAnsi="Book Antiqua" w:cs="Book Antiqua"/>
        </w:rPr>
        <w:t xml:space="preserve"> 2003; </w:t>
      </w:r>
      <w:r>
        <w:rPr>
          <w:rFonts w:ascii="Book Antiqua" w:hAnsi="Book Antiqua" w:cs="Book Antiqua"/>
          <w:b/>
          <w:bCs/>
        </w:rPr>
        <w:t>72</w:t>
      </w:r>
      <w:r>
        <w:rPr>
          <w:rFonts w:ascii="Book Antiqua" w:hAnsi="Book Antiqua" w:cs="Book Antiqua"/>
        </w:rPr>
        <w:t>: 535-538 [PMID: 12548501 DOI: 10.1086/367777]</w:t>
      </w:r>
    </w:p>
    <w:p>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Petersen JW</w:t>
      </w:r>
      <w:r>
        <w:rPr>
          <w:rFonts w:ascii="Book Antiqua" w:hAnsi="Book Antiqua" w:cs="Book Antiqua"/>
        </w:rPr>
        <w:t xml:space="preserve">, Douglas JY. Tenascin-X, collagen, and Ehlers-Danlos syndrome: tenascin-X gene defects can protect against adverse cardiovascular events. </w:t>
      </w:r>
      <w:r>
        <w:rPr>
          <w:rFonts w:ascii="Book Antiqua" w:hAnsi="Book Antiqua" w:cs="Book Antiqua"/>
          <w:i/>
          <w:iCs/>
        </w:rPr>
        <w:t>Med Hypotheses</w:t>
      </w:r>
      <w:r>
        <w:rPr>
          <w:rFonts w:ascii="Book Antiqua" w:hAnsi="Book Antiqua" w:cs="Book Antiqua"/>
        </w:rPr>
        <w:t xml:space="preserve"> 2013; </w:t>
      </w:r>
      <w:r>
        <w:rPr>
          <w:rFonts w:ascii="Book Antiqua" w:hAnsi="Book Antiqua" w:cs="Book Antiqua"/>
          <w:b/>
          <w:bCs/>
        </w:rPr>
        <w:t>81</w:t>
      </w:r>
      <w:r>
        <w:rPr>
          <w:rFonts w:ascii="Book Antiqua" w:hAnsi="Book Antiqua" w:cs="Book Antiqua"/>
        </w:rPr>
        <w:t>: 443-447 [PMID: 23830591 DOI: 10.1016/j.mehy.2013.06.005]</w:t>
      </w:r>
    </w:p>
    <w:p>
      <w:pPr>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Aktar R</w:t>
      </w:r>
      <w:r>
        <w:rPr>
          <w:rFonts w:ascii="Book Antiqua" w:hAnsi="Book Antiqua" w:cs="Book Antiqua"/>
        </w:rPr>
        <w:t xml:space="preserve">, Peiris M, Fikree A, Cibert-Goton V, Walmsley M, Tough IR, Watanabe P, Araujo EJA, Mohammed SD, Delalande JM, Bulmer DC, Scott SM, Cox HM, Voermans NC, Aziz Q, Blackshaw LA. The extracellular matrix glycoprotein tenascin-X regulates peripheral sensory and motor neurones. </w:t>
      </w:r>
      <w:r>
        <w:rPr>
          <w:rFonts w:ascii="Book Antiqua" w:hAnsi="Book Antiqua" w:cs="Book Antiqua"/>
          <w:i/>
          <w:iCs/>
        </w:rPr>
        <w:t>J Physiol</w:t>
      </w:r>
      <w:r>
        <w:rPr>
          <w:rFonts w:ascii="Book Antiqua" w:hAnsi="Book Antiqua" w:cs="Book Antiqua"/>
        </w:rPr>
        <w:t xml:space="preserve"> 2018; </w:t>
      </w:r>
      <w:r>
        <w:rPr>
          <w:rFonts w:ascii="Book Antiqua" w:hAnsi="Book Antiqua" w:cs="Book Antiqua"/>
          <w:b/>
          <w:bCs/>
        </w:rPr>
        <w:t>596</w:t>
      </w:r>
      <w:r>
        <w:rPr>
          <w:rFonts w:ascii="Book Antiqua" w:hAnsi="Book Antiqua" w:cs="Book Antiqua"/>
        </w:rPr>
        <w:t>: 4237-4251 [PMID: 29917237 DOI: 10.1113/JP276300]</w:t>
      </w:r>
    </w:p>
    <w:p>
      <w:pPr>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Sinibaldi L</w:t>
      </w:r>
      <w:r>
        <w:rPr>
          <w:rFonts w:ascii="Book Antiqua" w:hAnsi="Book Antiqua" w:cs="Book Antiqua"/>
        </w:rPr>
        <w:t xml:space="preserve">, Ursini G, Castori M. Psychopathological manifestations of joint hypermobility and joint hypermobility syndrome/ Ehlers-Danlos syndrome, hypermobility type: The link between connective tissue and psychological distress revised. </w:t>
      </w:r>
      <w:r>
        <w:rPr>
          <w:rFonts w:ascii="Book Antiqua" w:hAnsi="Book Antiqua" w:cs="Book Antiqua"/>
          <w:i/>
          <w:iCs/>
        </w:rPr>
        <w:t>Am J Med Genet C Semin Med Genet</w:t>
      </w:r>
      <w:r>
        <w:rPr>
          <w:rFonts w:ascii="Book Antiqua" w:hAnsi="Book Antiqua" w:cs="Book Antiqua"/>
        </w:rPr>
        <w:t xml:space="preserve"> 2015; </w:t>
      </w:r>
      <w:r>
        <w:rPr>
          <w:rFonts w:ascii="Book Antiqua" w:hAnsi="Book Antiqua" w:cs="Book Antiqua"/>
          <w:b/>
          <w:bCs/>
        </w:rPr>
        <w:t>169C</w:t>
      </w:r>
      <w:r>
        <w:rPr>
          <w:rFonts w:ascii="Book Antiqua" w:hAnsi="Book Antiqua" w:cs="Book Antiqua"/>
        </w:rPr>
        <w:t>: 97-106 [PMID: 25821094 DOI: 10.1002/ajmg.c.31430]</w:t>
      </w:r>
    </w:p>
    <w:p>
      <w:pPr>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Gazit Y</w:t>
      </w:r>
      <w:r>
        <w:rPr>
          <w:rFonts w:ascii="Book Antiqua" w:hAnsi="Book Antiqua" w:cs="Book Antiqua"/>
        </w:rPr>
        <w:t xml:space="preserve">, Nahir AM, Grahame R, Jacob G. Dysautonomia in the joint hypermobility syndrome. </w:t>
      </w:r>
      <w:r>
        <w:rPr>
          <w:rFonts w:ascii="Book Antiqua" w:hAnsi="Book Antiqua" w:cs="Book Antiqua"/>
          <w:i/>
          <w:iCs/>
        </w:rPr>
        <w:t>Am J Med</w:t>
      </w:r>
      <w:r>
        <w:rPr>
          <w:rFonts w:ascii="Book Antiqua" w:hAnsi="Book Antiqua" w:cs="Book Antiqua"/>
        </w:rPr>
        <w:t xml:space="preserve"> 2003; </w:t>
      </w:r>
      <w:r>
        <w:rPr>
          <w:rFonts w:ascii="Book Antiqua" w:hAnsi="Book Antiqua" w:cs="Book Antiqua"/>
          <w:b/>
          <w:bCs/>
        </w:rPr>
        <w:t>115</w:t>
      </w:r>
      <w:r>
        <w:rPr>
          <w:rFonts w:ascii="Book Antiqua" w:hAnsi="Book Antiqua" w:cs="Book Antiqua"/>
        </w:rPr>
        <w:t>: 33-40 [PMID: 12867232 DOI: 10.1016/s0002-9343(03)00235-3]</w:t>
      </w:r>
    </w:p>
    <w:p>
      <w:pPr>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Mathias CJ</w:t>
      </w:r>
      <w:r>
        <w:rPr>
          <w:rFonts w:ascii="Book Antiqua" w:hAnsi="Book Antiqua" w:cs="Book Antiqua"/>
        </w:rPr>
        <w:t xml:space="preserve">, Low DA, Iodice V, Owens AP, Kirbis M, Grahame R. Postural tachycardia syndrome--current experience and concepts. </w:t>
      </w:r>
      <w:r>
        <w:rPr>
          <w:rFonts w:ascii="Book Antiqua" w:hAnsi="Book Antiqua" w:cs="Book Antiqua"/>
          <w:i/>
          <w:iCs/>
        </w:rPr>
        <w:t>Nat Rev Neurol</w:t>
      </w:r>
      <w:r>
        <w:rPr>
          <w:rFonts w:ascii="Book Antiqua" w:hAnsi="Book Antiqua" w:cs="Book Antiqua"/>
        </w:rPr>
        <w:t xml:space="preserve"> 2011; </w:t>
      </w:r>
      <w:r>
        <w:rPr>
          <w:rFonts w:ascii="Book Antiqua" w:hAnsi="Book Antiqua" w:cs="Book Antiqua"/>
          <w:b/>
          <w:bCs/>
        </w:rPr>
        <w:t>8</w:t>
      </w:r>
      <w:r>
        <w:rPr>
          <w:rFonts w:ascii="Book Antiqua" w:hAnsi="Book Antiqua" w:cs="Book Antiqua"/>
        </w:rPr>
        <w:t>: 22-34 [PMID: 22143364 DOI: 10.1038/nrneurol.2011.187]</w:t>
      </w:r>
    </w:p>
    <w:p>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Critchley HD</w:t>
      </w:r>
      <w:r>
        <w:rPr>
          <w:rFonts w:ascii="Book Antiqua" w:hAnsi="Book Antiqua" w:cs="Book Antiqua"/>
        </w:rPr>
        <w:t xml:space="preserve">, Eccles J, Garfinkel SN. Interaction between cognition, emotion, and the autonomic nervous system. </w:t>
      </w:r>
      <w:r>
        <w:rPr>
          <w:rFonts w:ascii="Book Antiqua" w:hAnsi="Book Antiqua" w:cs="Book Antiqua"/>
          <w:i/>
          <w:iCs/>
        </w:rPr>
        <w:t>Handb Clin Neurol</w:t>
      </w:r>
      <w:r>
        <w:rPr>
          <w:rFonts w:ascii="Book Antiqua" w:hAnsi="Book Antiqua" w:cs="Book Antiqua"/>
        </w:rPr>
        <w:t xml:space="preserve"> 2013; </w:t>
      </w:r>
      <w:r>
        <w:rPr>
          <w:rFonts w:ascii="Book Antiqua" w:hAnsi="Book Antiqua" w:cs="Book Antiqua"/>
          <w:b/>
          <w:bCs/>
        </w:rPr>
        <w:t>117</w:t>
      </w:r>
      <w:r>
        <w:rPr>
          <w:rFonts w:ascii="Book Antiqua" w:hAnsi="Book Antiqua" w:cs="Book Antiqua"/>
        </w:rPr>
        <w:t>: 59-77 [PMID: 24095116 DOI: 10.1016/B978-0-444-53491-0.00006-7]</w:t>
      </w:r>
    </w:p>
    <w:p>
      <w:pPr>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Bal E</w:t>
      </w:r>
      <w:r>
        <w:rPr>
          <w:rFonts w:ascii="Book Antiqua" w:hAnsi="Book Antiqua" w:cs="Book Antiqua"/>
        </w:rPr>
        <w:t xml:space="preserve">, Harden E, Lamb D, Van Hecke AV, Denver JW, Porges SW. Emotion recognition in children with autism spectrum disorders: relations to eye gaze and autonomic state. </w:t>
      </w:r>
      <w:r>
        <w:rPr>
          <w:rFonts w:ascii="Book Antiqua" w:hAnsi="Book Antiqua" w:cs="Book Antiqua"/>
          <w:i/>
          <w:iCs/>
        </w:rPr>
        <w:t>J Autism Dev Disord</w:t>
      </w:r>
      <w:r>
        <w:rPr>
          <w:rFonts w:ascii="Book Antiqua" w:hAnsi="Book Antiqua" w:cs="Book Antiqua"/>
        </w:rPr>
        <w:t xml:space="preserve"> 2010; </w:t>
      </w:r>
      <w:r>
        <w:rPr>
          <w:rFonts w:ascii="Book Antiqua" w:hAnsi="Book Antiqua" w:cs="Book Antiqua"/>
          <w:b/>
          <w:bCs/>
        </w:rPr>
        <w:t>40</w:t>
      </w:r>
      <w:r>
        <w:rPr>
          <w:rFonts w:ascii="Book Antiqua" w:hAnsi="Book Antiqua" w:cs="Book Antiqua"/>
        </w:rPr>
        <w:t>: 358-370 [PMID: 19885725 DOI: 10.1007/s10803-009-0884-3]</w:t>
      </w:r>
    </w:p>
    <w:p>
      <w:pPr>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Morris SSJ</w:t>
      </w:r>
      <w:r>
        <w:rPr>
          <w:rFonts w:ascii="Book Antiqua" w:hAnsi="Book Antiqua" w:cs="Book Antiqua"/>
        </w:rPr>
        <w:t xml:space="preserve">, Musser ED, Tenenbaum RB, Ward AR, Martinez J, Raiker JS, Coles EK, Riopelle C. Emotion Regulation via the Autonomic Nervous System in Children with Attention-Deficit/Hyperactivity Disorder (ADHD): Replication and Extension. </w:t>
      </w:r>
      <w:r>
        <w:rPr>
          <w:rFonts w:ascii="Book Antiqua" w:hAnsi="Book Antiqua" w:cs="Book Antiqua"/>
          <w:i/>
          <w:iCs/>
        </w:rPr>
        <w:t>J Abnorm Child Psychol</w:t>
      </w:r>
      <w:r>
        <w:rPr>
          <w:rFonts w:ascii="Book Antiqua" w:hAnsi="Book Antiqua" w:cs="Book Antiqua"/>
        </w:rPr>
        <w:t xml:space="preserve"> 2020; </w:t>
      </w:r>
      <w:r>
        <w:rPr>
          <w:rFonts w:ascii="Book Antiqua" w:hAnsi="Book Antiqua" w:cs="Book Antiqua"/>
          <w:b/>
          <w:bCs/>
        </w:rPr>
        <w:t>48</w:t>
      </w:r>
      <w:r>
        <w:rPr>
          <w:rFonts w:ascii="Book Antiqua" w:hAnsi="Book Antiqua" w:cs="Book Antiqua"/>
        </w:rPr>
        <w:t>: 361-373 [PMID: 31808007 DOI: 10.1007/s10802-019-00593-8]</w:t>
      </w:r>
    </w:p>
    <w:p>
      <w:pPr>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Mallorquí-Bagué N</w:t>
      </w:r>
      <w:r>
        <w:rPr>
          <w:rFonts w:ascii="Book Antiqua" w:hAnsi="Book Antiqua" w:cs="Book Antiqua"/>
        </w:rPr>
        <w:t xml:space="preserve">, Bulbena A, Pailhez G, Garfinkel SN, Critchley HD. Mind-Body Interactions in Anxiety and Somatic Symptoms. </w:t>
      </w:r>
      <w:r>
        <w:rPr>
          <w:rFonts w:ascii="Book Antiqua" w:hAnsi="Book Antiqua" w:cs="Book Antiqua"/>
          <w:i/>
          <w:iCs/>
        </w:rPr>
        <w:t>Harv Rev Psychiatry</w:t>
      </w:r>
      <w:r>
        <w:rPr>
          <w:rFonts w:ascii="Book Antiqua" w:hAnsi="Book Antiqua" w:cs="Book Antiqua"/>
        </w:rPr>
        <w:t xml:space="preserve"> 2016; </w:t>
      </w:r>
      <w:r>
        <w:rPr>
          <w:rFonts w:ascii="Book Antiqua" w:hAnsi="Book Antiqua" w:cs="Book Antiqua"/>
          <w:b/>
          <w:bCs/>
        </w:rPr>
        <w:t>24</w:t>
      </w:r>
      <w:r>
        <w:rPr>
          <w:rFonts w:ascii="Book Antiqua" w:hAnsi="Book Antiqua" w:cs="Book Antiqua"/>
        </w:rPr>
        <w:t>: 53-60 [PMID: 26713718 DOI: 10.1097/HRP.0000000000000085]</w:t>
      </w:r>
    </w:p>
    <w:p>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Eccles JA</w:t>
      </w:r>
      <w:r>
        <w:rPr>
          <w:rFonts w:ascii="Book Antiqua" w:hAnsi="Book Antiqua" w:cs="Book Antiqua"/>
        </w:rPr>
        <w:t xml:space="preserve">, Beacher FD, Gray MA, Jones CL, Minati L, Harrison NA, Critchley HD. Brain structure and joint hypermobility: relevance to the expression of psychiatric symptoms. </w:t>
      </w:r>
      <w:r>
        <w:rPr>
          <w:rFonts w:ascii="Book Antiqua" w:hAnsi="Book Antiqua" w:cs="Book Antiqua"/>
          <w:i/>
          <w:iCs/>
        </w:rPr>
        <w:t>Br J Psychiatry</w:t>
      </w:r>
      <w:r>
        <w:rPr>
          <w:rFonts w:ascii="Book Antiqua" w:hAnsi="Book Antiqua" w:cs="Book Antiqua"/>
        </w:rPr>
        <w:t xml:space="preserve"> 2012; </w:t>
      </w:r>
      <w:r>
        <w:rPr>
          <w:rFonts w:ascii="Book Antiqua" w:hAnsi="Book Antiqua" w:cs="Book Antiqua"/>
          <w:b/>
          <w:bCs/>
        </w:rPr>
        <w:t>200</w:t>
      </w:r>
      <w:r>
        <w:rPr>
          <w:rFonts w:ascii="Book Antiqua" w:hAnsi="Book Antiqua" w:cs="Book Antiqua"/>
        </w:rPr>
        <w:t>: 508-509 [PMID: 22539777 DOI: 10.1192/bjp.bp.111.092460]</w:t>
      </w:r>
    </w:p>
    <w:p>
      <w:pPr>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Mallorquí-Bagué N</w:t>
      </w:r>
      <w:r>
        <w:rPr>
          <w:rFonts w:ascii="Book Antiqua" w:hAnsi="Book Antiqua" w:cs="Book Antiqua"/>
        </w:rPr>
        <w:t xml:space="preserve">, Garfinkel SN, Engels M, Eccles JA, Pailhez G, Bulbena A, Critchley HD. Neuroimaging and psychophysiological investigation of the link between anxiety, enhanced affective reactivity and interoception in people with joint hypermobility. </w:t>
      </w:r>
      <w:r>
        <w:rPr>
          <w:rFonts w:ascii="Book Antiqua" w:hAnsi="Book Antiqua" w:cs="Book Antiqua"/>
          <w:i/>
          <w:iCs/>
        </w:rPr>
        <w:t>Front Psychol</w:t>
      </w:r>
      <w:r>
        <w:rPr>
          <w:rFonts w:ascii="Book Antiqua" w:hAnsi="Book Antiqua" w:cs="Book Antiqua"/>
        </w:rPr>
        <w:t xml:space="preserve"> 2014; </w:t>
      </w:r>
      <w:r>
        <w:rPr>
          <w:rFonts w:ascii="Book Antiqua" w:hAnsi="Book Antiqua" w:cs="Book Antiqua"/>
          <w:b/>
          <w:bCs/>
        </w:rPr>
        <w:t>5</w:t>
      </w:r>
      <w:r>
        <w:rPr>
          <w:rFonts w:ascii="Book Antiqua" w:hAnsi="Book Antiqua" w:cs="Book Antiqua"/>
        </w:rPr>
        <w:t>: 1162 [PMID: 25352818 DOI: 10.3389/fpsyg.2014.01162]</w:t>
      </w:r>
    </w:p>
    <w:p>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Mallorquí-Bagué N</w:t>
      </w:r>
      <w:r>
        <w:rPr>
          <w:rFonts w:ascii="Book Antiqua" w:hAnsi="Book Antiqua" w:cs="Book Antiqua"/>
        </w:rPr>
        <w:t xml:space="preserve">, Bulbena A, Roé-Vellvé N, Hoekzema E, Carmona S, Barba-Müller E, Fauquet J, Pailhez G, Vilarroya O. Emotion processing in joint hypermobility: A potential link to the neural bases of anxiety and related somatic symptoms in collagen anomalies. </w:t>
      </w:r>
      <w:r>
        <w:rPr>
          <w:rFonts w:ascii="Book Antiqua" w:hAnsi="Book Antiqua" w:cs="Book Antiqua"/>
          <w:i/>
          <w:iCs/>
        </w:rPr>
        <w:t>Eur Psychiatry</w:t>
      </w:r>
      <w:r>
        <w:rPr>
          <w:rFonts w:ascii="Book Antiqua" w:hAnsi="Book Antiqua" w:cs="Book Antiqua"/>
        </w:rPr>
        <w:t xml:space="preserve"> 2015; </w:t>
      </w:r>
      <w:r>
        <w:rPr>
          <w:rFonts w:ascii="Book Antiqua" w:hAnsi="Book Antiqua" w:cs="Book Antiqua"/>
          <w:b/>
          <w:bCs/>
        </w:rPr>
        <w:t>30</w:t>
      </w:r>
      <w:r>
        <w:rPr>
          <w:rFonts w:ascii="Book Antiqua" w:hAnsi="Book Antiqua" w:cs="Book Antiqua"/>
        </w:rPr>
        <w:t>: 454-458 [PMID: 25684692 DOI: 10.1016/j.eurpsy.2015.01.004]</w:t>
      </w:r>
    </w:p>
    <w:p>
      <w:pPr>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Savitz J</w:t>
      </w:r>
      <w:r>
        <w:rPr>
          <w:rFonts w:ascii="Book Antiqua" w:hAnsi="Book Antiqua" w:cs="Book Antiqua"/>
        </w:rPr>
        <w:t xml:space="preserve">, Harrison NA. Interoception and Inflammation in Psychiatric Disorders. </w:t>
      </w:r>
      <w:r>
        <w:rPr>
          <w:rFonts w:ascii="Book Antiqua" w:hAnsi="Book Antiqua" w:cs="Book Antiqua"/>
          <w:i/>
          <w:iCs/>
        </w:rPr>
        <w:t>Biol Psychiatry Cogn Neurosci Neuroimaging</w:t>
      </w:r>
      <w:r>
        <w:rPr>
          <w:rFonts w:ascii="Book Antiqua" w:hAnsi="Book Antiqua" w:cs="Book Antiqua"/>
        </w:rPr>
        <w:t xml:space="preserve"> 2018; </w:t>
      </w:r>
      <w:r>
        <w:rPr>
          <w:rFonts w:ascii="Book Antiqua" w:hAnsi="Book Antiqua" w:cs="Book Antiqua"/>
          <w:b/>
          <w:bCs/>
        </w:rPr>
        <w:t>3</w:t>
      </w:r>
      <w:r>
        <w:rPr>
          <w:rFonts w:ascii="Book Antiqua" w:hAnsi="Book Antiqua" w:cs="Book Antiqua"/>
        </w:rPr>
        <w:t>: 514-524 [PMID: 29884282 DOI: 10.1016/j.bpsc.2017.12.011]</w:t>
      </w:r>
    </w:p>
    <w:p>
      <w:pPr>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Seneviratne SL</w:t>
      </w:r>
      <w:r>
        <w:rPr>
          <w:rFonts w:ascii="Book Antiqua" w:hAnsi="Book Antiqua" w:cs="Book Antiqua"/>
        </w:rPr>
        <w:t xml:space="preserve">, Maitland A, Afrin L. Mast cell disorders in Ehlers-Danlos syndrome. </w:t>
      </w:r>
      <w:r>
        <w:rPr>
          <w:rFonts w:ascii="Book Antiqua" w:hAnsi="Book Antiqua" w:cs="Book Antiqua"/>
          <w:i/>
          <w:iCs/>
        </w:rPr>
        <w:t>Am J Med Genet C Semin Med Genet</w:t>
      </w:r>
      <w:r>
        <w:rPr>
          <w:rFonts w:ascii="Book Antiqua" w:hAnsi="Book Antiqua" w:cs="Book Antiqua"/>
        </w:rPr>
        <w:t xml:space="preserve"> 2017; </w:t>
      </w:r>
      <w:r>
        <w:rPr>
          <w:rFonts w:ascii="Book Antiqua" w:hAnsi="Book Antiqua" w:cs="Book Antiqua"/>
          <w:b/>
          <w:bCs/>
        </w:rPr>
        <w:t>175</w:t>
      </w:r>
      <w:r>
        <w:rPr>
          <w:rFonts w:ascii="Book Antiqua" w:hAnsi="Book Antiqua" w:cs="Book Antiqua"/>
        </w:rPr>
        <w:t>: 226-236 [PMID: 28261938 DOI: 10.1002/ajmg.c.31555]</w:t>
      </w:r>
    </w:p>
    <w:p>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Marchezan J</w:t>
      </w:r>
      <w:r>
        <w:rPr>
          <w:rFonts w:ascii="Book Antiqua" w:hAnsi="Book Antiqua" w:cs="Book Antiqua"/>
        </w:rPr>
        <w:t xml:space="preserve">, Winkler Dos Santos EGA, Deckmann I, Riesgo RDS. Immunological Dysfunction in Autism Spectrum Disorder: A Potential Target for Therapy. </w:t>
      </w:r>
      <w:r>
        <w:rPr>
          <w:rFonts w:ascii="Book Antiqua" w:hAnsi="Book Antiqua" w:cs="Book Antiqua"/>
          <w:i/>
          <w:iCs/>
        </w:rPr>
        <w:t>Neuroimmunomodulation</w:t>
      </w:r>
      <w:r>
        <w:rPr>
          <w:rFonts w:ascii="Book Antiqua" w:hAnsi="Book Antiqua" w:cs="Book Antiqua"/>
        </w:rPr>
        <w:t xml:space="preserve"> 2018; </w:t>
      </w:r>
      <w:r>
        <w:rPr>
          <w:rFonts w:ascii="Book Antiqua" w:hAnsi="Book Antiqua" w:cs="Book Antiqua"/>
          <w:b/>
          <w:bCs/>
        </w:rPr>
        <w:t>25</w:t>
      </w:r>
      <w:r>
        <w:rPr>
          <w:rFonts w:ascii="Book Antiqua" w:hAnsi="Book Antiqua" w:cs="Book Antiqua"/>
        </w:rPr>
        <w:t>: 300-319 [PMID: 30184549 DOI: 10.1159/000492225]</w:t>
      </w:r>
    </w:p>
    <w:p>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Smith TO</w:t>
      </w:r>
      <w:r>
        <w:rPr>
          <w:rFonts w:ascii="Book Antiqua" w:hAnsi="Book Antiqua" w:cs="Book Antiqua"/>
        </w:rPr>
        <w:t xml:space="preserve">, Jerman E, Easton V, Bacon H, Armon K, Poland F, Macgregor AJ. Do people with benign joint hypermobility syndrome (BJHS) have reduced joint proprioception? A systematic review and meta-analysis. </w:t>
      </w:r>
      <w:r>
        <w:rPr>
          <w:rFonts w:ascii="Book Antiqua" w:hAnsi="Book Antiqua" w:cs="Book Antiqua"/>
          <w:i/>
          <w:iCs/>
        </w:rPr>
        <w:t>Rheumatol Int</w:t>
      </w:r>
      <w:r>
        <w:rPr>
          <w:rFonts w:ascii="Book Antiqua" w:hAnsi="Book Antiqua" w:cs="Book Antiqua"/>
        </w:rPr>
        <w:t xml:space="preserve"> 2013; </w:t>
      </w:r>
      <w:r>
        <w:rPr>
          <w:rFonts w:ascii="Book Antiqua" w:hAnsi="Book Antiqua" w:cs="Book Antiqua"/>
          <w:b/>
          <w:bCs/>
        </w:rPr>
        <w:t>33</w:t>
      </w:r>
      <w:r>
        <w:rPr>
          <w:rFonts w:ascii="Book Antiqua" w:hAnsi="Book Antiqua" w:cs="Book Antiqua"/>
        </w:rPr>
        <w:t>: 2709-2716 [PMID: 23728275 DOI: 10.1007/s00296-013-2790-4]</w:t>
      </w:r>
    </w:p>
    <w:p>
      <w:pPr>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Ghibellini G</w:t>
      </w:r>
      <w:r>
        <w:rPr>
          <w:rFonts w:ascii="Book Antiqua" w:hAnsi="Book Antiqua" w:cs="Book Antiqua"/>
        </w:rPr>
        <w:t xml:space="preserve">, Brancati F, Castori M. Neurodevelopmental attributes of joint hypermobility syndrome/Ehlers-Danlos syndrome, hypermobility type: Update and perspectives. </w:t>
      </w:r>
      <w:r>
        <w:rPr>
          <w:rFonts w:ascii="Book Antiqua" w:hAnsi="Book Antiqua" w:cs="Book Antiqua"/>
          <w:i/>
          <w:iCs/>
        </w:rPr>
        <w:t>Am J Med Genet C Semin Med Genet</w:t>
      </w:r>
      <w:r>
        <w:rPr>
          <w:rFonts w:ascii="Book Antiqua" w:hAnsi="Book Antiqua" w:cs="Book Antiqua"/>
        </w:rPr>
        <w:t xml:space="preserve"> 2015; </w:t>
      </w:r>
      <w:r>
        <w:rPr>
          <w:rFonts w:ascii="Book Antiqua" w:hAnsi="Book Antiqua" w:cs="Book Antiqua"/>
          <w:b/>
          <w:bCs/>
        </w:rPr>
        <w:t>169C</w:t>
      </w:r>
      <w:r>
        <w:rPr>
          <w:rFonts w:ascii="Book Antiqua" w:hAnsi="Book Antiqua" w:cs="Book Antiqua"/>
        </w:rPr>
        <w:t>: 107-116 [PMID: 25654988 DOI: 10.1002/ajmg.c.31424]</w:t>
      </w:r>
    </w:p>
    <w:p>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Baeza-Velasco C</w:t>
      </w:r>
      <w:r>
        <w:rPr>
          <w:rFonts w:ascii="Book Antiqua" w:hAnsi="Book Antiqua" w:cs="Book Antiqua"/>
        </w:rPr>
        <w:t xml:space="preserve">, Sinibaldi L, Castori M. Attention-deficit/hyperactivity disorder, joint hypermobility-related disorders and pain: expanding body-mind connections to the developmental age. </w:t>
      </w:r>
      <w:r>
        <w:rPr>
          <w:rFonts w:ascii="Book Antiqua" w:hAnsi="Book Antiqua" w:cs="Book Antiqua"/>
          <w:i/>
          <w:iCs/>
        </w:rPr>
        <w:t>Atten Defic Hyperact Disord</w:t>
      </w:r>
      <w:r>
        <w:rPr>
          <w:rFonts w:ascii="Book Antiqua" w:hAnsi="Book Antiqua" w:cs="Book Antiqua"/>
        </w:rPr>
        <w:t xml:space="preserve"> 2018; </w:t>
      </w:r>
      <w:r>
        <w:rPr>
          <w:rFonts w:ascii="Book Antiqua" w:hAnsi="Book Antiqua" w:cs="Book Antiqua"/>
          <w:b/>
          <w:bCs/>
        </w:rPr>
        <w:t>10</w:t>
      </w:r>
      <w:r>
        <w:rPr>
          <w:rFonts w:ascii="Book Antiqua" w:hAnsi="Book Antiqua" w:cs="Book Antiqua"/>
        </w:rPr>
        <w:t>: 163-175 [PMID: 29446032 DOI: 10.1007/s12402-018-0252-2]</w:t>
      </w:r>
    </w:p>
    <w:p>
      <w:pPr>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Ross J</w:t>
      </w:r>
      <w:r>
        <w:rPr>
          <w:rFonts w:ascii="Book Antiqua" w:hAnsi="Book Antiqua" w:cs="Book Antiqua"/>
        </w:rPr>
        <w:t xml:space="preserve">, Grahame R. Joint hypermobility syndrome. </w:t>
      </w:r>
      <w:r>
        <w:rPr>
          <w:rFonts w:ascii="Book Antiqua" w:hAnsi="Book Antiqua" w:cs="Book Antiqua"/>
          <w:i/>
          <w:iCs/>
        </w:rPr>
        <w:t>BMJ</w:t>
      </w:r>
      <w:r>
        <w:rPr>
          <w:rFonts w:ascii="Book Antiqua" w:hAnsi="Book Antiqua" w:cs="Book Antiqua"/>
        </w:rPr>
        <w:t xml:space="preserve"> 2011; </w:t>
      </w:r>
      <w:r>
        <w:rPr>
          <w:rFonts w:ascii="Book Antiqua" w:hAnsi="Book Antiqua" w:cs="Book Antiqua"/>
          <w:b/>
          <w:bCs/>
        </w:rPr>
        <w:t>342</w:t>
      </w:r>
      <w:r>
        <w:rPr>
          <w:rFonts w:ascii="Book Antiqua" w:hAnsi="Book Antiqua" w:cs="Book Antiqua"/>
        </w:rPr>
        <w:t>: c7167 [PMID: 21252103 DOI: 10.1136/bmj.c7167]</w:t>
      </w:r>
    </w:p>
    <w:p>
      <w:pPr>
        <w:spacing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Gottesman II</w:t>
      </w:r>
      <w:r>
        <w:rPr>
          <w:rFonts w:ascii="Book Antiqua" w:hAnsi="Book Antiqua" w:cs="Book Antiqua"/>
        </w:rPr>
        <w:t xml:space="preserve">, Gould TD. The endophenotype concept in psychiatry: etymology and strategic intentions. </w:t>
      </w:r>
      <w:r>
        <w:rPr>
          <w:rFonts w:ascii="Book Antiqua" w:hAnsi="Book Antiqua" w:cs="Book Antiqua"/>
          <w:i/>
          <w:iCs/>
        </w:rPr>
        <w:t>Am J Psychiatry</w:t>
      </w:r>
      <w:r>
        <w:rPr>
          <w:rFonts w:ascii="Book Antiqua" w:hAnsi="Book Antiqua" w:cs="Book Antiqua"/>
        </w:rPr>
        <w:t xml:space="preserve"> 2003; </w:t>
      </w:r>
      <w:r>
        <w:rPr>
          <w:rFonts w:ascii="Book Antiqua" w:hAnsi="Book Antiqua" w:cs="Book Antiqua"/>
          <w:b/>
          <w:bCs/>
        </w:rPr>
        <w:t>160</w:t>
      </w:r>
      <w:r>
        <w:rPr>
          <w:rFonts w:ascii="Book Antiqua" w:hAnsi="Book Antiqua" w:cs="Book Antiqua"/>
        </w:rPr>
        <w:t>: 636-645 [PMID: 12668349 DOI: 10.1176/appi.ajp.160.4.636]</w:t>
      </w:r>
    </w:p>
    <w:p>
      <w:pPr>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Burón E</w:t>
      </w:r>
      <w:r>
        <w:rPr>
          <w:rFonts w:ascii="Book Antiqua" w:hAnsi="Book Antiqua" w:cs="Book Antiqua"/>
        </w:rPr>
        <w:t xml:space="preserve">, Bulbena A, Bulbena-Cabré A, Rosado S, Pailhez G. Both anxiety and joint laxity determine the olfactory features in panic disorder. </w:t>
      </w:r>
      <w:r>
        <w:rPr>
          <w:rFonts w:ascii="Book Antiqua" w:hAnsi="Book Antiqua" w:cs="Book Antiqua"/>
          <w:i/>
          <w:iCs/>
        </w:rPr>
        <w:t>Psychiatry Res</w:t>
      </w:r>
      <w:r>
        <w:rPr>
          <w:rFonts w:ascii="Book Antiqua" w:hAnsi="Book Antiqua" w:cs="Book Antiqua"/>
        </w:rPr>
        <w:t xml:space="preserve"> 2018; </w:t>
      </w:r>
      <w:r>
        <w:rPr>
          <w:rFonts w:ascii="Book Antiqua" w:hAnsi="Book Antiqua" w:cs="Book Antiqua"/>
          <w:b/>
          <w:bCs/>
        </w:rPr>
        <w:t>262</w:t>
      </w:r>
      <w:r>
        <w:rPr>
          <w:rFonts w:ascii="Book Antiqua" w:hAnsi="Book Antiqua" w:cs="Book Antiqua"/>
        </w:rPr>
        <w:t>: 420-426 [PMID: 28923431 DOI: 10.1016/j.psychres.2017.09.018]</w:t>
      </w:r>
    </w:p>
    <w:p>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Fragkos KC</w:t>
      </w:r>
      <w:r>
        <w:rPr>
          <w:rFonts w:ascii="Book Antiqua" w:hAnsi="Book Antiqua" w:cs="Book Antiqua"/>
        </w:rPr>
        <w:t xml:space="preserve">, Keetarut K, Cox A, Eady J, Emmanuel AV, Zarate-Lopez N. Joint Hypermobility Syndrome Affects Response to a Low Fermentable Oligosaccharide, Disaccharide, Monosaccharide and Polyol Diet in Irritable Bowel Syndrome Patients: A Retrospective Study. </w:t>
      </w:r>
      <w:r>
        <w:rPr>
          <w:rFonts w:ascii="Book Antiqua" w:hAnsi="Book Antiqua" w:cs="Book Antiqua"/>
          <w:i/>
          <w:iCs/>
        </w:rPr>
        <w:t>Gastroenterology Res</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27-36 [PMID: 30834032 DOI: 10.14740/gr1133]</w:t>
      </w:r>
    </w:p>
    <w:p>
      <w:pPr>
        <w:spacing w:line="360" w:lineRule="auto"/>
        <w:jc w:val="both"/>
        <w:rPr>
          <w:rFonts w:ascii="Book Antiqua" w:hAnsi="Book Antiqua"/>
        </w:rPr>
      </w:pPr>
      <w:r>
        <w:rPr>
          <w:rFonts w:ascii="Book Antiqua" w:hAnsi="Book Antiqua"/>
        </w:rPr>
        <w:t xml:space="preserve">106 </w:t>
      </w:r>
      <w:r>
        <w:rPr>
          <w:rFonts w:ascii="Book Antiqua" w:hAnsi="Book Antiqua"/>
          <w:b/>
        </w:rPr>
        <w:t>Davies GD,</w:t>
      </w:r>
      <w:r>
        <w:rPr>
          <w:rFonts w:ascii="Book Antiqua" w:hAnsi="Book Antiqua"/>
        </w:rPr>
        <w:t xml:space="preserve"> Csecs J, Ball H, Dare J, Hosking R, Critchley HD, Grey N, </w:t>
      </w:r>
      <w:r>
        <w:rPr>
          <w:rFonts w:ascii="Book Antiqua" w:hAnsi="Book Antiqua"/>
          <w:bCs/>
        </w:rPr>
        <w:t>Eccles JA</w:t>
      </w:r>
      <w:r>
        <w:rPr>
          <w:rFonts w:ascii="Book Antiqua" w:hAnsi="Book Antiqua"/>
        </w:rPr>
        <w:t xml:space="preserve">. Altering Dynamics of Autonomic Processing Therapy (ADAPT) Trial: A Novel, Targeted Treatment for Reducing Anxiety in Joint Hypermobility. </w:t>
      </w:r>
      <w:r>
        <w:rPr>
          <w:rFonts w:ascii="Book Antiqua" w:hAnsi="Book Antiqua"/>
          <w:i/>
        </w:rPr>
        <w:t xml:space="preserve">Research Square </w:t>
      </w:r>
      <w:r>
        <w:rPr>
          <w:rFonts w:ascii="Book Antiqua" w:hAnsi="Book Antiqua"/>
        </w:rPr>
        <w:t>2021; Preprint</w:t>
      </w:r>
      <w:r>
        <w:rPr>
          <w:rFonts w:ascii="Book Antiqua" w:hAnsi="Book Antiqua"/>
          <w:i/>
        </w:rPr>
        <w:t xml:space="preserve"> </w:t>
      </w:r>
      <w:r>
        <w:rPr>
          <w:rFonts w:ascii="Book Antiqua" w:hAnsi="Book Antiqua"/>
        </w:rPr>
        <w:t xml:space="preserve">[DOI: </w:t>
      </w:r>
      <w:r>
        <w:fldChar w:fldCharType="begin"/>
      </w:r>
      <w:r>
        <w:instrText xml:space="preserve"> HYPERLINK "https://doi.org/10.21203/rs.3.rs-443890/v1" </w:instrText>
      </w:r>
      <w:r>
        <w:fldChar w:fldCharType="separate"/>
      </w:r>
      <w:r>
        <w:rPr>
          <w:rStyle w:val="23"/>
          <w:rFonts w:ascii="Book Antiqua" w:hAnsi="Book Antiqua"/>
          <w:color w:val="auto"/>
          <w:u w:val="none"/>
        </w:rPr>
        <w:t>10.21203/rs.3.rs-443890/v1</w:t>
      </w:r>
      <w:r>
        <w:rPr>
          <w:rStyle w:val="23"/>
          <w:rFonts w:ascii="Book Antiqua" w:hAnsi="Book Antiqua"/>
          <w:color w:val="auto"/>
          <w:u w:val="none"/>
        </w:rPr>
        <w:fldChar w:fldCharType="end"/>
      </w:r>
      <w:r>
        <w:rPr>
          <w:rFonts w:ascii="Book Antiqua" w:hAnsi="Book Antiqua"/>
        </w:rPr>
        <w:t>]</w:t>
      </w:r>
    </w:p>
    <w:p>
      <w:pPr>
        <w:rPr>
          <w:rFonts w:ascii="Book Antiqua" w:hAnsi="Book Antiqua" w:cstheme="minorHAnsi"/>
        </w:rPr>
      </w:pPr>
      <w:r>
        <w:rPr>
          <w:rFonts w:ascii="Book Antiqua" w:hAnsi="Book Antiqua" w:cstheme="minorHAnsi"/>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declare no conflict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20,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w:t>
      </w:r>
      <w:r>
        <w:rPr>
          <w:rFonts w:ascii="Book Antiqua" w:hAnsi="Book Antiqua" w:cs="Book Antiqua" w:eastAsiaTheme="minorEastAsia"/>
          <w:color w:val="000000"/>
          <w:lang w:eastAsia="zh-CN"/>
        </w:rPr>
        <w:t>gust 18,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eastAsiaTheme="minorEastAsi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Stoyanov D</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hint="eastAsia" w:ascii="Book Antiqua" w:hAnsi="Book Antiqua" w:cs="Book Antiqua" w:eastAsiaTheme="minorEastAsia"/>
          <w:b/>
          <w:color w:val="000000"/>
          <w:lang w:eastAsia="zh-CN"/>
        </w:rPr>
        <w:t xml:space="preserve">A </w:t>
      </w:r>
      <w:r>
        <w:rPr>
          <w:rFonts w:ascii="Book Antiqua" w:hAnsi="Book Antiqua" w:eastAsia="Book Antiqua" w:cs="Book Antiqua"/>
          <w:b/>
          <w:color w:val="000000"/>
        </w:rPr>
        <w:t>P-Editor:</w:t>
      </w:r>
      <w:r>
        <w:rPr>
          <w:rFonts w:hint="eastAsia" w:ascii="Book Antiqua" w:hAnsi="Book Antiqua" w:cs="Book Antiqua" w:eastAsiaTheme="minorEastAsia"/>
          <w:b/>
          <w:color w:val="000000"/>
          <w:lang w:eastAsia="zh-CN"/>
        </w:rPr>
        <w:t xml:space="preserve"> </w:t>
      </w:r>
      <w:r>
        <w:rPr>
          <w:rFonts w:hint="eastAsia" w:ascii="Book Antiqua" w:hAnsi="Book Antiqua" w:cs="Book Antiqua" w:eastAsiaTheme="minorEastAsia"/>
          <w:color w:val="000000"/>
          <w:lang w:eastAsia="zh-CN"/>
        </w:rPr>
        <w:t>Ma YJ</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000000"/>
        </w:rPr>
      </w:pPr>
      <w:r>
        <w:rPr>
          <w:rFonts w:ascii="Book Antiqua" w:hAnsi="Book Antiqua" w:cstheme="minorHAnsi"/>
          <w:lang w:val="en-US" w:eastAsia="zh-CN"/>
        </w:rPr>
        <w:drawing>
          <wp:inline distT="0" distB="0" distL="0" distR="0">
            <wp:extent cx="5727700" cy="3192780"/>
            <wp:effectExtent l="0" t="0" r="635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6"/>
                    <a:stretch>
                      <a:fillRect/>
                    </a:stretch>
                  </pic:blipFill>
                  <pic:spPr>
                    <a:xfrm>
                      <a:off x="0" y="0"/>
                      <a:ext cx="5727700" cy="3192780"/>
                    </a:xfrm>
                    <a:prstGeom prst="rect">
                      <a:avLst/>
                    </a:prstGeom>
                  </pic:spPr>
                </pic:pic>
              </a:graphicData>
            </a:graphic>
          </wp:inline>
        </w:drawing>
      </w:r>
    </w:p>
    <w:p>
      <w:pPr>
        <w:spacing w:line="360" w:lineRule="auto"/>
        <w:jc w:val="both"/>
        <w:rPr>
          <w:rFonts w:ascii="Book Antiqua" w:hAnsi="Book Antiqua" w:eastAsia="宋体" w:cs="Book Antiqua"/>
          <w:color w:val="000000"/>
          <w:lang w:val="en-US" w:eastAsia="zh-CN"/>
        </w:rPr>
      </w:pPr>
      <w:r>
        <w:rPr>
          <w:rFonts w:ascii="Book Antiqua" w:hAnsi="Book Antiqua" w:eastAsia="Book Antiqua" w:cs="Book Antiqua"/>
          <w:b/>
          <w:bCs/>
          <w:color w:val="000000"/>
        </w:rPr>
        <w:t>Figure 1</w:t>
      </w:r>
      <w:r>
        <w:rPr>
          <w:rFonts w:ascii="Book Antiqua" w:hAnsi="Book Antiqua" w:eastAsia="宋体" w:cs="Book Antiqua"/>
          <w:b/>
          <w:bCs/>
          <w:color w:val="000000"/>
          <w:lang w:val="en-US" w:eastAsia="zh-CN"/>
        </w:rPr>
        <w:t xml:space="preserve"> </w:t>
      </w:r>
      <w:r>
        <w:rPr>
          <w:rFonts w:ascii="Book Antiqua" w:hAnsi="Book Antiqua" w:eastAsia="Book Antiqua" w:cs="Book Antiqua"/>
          <w:b/>
          <w:bCs/>
          <w:color w:val="000000"/>
        </w:rPr>
        <w:t>Diagram illustrating possible pathways for the aetiopathogenesis of psychiatric disorders in joint hypermobility</w:t>
      </w:r>
      <w:r>
        <w:rPr>
          <w:rFonts w:ascii="Book Antiqua" w:hAnsi="Book Antiqua" w:eastAsia="宋体" w:cs="Book Antiqua"/>
          <w:b/>
          <w:bCs/>
          <w:color w:val="000000"/>
          <w:lang w:val="en-US"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Red text: Putative mechanisms</w:t>
      </w:r>
      <w:r>
        <w:rPr>
          <w:rFonts w:ascii="Book Antiqua" w:hAnsi="Book Antiqua" w:eastAsia="宋体" w:cs="Book Antiqua"/>
          <w:color w:val="000000"/>
          <w:lang w:val="en-US" w:eastAsia="zh-CN"/>
        </w:rPr>
        <w:t xml:space="preserve">; </w:t>
      </w:r>
      <w:r>
        <w:rPr>
          <w:rFonts w:ascii="Book Antiqua" w:hAnsi="Book Antiqua" w:eastAsia="Book Antiqua" w:cs="Book Antiqua"/>
          <w:color w:val="000000"/>
        </w:rPr>
        <w:t>Blue text: Symptoms related to Hypermobility Spectrum Disorders/hypermobile Ehlers-Danlos Syndrome</w:t>
      </w:r>
      <w:r>
        <w:rPr>
          <w:rFonts w:ascii="Book Antiqua" w:hAnsi="Book Antiqua" w:eastAsia="宋体" w:cs="Book Antiqua"/>
          <w:color w:val="000000"/>
          <w:lang w:val="en-US" w:eastAsia="zh-CN"/>
        </w:rPr>
        <w:t xml:space="preserve">; </w:t>
      </w:r>
      <w:r>
        <w:rPr>
          <w:rFonts w:ascii="Book Antiqua" w:hAnsi="Book Antiqua" w:eastAsia="Book Antiqua" w:cs="Book Antiqua"/>
          <w:color w:val="000000"/>
        </w:rPr>
        <w:t>Green text: Psychiatric and neurodevelopmental disorders</w:t>
      </w:r>
      <w:r>
        <w:rPr>
          <w:rFonts w:ascii="Book Antiqua" w:hAnsi="Book Antiqua" w:eastAsia="宋体" w:cs="Book Antiqua"/>
          <w:color w:val="000000"/>
          <w:lang w:val="en-US" w:eastAsia="zh-CN"/>
        </w:rPr>
        <w:t>.</w:t>
      </w:r>
      <w:r>
        <w:rPr>
          <w:rFonts w:ascii="Book Antiqua" w:hAnsi="Book Antiqua" w:eastAsia="Book Antiqua" w:cs="Book Antiqua"/>
          <w:color w:val="000000"/>
        </w:rPr>
        <w:t xml:space="preserve"> ASD</w:t>
      </w:r>
      <w:r>
        <w:rPr>
          <w:rFonts w:ascii="Book Antiqua" w:hAnsi="Book Antiqua" w:eastAsia="宋体" w:cs="Book Antiqua"/>
          <w:color w:val="000000"/>
          <w:lang w:val="en-US" w:eastAsia="zh-CN"/>
        </w:rPr>
        <w:t>:</w:t>
      </w:r>
      <w:r>
        <w:rPr>
          <w:rFonts w:ascii="Book Antiqua" w:hAnsi="Book Antiqua" w:eastAsia="Book Antiqua" w:cs="Book Antiqua"/>
          <w:color w:val="000000"/>
        </w:rPr>
        <w:t xml:space="preserve"> Autism spectrum disorder; ADHD</w:t>
      </w:r>
      <w:r>
        <w:rPr>
          <w:rFonts w:ascii="Book Antiqua" w:hAnsi="Book Antiqua" w:eastAsia="宋体" w:cs="Book Antiqua"/>
          <w:color w:val="000000"/>
          <w:lang w:val="en-US" w:eastAsia="zh-CN"/>
        </w:rPr>
        <w:t>:</w:t>
      </w:r>
      <w:r>
        <w:rPr>
          <w:rFonts w:ascii="Book Antiqua" w:hAnsi="Book Antiqua" w:eastAsia="Book Antiqua" w:cs="Book Antiqua"/>
          <w:color w:val="000000"/>
        </w:rPr>
        <w:t xml:space="preserve"> Attention deficit hyperactivity disorder; DCD</w:t>
      </w:r>
      <w:r>
        <w:rPr>
          <w:rFonts w:ascii="Book Antiqua" w:hAnsi="Book Antiqua" w:eastAsia="宋体" w:cs="Book Antiqua"/>
          <w:color w:val="000000"/>
          <w:lang w:val="en-US" w:eastAsia="zh-CN"/>
        </w:rPr>
        <w:t>:</w:t>
      </w:r>
      <w:r>
        <w:rPr>
          <w:rFonts w:ascii="Book Antiqua" w:hAnsi="Book Antiqua" w:eastAsia="Book Antiqua" w:cs="Book Antiqua"/>
          <w:color w:val="000000"/>
        </w:rPr>
        <w:t xml:space="preserve"> Developmental coordination disorder; PD</w:t>
      </w:r>
      <w:r>
        <w:rPr>
          <w:rFonts w:ascii="Book Antiqua" w:hAnsi="Book Antiqua" w:eastAsia="宋体" w:cs="Book Antiqua"/>
          <w:color w:val="000000"/>
          <w:lang w:val="en-US" w:eastAsia="zh-CN"/>
        </w:rPr>
        <w:t>:</w:t>
      </w:r>
      <w:r>
        <w:rPr>
          <w:rFonts w:ascii="Book Antiqua" w:hAnsi="Book Antiqua" w:eastAsia="Book Antiqua" w:cs="Book Antiqua"/>
          <w:color w:val="000000"/>
        </w:rPr>
        <w:t xml:space="preserve"> Personality disorder</w:t>
      </w:r>
      <w:r>
        <w:rPr>
          <w:rFonts w:ascii="Book Antiqua" w:hAnsi="Book Antiqua" w:eastAsia="宋体" w:cs="Book Antiqua"/>
          <w:color w:val="000000"/>
          <w:lang w:val="en-US" w:eastAsia="zh-CN"/>
        </w:rPr>
        <w:t>.</w:t>
      </w:r>
    </w:p>
    <w:p>
      <w:pPr>
        <w:rPr>
          <w:rFonts w:ascii="Book Antiqua" w:hAnsi="Book Antiqua" w:cstheme="minorHAnsi"/>
        </w:rPr>
      </w:pPr>
      <w:r>
        <w:rPr>
          <w:rFonts w:ascii="Book Antiqua" w:hAnsi="Book Antiqua" w:cstheme="minorHAnsi"/>
        </w:rPr>
        <w:br w:type="page"/>
      </w:r>
    </w:p>
    <w:p>
      <w:pPr>
        <w:spacing w:line="360" w:lineRule="auto"/>
        <w:jc w:val="both"/>
        <w:rPr>
          <w:rFonts w:ascii="Book Antiqua" w:hAnsi="Book Antiqua" w:cstheme="minorHAnsi"/>
          <w:b/>
        </w:rPr>
      </w:pPr>
      <w:r>
        <w:rPr>
          <w:rFonts w:ascii="Book Antiqua" w:hAnsi="Book Antiqua" w:cstheme="minorHAnsi"/>
          <w:b/>
        </w:rPr>
        <w:t>Table 1 Indications prompting screening for hypermobility spectrum disorders/hypermobile Ehlers-Danlos syndrome amongst patients presenting to mental health services (adapted from Ross and Grahame 2011</w:t>
      </w:r>
      <w:r>
        <w:rPr>
          <w:rFonts w:ascii="Book Antiqua" w:hAnsi="Book Antiqua" w:cstheme="minorHAnsi"/>
          <w:b/>
          <w:vertAlign w:val="superscript"/>
          <w:lang w:eastAsia="zh-CN"/>
        </w:rPr>
        <w:t>[</w:t>
      </w:r>
      <w:r>
        <w:rPr>
          <w:rFonts w:ascii="Book Antiqua" w:hAnsi="Book Antiqua" w:cstheme="minorHAnsi"/>
          <w:b/>
          <w:vertAlign w:val="superscript"/>
        </w:rPr>
        <w:t>102]</w:t>
      </w:r>
      <w:r>
        <w:rPr>
          <w:rFonts w:ascii="Book Antiqua" w:hAnsi="Book Antiqua" w:cstheme="minorHAnsi"/>
          <w:b/>
        </w:rPr>
        <w:t>)</w:t>
      </w:r>
    </w:p>
    <w:tbl>
      <w:tblPr>
        <w:tblStyle w:val="16"/>
        <w:tblW w:w="909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3772"/>
        <w:gridCol w:w="37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tcBorders>
              <w:bottom w:val="single" w:color="auto" w:sz="4" w:space="0"/>
            </w:tcBorders>
          </w:tcPr>
          <w:p>
            <w:pPr>
              <w:pStyle w:val="30"/>
              <w:spacing w:line="360" w:lineRule="auto"/>
              <w:jc w:val="both"/>
              <w:rPr>
                <w:rFonts w:ascii="Book Antiqua" w:hAnsi="Book Antiqua" w:cstheme="minorHAnsi"/>
                <w:b/>
                <w:bCs/>
                <w:sz w:val="24"/>
                <w:szCs w:val="24"/>
              </w:rPr>
            </w:pPr>
          </w:p>
        </w:tc>
        <w:tc>
          <w:tcPr>
            <w:tcW w:w="3772" w:type="dxa"/>
            <w:tcBorders>
              <w:bottom w:val="single" w:color="auto" w:sz="4" w:space="0"/>
            </w:tcBorders>
            <w:shd w:val="clear" w:color="auto" w:fill="auto"/>
          </w:tcPr>
          <w:p>
            <w:pPr>
              <w:pStyle w:val="30"/>
              <w:spacing w:line="360" w:lineRule="auto"/>
              <w:jc w:val="both"/>
              <w:rPr>
                <w:rFonts w:ascii="Book Antiqua" w:hAnsi="Book Antiqua" w:cstheme="minorHAnsi"/>
                <w:b/>
                <w:bCs/>
                <w:sz w:val="24"/>
                <w:szCs w:val="24"/>
              </w:rPr>
            </w:pPr>
            <w:r>
              <w:rPr>
                <w:rFonts w:ascii="Book Antiqua" w:hAnsi="Book Antiqua" w:cstheme="minorHAnsi"/>
                <w:b/>
                <w:bCs/>
                <w:sz w:val="24"/>
                <w:szCs w:val="24"/>
              </w:rPr>
              <w:t>Extra-articular features</w:t>
            </w:r>
          </w:p>
        </w:tc>
        <w:tc>
          <w:tcPr>
            <w:tcW w:w="3772" w:type="dxa"/>
            <w:tcBorders>
              <w:bottom w:val="single" w:color="auto" w:sz="4" w:space="0"/>
            </w:tcBorders>
          </w:tcPr>
          <w:p>
            <w:pPr>
              <w:pStyle w:val="30"/>
              <w:spacing w:line="360" w:lineRule="auto"/>
              <w:jc w:val="both"/>
              <w:rPr>
                <w:rFonts w:ascii="Book Antiqua" w:hAnsi="Book Antiqua" w:cstheme="minorHAnsi"/>
                <w:b/>
                <w:bCs/>
                <w:sz w:val="24"/>
                <w:szCs w:val="24"/>
              </w:rPr>
            </w:pPr>
            <w:r>
              <w:rPr>
                <w:rFonts w:ascii="Book Antiqua" w:hAnsi="Book Antiqua" w:cstheme="minorHAnsi"/>
                <w:b/>
                <w:bCs/>
                <w:sz w:val="24"/>
                <w:szCs w:val="24"/>
              </w:rPr>
              <w:t>Articular features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restart"/>
            <w:tcBorders>
              <w:top w:val="single" w:color="auto" w:sz="4" w:space="0"/>
            </w:tcBorders>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In children and adolescents</w:t>
            </w:r>
          </w:p>
        </w:tc>
        <w:tc>
          <w:tcPr>
            <w:tcW w:w="3772" w:type="dxa"/>
            <w:tcBorders>
              <w:top w:val="single" w:color="auto" w:sz="4" w:space="0"/>
            </w:tcBorders>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 xml:space="preserve">Prolonged fatigue or tiring easily </w:t>
            </w:r>
          </w:p>
          <w:p>
            <w:pPr>
              <w:pStyle w:val="30"/>
              <w:spacing w:line="360" w:lineRule="auto"/>
              <w:jc w:val="both"/>
              <w:rPr>
                <w:rFonts w:ascii="Book Antiqua" w:hAnsi="Book Antiqua" w:cstheme="minorHAnsi"/>
                <w:sz w:val="24"/>
                <w:szCs w:val="24"/>
              </w:rPr>
            </w:pPr>
          </w:p>
          <w:p>
            <w:pPr>
              <w:pStyle w:val="30"/>
              <w:spacing w:line="360" w:lineRule="auto"/>
              <w:jc w:val="both"/>
              <w:rPr>
                <w:rFonts w:ascii="Book Antiqua" w:hAnsi="Book Antiqua" w:cstheme="minorHAnsi"/>
                <w:sz w:val="24"/>
                <w:szCs w:val="24"/>
              </w:rPr>
            </w:pPr>
          </w:p>
        </w:tc>
        <w:tc>
          <w:tcPr>
            <w:tcW w:w="3772" w:type="dxa"/>
            <w:tcBorders>
              <w:top w:val="single" w:color="auto" w:sz="4" w:space="0"/>
            </w:tcBorders>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Joint dislocations/subluxations (including congenital hip dislocation)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Poor motor coordination or ‘clumsiness’ (such as poor ball catching and poor handwriting)</w:t>
            </w: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 xml:space="preserve">Recurrent ankle sprains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Chronic widespread pain or ‘growing pains’</w:t>
            </w:r>
          </w:p>
        </w:tc>
        <w:tc>
          <w:tcPr>
            <w:tcW w:w="3772" w:type="dxa"/>
          </w:tcPr>
          <w:p>
            <w:pPr>
              <w:pStyle w:val="30"/>
              <w:spacing w:line="360" w:lineRule="auto"/>
              <w:jc w:val="both"/>
              <w:rPr>
                <w:rFonts w:ascii="Book Antiqua" w:hAnsi="Book Antiqua" w:cstheme="minorHAnsi"/>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Delayed walking, with bottom shuffling instead of crawling</w:t>
            </w:r>
          </w:p>
        </w:tc>
        <w:tc>
          <w:tcPr>
            <w:tcW w:w="3772" w:type="dxa"/>
          </w:tcPr>
          <w:p>
            <w:pPr>
              <w:pStyle w:val="30"/>
              <w:spacing w:line="360" w:lineRule="auto"/>
              <w:jc w:val="both"/>
              <w:rPr>
                <w:rFonts w:ascii="Book Antiqua" w:hAnsi="Book Antiqua" w:cstheme="minorHAnsi"/>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restart"/>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 xml:space="preserve">In adults </w:t>
            </w: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Prolonged unexplained fatigue (including ME/CFS)</w:t>
            </w: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Recurrent joint dislocations</w:t>
            </w:r>
          </w:p>
          <w:p>
            <w:pPr>
              <w:pStyle w:val="30"/>
              <w:spacing w:line="360" w:lineRule="auto"/>
              <w:jc w:val="both"/>
              <w:rPr>
                <w:rFonts w:ascii="Book Antiqua" w:hAnsi="Book Antiqua" w:cstheme="minorHAnsi"/>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Chronic widespread pain, particularly if unresponsive to analgesia (including fibromyalgia)</w:t>
            </w: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Multiple soft tissue injuries/rheumatisms</w:t>
            </w:r>
          </w:p>
          <w:p>
            <w:pPr>
              <w:pStyle w:val="30"/>
              <w:spacing w:line="360" w:lineRule="auto"/>
              <w:jc w:val="both"/>
              <w:rPr>
                <w:rFonts w:ascii="Book Antiqua" w:hAnsi="Book Antiqua" w:cstheme="minorHAnsi"/>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Functional gastrointestinal disorders (such as IBS, functional dyspepsia, constipation)</w:t>
            </w: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Premature osteoarthritis</w:t>
            </w:r>
          </w:p>
          <w:p>
            <w:pPr>
              <w:pStyle w:val="30"/>
              <w:spacing w:line="360" w:lineRule="auto"/>
              <w:jc w:val="both"/>
              <w:rPr>
                <w:rFonts w:ascii="Book Antiqua" w:hAnsi="Book Antiqua" w:cstheme="minorHAnsi"/>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Autonomic dysfunction (such as orthostatic intolerance or PoTS)</w:t>
            </w: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Persistent or recurrent joint pains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lang w:eastAsia="zh-CN"/>
              </w:rPr>
            </w:pPr>
            <w:r>
              <w:rPr>
                <w:rFonts w:ascii="Book Antiqua" w:hAnsi="Book Antiqua" w:cstheme="minorHAnsi"/>
                <w:sz w:val="24"/>
                <w:szCs w:val="24"/>
              </w:rPr>
              <w:t>Progressive loss of mobility secondary to pain or pain-avoidance strategies</w:t>
            </w:r>
            <w:r>
              <w:rPr>
                <w:rFonts w:ascii="Book Antiqua" w:hAnsi="Book Antiqua" w:cstheme="minorHAnsi"/>
                <w:sz w:val="24"/>
                <w:szCs w:val="24"/>
                <w:lang w:eastAsia="zh-CN"/>
              </w:rPr>
              <w:t xml:space="preserve"> </w:t>
            </w:r>
          </w:p>
        </w:tc>
        <w:tc>
          <w:tcPr>
            <w:tcW w:w="3772" w:type="dxa"/>
          </w:tcPr>
          <w:p>
            <w:pPr>
              <w:pStyle w:val="30"/>
              <w:spacing w:line="360" w:lineRule="auto"/>
              <w:jc w:val="both"/>
              <w:rPr>
                <w:rFonts w:ascii="Book Antiqua" w:hAnsi="Book Antiqua" w:cstheme="minorHAnsi"/>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Laxity in supporting tissues (such as hernias, varicose veins, pelvic floor dysfunction)</w:t>
            </w:r>
          </w:p>
        </w:tc>
        <w:tc>
          <w:tcPr>
            <w:tcW w:w="3772" w:type="dxa"/>
          </w:tcPr>
          <w:p>
            <w:pPr>
              <w:pStyle w:val="30"/>
              <w:spacing w:line="360" w:lineRule="auto"/>
              <w:jc w:val="both"/>
              <w:rPr>
                <w:rFonts w:ascii="Book Antiqua" w:hAnsi="Book Antiqua" w:cstheme="minorHAnsi"/>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Pr>
          <w:p>
            <w:pPr>
              <w:pStyle w:val="30"/>
              <w:spacing w:line="360" w:lineRule="auto"/>
              <w:jc w:val="both"/>
              <w:rPr>
                <w:rFonts w:ascii="Book Antiqua" w:hAnsi="Book Antiqua" w:cstheme="minorHAnsi"/>
                <w:sz w:val="24"/>
                <w:szCs w:val="24"/>
              </w:rPr>
            </w:pPr>
          </w:p>
        </w:tc>
        <w:tc>
          <w:tcPr>
            <w:tcW w:w="3772" w:type="dxa"/>
          </w:tcPr>
          <w:p>
            <w:pPr>
              <w:pStyle w:val="30"/>
              <w:spacing w:line="360" w:lineRule="auto"/>
              <w:jc w:val="both"/>
              <w:rPr>
                <w:rFonts w:ascii="Book Antiqua" w:hAnsi="Book Antiqua" w:cstheme="minorHAnsi"/>
                <w:sz w:val="24"/>
                <w:szCs w:val="24"/>
              </w:rPr>
            </w:pPr>
            <w:r>
              <w:rPr>
                <w:rFonts w:ascii="Book Antiqua" w:hAnsi="Book Antiqua" w:cstheme="minorHAnsi"/>
                <w:sz w:val="24"/>
                <w:szCs w:val="24"/>
              </w:rPr>
              <w:t>Soft/hyperextensible skin, unexplained striae, easy bruising</w:t>
            </w:r>
          </w:p>
        </w:tc>
        <w:tc>
          <w:tcPr>
            <w:tcW w:w="3772" w:type="dxa"/>
          </w:tcPr>
          <w:p>
            <w:pPr>
              <w:pStyle w:val="30"/>
              <w:spacing w:line="360" w:lineRule="auto"/>
              <w:jc w:val="both"/>
              <w:rPr>
                <w:rFonts w:ascii="Book Antiqua" w:hAnsi="Book Antiqua" w:cstheme="minorHAnsi"/>
                <w:sz w:val="24"/>
                <w:szCs w:val="24"/>
              </w:rPr>
            </w:pPr>
          </w:p>
        </w:tc>
      </w:tr>
    </w:tbl>
    <w:p>
      <w:pPr>
        <w:spacing w:line="360" w:lineRule="auto"/>
        <w:jc w:val="both"/>
        <w:rPr>
          <w:rFonts w:ascii="Book Antiqua" w:hAnsi="Book Antiqua" w:eastAsia="宋体" w:cstheme="minorHAnsi"/>
          <w:b/>
          <w:lang w:val="en-US" w:eastAsia="zh-CN"/>
        </w:rPr>
      </w:pPr>
      <w:r>
        <w:rPr>
          <w:rFonts w:ascii="Book Antiqua" w:hAnsi="Book Antiqua" w:cstheme="minorHAnsi"/>
        </w:rPr>
        <w:t>ME/CFS</w:t>
      </w:r>
      <w:r>
        <w:rPr>
          <w:rFonts w:ascii="Book Antiqua" w:hAnsi="Book Antiqua" w:eastAsia="宋体" w:cstheme="minorHAnsi"/>
          <w:lang w:val="en-US" w:eastAsia="zh-CN"/>
        </w:rPr>
        <w:t xml:space="preserve">: </w:t>
      </w:r>
      <w:r>
        <w:rPr>
          <w:rFonts w:ascii="Book Antiqua" w:hAnsi="Book Antiqua" w:cstheme="minorHAnsi"/>
        </w:rPr>
        <w:t>Myelo-encephalomyelitis/chronic fatigue syndrome</w:t>
      </w:r>
      <w:r>
        <w:rPr>
          <w:rFonts w:ascii="Book Antiqua" w:hAnsi="Book Antiqua" w:eastAsia="宋体" w:cstheme="minorHAnsi"/>
          <w:lang w:val="en-US" w:eastAsia="zh-CN"/>
        </w:rPr>
        <w:t xml:space="preserve">; </w:t>
      </w:r>
      <w:r>
        <w:rPr>
          <w:rFonts w:ascii="Book Antiqua" w:hAnsi="Book Antiqua" w:cstheme="minorHAnsi"/>
        </w:rPr>
        <w:t>IBS</w:t>
      </w:r>
      <w:r>
        <w:rPr>
          <w:rFonts w:ascii="Book Antiqua" w:hAnsi="Book Antiqua" w:eastAsia="宋体" w:cstheme="minorHAnsi"/>
          <w:lang w:val="en-US" w:eastAsia="zh-CN"/>
        </w:rPr>
        <w:t xml:space="preserve">: </w:t>
      </w:r>
      <w:r>
        <w:rPr>
          <w:rFonts w:ascii="Book Antiqua" w:hAnsi="Book Antiqua" w:cstheme="minorHAnsi"/>
        </w:rPr>
        <w:t>Irritable bowels syndrome</w:t>
      </w:r>
      <w:r>
        <w:rPr>
          <w:rFonts w:ascii="Book Antiqua" w:hAnsi="Book Antiqua" w:eastAsia="宋体" w:cstheme="minorHAnsi"/>
          <w:lang w:val="en-US" w:eastAsia="zh-CN"/>
        </w:rPr>
        <w:t xml:space="preserve">; </w:t>
      </w:r>
      <w:r>
        <w:rPr>
          <w:rFonts w:ascii="Book Antiqua" w:hAnsi="Book Antiqua" w:cstheme="minorHAnsi"/>
          <w:bCs/>
        </w:rPr>
        <w:t>PoTS</w:t>
      </w:r>
      <w:r>
        <w:rPr>
          <w:rFonts w:ascii="Book Antiqua" w:hAnsi="Book Antiqua" w:eastAsia="宋体" w:cstheme="minorHAnsi"/>
          <w:bCs/>
          <w:lang w:val="en-US" w:eastAsia="zh-CN"/>
        </w:rPr>
        <w:t xml:space="preserve">: </w:t>
      </w:r>
      <w:r>
        <w:rPr>
          <w:rFonts w:ascii="Book Antiqua" w:hAnsi="Book Antiqua" w:cstheme="minorHAnsi"/>
          <w:bCs/>
        </w:rPr>
        <w:t>Postural tachycardia syndrome</w:t>
      </w:r>
      <w:r>
        <w:rPr>
          <w:rFonts w:ascii="Book Antiqua" w:hAnsi="Book Antiqua" w:eastAsia="宋体" w:cstheme="minorHAnsi"/>
          <w:bCs/>
          <w:lang w:val="en-US" w:eastAsia="zh-CN"/>
        </w:rPr>
        <w:t>.</w:t>
      </w:r>
    </w:p>
    <w:p>
      <w:pPr>
        <w:spacing w:line="360" w:lineRule="auto"/>
        <w:jc w:val="both"/>
        <w:rPr>
          <w:rFonts w:ascii="Book Antiqua" w:hAnsi="Book Antiqua" w:cstheme="minorHAnsi"/>
          <w:b/>
        </w:rPr>
      </w:pPr>
    </w:p>
    <w:p>
      <w:pPr>
        <w:rPr>
          <w:rFonts w:ascii="Book Antiqua" w:hAnsi="Book Antiqua" w:cstheme="minorHAnsi"/>
          <w:b/>
          <w:bCs/>
        </w:rPr>
      </w:pPr>
      <w:r>
        <w:rPr>
          <w:rFonts w:ascii="Book Antiqua" w:hAnsi="Book Antiqua" w:cstheme="minorHAnsi"/>
          <w:b/>
          <w:bCs/>
        </w:rPr>
        <w:br w:type="page"/>
      </w:r>
    </w:p>
    <w:p>
      <w:pPr>
        <w:pStyle w:val="30"/>
        <w:spacing w:line="360" w:lineRule="auto"/>
        <w:jc w:val="both"/>
        <w:rPr>
          <w:rFonts w:ascii="Book Antiqua" w:hAnsi="Book Antiqua" w:cstheme="minorHAnsi"/>
          <w:b/>
          <w:sz w:val="24"/>
          <w:szCs w:val="24"/>
        </w:rPr>
      </w:pPr>
      <w:r>
        <w:rPr>
          <w:rFonts w:ascii="Book Antiqua" w:hAnsi="Book Antiqua" w:cstheme="minorHAnsi"/>
          <w:b/>
          <w:sz w:val="24"/>
          <w:szCs w:val="24"/>
        </w:rPr>
        <w:t>Table 2 Five-point screening questionnaire for detecting hypermobility (from Hakim and Grahame 2003</w:t>
      </w:r>
      <w:r>
        <w:rPr>
          <w:rFonts w:ascii="Book Antiqua" w:hAnsi="Book Antiqua" w:cstheme="minorHAnsi"/>
          <w:b/>
          <w:sz w:val="24"/>
          <w:szCs w:val="24"/>
          <w:vertAlign w:val="superscript"/>
          <w:lang w:eastAsia="zh-CN"/>
        </w:rPr>
        <w:t>[</w:t>
      </w:r>
      <w:r>
        <w:rPr>
          <w:rFonts w:ascii="Book Antiqua" w:hAnsi="Book Antiqua" w:cstheme="minorHAnsi"/>
          <w:b/>
          <w:sz w:val="24"/>
          <w:szCs w:val="24"/>
          <w:vertAlign w:val="superscript"/>
        </w:rPr>
        <w:t>1]</w:t>
      </w:r>
      <w:r>
        <w:rPr>
          <w:rFonts w:ascii="Book Antiqua" w:hAnsi="Book Antiqua" w:cstheme="minorHAnsi"/>
          <w:b/>
          <w:sz w:val="24"/>
          <w:szCs w:val="24"/>
        </w:rPr>
        <w:t>)</w:t>
      </w:r>
    </w:p>
    <w:tbl>
      <w:tblPr>
        <w:tblStyle w:val="1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6" w:type="dxa"/>
          </w:tcPr>
          <w:p>
            <w:pPr>
              <w:pStyle w:val="30"/>
              <w:spacing w:line="360" w:lineRule="auto"/>
              <w:jc w:val="both"/>
              <w:rPr>
                <w:rFonts w:ascii="Book Antiqua" w:hAnsi="Book Antiqua" w:cstheme="minorHAnsi"/>
                <w:sz w:val="24"/>
                <w:szCs w:val="24"/>
              </w:rPr>
            </w:pPr>
            <w:r>
              <w:rPr>
                <w:rFonts w:hint="eastAsia" w:ascii="Book Antiqua" w:hAnsi="Book Antiqua" w:cstheme="minorHAnsi"/>
                <w:sz w:val="24"/>
                <w:szCs w:val="24"/>
                <w:lang w:eastAsia="zh-CN"/>
              </w:rPr>
              <w:t xml:space="preserve">1 </w:t>
            </w:r>
            <w:r>
              <w:rPr>
                <w:rFonts w:ascii="Book Antiqua" w:hAnsi="Book Antiqua" w:cstheme="minorHAnsi"/>
                <w:sz w:val="24"/>
                <w:szCs w:val="24"/>
              </w:rPr>
              <w:t>Can you now (or could you ever) place your hands flat on the floor without bending your knees?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6" w:type="dxa"/>
          </w:tcPr>
          <w:p>
            <w:pPr>
              <w:pStyle w:val="30"/>
              <w:spacing w:line="360" w:lineRule="auto"/>
              <w:jc w:val="both"/>
              <w:rPr>
                <w:rFonts w:ascii="Book Antiqua" w:hAnsi="Book Antiqua" w:cstheme="minorHAnsi"/>
                <w:sz w:val="24"/>
                <w:szCs w:val="24"/>
              </w:rPr>
            </w:pPr>
            <w:r>
              <w:rPr>
                <w:rFonts w:hint="eastAsia" w:ascii="Book Antiqua" w:hAnsi="Book Antiqua" w:cstheme="minorHAnsi"/>
                <w:sz w:val="24"/>
                <w:szCs w:val="24"/>
                <w:lang w:eastAsia="zh-CN"/>
              </w:rPr>
              <w:t xml:space="preserve">2 </w:t>
            </w:r>
            <w:r>
              <w:rPr>
                <w:rFonts w:ascii="Book Antiqua" w:hAnsi="Book Antiqua" w:cstheme="minorHAnsi"/>
                <w:sz w:val="24"/>
                <w:szCs w:val="24"/>
              </w:rPr>
              <w:t>Can you now (or could you ever) bend your thumb to touch your forearm?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6" w:type="dxa"/>
          </w:tcPr>
          <w:p>
            <w:pPr>
              <w:pStyle w:val="30"/>
              <w:spacing w:line="360" w:lineRule="auto"/>
              <w:jc w:val="both"/>
              <w:rPr>
                <w:rFonts w:ascii="Book Antiqua" w:hAnsi="Book Antiqua" w:cstheme="minorHAnsi"/>
                <w:sz w:val="24"/>
                <w:szCs w:val="24"/>
              </w:rPr>
            </w:pPr>
            <w:r>
              <w:rPr>
                <w:rFonts w:hint="eastAsia" w:ascii="Book Antiqua" w:hAnsi="Book Antiqua" w:cstheme="minorHAnsi"/>
                <w:sz w:val="24"/>
                <w:szCs w:val="24"/>
                <w:lang w:eastAsia="zh-CN"/>
              </w:rPr>
              <w:t xml:space="preserve">3 </w:t>
            </w:r>
            <w:r>
              <w:rPr>
                <w:rFonts w:ascii="Book Antiqua" w:hAnsi="Book Antiqua" w:cstheme="minorHAnsi"/>
                <w:sz w:val="24"/>
                <w:szCs w:val="24"/>
              </w:rPr>
              <w:t>As a child, did you amuse your friends by contorting your body into strange shapes OR could you do the splits?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6" w:type="dxa"/>
          </w:tcPr>
          <w:p>
            <w:pPr>
              <w:pStyle w:val="30"/>
              <w:spacing w:line="360" w:lineRule="auto"/>
              <w:jc w:val="both"/>
              <w:rPr>
                <w:rFonts w:ascii="Book Antiqua" w:hAnsi="Book Antiqua" w:cstheme="minorHAnsi"/>
                <w:sz w:val="24"/>
                <w:szCs w:val="24"/>
              </w:rPr>
            </w:pPr>
            <w:r>
              <w:rPr>
                <w:rFonts w:hint="eastAsia" w:ascii="Book Antiqua" w:hAnsi="Book Antiqua" w:cstheme="minorHAnsi"/>
                <w:sz w:val="24"/>
                <w:szCs w:val="24"/>
                <w:lang w:eastAsia="zh-CN"/>
              </w:rPr>
              <w:t xml:space="preserve">4 </w:t>
            </w:r>
            <w:r>
              <w:rPr>
                <w:rFonts w:ascii="Book Antiqua" w:hAnsi="Book Antiqua" w:cstheme="minorHAnsi"/>
                <w:sz w:val="24"/>
                <w:szCs w:val="24"/>
              </w:rPr>
              <w:t>As a child or teenager did your shoulder or kneecap dislocate on more than one occasion?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6" w:type="dxa"/>
          </w:tcPr>
          <w:p>
            <w:pPr>
              <w:pStyle w:val="30"/>
              <w:spacing w:line="360" w:lineRule="auto"/>
              <w:jc w:val="both"/>
              <w:rPr>
                <w:rFonts w:ascii="Book Antiqua" w:hAnsi="Book Antiqua" w:cstheme="minorHAnsi"/>
                <w:sz w:val="24"/>
                <w:szCs w:val="24"/>
              </w:rPr>
            </w:pPr>
            <w:r>
              <w:rPr>
                <w:rFonts w:hint="eastAsia" w:ascii="Book Antiqua" w:hAnsi="Book Antiqua" w:cstheme="minorHAnsi"/>
                <w:sz w:val="24"/>
                <w:szCs w:val="24"/>
                <w:lang w:eastAsia="zh-CN"/>
              </w:rPr>
              <w:t xml:space="preserve">5 </w:t>
            </w:r>
            <w:r>
              <w:rPr>
                <w:rFonts w:ascii="Book Antiqua" w:hAnsi="Book Antiqua" w:cstheme="minorHAnsi"/>
                <w:sz w:val="24"/>
                <w:szCs w:val="24"/>
              </w:rPr>
              <w:t>Do you consider yourself ‘double-jointed’?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6" w:type="dxa"/>
          </w:tcPr>
          <w:p>
            <w:pPr>
              <w:spacing w:line="360" w:lineRule="auto"/>
              <w:jc w:val="both"/>
              <w:rPr>
                <w:rFonts w:ascii="Book Antiqua" w:hAnsi="Book Antiqua" w:eastAsiaTheme="minorEastAsia" w:cstheme="minorHAnsi"/>
                <w:lang w:eastAsia="zh-CN"/>
              </w:rPr>
            </w:pPr>
            <w:r>
              <w:rPr>
                <w:rFonts w:ascii="Book Antiqua" w:hAnsi="Book Antiqua" w:cstheme="minorHAnsi"/>
              </w:rPr>
              <w:t>Answering yes to two or more questions suggests hypermobility with sensitivity 80</w:t>
            </w:r>
            <w:r>
              <w:rPr>
                <w:rFonts w:ascii="Book Antiqua" w:hAnsi="Book Antiqua" w:cstheme="minorHAnsi"/>
                <w:lang w:val="en-US" w:eastAsia="zh-CN"/>
              </w:rPr>
              <w:t>%</w:t>
            </w:r>
            <w:r>
              <w:rPr>
                <w:rFonts w:ascii="Book Antiqua" w:hAnsi="Book Antiqua" w:cstheme="minorHAnsi"/>
              </w:rPr>
              <w:t>-85% and specificity 80</w:t>
            </w:r>
            <w:r>
              <w:rPr>
                <w:rFonts w:ascii="Book Antiqua" w:hAnsi="Book Antiqua" w:cstheme="minorHAnsi"/>
                <w:lang w:val="en-US" w:eastAsia="zh-CN"/>
              </w:rPr>
              <w:t>%</w:t>
            </w:r>
            <w:r>
              <w:rPr>
                <w:rFonts w:ascii="Book Antiqua" w:hAnsi="Book Antiqua" w:cstheme="minorHAnsi"/>
              </w:rPr>
              <w:t>-90%</w:t>
            </w:r>
          </w:p>
        </w:tc>
      </w:tr>
    </w:tbl>
    <w:p>
      <w:pPr>
        <w:spacing w:line="360" w:lineRule="auto"/>
        <w:jc w:val="both"/>
        <w:rPr>
          <w:rFonts w:ascii="Book Antiqua" w:hAnsi="Book Antiqua" w:cstheme="minorHAnsi"/>
        </w:rPr>
        <w:sectPr>
          <w:footerReference r:id="rId3" w:type="default"/>
          <w:footerReference r:id="rId4" w:type="even"/>
          <w:pgSz w:w="11900" w:h="16840"/>
          <w:pgMar w:top="1440" w:right="1440" w:bottom="1440" w:left="1440" w:header="708" w:footer="708"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cstheme="minorHAnsi"/>
        </w:rPr>
      </w:pPr>
      <w:bookmarkStart w:id="0" w:name="_GoBack"/>
      <w:bookmarkEnd w:id="0"/>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889328"/>
      <w:docPartObj>
        <w:docPartGallery w:val="AutoText"/>
      </w:docPartObj>
    </w:sdtPr>
    <w:sdtContent>
      <w:sdt>
        <w:sdtPr>
          <w:id w:val="-1705238520"/>
          <w:docPartObj>
            <w:docPartGallery w:val="AutoText"/>
          </w:docPartObj>
        </w:sdtPr>
        <w:sdtContent>
          <w:p>
            <w:pPr>
              <w:pStyle w:val="10"/>
              <w:framePr w:wrap="auto" w:vAnchor="text" w:hAnchor="margin" w:xAlign="right" w:y="1"/>
              <w:rPr>
                <w:rStyle w:val="20"/>
              </w:rPr>
            </w:pPr>
            <w:r>
              <w:rPr>
                <w:lang w:val="zh-CN" w:eastAsia="zh-CN"/>
              </w:rPr>
              <w:t xml:space="preserve"> </w:t>
            </w:r>
            <w:r>
              <w:rPr>
                <w:b/>
                <w:bCs/>
              </w:rPr>
              <w:fldChar w:fldCharType="begin"/>
            </w:r>
            <w:r>
              <w:rPr>
                <w:b/>
                <w:bCs/>
              </w:rPr>
              <w:instrText xml:space="preserve">PAGE</w:instrText>
            </w:r>
            <w:r>
              <w:rPr>
                <w:b/>
                <w:bCs/>
              </w:rPr>
              <w:fldChar w:fldCharType="separate"/>
            </w:r>
            <w:r>
              <w:rPr>
                <w:b/>
                <w:bCs/>
              </w:rPr>
              <w:t>39</w:t>
            </w:r>
            <w:r>
              <w:rPr>
                <w:b/>
                <w:bCs/>
              </w:rPr>
              <w:fldChar w:fldCharType="end"/>
            </w:r>
            <w:r>
              <w:rPr>
                <w:lang w:val="zh-CN" w:eastAsia="zh-CN"/>
              </w:rPr>
              <w:t xml:space="preserve"> / </w:t>
            </w:r>
            <w:r>
              <w:rPr>
                <w:b/>
                <w:bCs/>
              </w:rPr>
              <w:fldChar w:fldCharType="begin"/>
            </w:r>
            <w:r>
              <w:rPr>
                <w:b/>
                <w:bCs/>
              </w:rPr>
              <w:instrText xml:space="preserve">NUMPAGES</w:instrText>
            </w:r>
            <w:r>
              <w:rPr>
                <w:b/>
                <w:bCs/>
              </w:rPr>
              <w:fldChar w:fldCharType="separate"/>
            </w:r>
            <w:r>
              <w:rPr>
                <w:b/>
                <w:bCs/>
              </w:rPr>
              <w:t>39</w:t>
            </w:r>
            <w:r>
              <w:rPr>
                <w:b/>
                <w:bCs/>
              </w:rPr>
              <w:fldChar w:fldCharType="end"/>
            </w:r>
          </w:p>
        </w:sdtContent>
      </w:sdt>
    </w:sdtContent>
  </w:sdt>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0"/>
      </w:rPr>
      <w:id w:val="797649890"/>
      <w:docPartObj>
        <w:docPartGallery w:val="autotext"/>
      </w:docPartObj>
    </w:sdtPr>
    <w:sdtEndPr>
      <w:rPr>
        <w:rStyle w:val="20"/>
      </w:rPr>
    </w:sdtEndPr>
    <w:sdtContent>
      <w:p>
        <w:pPr>
          <w:pStyle w:val="10"/>
          <w:framePr w:wrap="auto" w:vAnchor="text" w:hAnchor="margin" w:xAlign="right" w:y="1"/>
          <w:rPr>
            <w:rStyle w:val="20"/>
          </w:rPr>
        </w:pPr>
        <w:r>
          <w:rPr>
            <w:rStyle w:val="20"/>
          </w:rPr>
          <w:fldChar w:fldCharType="begin"/>
        </w:r>
        <w:r>
          <w:rPr>
            <w:rStyle w:val="20"/>
          </w:rPr>
          <w:instrText xml:space="preserve"> PAGE </w:instrText>
        </w:r>
        <w:r>
          <w:rPr>
            <w:rStyle w:val="20"/>
          </w:rPr>
          <w:fldChar w:fldCharType="end"/>
        </w:r>
      </w:p>
    </w:sdtContent>
  </w:sdt>
  <w:p>
    <w:pPr>
      <w:pStyle w:val="10"/>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747E"/>
    <w:rsid w:val="00000474"/>
    <w:rsid w:val="00015DB2"/>
    <w:rsid w:val="00016A26"/>
    <w:rsid w:val="00017580"/>
    <w:rsid w:val="00022BCF"/>
    <w:rsid w:val="00032B42"/>
    <w:rsid w:val="000511AC"/>
    <w:rsid w:val="00061F45"/>
    <w:rsid w:val="000631A7"/>
    <w:rsid w:val="000664BC"/>
    <w:rsid w:val="00072EBA"/>
    <w:rsid w:val="00085F7D"/>
    <w:rsid w:val="000A488F"/>
    <w:rsid w:val="000C00B4"/>
    <w:rsid w:val="000C4723"/>
    <w:rsid w:val="000F0E33"/>
    <w:rsid w:val="000F2C02"/>
    <w:rsid w:val="001078A9"/>
    <w:rsid w:val="00114C24"/>
    <w:rsid w:val="00114DDB"/>
    <w:rsid w:val="001152BD"/>
    <w:rsid w:val="00115AED"/>
    <w:rsid w:val="00121FE3"/>
    <w:rsid w:val="001263EF"/>
    <w:rsid w:val="00130C9C"/>
    <w:rsid w:val="0013611D"/>
    <w:rsid w:val="001618E1"/>
    <w:rsid w:val="00173794"/>
    <w:rsid w:val="00183C6B"/>
    <w:rsid w:val="00191512"/>
    <w:rsid w:val="001945D5"/>
    <w:rsid w:val="001A1296"/>
    <w:rsid w:val="001B236B"/>
    <w:rsid w:val="001E188D"/>
    <w:rsid w:val="00200227"/>
    <w:rsid w:val="00207F6A"/>
    <w:rsid w:val="00214274"/>
    <w:rsid w:val="00242EA2"/>
    <w:rsid w:val="002900AD"/>
    <w:rsid w:val="002901FE"/>
    <w:rsid w:val="002977D6"/>
    <w:rsid w:val="002A3CB2"/>
    <w:rsid w:val="002A727A"/>
    <w:rsid w:val="002B0552"/>
    <w:rsid w:val="002C10C5"/>
    <w:rsid w:val="002F0951"/>
    <w:rsid w:val="002F747E"/>
    <w:rsid w:val="00312EB0"/>
    <w:rsid w:val="003167A8"/>
    <w:rsid w:val="00321938"/>
    <w:rsid w:val="00321A39"/>
    <w:rsid w:val="00323579"/>
    <w:rsid w:val="00323AE0"/>
    <w:rsid w:val="0033163C"/>
    <w:rsid w:val="00333340"/>
    <w:rsid w:val="00336EA3"/>
    <w:rsid w:val="00341DE3"/>
    <w:rsid w:val="00356679"/>
    <w:rsid w:val="00370191"/>
    <w:rsid w:val="003736DC"/>
    <w:rsid w:val="00376C8C"/>
    <w:rsid w:val="00377EDA"/>
    <w:rsid w:val="00381C9F"/>
    <w:rsid w:val="0038337C"/>
    <w:rsid w:val="00392FDD"/>
    <w:rsid w:val="00397044"/>
    <w:rsid w:val="003A03DD"/>
    <w:rsid w:val="003A2293"/>
    <w:rsid w:val="003A25E0"/>
    <w:rsid w:val="003B43F0"/>
    <w:rsid w:val="003C328E"/>
    <w:rsid w:val="003D1CB7"/>
    <w:rsid w:val="003E23F1"/>
    <w:rsid w:val="004108C1"/>
    <w:rsid w:val="00411CB6"/>
    <w:rsid w:val="00413026"/>
    <w:rsid w:val="004212FF"/>
    <w:rsid w:val="00444289"/>
    <w:rsid w:val="00445842"/>
    <w:rsid w:val="00446612"/>
    <w:rsid w:val="0045194B"/>
    <w:rsid w:val="00453239"/>
    <w:rsid w:val="0045614C"/>
    <w:rsid w:val="0046533E"/>
    <w:rsid w:val="00467686"/>
    <w:rsid w:val="004709DE"/>
    <w:rsid w:val="004951C9"/>
    <w:rsid w:val="00497FA8"/>
    <w:rsid w:val="004A5013"/>
    <w:rsid w:val="004B4F3D"/>
    <w:rsid w:val="004B5443"/>
    <w:rsid w:val="004B7962"/>
    <w:rsid w:val="004C116E"/>
    <w:rsid w:val="004C4BFD"/>
    <w:rsid w:val="004C7BA2"/>
    <w:rsid w:val="004E36B7"/>
    <w:rsid w:val="004F3798"/>
    <w:rsid w:val="00500E29"/>
    <w:rsid w:val="00525546"/>
    <w:rsid w:val="005272A9"/>
    <w:rsid w:val="00534C70"/>
    <w:rsid w:val="0053695B"/>
    <w:rsid w:val="005422FB"/>
    <w:rsid w:val="005432C4"/>
    <w:rsid w:val="005456F0"/>
    <w:rsid w:val="0055562A"/>
    <w:rsid w:val="00560C7B"/>
    <w:rsid w:val="00570194"/>
    <w:rsid w:val="0058519F"/>
    <w:rsid w:val="005A6C3F"/>
    <w:rsid w:val="005C1CB2"/>
    <w:rsid w:val="005D1B80"/>
    <w:rsid w:val="005E4877"/>
    <w:rsid w:val="00611C15"/>
    <w:rsid w:val="00613D37"/>
    <w:rsid w:val="00640602"/>
    <w:rsid w:val="00643C4A"/>
    <w:rsid w:val="0065288D"/>
    <w:rsid w:val="006616CA"/>
    <w:rsid w:val="00662CD2"/>
    <w:rsid w:val="00670EDC"/>
    <w:rsid w:val="00671119"/>
    <w:rsid w:val="0067432A"/>
    <w:rsid w:val="0067786D"/>
    <w:rsid w:val="006913A8"/>
    <w:rsid w:val="00693CDF"/>
    <w:rsid w:val="006A2AF3"/>
    <w:rsid w:val="006A6EEC"/>
    <w:rsid w:val="006A6EF0"/>
    <w:rsid w:val="006B219D"/>
    <w:rsid w:val="006E70B0"/>
    <w:rsid w:val="007022D1"/>
    <w:rsid w:val="00704C92"/>
    <w:rsid w:val="00720DDB"/>
    <w:rsid w:val="00730788"/>
    <w:rsid w:val="007332E1"/>
    <w:rsid w:val="0075287E"/>
    <w:rsid w:val="00752EB8"/>
    <w:rsid w:val="0078439B"/>
    <w:rsid w:val="007960B7"/>
    <w:rsid w:val="007B7FFD"/>
    <w:rsid w:val="007D3D4E"/>
    <w:rsid w:val="007E2B66"/>
    <w:rsid w:val="007E4AAE"/>
    <w:rsid w:val="00801026"/>
    <w:rsid w:val="0081068F"/>
    <w:rsid w:val="00834C4D"/>
    <w:rsid w:val="008377A6"/>
    <w:rsid w:val="00862E11"/>
    <w:rsid w:val="008668D9"/>
    <w:rsid w:val="008718BC"/>
    <w:rsid w:val="00873E97"/>
    <w:rsid w:val="00891D3A"/>
    <w:rsid w:val="00896896"/>
    <w:rsid w:val="008A712D"/>
    <w:rsid w:val="008B6A4C"/>
    <w:rsid w:val="008C0FA6"/>
    <w:rsid w:val="008D4BA4"/>
    <w:rsid w:val="008E0DA5"/>
    <w:rsid w:val="008E73FD"/>
    <w:rsid w:val="0090680D"/>
    <w:rsid w:val="00910F72"/>
    <w:rsid w:val="00912E05"/>
    <w:rsid w:val="00914CC8"/>
    <w:rsid w:val="00915EE8"/>
    <w:rsid w:val="0093420A"/>
    <w:rsid w:val="0095464F"/>
    <w:rsid w:val="0096557C"/>
    <w:rsid w:val="009767E3"/>
    <w:rsid w:val="0097789C"/>
    <w:rsid w:val="00990826"/>
    <w:rsid w:val="00991C3C"/>
    <w:rsid w:val="00992C2A"/>
    <w:rsid w:val="00992D6E"/>
    <w:rsid w:val="009A0E3B"/>
    <w:rsid w:val="009D54B7"/>
    <w:rsid w:val="009F0476"/>
    <w:rsid w:val="009F7462"/>
    <w:rsid w:val="00A06A2D"/>
    <w:rsid w:val="00A1086C"/>
    <w:rsid w:val="00A156E2"/>
    <w:rsid w:val="00A3037A"/>
    <w:rsid w:val="00A34C7B"/>
    <w:rsid w:val="00A40D68"/>
    <w:rsid w:val="00A4612A"/>
    <w:rsid w:val="00A47D55"/>
    <w:rsid w:val="00A70F16"/>
    <w:rsid w:val="00A85C40"/>
    <w:rsid w:val="00A8606D"/>
    <w:rsid w:val="00AA2061"/>
    <w:rsid w:val="00AA45FF"/>
    <w:rsid w:val="00AB40FC"/>
    <w:rsid w:val="00AB5E53"/>
    <w:rsid w:val="00AC2BEB"/>
    <w:rsid w:val="00AE023A"/>
    <w:rsid w:val="00B14822"/>
    <w:rsid w:val="00B234E2"/>
    <w:rsid w:val="00B375F9"/>
    <w:rsid w:val="00B43B40"/>
    <w:rsid w:val="00B502E6"/>
    <w:rsid w:val="00B5472A"/>
    <w:rsid w:val="00B547A9"/>
    <w:rsid w:val="00B54EE0"/>
    <w:rsid w:val="00B67C15"/>
    <w:rsid w:val="00B73E03"/>
    <w:rsid w:val="00B77DC7"/>
    <w:rsid w:val="00B87E86"/>
    <w:rsid w:val="00B95A75"/>
    <w:rsid w:val="00B96C97"/>
    <w:rsid w:val="00BA2B21"/>
    <w:rsid w:val="00BD36E4"/>
    <w:rsid w:val="00BE4029"/>
    <w:rsid w:val="00BF14D9"/>
    <w:rsid w:val="00BF75C4"/>
    <w:rsid w:val="00BF7A11"/>
    <w:rsid w:val="00BF7E67"/>
    <w:rsid w:val="00C1316F"/>
    <w:rsid w:val="00C17B99"/>
    <w:rsid w:val="00C32B86"/>
    <w:rsid w:val="00C35B62"/>
    <w:rsid w:val="00C4085F"/>
    <w:rsid w:val="00C449E2"/>
    <w:rsid w:val="00C51FF3"/>
    <w:rsid w:val="00C546EC"/>
    <w:rsid w:val="00C60858"/>
    <w:rsid w:val="00C6576A"/>
    <w:rsid w:val="00C70F72"/>
    <w:rsid w:val="00C743A2"/>
    <w:rsid w:val="00C74A4A"/>
    <w:rsid w:val="00CA0E52"/>
    <w:rsid w:val="00CC0E63"/>
    <w:rsid w:val="00CD228B"/>
    <w:rsid w:val="00CD3E4F"/>
    <w:rsid w:val="00CD4458"/>
    <w:rsid w:val="00CE430F"/>
    <w:rsid w:val="00CF4142"/>
    <w:rsid w:val="00D1517B"/>
    <w:rsid w:val="00D23A98"/>
    <w:rsid w:val="00D2541E"/>
    <w:rsid w:val="00D35F0F"/>
    <w:rsid w:val="00D375A6"/>
    <w:rsid w:val="00D37F2F"/>
    <w:rsid w:val="00D55B18"/>
    <w:rsid w:val="00D63FB1"/>
    <w:rsid w:val="00DB30F8"/>
    <w:rsid w:val="00DB5847"/>
    <w:rsid w:val="00DC13C9"/>
    <w:rsid w:val="00DD6FEC"/>
    <w:rsid w:val="00DE2511"/>
    <w:rsid w:val="00E0156F"/>
    <w:rsid w:val="00E02EFC"/>
    <w:rsid w:val="00E03669"/>
    <w:rsid w:val="00E16C0A"/>
    <w:rsid w:val="00E26B7B"/>
    <w:rsid w:val="00E37DA1"/>
    <w:rsid w:val="00E61A31"/>
    <w:rsid w:val="00EA024D"/>
    <w:rsid w:val="00EA497A"/>
    <w:rsid w:val="00EC700F"/>
    <w:rsid w:val="00ED092E"/>
    <w:rsid w:val="00EE37F4"/>
    <w:rsid w:val="00F05F4B"/>
    <w:rsid w:val="00F06C18"/>
    <w:rsid w:val="00F252B6"/>
    <w:rsid w:val="00F47293"/>
    <w:rsid w:val="00F521EB"/>
    <w:rsid w:val="00F65A69"/>
    <w:rsid w:val="00F662A9"/>
    <w:rsid w:val="00FA72ED"/>
    <w:rsid w:val="00FC2C9B"/>
    <w:rsid w:val="00FC4ECF"/>
    <w:rsid w:val="00FC5F45"/>
    <w:rsid w:val="00FD2943"/>
    <w:rsid w:val="00FD32EF"/>
    <w:rsid w:val="00FE0061"/>
    <w:rsid w:val="00FE4950"/>
    <w:rsid w:val="0F404B65"/>
    <w:rsid w:val="2B0E5F59"/>
    <w:rsid w:val="2BFE77DE"/>
    <w:rsid w:val="319F48D3"/>
    <w:rsid w:val="74665355"/>
    <w:rsid w:val="77E22B74"/>
    <w:rsid w:val="7CA413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1"/>
    <w:basedOn w:val="1"/>
    <w:next w:val="1"/>
    <w:link w:val="25"/>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6"/>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7"/>
    <w:unhideWhenUsed/>
    <w:qFormat/>
    <w:uiPriority w:val="9"/>
    <w:pPr>
      <w:keepNext/>
      <w:keepLines/>
      <w:spacing w:before="40"/>
      <w:outlineLvl w:val="2"/>
    </w:pPr>
    <w:rPr>
      <w:rFonts w:asciiTheme="majorHAnsi" w:hAnsiTheme="majorHAnsi" w:eastAsiaTheme="majorEastAsia" w:cstheme="majorBidi"/>
      <w:color w:val="203864" w:themeColor="accent1" w:themeShade="80"/>
    </w:rPr>
  </w:style>
  <w:style w:type="paragraph" w:styleId="5">
    <w:name w:val="heading 4"/>
    <w:basedOn w:val="1"/>
    <w:next w:val="1"/>
    <w:link w:val="28"/>
    <w:unhideWhenUsed/>
    <w:qFormat/>
    <w:uiPriority w:val="9"/>
    <w:pPr>
      <w:keepNext/>
      <w:keepLines/>
      <w:spacing w:before="4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9"/>
    <w:qFormat/>
    <w:uiPriority w:val="9"/>
    <w:pPr>
      <w:spacing w:before="100" w:beforeAutospacing="1" w:after="100" w:afterAutospacing="1"/>
      <w:outlineLvl w:val="4"/>
    </w:pPr>
    <w:rPr>
      <w:b/>
      <w:bCs/>
      <w:sz w:val="20"/>
      <w:szCs w:val="20"/>
    </w:rPr>
  </w:style>
  <w:style w:type="character" w:default="1" w:styleId="17">
    <w:name w:val="Default Paragraph Font"/>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7">
    <w:name w:val="annotation text"/>
    <w:basedOn w:val="1"/>
    <w:link w:val="64"/>
    <w:semiHidden/>
    <w:unhideWhenUsed/>
    <w:qFormat/>
    <w:uiPriority w:val="99"/>
    <w:rPr>
      <w:sz w:val="20"/>
      <w:szCs w:val="20"/>
    </w:rPr>
  </w:style>
  <w:style w:type="paragraph" w:styleId="8">
    <w:name w:val="endnote text"/>
    <w:basedOn w:val="1"/>
    <w:link w:val="32"/>
    <w:semiHidden/>
    <w:unhideWhenUsed/>
    <w:uiPriority w:val="99"/>
    <w:rPr>
      <w:sz w:val="20"/>
      <w:szCs w:val="20"/>
    </w:rPr>
  </w:style>
  <w:style w:type="paragraph" w:styleId="9">
    <w:name w:val="Balloon Text"/>
    <w:basedOn w:val="1"/>
    <w:link w:val="66"/>
    <w:semiHidden/>
    <w:unhideWhenUsed/>
    <w:qFormat/>
    <w:uiPriority w:val="99"/>
    <w:rPr>
      <w:sz w:val="18"/>
      <w:szCs w:val="18"/>
    </w:rPr>
  </w:style>
  <w:style w:type="paragraph" w:styleId="10">
    <w:name w:val="footer"/>
    <w:basedOn w:val="1"/>
    <w:link w:val="68"/>
    <w:unhideWhenUsed/>
    <w:uiPriority w:val="99"/>
    <w:pPr>
      <w:tabs>
        <w:tab w:val="center" w:pos="4513"/>
        <w:tab w:val="right" w:pos="9026"/>
      </w:tabs>
    </w:pPr>
  </w:style>
  <w:style w:type="paragraph" w:styleId="11">
    <w:name w:val="header"/>
    <w:basedOn w:val="1"/>
    <w:link w:val="67"/>
    <w:unhideWhenUsed/>
    <w:uiPriority w:val="99"/>
    <w:pPr>
      <w:tabs>
        <w:tab w:val="center" w:pos="4513"/>
        <w:tab w:val="right" w:pos="9026"/>
      </w:tabs>
    </w:pPr>
  </w:style>
  <w:style w:type="paragraph" w:styleId="12">
    <w:name w:val="Normal (Web)"/>
    <w:basedOn w:val="1"/>
    <w:semiHidden/>
    <w:unhideWhenUsed/>
    <w:uiPriority w:val="99"/>
    <w:pPr>
      <w:spacing w:before="100" w:beforeAutospacing="1" w:after="100" w:afterAutospacing="1"/>
    </w:pPr>
  </w:style>
  <w:style w:type="paragraph" w:styleId="13">
    <w:name w:val="Title"/>
    <w:basedOn w:val="1"/>
    <w:next w:val="1"/>
    <w:link w:val="61"/>
    <w:qFormat/>
    <w:uiPriority w:val="10"/>
    <w:pPr>
      <w:contextualSpacing/>
    </w:pPr>
    <w:rPr>
      <w:rFonts w:asciiTheme="majorHAnsi" w:hAnsiTheme="majorHAnsi" w:eastAsiaTheme="majorEastAsia" w:cstheme="majorBidi"/>
      <w:spacing w:val="-10"/>
      <w:kern w:val="28"/>
      <w:sz w:val="56"/>
      <w:szCs w:val="56"/>
    </w:rPr>
  </w:style>
  <w:style w:type="paragraph" w:styleId="14">
    <w:name w:val="annotation subject"/>
    <w:basedOn w:val="7"/>
    <w:next w:val="7"/>
    <w:link w:val="65"/>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ndnote reference"/>
    <w:basedOn w:val="17"/>
    <w:semiHidden/>
    <w:unhideWhenUsed/>
    <w:uiPriority w:val="99"/>
    <w:rPr>
      <w:vertAlign w:val="superscript"/>
    </w:rPr>
  </w:style>
  <w:style w:type="character" w:styleId="20">
    <w:name w:val="page number"/>
    <w:basedOn w:val="17"/>
    <w:semiHidden/>
    <w:unhideWhenUsed/>
    <w:qFormat/>
    <w:uiPriority w:val="99"/>
  </w:style>
  <w:style w:type="character" w:styleId="21">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2">
    <w:name w:val="Emphasis"/>
    <w:basedOn w:val="17"/>
    <w:qFormat/>
    <w:uiPriority w:val="20"/>
    <w:rPr>
      <w:i/>
      <w:iCs/>
    </w:rPr>
  </w:style>
  <w:style w:type="character" w:styleId="23">
    <w:name w:val="Hyperlink"/>
    <w:basedOn w:val="17"/>
    <w:unhideWhenUsed/>
    <w:uiPriority w:val="99"/>
    <w:rPr>
      <w:color w:val="0563C1" w:themeColor="hyperlink"/>
      <w:u w:val="single"/>
      <w14:textFill>
        <w14:solidFill>
          <w14:schemeClr w14:val="hlink"/>
        </w14:solidFill>
      </w14:textFill>
    </w:rPr>
  </w:style>
  <w:style w:type="character" w:styleId="24">
    <w:name w:val="annotation reference"/>
    <w:basedOn w:val="17"/>
    <w:semiHidden/>
    <w:unhideWhenUsed/>
    <w:qFormat/>
    <w:uiPriority w:val="99"/>
    <w:rPr>
      <w:sz w:val="16"/>
      <w:szCs w:val="16"/>
    </w:rPr>
  </w:style>
  <w:style w:type="character" w:customStyle="1" w:styleId="25">
    <w:name w:val="标题 1 Char"/>
    <w:basedOn w:val="17"/>
    <w:link w:val="2"/>
    <w:qFormat/>
    <w:uiPriority w:val="9"/>
    <w:rPr>
      <w:rFonts w:asciiTheme="majorHAnsi" w:hAnsiTheme="majorHAnsi" w:eastAsiaTheme="majorEastAsia" w:cstheme="majorBidi"/>
      <w:color w:val="2F5597" w:themeColor="accent1" w:themeShade="BF"/>
      <w:sz w:val="32"/>
      <w:szCs w:val="32"/>
      <w:lang w:eastAsia="en-GB"/>
    </w:rPr>
  </w:style>
  <w:style w:type="character" w:customStyle="1" w:styleId="26">
    <w:name w:val="标题 2 Char"/>
    <w:basedOn w:val="17"/>
    <w:link w:val="3"/>
    <w:uiPriority w:val="9"/>
    <w:rPr>
      <w:rFonts w:asciiTheme="majorHAnsi" w:hAnsiTheme="majorHAnsi" w:eastAsiaTheme="majorEastAsia" w:cstheme="majorBidi"/>
      <w:color w:val="2F5597" w:themeColor="accent1" w:themeShade="BF"/>
      <w:sz w:val="26"/>
      <w:szCs w:val="26"/>
      <w:lang w:eastAsia="en-GB"/>
    </w:rPr>
  </w:style>
  <w:style w:type="character" w:customStyle="1" w:styleId="27">
    <w:name w:val="标题 3 Char"/>
    <w:basedOn w:val="17"/>
    <w:link w:val="4"/>
    <w:qFormat/>
    <w:uiPriority w:val="9"/>
    <w:rPr>
      <w:rFonts w:asciiTheme="majorHAnsi" w:hAnsiTheme="majorHAnsi" w:eastAsiaTheme="majorEastAsia" w:cstheme="majorBidi"/>
      <w:color w:val="203864" w:themeColor="accent1" w:themeShade="80"/>
      <w:lang w:eastAsia="en-GB"/>
    </w:rPr>
  </w:style>
  <w:style w:type="character" w:customStyle="1" w:styleId="28">
    <w:name w:val="标题 4 Char"/>
    <w:basedOn w:val="17"/>
    <w:link w:val="5"/>
    <w:uiPriority w:val="9"/>
    <w:rPr>
      <w:rFonts w:asciiTheme="majorHAnsi" w:hAnsiTheme="majorHAnsi" w:eastAsiaTheme="majorEastAsia" w:cstheme="majorBidi"/>
      <w:i/>
      <w:iCs/>
      <w:color w:val="2F5597" w:themeColor="accent1" w:themeShade="BF"/>
      <w:lang w:eastAsia="en-GB"/>
    </w:rPr>
  </w:style>
  <w:style w:type="character" w:customStyle="1" w:styleId="29">
    <w:name w:val="标题 5 Char"/>
    <w:basedOn w:val="17"/>
    <w:link w:val="6"/>
    <w:qFormat/>
    <w:uiPriority w:val="9"/>
    <w:rPr>
      <w:rFonts w:ascii="Times New Roman" w:hAnsi="Times New Roman" w:eastAsia="Times New Roman" w:cs="Times New Roman"/>
      <w:b/>
      <w:bCs/>
      <w:sz w:val="20"/>
      <w:szCs w:val="20"/>
      <w:lang w:eastAsia="en-GB"/>
    </w:rPr>
  </w:style>
  <w:style w:type="paragraph" w:styleId="30">
    <w:name w:val="No Spacing"/>
    <w:link w:val="34"/>
    <w:qFormat/>
    <w:uiPriority w:val="1"/>
    <w:rPr>
      <w:rFonts w:asciiTheme="minorHAnsi" w:hAnsiTheme="minorHAnsi" w:eastAsiaTheme="minorEastAsia" w:cstheme="minorBidi"/>
      <w:sz w:val="22"/>
      <w:szCs w:val="22"/>
      <w:lang w:val="en-GB" w:eastAsia="en-US" w:bidi="ar-SA"/>
    </w:rPr>
  </w:style>
  <w:style w:type="character" w:customStyle="1" w:styleId="31">
    <w:name w:val="Unresolved Mention1"/>
    <w:basedOn w:val="17"/>
    <w:semiHidden/>
    <w:unhideWhenUsed/>
    <w:uiPriority w:val="99"/>
    <w:rPr>
      <w:color w:val="605E5C"/>
      <w:shd w:val="clear" w:color="auto" w:fill="E1DFDD"/>
    </w:rPr>
  </w:style>
  <w:style w:type="character" w:customStyle="1" w:styleId="32">
    <w:name w:val="尾注文本 Char"/>
    <w:basedOn w:val="17"/>
    <w:link w:val="8"/>
    <w:semiHidden/>
    <w:qFormat/>
    <w:uiPriority w:val="99"/>
    <w:rPr>
      <w:rFonts w:ascii="Times New Roman" w:hAnsi="Times New Roman" w:eastAsia="Times New Roman" w:cs="Times New Roman"/>
      <w:sz w:val="20"/>
      <w:szCs w:val="20"/>
      <w:lang w:eastAsia="en-GB"/>
    </w:rPr>
  </w:style>
  <w:style w:type="paragraph" w:customStyle="1" w:styleId="33">
    <w:name w:val="EndNote Bibliography Title"/>
    <w:basedOn w:val="1"/>
    <w:link w:val="35"/>
    <w:qFormat/>
    <w:uiPriority w:val="0"/>
    <w:pPr>
      <w:jc w:val="center"/>
    </w:pPr>
    <w:rPr>
      <w:rFonts w:ascii="Calibri" w:hAnsi="Calibri" w:cs="Calibri" w:eastAsiaTheme="minorHAnsi"/>
      <w:sz w:val="22"/>
      <w:szCs w:val="22"/>
      <w:lang w:val="en-US" w:eastAsia="en-US"/>
    </w:rPr>
  </w:style>
  <w:style w:type="character" w:customStyle="1" w:styleId="34">
    <w:name w:val="无间隔 Char"/>
    <w:basedOn w:val="17"/>
    <w:link w:val="30"/>
    <w:qFormat/>
    <w:uiPriority w:val="1"/>
    <w:rPr>
      <w:sz w:val="22"/>
      <w:szCs w:val="22"/>
    </w:rPr>
  </w:style>
  <w:style w:type="character" w:customStyle="1" w:styleId="35">
    <w:name w:val="EndNote Bibliography Title Char"/>
    <w:basedOn w:val="34"/>
    <w:link w:val="33"/>
    <w:uiPriority w:val="0"/>
    <w:rPr>
      <w:rFonts w:ascii="Calibri" w:hAnsi="Calibri" w:cs="Calibri"/>
      <w:sz w:val="22"/>
      <w:szCs w:val="22"/>
      <w:lang w:val="en-US"/>
    </w:rPr>
  </w:style>
  <w:style w:type="paragraph" w:customStyle="1" w:styleId="36">
    <w:name w:val="EndNote Bibliography"/>
    <w:basedOn w:val="1"/>
    <w:link w:val="37"/>
    <w:qFormat/>
    <w:uiPriority w:val="0"/>
    <w:pPr>
      <w:spacing w:after="200"/>
    </w:pPr>
    <w:rPr>
      <w:rFonts w:ascii="Calibri" w:hAnsi="Calibri" w:cs="Calibri" w:eastAsiaTheme="minorHAnsi"/>
      <w:sz w:val="22"/>
      <w:szCs w:val="22"/>
      <w:lang w:val="en-US" w:eastAsia="en-US"/>
    </w:rPr>
  </w:style>
  <w:style w:type="character" w:customStyle="1" w:styleId="37">
    <w:name w:val="EndNote Bibliography Char"/>
    <w:basedOn w:val="34"/>
    <w:link w:val="36"/>
    <w:qFormat/>
    <w:uiPriority w:val="0"/>
    <w:rPr>
      <w:rFonts w:ascii="Calibri" w:hAnsi="Calibri" w:cs="Calibri"/>
      <w:sz w:val="22"/>
      <w:szCs w:val="22"/>
      <w:lang w:val="en-US"/>
    </w:rPr>
  </w:style>
  <w:style w:type="paragraph" w:styleId="38">
    <w:name w:val="List Paragraph"/>
    <w:basedOn w:val="1"/>
    <w:qFormat/>
    <w:uiPriority w:val="34"/>
    <w:pPr>
      <w:ind w:left="720"/>
      <w:contextualSpacing/>
    </w:pPr>
  </w:style>
  <w:style w:type="character" w:customStyle="1" w:styleId="39">
    <w:name w:val="figpopup-sensitive-area"/>
    <w:basedOn w:val="17"/>
    <w:qFormat/>
    <w:uiPriority w:val="0"/>
  </w:style>
  <w:style w:type="character" w:customStyle="1" w:styleId="40">
    <w:name w:val="title-text"/>
    <w:basedOn w:val="17"/>
    <w:uiPriority w:val="0"/>
  </w:style>
  <w:style w:type="character" w:customStyle="1" w:styleId="41">
    <w:name w:val="highlight"/>
    <w:basedOn w:val="17"/>
    <w:uiPriority w:val="0"/>
  </w:style>
  <w:style w:type="paragraph" w:customStyle="1" w:styleId="42">
    <w:name w:val="p"/>
    <w:basedOn w:val="1"/>
    <w:qFormat/>
    <w:uiPriority w:val="0"/>
    <w:pPr>
      <w:spacing w:before="100" w:beforeAutospacing="1" w:after="100" w:afterAutospacing="1"/>
    </w:pPr>
  </w:style>
  <w:style w:type="character" w:customStyle="1" w:styleId="43">
    <w:name w:val="author"/>
    <w:basedOn w:val="17"/>
    <w:uiPriority w:val="0"/>
  </w:style>
  <w:style w:type="character" w:customStyle="1" w:styleId="44">
    <w:name w:val="articletitle"/>
    <w:basedOn w:val="17"/>
    <w:qFormat/>
    <w:uiPriority w:val="0"/>
  </w:style>
  <w:style w:type="character" w:customStyle="1" w:styleId="45">
    <w:name w:val="pubyear"/>
    <w:basedOn w:val="17"/>
    <w:uiPriority w:val="0"/>
  </w:style>
  <w:style w:type="character" w:customStyle="1" w:styleId="46">
    <w:name w:val="vol"/>
    <w:basedOn w:val="17"/>
    <w:qFormat/>
    <w:uiPriority w:val="0"/>
  </w:style>
  <w:style w:type="character" w:customStyle="1" w:styleId="47">
    <w:name w:val="pagefirst"/>
    <w:basedOn w:val="17"/>
    <w:qFormat/>
    <w:uiPriority w:val="0"/>
  </w:style>
  <w:style w:type="character" w:customStyle="1" w:styleId="48">
    <w:name w:val="pagelast"/>
    <w:basedOn w:val="17"/>
    <w:qFormat/>
    <w:uiPriority w:val="0"/>
  </w:style>
  <w:style w:type="character" w:customStyle="1" w:styleId="49">
    <w:name w:val="openurl"/>
    <w:basedOn w:val="17"/>
    <w:qFormat/>
    <w:uiPriority w:val="0"/>
  </w:style>
  <w:style w:type="character" w:customStyle="1" w:styleId="50">
    <w:name w:val="bullet"/>
    <w:basedOn w:val="17"/>
    <w:uiPriority w:val="0"/>
  </w:style>
  <w:style w:type="character" w:customStyle="1" w:styleId="51">
    <w:name w:val="element-citation"/>
    <w:basedOn w:val="17"/>
    <w:qFormat/>
    <w:uiPriority w:val="0"/>
  </w:style>
  <w:style w:type="character" w:customStyle="1" w:styleId="52">
    <w:name w:val="ref-journal"/>
    <w:basedOn w:val="17"/>
    <w:qFormat/>
    <w:uiPriority w:val="0"/>
  </w:style>
  <w:style w:type="character" w:customStyle="1" w:styleId="53">
    <w:name w:val="ref-vol"/>
    <w:basedOn w:val="17"/>
    <w:qFormat/>
    <w:uiPriority w:val="0"/>
  </w:style>
  <w:style w:type="character" w:customStyle="1" w:styleId="54">
    <w:name w:val="nowrap"/>
    <w:basedOn w:val="17"/>
    <w:qFormat/>
    <w:uiPriority w:val="0"/>
  </w:style>
  <w:style w:type="paragraph" w:customStyle="1" w:styleId="55">
    <w:name w:val="ref__authors__name"/>
    <w:basedOn w:val="1"/>
    <w:uiPriority w:val="0"/>
    <w:pPr>
      <w:spacing w:before="100" w:beforeAutospacing="1" w:after="100" w:afterAutospacing="1"/>
    </w:pPr>
  </w:style>
  <w:style w:type="character" w:customStyle="1" w:styleId="56">
    <w:name w:val="ref__series"/>
    <w:basedOn w:val="17"/>
    <w:qFormat/>
    <w:uiPriority w:val="0"/>
  </w:style>
  <w:style w:type="character" w:customStyle="1" w:styleId="57">
    <w:name w:val="ref__seriesdate"/>
    <w:basedOn w:val="17"/>
    <w:qFormat/>
    <w:uiPriority w:val="0"/>
  </w:style>
  <w:style w:type="character" w:customStyle="1" w:styleId="58">
    <w:name w:val="ref__seriesvolume"/>
    <w:basedOn w:val="17"/>
    <w:uiPriority w:val="0"/>
  </w:style>
  <w:style w:type="character" w:customStyle="1" w:styleId="59">
    <w:name w:val="ref__seriespages"/>
    <w:basedOn w:val="17"/>
    <w:uiPriority w:val="0"/>
  </w:style>
  <w:style w:type="paragraph" w:customStyle="1" w:styleId="60">
    <w:name w:val="c-author-list__item"/>
    <w:basedOn w:val="1"/>
    <w:qFormat/>
    <w:uiPriority w:val="0"/>
    <w:pPr>
      <w:spacing w:before="100" w:beforeAutospacing="1" w:after="100" w:afterAutospacing="1"/>
    </w:pPr>
  </w:style>
  <w:style w:type="character" w:customStyle="1" w:styleId="61">
    <w:name w:val="标题 Char"/>
    <w:basedOn w:val="17"/>
    <w:link w:val="13"/>
    <w:qFormat/>
    <w:uiPriority w:val="10"/>
    <w:rPr>
      <w:rFonts w:asciiTheme="majorHAnsi" w:hAnsiTheme="majorHAnsi" w:eastAsiaTheme="majorEastAsia" w:cstheme="majorBidi"/>
      <w:spacing w:val="-10"/>
      <w:kern w:val="28"/>
      <w:sz w:val="56"/>
      <w:szCs w:val="56"/>
      <w:lang w:eastAsia="en-GB"/>
    </w:rPr>
  </w:style>
  <w:style w:type="character" w:customStyle="1" w:styleId="62">
    <w:name w:val="complextitle_primary"/>
    <w:basedOn w:val="17"/>
    <w:qFormat/>
    <w:uiPriority w:val="0"/>
  </w:style>
  <w:style w:type="character" w:customStyle="1" w:styleId="63">
    <w:name w:val="complextitle_secondary"/>
    <w:basedOn w:val="17"/>
    <w:uiPriority w:val="0"/>
  </w:style>
  <w:style w:type="character" w:customStyle="1" w:styleId="64">
    <w:name w:val="批注文字 Char"/>
    <w:basedOn w:val="17"/>
    <w:link w:val="7"/>
    <w:semiHidden/>
    <w:qFormat/>
    <w:uiPriority w:val="99"/>
    <w:rPr>
      <w:rFonts w:ascii="Times New Roman" w:hAnsi="Times New Roman" w:eastAsia="Times New Roman" w:cs="Times New Roman"/>
      <w:sz w:val="20"/>
      <w:szCs w:val="20"/>
      <w:lang w:eastAsia="en-GB"/>
    </w:rPr>
  </w:style>
  <w:style w:type="character" w:customStyle="1" w:styleId="65">
    <w:name w:val="批注主题 Char"/>
    <w:basedOn w:val="64"/>
    <w:link w:val="14"/>
    <w:semiHidden/>
    <w:qFormat/>
    <w:uiPriority w:val="99"/>
    <w:rPr>
      <w:rFonts w:ascii="Times New Roman" w:hAnsi="Times New Roman" w:eastAsia="Times New Roman" w:cs="Times New Roman"/>
      <w:b/>
      <w:bCs/>
      <w:sz w:val="20"/>
      <w:szCs w:val="20"/>
      <w:lang w:eastAsia="en-GB"/>
    </w:rPr>
  </w:style>
  <w:style w:type="character" w:customStyle="1" w:styleId="66">
    <w:name w:val="批注框文本 Char"/>
    <w:basedOn w:val="17"/>
    <w:link w:val="9"/>
    <w:semiHidden/>
    <w:qFormat/>
    <w:uiPriority w:val="99"/>
    <w:rPr>
      <w:rFonts w:ascii="Times New Roman" w:hAnsi="Times New Roman" w:eastAsia="Times New Roman" w:cs="Times New Roman"/>
      <w:sz w:val="18"/>
      <w:szCs w:val="18"/>
      <w:lang w:eastAsia="en-GB"/>
    </w:rPr>
  </w:style>
  <w:style w:type="character" w:customStyle="1" w:styleId="67">
    <w:name w:val="页眉 Char"/>
    <w:basedOn w:val="17"/>
    <w:link w:val="11"/>
    <w:uiPriority w:val="99"/>
    <w:rPr>
      <w:rFonts w:ascii="Times New Roman" w:hAnsi="Times New Roman" w:eastAsia="Times New Roman" w:cs="Times New Roman"/>
      <w:lang w:eastAsia="en-GB"/>
    </w:rPr>
  </w:style>
  <w:style w:type="character" w:customStyle="1" w:styleId="68">
    <w:name w:val="页脚 Char"/>
    <w:basedOn w:val="17"/>
    <w:link w:val="10"/>
    <w:qFormat/>
    <w:uiPriority w:val="99"/>
    <w:rPr>
      <w:rFonts w:ascii="Times New Roman" w:hAnsi="Times New Roman" w:eastAsia="Times New Roman" w:cs="Times New Roman"/>
      <w:lang w:eastAsia="en-GB"/>
    </w:rPr>
  </w:style>
  <w:style w:type="paragraph" w:customStyle="1" w:styleId="69">
    <w:name w:val="修订1"/>
    <w:hidden/>
    <w:semiHidden/>
    <w:uiPriority w:val="99"/>
    <w:rPr>
      <w:rFonts w:ascii="Times New Roman" w:hAnsi="Times New Roman" w:eastAsia="Times New Roman" w:cs="Times New Roman"/>
      <w:sz w:val="24"/>
      <w:szCs w:val="24"/>
      <w:lang w:val="en-GB" w:eastAsia="en-GB" w:bidi="ar-SA"/>
    </w:rPr>
  </w:style>
  <w:style w:type="character" w:customStyle="1" w:styleId="70">
    <w:name w:val="orcid-id-https"/>
    <w:basedOn w:val="17"/>
    <w:qFormat/>
    <w:uiPriority w:val="0"/>
  </w:style>
  <w:style w:type="character" w:customStyle="1" w:styleId="71">
    <w:name w:val="docsum-journal-citation"/>
    <w:basedOn w:val="17"/>
    <w:qFormat/>
    <w:uiPriority w:val="0"/>
  </w:style>
  <w:style w:type="character" w:customStyle="1" w:styleId="72">
    <w:name w:val="citation-part"/>
    <w:basedOn w:val="17"/>
    <w:uiPriority w:val="0"/>
  </w:style>
  <w:style w:type="character" w:customStyle="1" w:styleId="73">
    <w:name w:val="docsum-pmid"/>
    <w:basedOn w:val="17"/>
    <w:qFormat/>
    <w:uiPriority w:val="0"/>
  </w:style>
  <w:style w:type="character" w:customStyle="1" w:styleId="74">
    <w:name w:val="period"/>
    <w:basedOn w:val="17"/>
    <w:qFormat/>
    <w:uiPriority w:val="0"/>
  </w:style>
  <w:style w:type="character" w:customStyle="1" w:styleId="75">
    <w:name w:val="cit"/>
    <w:basedOn w:val="17"/>
    <w:qFormat/>
    <w:uiPriority w:val="0"/>
  </w:style>
  <w:style w:type="character" w:customStyle="1" w:styleId="76">
    <w:name w:val="secondary-date"/>
    <w:basedOn w:val="17"/>
    <w:qFormat/>
    <w:uiPriority w:val="0"/>
  </w:style>
  <w:style w:type="character" w:customStyle="1" w:styleId="77">
    <w:name w:val="identifier"/>
    <w:basedOn w:val="17"/>
    <w:qFormat/>
    <w:uiPriority w:val="0"/>
  </w:style>
  <w:style w:type="character" w:customStyle="1" w:styleId="78">
    <w:name w:val="id-label"/>
    <w:basedOn w:val="17"/>
    <w:uiPriority w:val="0"/>
  </w:style>
  <w:style w:type="character" w:customStyle="1" w:styleId="79">
    <w:name w:val="doi__label"/>
    <w:basedOn w:val="17"/>
    <w:qFormat/>
    <w:uiPriority w:val="0"/>
  </w:style>
  <w:style w:type="character" w:customStyle="1" w:styleId="80">
    <w:name w:val="embargo-date-block"/>
    <w:basedOn w:val="17"/>
    <w:qFormat/>
    <w:uiPriority w:val="0"/>
  </w:style>
  <w:style w:type="character" w:customStyle="1" w:styleId="81">
    <w:name w:val="highwire-cite-metadata-doi"/>
    <w:basedOn w:val="17"/>
    <w:qFormat/>
    <w:uiPriority w:val="0"/>
  </w:style>
  <w:style w:type="character" w:customStyle="1" w:styleId="82">
    <w:name w:val="Unresolved Mention2"/>
    <w:basedOn w:val="1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CB83A55B4F44845A4EBE1AF58B3D909" ma:contentTypeVersion="4" ma:contentTypeDescription="Create a new document." ma:contentTypeScope="" ma:versionID="2ae3488ba01b1284a07f120fe1b2747b">
  <xsd:schema xmlns:xsd="http://www.w3.org/2001/XMLSchema" xmlns:xs="http://www.w3.org/2001/XMLSchema" xmlns:p="http://schemas.microsoft.com/office/2006/metadata/properties" xmlns:ns3="b6cca578-0362-4f74-a206-6b191fd975b8" targetNamespace="http://schemas.microsoft.com/office/2006/metadata/properties" ma:root="true" ma:fieldsID="561abd32ae0a7be17b9bb85d5d6b6710" ns3:_="">
    <xsd:import namespace="b6cca578-0362-4f74-a206-6b191fd975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ca578-0362-4f74-a206-6b191fd97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6338A-9153-4D9C-866F-40AAEDD96FCB}">
  <ds:schemaRefs/>
</ds:datastoreItem>
</file>

<file path=customXml/itemProps3.xml><?xml version="1.0" encoding="utf-8"?>
<ds:datastoreItem xmlns:ds="http://schemas.openxmlformats.org/officeDocument/2006/customXml" ds:itemID="{302E6406-1B0C-4980-966E-B6E9873A70EE}">
  <ds:schemaRefs/>
</ds:datastoreItem>
</file>

<file path=customXml/itemProps4.xml><?xml version="1.0" encoding="utf-8"?>
<ds:datastoreItem xmlns:ds="http://schemas.openxmlformats.org/officeDocument/2006/customXml" ds:itemID="{84658AF8-AC13-4402-99DC-C0E95DA65AE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10822</Words>
  <Characters>61689</Characters>
  <Lines>514</Lines>
  <Paragraphs>144</Paragraphs>
  <TotalTime>0</TotalTime>
  <ScaleCrop>false</ScaleCrop>
  <LinksUpToDate>false</LinksUpToDate>
  <CharactersWithSpaces>72367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2021-08-17T14:41:00Z</dcterms:created>
  <dc:creator>Hattie Sharp</dc:creator>
  <cp:lastModifiedBy>晓晨</cp:lastModifiedBy>
  <cp:lastPrinted>2021-08-13T08:48:00Z</cp:lastPrinted>
  <dcterms:modified xsi:type="dcterms:W3CDTF">2021-10-15T06:39:14Z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51E6F462A74B4F9488C531BC1249B99B</vt:lpwstr>
  </property>
  <property fmtid="{D5CDD505-2E9C-101B-9397-08002B2CF9AE}" pid="4" name="ContentTypeId">
    <vt:lpwstr>0x010100ECB83A55B4F44845A4EBE1AF58B3D909</vt:lpwstr>
  </property>
</Properties>
</file>