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B92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Name of Journal: </w:t>
      </w:r>
      <w:r w:rsidRPr="00C81DD8">
        <w:rPr>
          <w:rFonts w:ascii="Book Antiqua" w:eastAsia="Book Antiqua" w:hAnsi="Book Antiqua" w:cs="Book Antiqua"/>
          <w:i/>
          <w:color w:val="000000" w:themeColor="text1"/>
        </w:rPr>
        <w:t>World Journal of Clinical Cases</w:t>
      </w:r>
    </w:p>
    <w:p w14:paraId="296C436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Manuscript NO: </w:t>
      </w:r>
      <w:r w:rsidRPr="00C81DD8">
        <w:rPr>
          <w:rFonts w:ascii="Book Antiqua" w:eastAsia="Book Antiqua" w:hAnsi="Book Antiqua" w:cs="Book Antiqua"/>
          <w:color w:val="000000" w:themeColor="text1"/>
        </w:rPr>
        <w:t>64892</w:t>
      </w:r>
    </w:p>
    <w:p w14:paraId="396249F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Manuscript Type: </w:t>
      </w:r>
      <w:r w:rsidRPr="00C81DD8">
        <w:rPr>
          <w:rFonts w:ascii="Book Antiqua" w:eastAsia="Book Antiqua" w:hAnsi="Book Antiqua" w:cs="Book Antiqua"/>
          <w:color w:val="000000" w:themeColor="text1"/>
        </w:rPr>
        <w:t>MINIREVIEWS</w:t>
      </w:r>
    </w:p>
    <w:p w14:paraId="0ABB6AA3"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52F698A6" w14:textId="4C318070"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C</w:t>
      </w:r>
      <w:r w:rsidR="00E41A62">
        <w:rPr>
          <w:rFonts w:ascii="Book Antiqua" w:eastAsia="Book Antiqua" w:hAnsi="Book Antiqua" w:cs="Book Antiqua"/>
          <w:b/>
          <w:bCs/>
          <w:color w:val="000000" w:themeColor="text1"/>
        </w:rPr>
        <w:t>oronavirus disease 2019</w:t>
      </w:r>
      <w:r w:rsidRPr="00C81DD8">
        <w:rPr>
          <w:rFonts w:ascii="Book Antiqua" w:eastAsia="Book Antiqua" w:hAnsi="Book Antiqua" w:cs="Book Antiqua"/>
          <w:b/>
          <w:bCs/>
          <w:color w:val="000000" w:themeColor="text1"/>
        </w:rPr>
        <w:t xml:space="preserve"> and renal transplantation</w:t>
      </w:r>
    </w:p>
    <w:p w14:paraId="594B034D"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2DCA8980" w14:textId="77777777" w:rsidR="00A77B3E" w:rsidRPr="00C81DD8" w:rsidRDefault="000F44AD"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Nassar </w:t>
      </w:r>
      <w:r w:rsidRPr="00C81DD8">
        <w:rPr>
          <w:rFonts w:ascii="Book Antiqua" w:hAnsi="Book Antiqua" w:cs="Book Antiqua"/>
          <w:color w:val="000000" w:themeColor="text1"/>
          <w:lang w:eastAsia="zh-CN"/>
        </w:rPr>
        <w:t xml:space="preserve">M </w:t>
      </w:r>
      <w:r w:rsidRPr="00C81DD8">
        <w:rPr>
          <w:rFonts w:ascii="Book Antiqua" w:hAnsi="Book Antiqua" w:cs="Book Antiqua"/>
          <w:i/>
          <w:color w:val="000000" w:themeColor="text1"/>
          <w:lang w:eastAsia="zh-CN"/>
        </w:rPr>
        <w:t>et al</w:t>
      </w:r>
      <w:r w:rsidRPr="00C81DD8">
        <w:rPr>
          <w:rFonts w:ascii="Book Antiqua" w:hAnsi="Book Antiqua" w:cs="Book Antiqua"/>
          <w:color w:val="000000" w:themeColor="text1"/>
          <w:lang w:eastAsia="zh-CN"/>
        </w:rPr>
        <w:t xml:space="preserve">. </w:t>
      </w:r>
      <w:r w:rsidR="00C573F3" w:rsidRPr="00C81DD8">
        <w:rPr>
          <w:rFonts w:ascii="Book Antiqua" w:eastAsia="Book Antiqua" w:hAnsi="Book Antiqua" w:cs="Book Antiqua"/>
          <w:color w:val="000000" w:themeColor="text1"/>
        </w:rPr>
        <w:t>COVID-19 and renal transplantation</w:t>
      </w:r>
    </w:p>
    <w:p w14:paraId="4E09B5E3"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5939CC1" w14:textId="22192C1F"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Mahmoud Nassar, Nso, Jonathan Ariyaratnam, Jasmine Sandhu, Mahmoud Mohamed, Bahaaeldin Baraka, Atif Ibrahim, Mostafa Alfishawy, David Z</w:t>
      </w:r>
      <w:r w:rsidR="00AA234D">
        <w:rPr>
          <w:rFonts w:ascii="Book Antiqua" w:eastAsia="Book Antiqua" w:hAnsi="Book Antiqua" w:cs="Book Antiqua"/>
          <w:color w:val="000000" w:themeColor="text1"/>
        </w:rPr>
        <w:t>heng, Harangad Bhangoo, Karim M</w:t>
      </w:r>
      <w:r w:rsidRPr="00C81DD8">
        <w:rPr>
          <w:rFonts w:ascii="Book Antiqua" w:eastAsia="Book Antiqua" w:hAnsi="Book Antiqua" w:cs="Book Antiqua"/>
          <w:color w:val="000000" w:themeColor="text1"/>
        </w:rPr>
        <w:t xml:space="preserve"> Soliman, Matthew Li, Vincent Rizzo, Ahmed Daoud</w:t>
      </w:r>
    </w:p>
    <w:p w14:paraId="6AF18967"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F3126D5" w14:textId="3ABE5629"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Mahmoud Nassar, Nso, Jonathan Ariyaratnam, Jasmine Sandhu, David Zheng, Harangad Bhangoo, </w:t>
      </w:r>
      <w:r w:rsidRPr="00C81DD8">
        <w:rPr>
          <w:rFonts w:ascii="Book Antiqua" w:eastAsia="Book Antiqua" w:hAnsi="Book Antiqua" w:cs="Book Antiqua"/>
          <w:color w:val="000000" w:themeColor="text1"/>
        </w:rPr>
        <w:t>Department of Medicine, Icahn School of Medicine at Mount Sinai (NYC Health and Hospitals: Queens), New York, N</w:t>
      </w:r>
      <w:r w:rsidR="000F44AD" w:rsidRPr="00C81DD8">
        <w:rPr>
          <w:rFonts w:ascii="Book Antiqua" w:hAnsi="Book Antiqua" w:cs="Book Antiqua"/>
          <w:color w:val="000000" w:themeColor="text1"/>
          <w:lang w:eastAsia="zh-CN"/>
        </w:rPr>
        <w:t>Y</w:t>
      </w:r>
      <w:r w:rsidRPr="00C81DD8">
        <w:rPr>
          <w:rFonts w:ascii="Book Antiqua" w:eastAsia="Book Antiqua" w:hAnsi="Book Antiqua" w:cs="Book Antiqua"/>
          <w:color w:val="000000" w:themeColor="text1"/>
        </w:rPr>
        <w:t xml:space="preserve"> 10029, United States</w:t>
      </w:r>
    </w:p>
    <w:p w14:paraId="2BABA14E"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725804B3"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Mahmoud Mohamed, </w:t>
      </w:r>
      <w:r w:rsidRPr="00C81DD8">
        <w:rPr>
          <w:rFonts w:ascii="Book Antiqua" w:eastAsia="Book Antiqua" w:hAnsi="Book Antiqua" w:cs="Book Antiqua"/>
          <w:color w:val="000000" w:themeColor="text1"/>
        </w:rPr>
        <w:t xml:space="preserve">Department of Medicine, University of Tennessee Health Science Center, Memphis, </w:t>
      </w:r>
      <w:r w:rsidR="000F44AD" w:rsidRPr="00C81DD8">
        <w:rPr>
          <w:rFonts w:ascii="Book Antiqua" w:hAnsi="Book Antiqua" w:cs="Book Antiqua"/>
          <w:color w:val="000000" w:themeColor="text1"/>
          <w:lang w:eastAsia="zh-CN"/>
        </w:rPr>
        <w:t>TN</w:t>
      </w:r>
      <w:r w:rsidRPr="00C81DD8">
        <w:rPr>
          <w:rFonts w:ascii="Book Antiqua" w:eastAsia="Book Antiqua" w:hAnsi="Book Antiqua" w:cs="Book Antiqua"/>
          <w:color w:val="000000" w:themeColor="text1"/>
        </w:rPr>
        <w:t xml:space="preserve"> 38163, United States</w:t>
      </w:r>
    </w:p>
    <w:p w14:paraId="35B93F4A"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EBDC1E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Bahaaeldin Baraka, </w:t>
      </w:r>
      <w:bookmarkStart w:id="0" w:name="OLE_LINK144"/>
      <w:bookmarkStart w:id="1" w:name="OLE_LINK145"/>
      <w:r w:rsidRPr="00C81DD8">
        <w:rPr>
          <w:rFonts w:ascii="Book Antiqua" w:eastAsia="Book Antiqua" w:hAnsi="Book Antiqua" w:cs="Book Antiqua"/>
          <w:color w:val="000000" w:themeColor="text1"/>
        </w:rPr>
        <w:t>Department</w:t>
      </w:r>
      <w:r w:rsidR="00393F26">
        <w:rPr>
          <w:rFonts w:ascii="Book Antiqua" w:hAnsi="Book Antiqua" w:cs="Book Antiqua" w:hint="eastAsia"/>
          <w:color w:val="000000" w:themeColor="text1"/>
          <w:lang w:eastAsia="zh-CN"/>
        </w:rPr>
        <w:t xml:space="preserve"> of </w:t>
      </w:r>
      <w:r w:rsidR="00393F26" w:rsidRPr="00C81DD8">
        <w:rPr>
          <w:rFonts w:ascii="Book Antiqua" w:eastAsia="Book Antiqua" w:hAnsi="Book Antiqua" w:cs="Book Antiqua"/>
          <w:color w:val="000000" w:themeColor="text1"/>
        </w:rPr>
        <w:t>Oncology</w:t>
      </w:r>
      <w:bookmarkEnd w:id="0"/>
      <w:bookmarkEnd w:id="1"/>
      <w:r w:rsidRPr="00C81DD8">
        <w:rPr>
          <w:rFonts w:ascii="Book Antiqua" w:eastAsia="Book Antiqua" w:hAnsi="Book Antiqua" w:cs="Book Antiqua"/>
          <w:color w:val="000000" w:themeColor="text1"/>
        </w:rPr>
        <w:t>, Southend University Hospital, NHS Foundation Trust, Essex SS0 0RY, United Kingdom</w:t>
      </w:r>
    </w:p>
    <w:p w14:paraId="70C410A8"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2CBFEC2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Atif Ibrahim, </w:t>
      </w:r>
      <w:bookmarkStart w:id="2" w:name="OLE_LINK146"/>
      <w:bookmarkStart w:id="3" w:name="OLE_LINK147"/>
      <w:r w:rsidRPr="00C81DD8">
        <w:rPr>
          <w:rFonts w:ascii="Book Antiqua" w:eastAsia="Book Antiqua" w:hAnsi="Book Antiqua" w:cs="Book Antiqua"/>
          <w:color w:val="000000" w:themeColor="text1"/>
        </w:rPr>
        <w:t xml:space="preserve">Renal </w:t>
      </w:r>
      <w:r w:rsidRPr="00C81DD8">
        <w:rPr>
          <w:rFonts w:ascii="Book Antiqua" w:eastAsia="Book Antiqua" w:hAnsi="Book Antiqua" w:cs="Book Antiqua"/>
          <w:caps/>
          <w:color w:val="000000" w:themeColor="text1"/>
        </w:rPr>
        <w:t>d</w:t>
      </w:r>
      <w:r w:rsidRPr="00C81DD8">
        <w:rPr>
          <w:rFonts w:ascii="Book Antiqua" w:eastAsia="Book Antiqua" w:hAnsi="Book Antiqua" w:cs="Book Antiqua"/>
          <w:color w:val="000000" w:themeColor="text1"/>
        </w:rPr>
        <w:t>ivision, Department of Medicine</w:t>
      </w:r>
      <w:bookmarkEnd w:id="2"/>
      <w:bookmarkEnd w:id="3"/>
      <w:r w:rsidRPr="00C81DD8">
        <w:rPr>
          <w:rFonts w:ascii="Book Antiqua" w:eastAsia="Book Antiqua" w:hAnsi="Book Antiqua" w:cs="Book Antiqua"/>
          <w:color w:val="000000" w:themeColor="text1"/>
        </w:rPr>
        <w:t xml:space="preserve">, University of Tennessee Health Science Center, Memphis, </w:t>
      </w:r>
      <w:bookmarkStart w:id="4" w:name="OLE_LINK142"/>
      <w:bookmarkStart w:id="5" w:name="OLE_LINK143"/>
      <w:r w:rsidR="000F44AD" w:rsidRPr="00C81DD8">
        <w:rPr>
          <w:rFonts w:ascii="Book Antiqua" w:hAnsi="Book Antiqua" w:cs="Book Antiqua"/>
          <w:color w:val="000000" w:themeColor="text1"/>
          <w:lang w:eastAsia="zh-CN"/>
        </w:rPr>
        <w:t>TN</w:t>
      </w:r>
      <w:bookmarkEnd w:id="4"/>
      <w:bookmarkEnd w:id="5"/>
      <w:r w:rsidRPr="00C81DD8">
        <w:rPr>
          <w:rFonts w:ascii="Book Antiqua" w:eastAsia="Book Antiqua" w:hAnsi="Book Antiqua" w:cs="Book Antiqua"/>
          <w:color w:val="000000" w:themeColor="text1"/>
        </w:rPr>
        <w:t xml:space="preserve"> 38163, United States</w:t>
      </w:r>
    </w:p>
    <w:p w14:paraId="59D35607"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B983DC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Mostafa Alfishawy, </w:t>
      </w:r>
      <w:r w:rsidRPr="00C81DD8">
        <w:rPr>
          <w:rFonts w:ascii="Book Antiqua" w:eastAsia="Book Antiqua" w:hAnsi="Book Antiqua" w:cs="Book Antiqua"/>
          <w:color w:val="000000" w:themeColor="text1"/>
        </w:rPr>
        <w:t xml:space="preserve">Infectious Diseases, </w:t>
      </w:r>
      <w:bookmarkStart w:id="6" w:name="OLE_LINK148"/>
      <w:bookmarkStart w:id="7" w:name="OLE_LINK149"/>
      <w:r w:rsidRPr="00C81DD8">
        <w:rPr>
          <w:rFonts w:ascii="Book Antiqua" w:eastAsia="Book Antiqua" w:hAnsi="Book Antiqua" w:cs="Book Antiqua"/>
          <w:color w:val="000000" w:themeColor="text1"/>
        </w:rPr>
        <w:t>Infectious Diseases Consultants and Academic Researchers of Egypt IDCARE</w:t>
      </w:r>
      <w:bookmarkEnd w:id="6"/>
      <w:bookmarkEnd w:id="7"/>
      <w:r w:rsidRPr="00C81DD8">
        <w:rPr>
          <w:rFonts w:ascii="Book Antiqua" w:eastAsia="Book Antiqua" w:hAnsi="Book Antiqua" w:cs="Book Antiqua"/>
          <w:color w:val="000000" w:themeColor="text1"/>
        </w:rPr>
        <w:t>, Cairo 0000, Egypt</w:t>
      </w:r>
    </w:p>
    <w:p w14:paraId="3A87096F"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981B0C0" w14:textId="77777777" w:rsidR="00A77B3E" w:rsidRPr="00C81DD8" w:rsidRDefault="000F44AD"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Karim M</w:t>
      </w:r>
      <w:r w:rsidR="00C573F3" w:rsidRPr="00C81DD8">
        <w:rPr>
          <w:rFonts w:ascii="Book Antiqua" w:eastAsia="Book Antiqua" w:hAnsi="Book Antiqua" w:cs="Book Antiqua"/>
          <w:b/>
          <w:bCs/>
          <w:color w:val="000000" w:themeColor="text1"/>
        </w:rPr>
        <w:t xml:space="preserve"> Soliman, </w:t>
      </w:r>
      <w:r w:rsidR="00C573F3" w:rsidRPr="00C81DD8">
        <w:rPr>
          <w:rFonts w:ascii="Book Antiqua" w:eastAsia="Book Antiqua" w:hAnsi="Book Antiqua" w:cs="Book Antiqua"/>
          <w:color w:val="000000" w:themeColor="text1"/>
        </w:rPr>
        <w:t xml:space="preserve">Department of Medicine, Medical University of South Carolina, Charleston, </w:t>
      </w:r>
      <w:r w:rsidRPr="00C81DD8">
        <w:rPr>
          <w:rFonts w:ascii="Book Antiqua" w:hAnsi="Book Antiqua" w:cs="Book Antiqua"/>
          <w:color w:val="000000" w:themeColor="text1"/>
          <w:lang w:eastAsia="zh-CN"/>
        </w:rPr>
        <w:t>SC</w:t>
      </w:r>
      <w:r w:rsidR="00C573F3" w:rsidRPr="00C81DD8">
        <w:rPr>
          <w:rFonts w:ascii="Book Antiqua" w:eastAsia="Book Antiqua" w:hAnsi="Book Antiqua" w:cs="Book Antiqua"/>
          <w:color w:val="000000" w:themeColor="text1"/>
        </w:rPr>
        <w:t xml:space="preserve"> 29425, United States</w:t>
      </w:r>
    </w:p>
    <w:p w14:paraId="2F66B641"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26AA2C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Matthew Li, </w:t>
      </w:r>
      <w:r w:rsidRPr="00C81DD8">
        <w:rPr>
          <w:rFonts w:ascii="Book Antiqua" w:eastAsia="Book Antiqua" w:hAnsi="Book Antiqua" w:cs="Book Antiqua"/>
          <w:caps/>
          <w:color w:val="000000" w:themeColor="text1"/>
        </w:rPr>
        <w:t>d</w:t>
      </w:r>
      <w:r w:rsidRPr="00C81DD8">
        <w:rPr>
          <w:rFonts w:ascii="Book Antiqua" w:eastAsia="Book Antiqua" w:hAnsi="Book Antiqua" w:cs="Book Antiqua"/>
          <w:color w:val="000000" w:themeColor="text1"/>
        </w:rPr>
        <w:t>epartment</w:t>
      </w:r>
      <w:r w:rsidR="000F44AD" w:rsidRPr="00C81DD8">
        <w:rPr>
          <w:rFonts w:ascii="Book Antiqua" w:hAnsi="Book Antiqua" w:cs="Book Antiqua"/>
          <w:color w:val="000000" w:themeColor="text1"/>
          <w:lang w:eastAsia="zh-CN"/>
        </w:rPr>
        <w:t xml:space="preserve"> of </w:t>
      </w:r>
      <w:r w:rsidR="000F44AD" w:rsidRPr="00C81DD8">
        <w:rPr>
          <w:rFonts w:ascii="Book Antiqua" w:eastAsia="Book Antiqua" w:hAnsi="Book Antiqua" w:cs="Book Antiqua"/>
          <w:color w:val="000000" w:themeColor="text1"/>
        </w:rPr>
        <w:t xml:space="preserve">Clinical </w:t>
      </w:r>
      <w:r w:rsidR="000F44AD" w:rsidRPr="00C81DD8">
        <w:rPr>
          <w:rFonts w:ascii="Book Antiqua" w:eastAsia="Book Antiqua" w:hAnsi="Book Antiqua" w:cs="Book Antiqua"/>
          <w:caps/>
          <w:color w:val="000000" w:themeColor="text1"/>
        </w:rPr>
        <w:t>p</w:t>
      </w:r>
      <w:r w:rsidR="000F44AD" w:rsidRPr="00C81DD8">
        <w:rPr>
          <w:rFonts w:ascii="Book Antiqua" w:eastAsia="Book Antiqua" w:hAnsi="Book Antiqua" w:cs="Book Antiqua"/>
          <w:color w:val="000000" w:themeColor="text1"/>
        </w:rPr>
        <w:t>harmacy</w:t>
      </w:r>
      <w:r w:rsidRPr="00C81DD8">
        <w:rPr>
          <w:rFonts w:ascii="Book Antiqua" w:eastAsia="Book Antiqua" w:hAnsi="Book Antiqua" w:cs="Book Antiqua"/>
          <w:color w:val="000000" w:themeColor="text1"/>
        </w:rPr>
        <w:t xml:space="preserve">, Icahn School of Medicine at Mount Sinai (NYC Health and Hospitals: Queens), New York, </w:t>
      </w:r>
      <w:r w:rsidR="000F44AD" w:rsidRPr="00C81DD8">
        <w:rPr>
          <w:rFonts w:ascii="Book Antiqua" w:hAnsi="Book Antiqua" w:cs="Book Antiqua"/>
          <w:color w:val="000000" w:themeColor="text1"/>
          <w:lang w:eastAsia="zh-CN"/>
        </w:rPr>
        <w:t>NY</w:t>
      </w:r>
      <w:r w:rsidRPr="00C81DD8">
        <w:rPr>
          <w:rFonts w:ascii="Book Antiqua" w:eastAsia="Book Antiqua" w:hAnsi="Book Antiqua" w:cs="Book Antiqua"/>
          <w:color w:val="000000" w:themeColor="text1"/>
        </w:rPr>
        <w:t xml:space="preserve"> 10029, United States</w:t>
      </w:r>
    </w:p>
    <w:p w14:paraId="1FF43504"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76A2AA2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Vincent Rizzo, </w:t>
      </w:r>
      <w:r w:rsidRPr="00C81DD8">
        <w:rPr>
          <w:rFonts w:ascii="Book Antiqua" w:eastAsia="Book Antiqua" w:hAnsi="Book Antiqua" w:cs="Book Antiqua"/>
          <w:color w:val="000000" w:themeColor="text1"/>
        </w:rPr>
        <w:t xml:space="preserve">Department of Medicine, Icahn School of Medicine at Mount Sinai (NYC Health and Hospitals: Queens), </w:t>
      </w:r>
      <w:r w:rsidR="000F44AD" w:rsidRPr="00C81DD8">
        <w:rPr>
          <w:rFonts w:ascii="Book Antiqua" w:eastAsia="Book Antiqua" w:hAnsi="Book Antiqua" w:cs="Book Antiqua"/>
          <w:color w:val="000000" w:themeColor="text1"/>
        </w:rPr>
        <w:t xml:space="preserve">New York, </w:t>
      </w:r>
      <w:r w:rsidR="000F44AD" w:rsidRPr="00C81DD8">
        <w:rPr>
          <w:rFonts w:ascii="Book Antiqua" w:hAnsi="Book Antiqua" w:cs="Book Antiqua"/>
          <w:color w:val="000000" w:themeColor="text1"/>
          <w:lang w:eastAsia="zh-CN"/>
        </w:rPr>
        <w:t>NY</w:t>
      </w:r>
      <w:r w:rsidR="000F44AD"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rPr>
        <w:t>11373, United States</w:t>
      </w:r>
    </w:p>
    <w:p w14:paraId="59676460"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E82A39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Ahmed Daoud, </w:t>
      </w:r>
      <w:r w:rsidRPr="00C81DD8">
        <w:rPr>
          <w:rFonts w:ascii="Book Antiqua" w:eastAsia="Book Antiqua" w:hAnsi="Book Antiqua" w:cs="Book Antiqua"/>
          <w:color w:val="000000" w:themeColor="text1"/>
        </w:rPr>
        <w:t>Department of Medicine, Kasr Alainy Medical School, Cairo University, Cairo 11562, Egypt</w:t>
      </w:r>
    </w:p>
    <w:p w14:paraId="24CAED90"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8088428" w14:textId="6F519E46"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Author contributions: </w:t>
      </w:r>
      <w:r w:rsidRPr="00C81DD8">
        <w:rPr>
          <w:rFonts w:ascii="Book Antiqua" w:eastAsia="Book Antiqua" w:hAnsi="Book Antiqua" w:cs="Book Antiqua"/>
          <w:color w:val="000000" w:themeColor="text1"/>
        </w:rPr>
        <w:t>Nassar M, Nso N, Ariyaratnam J, Sandhu J, Mohamed M, Baraka B, Ibrahim A, Alfishawy M, Zheng D, Bhangoo H, Soliman KM</w:t>
      </w:r>
      <w:r w:rsidR="00E41A62">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and Li M participated in writing the manuscript; Rizzo V and Daoud A reviewed the manuscript.</w:t>
      </w:r>
    </w:p>
    <w:p w14:paraId="19C2BA04"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5E66E9DE"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Corresponding author: Ahmed Daoud, MBChB, MD, MSc, PhD, Lecturer, Staff Physician, </w:t>
      </w:r>
      <w:r w:rsidRPr="00C81DD8">
        <w:rPr>
          <w:rFonts w:ascii="Book Antiqua" w:eastAsia="Book Antiqua" w:hAnsi="Book Antiqua" w:cs="Book Antiqua"/>
          <w:color w:val="000000" w:themeColor="text1"/>
        </w:rPr>
        <w:t>Department of Medicine, Kasr Alainy Medical School, Cairo University, Kasr Alainy Street, Cairo 11562, Egypt. ahmed.daoud84@yahoo.com</w:t>
      </w:r>
    </w:p>
    <w:p w14:paraId="2D26CF41"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4E9AFC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Received: </w:t>
      </w:r>
      <w:r w:rsidRPr="00C81DD8">
        <w:rPr>
          <w:rFonts w:ascii="Book Antiqua" w:eastAsia="Book Antiqua" w:hAnsi="Book Antiqua" w:cs="Book Antiqua"/>
          <w:color w:val="000000" w:themeColor="text1"/>
        </w:rPr>
        <w:t>March 2, 2021</w:t>
      </w:r>
    </w:p>
    <w:p w14:paraId="540943D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Revised: </w:t>
      </w:r>
      <w:r w:rsidRPr="00C81DD8">
        <w:rPr>
          <w:rFonts w:ascii="Book Antiqua" w:eastAsia="Book Antiqua" w:hAnsi="Book Antiqua" w:cs="Book Antiqua"/>
          <w:color w:val="000000" w:themeColor="text1"/>
        </w:rPr>
        <w:t>May 17, 2021</w:t>
      </w:r>
    </w:p>
    <w:p w14:paraId="027CE4E1" w14:textId="6B30B765"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Accepted: </w:t>
      </w:r>
      <w:bookmarkStart w:id="8" w:name="OLE_LINK15"/>
      <w:bookmarkStart w:id="9" w:name="OLE_LINK33"/>
      <w:bookmarkStart w:id="10" w:name="OLE_LINK48"/>
      <w:r w:rsidR="00CA5DF9">
        <w:rPr>
          <w:rFonts w:ascii="Book Antiqua" w:eastAsia="SimSun" w:hAnsi="Book Antiqua" w:hint="eastAsia"/>
          <w:color w:val="000000" w:themeColor="text1"/>
        </w:rPr>
        <w:t>Au</w:t>
      </w:r>
      <w:r w:rsidR="00CA5DF9">
        <w:rPr>
          <w:rFonts w:ascii="Book Antiqua" w:eastAsia="SimSun" w:hAnsi="Book Antiqua"/>
          <w:color w:val="000000" w:themeColor="text1"/>
        </w:rPr>
        <w:t>gust</w:t>
      </w:r>
      <w:r w:rsidR="00CA5DF9" w:rsidRPr="00F06907">
        <w:rPr>
          <w:rFonts w:ascii="Book Antiqua" w:eastAsia="SimSun" w:hAnsi="Book Antiqua"/>
          <w:color w:val="000000" w:themeColor="text1"/>
        </w:rPr>
        <w:t xml:space="preserve"> </w:t>
      </w:r>
      <w:r w:rsidR="00CA5DF9">
        <w:rPr>
          <w:rFonts w:ascii="Book Antiqua" w:eastAsia="SimSun" w:hAnsi="Book Antiqua"/>
          <w:color w:val="000000" w:themeColor="text1"/>
        </w:rPr>
        <w:t>10</w:t>
      </w:r>
      <w:r w:rsidR="00CA5DF9" w:rsidRPr="00F06907">
        <w:rPr>
          <w:rFonts w:ascii="Book Antiqua" w:eastAsia="SimSun" w:hAnsi="Book Antiqua"/>
          <w:color w:val="000000" w:themeColor="text1"/>
        </w:rPr>
        <w:t>, 2021</w:t>
      </w:r>
      <w:bookmarkEnd w:id="8"/>
      <w:bookmarkEnd w:id="9"/>
      <w:bookmarkEnd w:id="10"/>
    </w:p>
    <w:p w14:paraId="0C6547AF"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Published online: </w:t>
      </w:r>
    </w:p>
    <w:p w14:paraId="247BC40B" w14:textId="77777777" w:rsidR="00A77B3E" w:rsidRPr="00C81DD8" w:rsidRDefault="00A77B3E" w:rsidP="00C81DD8">
      <w:pPr>
        <w:adjustRightInd w:val="0"/>
        <w:snapToGrid w:val="0"/>
        <w:spacing w:line="360" w:lineRule="auto"/>
        <w:jc w:val="both"/>
        <w:rPr>
          <w:rFonts w:ascii="Book Antiqua" w:hAnsi="Book Antiqua"/>
          <w:color w:val="000000" w:themeColor="text1"/>
        </w:rPr>
        <w:sectPr w:rsidR="00A77B3E" w:rsidRPr="00C81DD8">
          <w:footerReference w:type="default" r:id="rId6"/>
          <w:pgSz w:w="12240" w:h="15840"/>
          <w:pgMar w:top="1440" w:right="1440" w:bottom="1440" w:left="1440" w:header="720" w:footer="720" w:gutter="0"/>
          <w:cols w:space="720"/>
          <w:docGrid w:linePitch="360"/>
        </w:sectPr>
      </w:pPr>
    </w:p>
    <w:p w14:paraId="3B1C9EB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lastRenderedPageBreak/>
        <w:t>Abstract</w:t>
      </w:r>
    </w:p>
    <w:p w14:paraId="5400F2E9" w14:textId="20897F25"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Ever since the severe acute respiratory syndrome virus causing coronavirus disease 2019 (COVID-19) struck the world, global health strategies have changed significantly. According to the Centers for Disease Control and Prevention, kidney transplant recipients are stratified as being high risk of developing fatal illness from COVID-19 infection. Kidney transplant is the gold-standard treatment for end-stage kidney disease subjects. During the pandemic, significant concerns have emerged regarding continuation of kidney transplant surgeries and management of kidney transplant recipients post-transplant. The added risk of immunosuppression in this cohort was and remains a theoretical concern, posing a potential risk of transplantation rather than benefit. This comprehensive review aims to cover most of the faced challenges in kidney transplantation in different stages of the pandemic. In addition, it will elucidate the epidemiology, nature, course of the disease, surgical consideration in donors and recipients as well as role of immunosuppression and management of COVID-19 infected kidney transplant recipients during these extraordinary circumstances.</w:t>
      </w:r>
    </w:p>
    <w:p w14:paraId="4373A784"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6EE48BF" w14:textId="408AE529"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Key Words: </w:t>
      </w:r>
      <w:bookmarkStart w:id="11" w:name="OLE_LINK8"/>
      <w:r w:rsidRPr="00C81DD8">
        <w:rPr>
          <w:rFonts w:ascii="Book Antiqua" w:eastAsia="Book Antiqua" w:hAnsi="Book Antiqua" w:cs="Book Antiqua"/>
          <w:color w:val="000000" w:themeColor="text1"/>
        </w:rPr>
        <w:t>Renal transplantation; COVID-19; SARS-CoV</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2; Kidney failure</w:t>
      </w:r>
      <w:bookmarkEnd w:id="11"/>
    </w:p>
    <w:p w14:paraId="3E69A067"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753B6129" w14:textId="55DF8402"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Nassar M, Nso N, Ariyaratnam J, Sandhu J, Mohamed M, Baraka B, Ibrahim A, Alfishawy M, Zheng D, Bhangoo H, Soliman KM, Li M, Rizzo V, Daoud A. </w:t>
      </w:r>
      <w:r w:rsidR="00E41A62">
        <w:rPr>
          <w:rFonts w:ascii="Book Antiqua" w:eastAsia="Book Antiqua" w:hAnsi="Book Antiqua" w:cs="Book Antiqua"/>
          <w:color w:val="000000" w:themeColor="text1"/>
        </w:rPr>
        <w:t>Coronavirus disease 2019</w:t>
      </w:r>
      <w:r w:rsidRPr="00C81DD8">
        <w:rPr>
          <w:rFonts w:ascii="Book Antiqua" w:eastAsia="Book Antiqua" w:hAnsi="Book Antiqua" w:cs="Book Antiqua"/>
          <w:color w:val="000000" w:themeColor="text1"/>
        </w:rPr>
        <w:t xml:space="preserve"> and renal transplantation. </w:t>
      </w:r>
      <w:r w:rsidRPr="00C81DD8">
        <w:rPr>
          <w:rFonts w:ascii="Book Antiqua" w:eastAsia="Book Antiqua" w:hAnsi="Book Antiqua" w:cs="Book Antiqua"/>
          <w:i/>
          <w:iCs/>
          <w:color w:val="000000" w:themeColor="text1"/>
        </w:rPr>
        <w:t>World J Clin Cases</w:t>
      </w:r>
      <w:r w:rsidRPr="00C81DD8">
        <w:rPr>
          <w:rFonts w:ascii="Book Antiqua" w:eastAsia="Book Antiqua" w:hAnsi="Book Antiqua" w:cs="Book Antiqua"/>
          <w:color w:val="000000" w:themeColor="text1"/>
        </w:rPr>
        <w:t xml:space="preserve"> 2021; In press</w:t>
      </w:r>
    </w:p>
    <w:p w14:paraId="020B689F"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0AB93FA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Core Tip: </w:t>
      </w:r>
      <w:r w:rsidRPr="00C81DD8">
        <w:rPr>
          <w:rFonts w:ascii="Book Antiqua" w:eastAsia="Book Antiqua" w:hAnsi="Book Antiqua" w:cs="Book Antiqua"/>
          <w:color w:val="000000" w:themeColor="text1"/>
        </w:rPr>
        <w:t>This comprehensive review aims to cover most of the faced challenges in kidney transplantation in different stages of the pandemic. In addition, it will elucidate the epidemiology, nature, course of the disease, surgical consideration in donors and recipients as well as role of immunosuppression and management of coronavirus disease 2019 infected kidney transplant recipients during these extraordinary circumstances.</w:t>
      </w:r>
    </w:p>
    <w:p w14:paraId="7FCBC3BB" w14:textId="059C60E8" w:rsidR="00D80113" w:rsidRDefault="00D80113">
      <w:pPr>
        <w:rPr>
          <w:rFonts w:ascii="Book Antiqua" w:hAnsi="Book Antiqua"/>
          <w:color w:val="000000" w:themeColor="text1"/>
        </w:rPr>
      </w:pPr>
      <w:r>
        <w:rPr>
          <w:rFonts w:ascii="Book Antiqua" w:hAnsi="Book Antiqua"/>
          <w:color w:val="000000" w:themeColor="text1"/>
        </w:rPr>
        <w:br w:type="page"/>
      </w:r>
    </w:p>
    <w:p w14:paraId="4720DA8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aps/>
          <w:color w:val="000000" w:themeColor="text1"/>
          <w:u w:val="single"/>
        </w:rPr>
        <w:lastRenderedPageBreak/>
        <w:t>INTRODUCTION</w:t>
      </w:r>
    </w:p>
    <w:p w14:paraId="526B620D" w14:textId="55D712B2"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Coronavirus disease 2019 (COVID</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19) has had a substantial international impact as the world is trying to learn how to manage this deadly disease. The virus was initially identified in Wuhan, China in 2019 and was thought to originate from a zoonotic etiology. It has now spread across borders and the United States of America alone has had over 25 million people infected</w:t>
      </w:r>
      <w:r w:rsidR="00E41A62">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causing 400000 deaths</w:t>
      </w:r>
      <w:r w:rsidRPr="00C81DD8">
        <w:rPr>
          <w:rFonts w:ascii="Book Antiqua" w:eastAsia="Book Antiqua" w:hAnsi="Book Antiqua" w:cs="Book Antiqua"/>
          <w:color w:val="000000" w:themeColor="text1"/>
          <w:vertAlign w:val="superscript"/>
        </w:rPr>
        <w:t>[1]</w:t>
      </w:r>
      <w:r w:rsidRPr="00C81DD8">
        <w:rPr>
          <w:rFonts w:ascii="Book Antiqua" w:eastAsia="Book Antiqua" w:hAnsi="Book Antiqua" w:cs="Book Antiqua"/>
          <w:color w:val="000000" w:themeColor="text1"/>
        </w:rPr>
        <w:t>. One of the more deadly aspects of COVID</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19, which has also led to many hospitalizations, is that it can cause a severe respiratory disease known as severe acute respiratory disease syndrome coronavirus 2 (SARS-CoV</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2). The virus enters its host </w:t>
      </w:r>
      <w:r w:rsidRPr="00C81DD8">
        <w:rPr>
          <w:rFonts w:ascii="Book Antiqua" w:eastAsia="Book Antiqua" w:hAnsi="Book Antiqua" w:cs="Book Antiqua"/>
          <w:i/>
          <w:iCs/>
          <w:color w:val="000000" w:themeColor="text1"/>
        </w:rPr>
        <w:t>via</w:t>
      </w:r>
      <w:r w:rsidRPr="00C81DD8">
        <w:rPr>
          <w:rFonts w:ascii="Book Antiqua" w:eastAsia="Book Antiqua" w:hAnsi="Book Antiqua" w:cs="Book Antiqua"/>
          <w:color w:val="000000" w:themeColor="text1"/>
        </w:rPr>
        <w:t xml:space="preserve"> the </w:t>
      </w:r>
      <w:r w:rsidR="00E41A62">
        <w:rPr>
          <w:rFonts w:ascii="Book Antiqua" w:eastAsia="Book Antiqua" w:hAnsi="Book Antiqua" w:cs="Book Antiqua"/>
          <w:color w:val="000000" w:themeColor="text1"/>
        </w:rPr>
        <w:t>angiotensin-converting enzyme 2</w:t>
      </w:r>
      <w:r w:rsidRPr="00C81DD8">
        <w:rPr>
          <w:rFonts w:ascii="Book Antiqua" w:eastAsia="Book Antiqua" w:hAnsi="Book Antiqua" w:cs="Book Antiqua"/>
          <w:color w:val="000000" w:themeColor="text1"/>
        </w:rPr>
        <w:t xml:space="preserve"> receptors, which are very prominent in the lung's alveolar cells. The virus then causes pneumonia, which may lead to the often-fatal </w:t>
      </w:r>
      <w:r w:rsidR="00E41A62">
        <w:rPr>
          <w:rFonts w:ascii="Book Antiqua" w:eastAsia="Book Antiqua" w:hAnsi="Book Antiqua" w:cs="Book Antiqua"/>
          <w:color w:val="000000" w:themeColor="text1"/>
        </w:rPr>
        <w:t>a</w:t>
      </w:r>
      <w:r w:rsidRPr="00C81DD8">
        <w:rPr>
          <w:rFonts w:ascii="Book Antiqua" w:eastAsia="Book Antiqua" w:hAnsi="Book Antiqua" w:cs="Book Antiqua"/>
          <w:color w:val="000000" w:themeColor="text1"/>
        </w:rPr>
        <w:t xml:space="preserve">cute </w:t>
      </w:r>
      <w:r w:rsidR="00E41A62">
        <w:rPr>
          <w:rFonts w:ascii="Book Antiqua" w:eastAsia="Book Antiqua" w:hAnsi="Book Antiqua" w:cs="Book Antiqua"/>
          <w:color w:val="000000" w:themeColor="text1"/>
        </w:rPr>
        <w:t>r</w:t>
      </w:r>
      <w:r w:rsidRPr="00C81DD8">
        <w:rPr>
          <w:rFonts w:ascii="Book Antiqua" w:eastAsia="Book Antiqua" w:hAnsi="Book Antiqua" w:cs="Book Antiqua"/>
          <w:color w:val="000000" w:themeColor="text1"/>
        </w:rPr>
        <w:t xml:space="preserve">espiratory </w:t>
      </w:r>
      <w:r w:rsidR="00E41A62">
        <w:rPr>
          <w:rFonts w:ascii="Book Antiqua" w:eastAsia="Book Antiqua" w:hAnsi="Book Antiqua" w:cs="Book Antiqua"/>
          <w:color w:val="000000" w:themeColor="text1"/>
        </w:rPr>
        <w:t>d</w:t>
      </w:r>
      <w:r w:rsidRPr="00C81DD8">
        <w:rPr>
          <w:rFonts w:ascii="Book Antiqua" w:eastAsia="Book Antiqua" w:hAnsi="Book Antiqua" w:cs="Book Antiqua"/>
          <w:color w:val="000000" w:themeColor="text1"/>
        </w:rPr>
        <w:t xml:space="preserve">isease </w:t>
      </w:r>
      <w:r w:rsidR="00E41A62">
        <w:rPr>
          <w:rFonts w:ascii="Book Antiqua" w:eastAsia="Book Antiqua" w:hAnsi="Book Antiqua" w:cs="Book Antiqua"/>
          <w:color w:val="000000" w:themeColor="text1"/>
        </w:rPr>
        <w:t>s</w:t>
      </w:r>
      <w:r w:rsidRPr="00C81DD8">
        <w:rPr>
          <w:rFonts w:ascii="Book Antiqua" w:eastAsia="Book Antiqua" w:hAnsi="Book Antiqua" w:cs="Book Antiqua"/>
          <w:color w:val="000000" w:themeColor="text1"/>
        </w:rPr>
        <w:t xml:space="preserve">yndrome. Another possible complication of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is a cytokine storm syndrome caused by a hypersensitive response to the virus, leading to multiorgan damage and failure, which may also be fatal</w:t>
      </w:r>
      <w:r w:rsidRPr="00C81DD8">
        <w:rPr>
          <w:rFonts w:ascii="Book Antiqua" w:eastAsia="Book Antiqua" w:hAnsi="Book Antiqua" w:cs="Book Antiqua"/>
          <w:color w:val="000000" w:themeColor="text1"/>
          <w:vertAlign w:val="superscript"/>
        </w:rPr>
        <w:t>[2,3]</w:t>
      </w:r>
      <w:r w:rsidRPr="00C81DD8">
        <w:rPr>
          <w:rFonts w:ascii="Book Antiqua" w:eastAsia="Book Antiqua" w:hAnsi="Book Antiqua" w:cs="Book Antiqua"/>
          <w:color w:val="000000" w:themeColor="text1"/>
        </w:rPr>
        <w:t>.</w:t>
      </w:r>
    </w:p>
    <w:p w14:paraId="7C9D68BB" w14:textId="7258F89A"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In patients with end-organ damage, organ transplantation has become very common in treatment. Kidney failure is a prevalent complication of uncontrolled diabetes mellitus and hypertension. Many patients with chronic kidney disease progress to an end-stage renal disease characterized by a glomerular filtration rate of less than 15 mL/min. During this state, the body is unable to remove urinary substances and toxins. The only treatment in these situations is hemodialysis, which allows for extracorporeal renal replacement, or renal transplantation. Renal transplantation is more cost-effective and provides a higher quality of life to patients, but the major limitation would be obtaining a compatible kidney</w:t>
      </w:r>
      <w:r w:rsidRPr="00C81DD8">
        <w:rPr>
          <w:rFonts w:ascii="Book Antiqua" w:eastAsia="Book Antiqua" w:hAnsi="Book Antiqua" w:cs="Book Antiqua"/>
          <w:color w:val="000000" w:themeColor="text1"/>
          <w:vertAlign w:val="superscript"/>
        </w:rPr>
        <w:t>[4,5]</w:t>
      </w:r>
      <w:r w:rsidRPr="00C81DD8">
        <w:rPr>
          <w:rFonts w:ascii="Book Antiqua" w:eastAsia="Book Antiqua" w:hAnsi="Book Antiqua" w:cs="Book Antiqua"/>
          <w:color w:val="000000" w:themeColor="text1"/>
        </w:rPr>
        <w:t xml:space="preserve"> and organ donation supply.</w:t>
      </w:r>
    </w:p>
    <w:p w14:paraId="3DC7D03C" w14:textId="77777777"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After kidney transplantation, post-transplant immunosuppressive therapy is the gold standard of treatment. The induction therapy generally starts with either lymphocyte depleting antibodies or non-depleting antibodies. This is then followed by a triple-drug regimen consisting of steroids, a calcineurin inhibitor, and an antiproliferative agent. This treatment reduces the risk of rejection and increases infection risk; hence, balance is essential between the risks and benefits. It is unclear if this level of immunosuppression would decrease the chance of a cytokine storm flair.</w:t>
      </w:r>
    </w:p>
    <w:p w14:paraId="358C62D7"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65B8B229" w14:textId="77777777" w:rsidR="00A77B3E" w:rsidRPr="00C81DD8" w:rsidRDefault="00C573F3" w:rsidP="00C81DD8">
      <w:pPr>
        <w:adjustRightInd w:val="0"/>
        <w:snapToGrid w:val="0"/>
        <w:spacing w:line="360" w:lineRule="auto"/>
        <w:jc w:val="both"/>
        <w:rPr>
          <w:rFonts w:ascii="Book Antiqua" w:hAnsi="Book Antiqua"/>
          <w:color w:val="000000" w:themeColor="text1"/>
        </w:rPr>
      </w:pPr>
      <w:bookmarkStart w:id="12" w:name="OLE_LINK247"/>
      <w:bookmarkStart w:id="13" w:name="OLE_LINK248"/>
      <w:r w:rsidRPr="00C81DD8">
        <w:rPr>
          <w:rFonts w:ascii="Book Antiqua" w:eastAsia="Book Antiqua" w:hAnsi="Book Antiqua" w:cs="Book Antiqua"/>
          <w:b/>
          <w:bCs/>
          <w:caps/>
          <w:color w:val="000000" w:themeColor="text1"/>
          <w:u w:val="single"/>
        </w:rPr>
        <w:t>Incidence, mortality, and manifestations</w:t>
      </w:r>
    </w:p>
    <w:bookmarkEnd w:id="12"/>
    <w:bookmarkEnd w:id="13"/>
    <w:p w14:paraId="7997C9D9" w14:textId="16A018FC"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shd w:val="clear" w:color="auto" w:fill="FFFFFF"/>
        </w:rPr>
        <w:t xml:space="preserve">Kidney transplant recipients are considered </w:t>
      </w:r>
      <w:r w:rsidRPr="00C81DD8">
        <w:rPr>
          <w:rFonts w:ascii="Book Antiqua" w:eastAsia="Book Antiqua" w:hAnsi="Book Antiqua" w:cs="Book Antiqua"/>
          <w:color w:val="000000" w:themeColor="text1"/>
        </w:rPr>
        <w:t xml:space="preserve">to carry a higher risk for complicated COVID-19 viral infection. Other significant comorbidities including obesity, diabetes mellitus, </w:t>
      </w:r>
      <w:r w:rsidR="000B3EFA">
        <w:rPr>
          <w:rFonts w:ascii="Book Antiqua" w:eastAsia="Book Antiqua" w:hAnsi="Book Antiqua" w:cs="Book Antiqua"/>
          <w:color w:val="000000" w:themeColor="text1"/>
        </w:rPr>
        <w:t xml:space="preserve">and </w:t>
      </w:r>
      <w:r w:rsidRPr="00C81DD8">
        <w:rPr>
          <w:rFonts w:ascii="Book Antiqua" w:eastAsia="Book Antiqua" w:hAnsi="Book Antiqua" w:cs="Book Antiqua"/>
          <w:color w:val="000000" w:themeColor="text1"/>
        </w:rPr>
        <w:t xml:space="preserve">chronic obstructive lung disease </w:t>
      </w:r>
      <w:r w:rsidR="000B3EFA">
        <w:rPr>
          <w:rFonts w:ascii="Book Antiqua" w:eastAsia="Book Antiqua" w:hAnsi="Book Antiqua" w:cs="Book Antiqua"/>
          <w:color w:val="000000" w:themeColor="text1"/>
        </w:rPr>
        <w:t>are</w:t>
      </w:r>
      <w:r w:rsidRPr="00C81DD8">
        <w:rPr>
          <w:rFonts w:ascii="Book Antiqua" w:eastAsia="Book Antiqua" w:hAnsi="Book Antiqua" w:cs="Book Antiqua"/>
          <w:color w:val="000000" w:themeColor="text1"/>
        </w:rPr>
        <w:t xml:space="preserve"> predisposing factors for higher risk of getting COVID-19 disease</w:t>
      </w:r>
      <w:r w:rsidRPr="00C81DD8">
        <w:rPr>
          <w:rFonts w:ascii="Book Antiqua" w:eastAsia="Book Antiqua" w:hAnsi="Book Antiqua" w:cs="Book Antiqua"/>
          <w:color w:val="000000" w:themeColor="text1"/>
          <w:vertAlign w:val="superscript"/>
        </w:rPr>
        <w:t>[6]</w:t>
      </w:r>
      <w:r w:rsidRPr="00C81DD8">
        <w:rPr>
          <w:rFonts w:ascii="Book Antiqua" w:eastAsia="Book Antiqua" w:hAnsi="Book Antiqua" w:cs="Book Antiqua"/>
          <w:color w:val="000000" w:themeColor="text1"/>
        </w:rPr>
        <w:t>.</w:t>
      </w:r>
    </w:p>
    <w:p w14:paraId="4F278CCE" w14:textId="6287E3B1"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Upon literature review, many case series had shown a particular</w:t>
      </w:r>
      <w:r w:rsidR="000B3EFA">
        <w:rPr>
          <w:rFonts w:ascii="Book Antiqua" w:eastAsia="Book Antiqua" w:hAnsi="Book Antiqua" w:cs="Book Antiqua"/>
          <w:color w:val="000000" w:themeColor="text1"/>
        </w:rPr>
        <w:t>ly</w:t>
      </w:r>
      <w:r w:rsidRPr="00C81DD8">
        <w:rPr>
          <w:rFonts w:ascii="Book Antiqua" w:eastAsia="Book Antiqua" w:hAnsi="Book Antiqua" w:cs="Book Antiqua"/>
          <w:color w:val="000000" w:themeColor="text1"/>
        </w:rPr>
        <w:t xml:space="preserve"> higher mortality rate in kidney recipient patients with COVID-19 disease</w:t>
      </w:r>
      <w:r w:rsidR="000B3EFA">
        <w:rPr>
          <w:rFonts w:ascii="Book Antiqua" w:eastAsia="Book Antiqua" w:hAnsi="Book Antiqua" w:cs="Book Antiqua"/>
          <w:color w:val="000000" w:themeColor="text1"/>
        </w:rPr>
        <w:t xml:space="preserve"> (</w:t>
      </w:r>
      <w:r w:rsidR="000B3EFA" w:rsidRPr="00671E89">
        <w:rPr>
          <w:rFonts w:ascii="Book Antiqua" w:eastAsia="Book Antiqua" w:hAnsi="Book Antiqua" w:cs="Book Antiqua"/>
          <w:i/>
          <w:iCs/>
          <w:color w:val="000000" w:themeColor="text1"/>
        </w:rPr>
        <w:t>e.g</w:t>
      </w:r>
      <w:r w:rsidR="000B3EFA">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a case series of 36 patients reported in Montefiore Medical Center in New York</w:t>
      </w:r>
      <w:r w:rsidRPr="00C81DD8">
        <w:rPr>
          <w:rFonts w:ascii="Book Antiqua" w:eastAsia="Book Antiqua" w:hAnsi="Book Antiqua" w:cs="Book Antiqua"/>
          <w:color w:val="000000" w:themeColor="text1"/>
          <w:vertAlign w:val="superscript"/>
        </w:rPr>
        <w:t>[7]</w:t>
      </w:r>
      <w:r w:rsidRPr="00C81DD8">
        <w:rPr>
          <w:rFonts w:ascii="Book Antiqua" w:eastAsia="Book Antiqua" w:hAnsi="Book Antiqua" w:cs="Book Antiqua"/>
          <w:color w:val="000000" w:themeColor="text1"/>
        </w:rPr>
        <w:t xml:space="preserve"> and another </w:t>
      </w:r>
      <w:r w:rsidR="000B3EFA">
        <w:rPr>
          <w:rFonts w:ascii="Book Antiqua" w:eastAsia="Book Antiqua" w:hAnsi="Book Antiqua" w:cs="Book Antiqua"/>
          <w:color w:val="000000" w:themeColor="text1"/>
        </w:rPr>
        <w:t>15</w:t>
      </w:r>
      <w:r w:rsidRPr="00C81DD8">
        <w:rPr>
          <w:rFonts w:ascii="Book Antiqua" w:eastAsia="Book Antiqua" w:hAnsi="Book Antiqua" w:cs="Book Antiqua"/>
          <w:color w:val="000000" w:themeColor="text1"/>
        </w:rPr>
        <w:t xml:space="preserve"> kidney transplant recipients reported in Columbia University</w:t>
      </w:r>
      <w:r w:rsidRPr="00C81DD8">
        <w:rPr>
          <w:rFonts w:ascii="Book Antiqua" w:eastAsia="Book Antiqua" w:hAnsi="Book Antiqua" w:cs="Book Antiqua"/>
          <w:color w:val="000000" w:themeColor="text1"/>
          <w:vertAlign w:val="superscript"/>
        </w:rPr>
        <w:t>[8]</w:t>
      </w:r>
      <w:r w:rsidRPr="00C81DD8">
        <w:rPr>
          <w:rFonts w:ascii="Book Antiqua" w:eastAsia="Book Antiqua" w:hAnsi="Book Antiqua" w:cs="Book Antiqua"/>
          <w:color w:val="000000" w:themeColor="text1"/>
        </w:rPr>
        <w:t>. Moreover, multiple case series were reported in Europe</w:t>
      </w:r>
      <w:r w:rsidR="000B3EFA">
        <w:rPr>
          <w:rFonts w:ascii="Book Antiqua" w:eastAsia="Book Antiqua" w:hAnsi="Book Antiqua" w:cs="Book Antiqua"/>
          <w:color w:val="000000" w:themeColor="text1"/>
        </w:rPr>
        <w:t xml:space="preserve"> (</w:t>
      </w:r>
      <w:r w:rsidRPr="00C81DD8">
        <w:rPr>
          <w:rFonts w:ascii="Book Antiqua" w:eastAsia="Book Antiqua" w:hAnsi="Book Antiqua" w:cs="Book Antiqua"/>
          <w:i/>
          <w:iCs/>
          <w:color w:val="000000" w:themeColor="text1"/>
        </w:rPr>
        <w:t>e.g.</w:t>
      </w:r>
      <w:r w:rsidRPr="00C81DD8">
        <w:rPr>
          <w:rFonts w:ascii="Book Antiqua" w:eastAsia="Book Antiqua" w:hAnsi="Book Antiqua" w:cs="Book Antiqua"/>
          <w:color w:val="000000" w:themeColor="text1"/>
        </w:rPr>
        <w:t xml:space="preserve">, </w:t>
      </w:r>
      <w:r w:rsidR="000B3EFA">
        <w:rPr>
          <w:rFonts w:ascii="Book Antiqua" w:eastAsia="Book Antiqua" w:hAnsi="Book Antiqua" w:cs="Book Antiqua"/>
          <w:color w:val="000000" w:themeColor="text1"/>
        </w:rPr>
        <w:t>7</w:t>
      </w:r>
      <w:r w:rsidRPr="00C81DD8">
        <w:rPr>
          <w:rFonts w:ascii="Book Antiqua" w:eastAsia="Book Antiqua" w:hAnsi="Book Antiqua" w:cs="Book Antiqua"/>
          <w:color w:val="000000" w:themeColor="text1"/>
        </w:rPr>
        <w:t xml:space="preserve"> patients reported by St. George's University Hospital in London, United Kingdom</w:t>
      </w:r>
      <w:r w:rsidR="000B3EFA">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vertAlign w:val="superscript"/>
        </w:rPr>
        <w:t>[9]</w:t>
      </w:r>
      <w:r w:rsidRPr="00C81DD8">
        <w:rPr>
          <w:rFonts w:ascii="Book Antiqua" w:eastAsia="Book Antiqua" w:hAnsi="Book Antiqua" w:cs="Book Antiqua"/>
          <w:color w:val="000000" w:themeColor="text1"/>
        </w:rPr>
        <w:t>. In these reports, mortality rates range</w:t>
      </w:r>
      <w:r w:rsidR="000B3EFA">
        <w:rPr>
          <w:rFonts w:ascii="Book Antiqua" w:eastAsia="Book Antiqua" w:hAnsi="Book Antiqua" w:cs="Book Antiqua"/>
          <w:color w:val="000000" w:themeColor="text1"/>
        </w:rPr>
        <w:t>d</w:t>
      </w:r>
      <w:r w:rsidRPr="00C81DD8">
        <w:rPr>
          <w:rFonts w:ascii="Book Antiqua" w:eastAsia="Book Antiqua" w:hAnsi="Book Antiqua" w:cs="Book Antiqua"/>
          <w:color w:val="000000" w:themeColor="text1"/>
        </w:rPr>
        <w:t xml:space="preserve"> between 20% and 28% compared to the general population's general mortality reports, which fluctuate between &lt; 1% to 5%.</w:t>
      </w:r>
    </w:p>
    <w:p w14:paraId="3B51A828" w14:textId="1236F437"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Almost all the previous studies revealed that the COVID-19 viral loads and the mortality rates were significantly higher in kidney transplant patients who had moderate to severe acute respiratory syndrome (SARS) and the Middle East respiratory syndrome as compared to immunocompetent people</w:t>
      </w:r>
      <w:r w:rsidRPr="00C81DD8">
        <w:rPr>
          <w:rFonts w:ascii="Book Antiqua" w:eastAsia="Book Antiqua" w:hAnsi="Book Antiqua" w:cs="Book Antiqua"/>
          <w:color w:val="000000" w:themeColor="text1"/>
          <w:vertAlign w:val="superscript"/>
        </w:rPr>
        <w:t>[10]</w:t>
      </w:r>
      <w:r w:rsidRPr="00C81DD8">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vertAlign w:val="superscript"/>
        </w:rPr>
        <w:t xml:space="preserve"> </w:t>
      </w:r>
    </w:p>
    <w:p w14:paraId="46ACE0E5" w14:textId="71EFDA42"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Fever, shortness of breath, and cough were the most common presenting symptoms, while portable chest x-ray abnormality was the main radiological finding. Other common features included elevated C-reactive protein, low lymphocyte count (lymphopenia), and increased ferritin level</w:t>
      </w:r>
      <w:r w:rsidRPr="00C81DD8">
        <w:rPr>
          <w:rFonts w:ascii="Book Antiqua" w:eastAsia="Book Antiqua" w:hAnsi="Book Antiqua" w:cs="Book Antiqua"/>
          <w:color w:val="000000" w:themeColor="text1"/>
          <w:vertAlign w:val="superscript"/>
        </w:rPr>
        <w:t>[11]</w:t>
      </w:r>
      <w:r w:rsidRPr="00C81DD8">
        <w:rPr>
          <w:rFonts w:ascii="Book Antiqua" w:eastAsia="Book Antiqua" w:hAnsi="Book Antiqua" w:cs="Book Antiqua"/>
          <w:color w:val="000000" w:themeColor="text1"/>
        </w:rPr>
        <w:t>.</w:t>
      </w:r>
    </w:p>
    <w:p w14:paraId="713C8D47"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3B04BFB3" w14:textId="77777777" w:rsidR="00A77B3E" w:rsidRPr="00C81DD8" w:rsidRDefault="00C573F3" w:rsidP="00C81DD8">
      <w:pPr>
        <w:adjustRightInd w:val="0"/>
        <w:snapToGrid w:val="0"/>
        <w:spacing w:line="360" w:lineRule="auto"/>
        <w:jc w:val="both"/>
        <w:rPr>
          <w:rFonts w:ascii="Book Antiqua" w:hAnsi="Book Antiqua"/>
          <w:color w:val="000000" w:themeColor="text1"/>
        </w:rPr>
      </w:pPr>
      <w:bookmarkStart w:id="14" w:name="OLE_LINK249"/>
      <w:bookmarkStart w:id="15" w:name="OLE_LINK250"/>
      <w:r w:rsidRPr="00C81DD8">
        <w:rPr>
          <w:rFonts w:ascii="Book Antiqua" w:eastAsia="Book Antiqua" w:hAnsi="Book Antiqua" w:cs="Book Antiqua"/>
          <w:b/>
          <w:bCs/>
          <w:caps/>
          <w:color w:val="000000" w:themeColor="text1"/>
          <w:u w:val="single"/>
        </w:rPr>
        <w:t>Renal Transplantation during COVID-19 pandemic</w:t>
      </w:r>
    </w:p>
    <w:bookmarkEnd w:id="14"/>
    <w:bookmarkEnd w:id="15"/>
    <w:p w14:paraId="403B06E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Effect of the COVID-19 pandemic on renal transplant activities</w:t>
      </w:r>
    </w:p>
    <w:p w14:paraId="338398D7" w14:textId="1994F909"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In early 2020, shortly after the healthcare system in Europe was overwhelmed by the number of COVID-19 patients requiring hospitalizations, it was decided that elective procedures would be suspended to provide more resources to accommodate COVID-19 cases. Although kidney transplantations were postponed, kidney disease continued to progress, resulting in more patients requiring hemodialysis in the interim. Information </w:t>
      </w:r>
      <w:r w:rsidRPr="00C81DD8">
        <w:rPr>
          <w:rFonts w:ascii="Book Antiqua" w:eastAsia="Book Antiqua" w:hAnsi="Book Antiqua" w:cs="Book Antiqua"/>
          <w:color w:val="000000" w:themeColor="text1"/>
        </w:rPr>
        <w:lastRenderedPageBreak/>
        <w:t xml:space="preserve">was collected in the United Kingdom and found that the waitlist of individuals requiring renal transplants grew from about 4700 to about 6300 in the </w:t>
      </w:r>
      <w:r w:rsidR="000B3EFA">
        <w:rPr>
          <w:rFonts w:ascii="Book Antiqua" w:eastAsia="Book Antiqua" w:hAnsi="Book Antiqua" w:cs="Book Antiqua"/>
          <w:color w:val="000000" w:themeColor="text1"/>
        </w:rPr>
        <w:t>3-6 mo</w:t>
      </w:r>
      <w:r w:rsidRPr="00C81DD8">
        <w:rPr>
          <w:rFonts w:ascii="Book Antiqua" w:eastAsia="Book Antiqua" w:hAnsi="Book Antiqua" w:cs="Book Antiqua"/>
          <w:color w:val="000000" w:themeColor="text1"/>
        </w:rPr>
        <w:t xml:space="preserve"> since elective procedures were suspended in March 2020. This resulted in about 1300 more people requiring hemodialysis who would have otherwise been transplanted. This growing number of dialysis patients puts a greater demand on dialysis services, with associated costs more than doubling</w:t>
      </w:r>
      <w:r w:rsidRPr="00C81DD8">
        <w:rPr>
          <w:rFonts w:ascii="Book Antiqua" w:eastAsia="Book Antiqua" w:hAnsi="Book Antiqua" w:cs="Book Antiqua"/>
          <w:color w:val="000000" w:themeColor="text1"/>
          <w:vertAlign w:val="superscript"/>
        </w:rPr>
        <w:t>[12]</w:t>
      </w:r>
      <w:r w:rsidRPr="00C81DD8">
        <w:rPr>
          <w:rFonts w:ascii="Book Antiqua" w:eastAsia="Book Antiqua" w:hAnsi="Book Antiqua" w:cs="Book Antiqua"/>
          <w:color w:val="000000" w:themeColor="text1"/>
        </w:rPr>
        <w:t xml:space="preserve">, and these individuals are at an increased (albeit not fully well understood) mortality risk from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w:t>
      </w:r>
    </w:p>
    <w:p w14:paraId="5A8B454C" w14:textId="66CAD2FC"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Although healthcare systems are currently better equipped to reinstate transplant services, early case series from the United Kingdom and Italy found mortality of 7%-25% from COVID-19 infections postoperatively. This uncertainty in risks and the increased strain on resources to catch up on the backlog of transplant cases place further challenges on the workforce and decision-making when it is safe to perform transplantation. There is a need to evaluate how to optimize best kidney transplantation safety given the current COVID-19 pandemic</w:t>
      </w:r>
      <w:r w:rsidRPr="00C81DD8">
        <w:rPr>
          <w:rFonts w:ascii="Book Antiqua" w:eastAsia="Book Antiqua" w:hAnsi="Book Antiqua" w:cs="Book Antiqua"/>
          <w:color w:val="000000" w:themeColor="text1"/>
          <w:vertAlign w:val="superscript"/>
        </w:rPr>
        <w:t>[12]</w:t>
      </w:r>
      <w:r w:rsidRPr="00C81DD8">
        <w:rPr>
          <w:rFonts w:ascii="Book Antiqua" w:eastAsia="Book Antiqua" w:hAnsi="Book Antiqua" w:cs="Book Antiqua"/>
          <w:color w:val="000000" w:themeColor="text1"/>
        </w:rPr>
        <w:t xml:space="preserve">. A study </w:t>
      </w:r>
      <w:r w:rsidR="000B3EFA">
        <w:rPr>
          <w:rFonts w:ascii="Book Antiqua" w:eastAsia="Book Antiqua" w:hAnsi="Book Antiqua" w:cs="Book Antiqua"/>
          <w:color w:val="000000" w:themeColor="text1"/>
        </w:rPr>
        <w:t>examined</w:t>
      </w:r>
      <w:r w:rsidRPr="00C81DD8">
        <w:rPr>
          <w:rFonts w:ascii="Book Antiqua" w:eastAsia="Book Antiqua" w:hAnsi="Book Antiqua" w:cs="Book Antiqua"/>
          <w:color w:val="000000" w:themeColor="text1"/>
        </w:rPr>
        <w:t xml:space="preserve"> patients in Wuhan, China early in the pandemic who were operated on unintentionally during their incubation period and were found to have acceleration and exacerbation of their disease progression. This conclusion was made based on the fact that the median time from symptom onset to dyspnea in COVID-19 patients was </w:t>
      </w:r>
      <w:r w:rsidR="000B3EFA">
        <w:rPr>
          <w:rFonts w:ascii="Book Antiqua" w:eastAsia="Book Antiqua" w:hAnsi="Book Antiqua" w:cs="Book Antiqua"/>
          <w:color w:val="000000" w:themeColor="text1"/>
        </w:rPr>
        <w:t>8 d</w:t>
      </w:r>
      <w:r w:rsidRPr="00C81DD8">
        <w:rPr>
          <w:rFonts w:ascii="Book Antiqua" w:eastAsia="Book Antiqua" w:hAnsi="Book Antiqua" w:cs="Book Antiqua"/>
          <w:color w:val="000000" w:themeColor="text1"/>
        </w:rPr>
        <w:t xml:space="preserve"> at the time of this study, whereas the median time from symptom onset to dyspnea postoperatively was 3.5 d. Those who were operated on who had longer surgery time (median time of 200 min </w:t>
      </w:r>
      <w:r w:rsidRPr="00C81DD8">
        <w:rPr>
          <w:rFonts w:ascii="Book Antiqua" w:eastAsia="Book Antiqua" w:hAnsi="Book Antiqua" w:cs="Book Antiqua"/>
          <w:i/>
          <w:iCs/>
          <w:color w:val="000000" w:themeColor="text1"/>
        </w:rPr>
        <w:t>vs</w:t>
      </w:r>
      <w:r w:rsidRPr="00C81DD8">
        <w:rPr>
          <w:rFonts w:ascii="Book Antiqua" w:eastAsia="Book Antiqua" w:hAnsi="Book Antiqua" w:cs="Book Antiqua"/>
          <w:color w:val="000000" w:themeColor="text1"/>
        </w:rPr>
        <w:t xml:space="preserve"> 70 min) had a higher risk of more severe disease requiring management in an intensive care unit. It was also found that the mortality rate amongst these patients was higher than the reported overall case-fatality rate (2.3%) in patients without surgery. Therefore, this study emphasized the importance of investigating the stress an invasive procedure such as surgery may have on patients who may </w:t>
      </w:r>
      <w:r w:rsidR="000B3EFA">
        <w:rPr>
          <w:rFonts w:ascii="Book Antiqua" w:eastAsia="Book Antiqua" w:hAnsi="Book Antiqua" w:cs="Book Antiqua"/>
          <w:color w:val="000000" w:themeColor="text1"/>
        </w:rPr>
        <w:t xml:space="preserve">be </w:t>
      </w:r>
      <w:r w:rsidRPr="00C81DD8">
        <w:rPr>
          <w:rFonts w:ascii="Book Antiqua" w:eastAsia="Book Antiqua" w:hAnsi="Book Antiqua" w:cs="Book Antiqua"/>
          <w:color w:val="000000" w:themeColor="text1"/>
        </w:rPr>
        <w:t>asymptomatically infected with COVID-19</w:t>
      </w:r>
      <w:r w:rsidRPr="00C81DD8">
        <w:rPr>
          <w:rFonts w:ascii="Book Antiqua" w:eastAsia="Book Antiqua" w:hAnsi="Book Antiqua" w:cs="Book Antiqua"/>
          <w:color w:val="000000" w:themeColor="text1"/>
          <w:vertAlign w:val="superscript"/>
        </w:rPr>
        <w:t>[13]</w:t>
      </w:r>
      <w:r w:rsidRPr="00C81DD8">
        <w:rPr>
          <w:rFonts w:ascii="Book Antiqua" w:eastAsia="Book Antiqua" w:hAnsi="Book Antiqua" w:cs="Book Antiqua"/>
          <w:color w:val="000000" w:themeColor="text1"/>
        </w:rPr>
        <w:t>. Viral infections are common causes of opportunistic infections after transplantation; and although there are measures in place to screen for some infections (</w:t>
      </w:r>
      <w:r w:rsidRPr="00C81DD8">
        <w:rPr>
          <w:rFonts w:ascii="Book Antiqua" w:eastAsia="Book Antiqua" w:hAnsi="Book Antiqua" w:cs="Book Antiqua"/>
          <w:i/>
          <w:iCs/>
          <w:color w:val="000000" w:themeColor="text1"/>
        </w:rPr>
        <w:t>e</w:t>
      </w:r>
      <w:r w:rsidR="000B3EFA">
        <w:rPr>
          <w:rFonts w:ascii="Book Antiqua" w:eastAsia="Book Antiqua" w:hAnsi="Book Antiqua" w:cs="Book Antiqua"/>
          <w:i/>
          <w:iCs/>
          <w:color w:val="000000" w:themeColor="text1"/>
        </w:rPr>
        <w:t>.g</w:t>
      </w:r>
      <w:r w:rsidRPr="00C81DD8">
        <w:rPr>
          <w:rFonts w:ascii="Book Antiqua" w:eastAsia="Book Antiqua" w:hAnsi="Book Antiqua" w:cs="Book Antiqua"/>
          <w:i/>
          <w:iCs/>
          <w:color w:val="000000" w:themeColor="text1"/>
        </w:rPr>
        <w:t>.</w:t>
      </w:r>
      <w:r w:rsidR="000B3EFA">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w:t>
      </w:r>
      <w:r w:rsidR="000B3EFA">
        <w:rPr>
          <w:rFonts w:ascii="Book Antiqua" w:eastAsia="Book Antiqua" w:hAnsi="Book Antiqua" w:cs="Book Antiqua"/>
          <w:color w:val="000000" w:themeColor="text1"/>
        </w:rPr>
        <w:t>Epstein-Barr virus, cytomegalovirus, human immunodeficiency virus</w:t>
      </w:r>
      <w:r w:rsidRPr="00C81DD8">
        <w:rPr>
          <w:rFonts w:ascii="Book Antiqua" w:eastAsia="Book Antiqua" w:hAnsi="Book Antiqua" w:cs="Book Antiqua"/>
          <w:color w:val="000000" w:themeColor="text1"/>
        </w:rPr>
        <w:t>), there is a need for a more robust viral assay to detect coronaviruses now more urgently so given the prevalence of SARS-CoV-2</w:t>
      </w:r>
      <w:r w:rsidRPr="00C81DD8">
        <w:rPr>
          <w:rFonts w:ascii="Book Antiqua" w:eastAsia="Book Antiqua" w:hAnsi="Book Antiqua" w:cs="Book Antiqua"/>
          <w:color w:val="000000" w:themeColor="text1"/>
          <w:vertAlign w:val="superscript"/>
        </w:rPr>
        <w:t>[14]</w:t>
      </w:r>
      <w:r w:rsidRPr="00C81DD8">
        <w:rPr>
          <w:rFonts w:ascii="Book Antiqua" w:eastAsia="Book Antiqua" w:hAnsi="Book Antiqua" w:cs="Book Antiqua"/>
          <w:color w:val="000000" w:themeColor="text1"/>
        </w:rPr>
        <w:t>.</w:t>
      </w:r>
    </w:p>
    <w:p w14:paraId="2BEE629B"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7349A0A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 xml:space="preserve">Manifestations and outcomes of </w:t>
      </w:r>
      <w:r w:rsidRPr="00C81DD8">
        <w:rPr>
          <w:rFonts w:ascii="Book Antiqua" w:eastAsia="Book Antiqua" w:hAnsi="Book Antiqua" w:cs="Book Antiqua"/>
          <w:b/>
          <w:bCs/>
          <w:i/>
          <w:iCs/>
          <w:caps/>
          <w:color w:val="000000" w:themeColor="text1"/>
        </w:rPr>
        <w:t>covid</w:t>
      </w:r>
      <w:r w:rsidRPr="00C81DD8">
        <w:rPr>
          <w:rFonts w:ascii="Book Antiqua" w:eastAsia="Book Antiqua" w:hAnsi="Book Antiqua" w:cs="Book Antiqua"/>
          <w:b/>
          <w:bCs/>
          <w:i/>
          <w:iCs/>
          <w:color w:val="000000" w:themeColor="text1"/>
        </w:rPr>
        <w:t>-19 infection in renal transplantation patients</w:t>
      </w:r>
    </w:p>
    <w:p w14:paraId="6AA550C1" w14:textId="235EB6EE"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While most studies found that patients with underlying kidney disease (or transplanted kidneys) are more vulnerable to developing COVID-19 infection and acute kidney injury, one study suggest</w:t>
      </w:r>
      <w:r w:rsidR="000B3EFA">
        <w:rPr>
          <w:rFonts w:ascii="Book Antiqua" w:eastAsia="Book Antiqua" w:hAnsi="Book Antiqua" w:cs="Book Antiqua"/>
          <w:color w:val="000000" w:themeColor="text1"/>
        </w:rPr>
        <w:t>ed</w:t>
      </w:r>
      <w:r w:rsidRPr="00C81DD8">
        <w:rPr>
          <w:rFonts w:ascii="Book Antiqua" w:eastAsia="Book Antiqua" w:hAnsi="Book Antiqua" w:cs="Book Antiqua"/>
          <w:color w:val="000000" w:themeColor="text1"/>
        </w:rPr>
        <w:t xml:space="preserve"> that there may not be a significant difference in outcomes when compared to the general population</w:t>
      </w:r>
      <w:r w:rsidRPr="00C81DD8">
        <w:rPr>
          <w:rFonts w:ascii="Book Antiqua" w:eastAsia="Book Antiqua" w:hAnsi="Book Antiqua" w:cs="Book Antiqua"/>
          <w:color w:val="000000" w:themeColor="text1"/>
          <w:vertAlign w:val="superscript"/>
        </w:rPr>
        <w:t>[11,15]</w:t>
      </w:r>
      <w:r w:rsidRPr="00C81DD8">
        <w:rPr>
          <w:rFonts w:ascii="Book Antiqua" w:eastAsia="Book Antiqua" w:hAnsi="Book Antiqua" w:cs="Book Antiqua"/>
          <w:color w:val="000000" w:themeColor="text1"/>
        </w:rPr>
        <w:t>.</w:t>
      </w:r>
    </w:p>
    <w:p w14:paraId="6317E28A" w14:textId="5C8D5ED7"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Initially, renal transplant patients were seen to have a high risk of early mortality</w:t>
      </w:r>
      <w:r w:rsidRPr="00C81DD8">
        <w:rPr>
          <w:rFonts w:ascii="Book Antiqua" w:eastAsia="Book Antiqua" w:hAnsi="Book Antiqua" w:cs="Book Antiqua"/>
          <w:color w:val="000000" w:themeColor="text1"/>
          <w:vertAlign w:val="superscript"/>
        </w:rPr>
        <w:t>[7]</w:t>
      </w:r>
      <w:r w:rsidRPr="00C81DD8">
        <w:rPr>
          <w:rFonts w:ascii="Book Antiqua" w:eastAsia="Book Antiqua" w:hAnsi="Book Antiqua" w:cs="Book Antiqua"/>
          <w:color w:val="000000" w:themeColor="text1"/>
        </w:rPr>
        <w:t xml:space="preserve"> and critical COVID illness due to chronic immunosuppression and comorbid conditions. Later, it was found that when managed by stopping immunosuppressive therapy while being maintained on intravenous stress dose steroids (to prevent adrenal insufficiency) and additional supportive measures, and then slowly re-introducing the patient's immunosuppression regimen, outcomes began to show promising results in survivability</w:t>
      </w:r>
      <w:r w:rsidRPr="00C81DD8">
        <w:rPr>
          <w:rFonts w:ascii="Book Antiqua" w:eastAsia="Book Antiqua" w:hAnsi="Book Antiqua" w:cs="Book Antiqua"/>
          <w:color w:val="000000" w:themeColor="text1"/>
          <w:vertAlign w:val="superscript"/>
        </w:rPr>
        <w:t>[11]</w:t>
      </w:r>
      <w:r w:rsidRPr="00C81DD8">
        <w:rPr>
          <w:rFonts w:ascii="Book Antiqua" w:eastAsia="Book Antiqua" w:hAnsi="Book Antiqua" w:cs="Book Antiqua"/>
          <w:color w:val="000000" w:themeColor="text1"/>
        </w:rPr>
        <w:t xml:space="preserve">. Most recently, there was a case series that followed </w:t>
      </w:r>
      <w:r w:rsidR="000B3EFA">
        <w:rPr>
          <w:rFonts w:ascii="Book Antiqua" w:eastAsia="Book Antiqua" w:hAnsi="Book Antiqua" w:cs="Book Antiqua"/>
          <w:color w:val="000000" w:themeColor="text1"/>
        </w:rPr>
        <w:t>8</w:t>
      </w:r>
      <w:r w:rsidRPr="00C81DD8">
        <w:rPr>
          <w:rFonts w:ascii="Book Antiqua" w:eastAsia="Book Antiqua" w:hAnsi="Book Antiqua" w:cs="Book Antiqua"/>
          <w:color w:val="000000" w:themeColor="text1"/>
        </w:rPr>
        <w:t xml:space="preserve"> patients with renal transplants (including patients with transplants of varying ages</w:t>
      </w:r>
      <w:r w:rsidR="000B3EFA">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some patients with transplants a few months prior, and some with transplants more than a year senior) through their medical management of COVID-19 infection. Every patient's antiproliferative medication was stopped (namely mycophenolate mofetil and azathioprine). They continued to be maintained on steroids and calcineurin inhibitors (albeit with some tailoring on a case-by-case basis) as well as supportive treatment. Of the </w:t>
      </w:r>
      <w:r w:rsidR="00E944D9">
        <w:rPr>
          <w:rFonts w:ascii="Book Antiqua" w:eastAsia="Book Antiqua" w:hAnsi="Book Antiqua" w:cs="Book Antiqua"/>
          <w:color w:val="000000" w:themeColor="text1"/>
        </w:rPr>
        <w:t>8</w:t>
      </w:r>
      <w:r w:rsidRPr="00C81DD8">
        <w:rPr>
          <w:rFonts w:ascii="Book Antiqua" w:eastAsia="Book Antiqua" w:hAnsi="Book Antiqua" w:cs="Book Antiqua"/>
          <w:color w:val="000000" w:themeColor="text1"/>
        </w:rPr>
        <w:t xml:space="preserve"> individuals, only one required care in an intensive care ward (including requiring intubation), and all of them recovered well. Although its study size limits this case series, it shows promise and revealed that there might not be a significantly increased risk of severe COVID-19 illness solely based on the renal transplant or kidney function status</w:t>
      </w:r>
      <w:r w:rsidRPr="00C81DD8">
        <w:rPr>
          <w:rFonts w:ascii="Book Antiqua" w:eastAsia="Book Antiqua" w:hAnsi="Book Antiqua" w:cs="Book Antiqua"/>
          <w:color w:val="000000" w:themeColor="text1"/>
          <w:vertAlign w:val="superscript"/>
        </w:rPr>
        <w:t>[11]</w:t>
      </w:r>
      <w:r w:rsidRPr="00C81DD8">
        <w:rPr>
          <w:rFonts w:ascii="Book Antiqua" w:eastAsia="Book Antiqua" w:hAnsi="Book Antiqua" w:cs="Book Antiqua"/>
          <w:color w:val="000000" w:themeColor="text1"/>
        </w:rPr>
        <w:t>.</w:t>
      </w:r>
    </w:p>
    <w:p w14:paraId="265AAD96"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7FC22B1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Infection control measures in renal transplant programs</w:t>
      </w:r>
    </w:p>
    <w:p w14:paraId="56FBAB6E" w14:textId="6AAA8F1D"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Inferior clinical outcomes have been reported for renal transplant recipients infected with COVID-19 compared to COVID-19 patients who have not received renal transplants</w:t>
      </w:r>
      <w:r w:rsidRPr="00C81DD8">
        <w:rPr>
          <w:rFonts w:ascii="Book Antiqua" w:eastAsia="Book Antiqua" w:hAnsi="Book Antiqua" w:cs="Book Antiqua"/>
          <w:color w:val="000000" w:themeColor="text1"/>
          <w:vertAlign w:val="superscript"/>
        </w:rPr>
        <w:t>[16,17]</w:t>
      </w:r>
      <w:r w:rsidRPr="00C81DD8">
        <w:rPr>
          <w:rFonts w:ascii="Book Antiqua" w:eastAsia="Book Antiqua" w:hAnsi="Book Antiqua" w:cs="Book Antiqua"/>
          <w:color w:val="000000" w:themeColor="text1"/>
        </w:rPr>
        <w:t>. Thus, patients with a renal transplant who are not infected with COVID-19 should minimize contact with non-household individuals, practice frequent hand hygiene</w:t>
      </w:r>
      <w:r w:rsidR="00E944D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and use a facemask or face covering when traveling outside their homes.</w:t>
      </w:r>
    </w:p>
    <w:p w14:paraId="0FEC7CE5" w14:textId="367C407D"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Renal transplant patients who have mild COVID-19 symptoms who do not need hospitalization should practice self-confinement at home for </w:t>
      </w:r>
      <w:r w:rsidR="009A60C1">
        <w:rPr>
          <w:rFonts w:ascii="Book Antiqua" w:eastAsia="Book Antiqua" w:hAnsi="Book Antiqua" w:cs="Book Antiqua"/>
          <w:color w:val="000000" w:themeColor="text1"/>
        </w:rPr>
        <w:t>2 wk</w:t>
      </w:r>
      <w:r w:rsidRPr="00C81DD8">
        <w:rPr>
          <w:rFonts w:ascii="Book Antiqua" w:eastAsia="Book Antiqua" w:hAnsi="Book Antiqua" w:cs="Book Antiqua"/>
          <w:color w:val="000000" w:themeColor="text1"/>
        </w:rPr>
        <w:t xml:space="preserve"> and reduce their interactions with their household members</w:t>
      </w:r>
      <w:r w:rsidRPr="00C81DD8">
        <w:rPr>
          <w:rFonts w:ascii="Book Antiqua" w:eastAsia="Book Antiqua" w:hAnsi="Book Antiqua" w:cs="Book Antiqua"/>
          <w:color w:val="000000" w:themeColor="text1"/>
          <w:vertAlign w:val="superscript"/>
        </w:rPr>
        <w:t>[18]</w:t>
      </w:r>
      <w:r w:rsidRPr="00C81DD8">
        <w:rPr>
          <w:rFonts w:ascii="Book Antiqua" w:eastAsia="Book Antiqua" w:hAnsi="Book Antiqua" w:cs="Book Antiqua"/>
          <w:color w:val="000000" w:themeColor="text1"/>
        </w:rPr>
        <w:t>. Given renal transplant patients' immunosuppression regimens that put them at higher risk for contracting infections, renal transplant recipients who have moderate to severe COVID-19 symptoms and need hospitalization should be admitted to a negative pressure room with droplets, contact, and eye protection isolation. Hospital staff taking care of renal transplant patients need to undergo appropriate donning and doffing of personal protective equipment, practice regular hand hygiene</w:t>
      </w:r>
      <w:r w:rsidR="009A60C1">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and wear N95 respirator masks with protective eyewear</w:t>
      </w:r>
      <w:r w:rsidRPr="00C81DD8">
        <w:rPr>
          <w:rFonts w:ascii="Book Antiqua" w:eastAsia="Book Antiqua" w:hAnsi="Book Antiqua" w:cs="Book Antiqua"/>
          <w:color w:val="000000" w:themeColor="text1"/>
          <w:vertAlign w:val="superscript"/>
        </w:rPr>
        <w:t>[19]</w:t>
      </w:r>
      <w:r w:rsidRPr="00C81DD8">
        <w:rPr>
          <w:rFonts w:ascii="Book Antiqua" w:eastAsia="Book Antiqua" w:hAnsi="Book Antiqua" w:cs="Book Antiqua"/>
          <w:color w:val="000000" w:themeColor="text1"/>
        </w:rPr>
        <w:t>.</w:t>
      </w:r>
    </w:p>
    <w:p w14:paraId="7E80202C" w14:textId="2360B07D"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 xml:space="preserve">A nationwide survey of American transplant institutes discovered that regarding deceased donor testing, 93% of respondents reported their organ procurement organization requiring a nasopharyngeal COVID-19 </w:t>
      </w:r>
      <w:r w:rsidR="009A60C1">
        <w:rPr>
          <w:rFonts w:ascii="Book Antiqua" w:eastAsia="Book Antiqua" w:hAnsi="Book Antiqua" w:cs="Book Antiqua"/>
          <w:color w:val="000000" w:themeColor="text1"/>
        </w:rPr>
        <w:t>polymerase chain reaction (</w:t>
      </w:r>
      <w:r w:rsidRPr="00C81DD8">
        <w:rPr>
          <w:rFonts w:ascii="Book Antiqua" w:eastAsia="Book Antiqua" w:hAnsi="Book Antiqua" w:cs="Book Antiqua"/>
          <w:color w:val="000000" w:themeColor="text1"/>
        </w:rPr>
        <w:t>PCR</w:t>
      </w:r>
      <w:r w:rsidR="009A60C1">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test, 3% of respondents stated needing a COVID-19 antibody test, and 19% stated needing a </w:t>
      </w:r>
      <w:r w:rsidR="009A60C1">
        <w:rPr>
          <w:rFonts w:ascii="Book Antiqua" w:eastAsia="Book Antiqua" w:hAnsi="Book Antiqua" w:cs="Book Antiqua"/>
          <w:color w:val="000000" w:themeColor="text1"/>
        </w:rPr>
        <w:t>computed tomography</w:t>
      </w:r>
      <w:r w:rsidRPr="00C81DD8">
        <w:rPr>
          <w:rFonts w:ascii="Book Antiqua" w:eastAsia="Book Antiqua" w:hAnsi="Book Antiqua" w:cs="Book Antiqua"/>
          <w:color w:val="000000" w:themeColor="text1"/>
        </w:rPr>
        <w:t xml:space="preserve"> scan of the chest. Transplant centers reported required testing of pre</w:t>
      </w:r>
      <w:r w:rsidR="009A60C1">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transplant living donor candidates for COVID-19, with 97% of respondents using a PCR test, 13% using an antibody test, and 19% performing a chest </w:t>
      </w:r>
      <w:r w:rsidR="009A60C1">
        <w:rPr>
          <w:rFonts w:ascii="Book Antiqua" w:eastAsia="Book Antiqua" w:hAnsi="Book Antiqua" w:cs="Book Antiqua"/>
          <w:color w:val="000000" w:themeColor="text1"/>
        </w:rPr>
        <w:t>computed tomography</w:t>
      </w:r>
      <w:r w:rsidRPr="00C81DD8">
        <w:rPr>
          <w:rFonts w:ascii="Book Antiqua" w:eastAsia="Book Antiqua" w:hAnsi="Book Antiqua" w:cs="Book Antiqua"/>
          <w:color w:val="000000" w:themeColor="text1"/>
        </w:rPr>
        <w:t xml:space="preserve">. If a possible living transplant donor was found to be positive for COVID-19, 75% of surveyed centers stated they would abort the planned donation, 44% stated they would repeat donor PCR testing until there was a negative result, </w:t>
      </w:r>
      <w:r w:rsidR="009A60C1">
        <w:rPr>
          <w:rFonts w:ascii="Book Antiqua" w:eastAsia="Book Antiqua" w:hAnsi="Book Antiqua" w:cs="Book Antiqua"/>
          <w:color w:val="000000" w:themeColor="text1"/>
        </w:rPr>
        <w:t xml:space="preserve">and </w:t>
      </w:r>
      <w:r w:rsidRPr="00C81DD8">
        <w:rPr>
          <w:rFonts w:ascii="Book Antiqua" w:eastAsia="Book Antiqua" w:hAnsi="Book Antiqua" w:cs="Book Antiqua"/>
          <w:color w:val="000000" w:themeColor="text1"/>
        </w:rPr>
        <w:t>11% of surveyed centers stated they would wait until the donor was COVID-19 antibody</w:t>
      </w:r>
      <w:r w:rsidR="009A60C1">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positive before moving forward with a donation. Respondents did not report a consensus when it was appropriate to conduct surgery in a formerly COVID-19 positive donor. A few centers stated they would postpone surgery by at least 14 to 28 d. None of the centers reported cases of COVID-19 transmission from donor to recipient</w:t>
      </w:r>
      <w:r w:rsidRPr="00C81DD8">
        <w:rPr>
          <w:rFonts w:ascii="Book Antiqua" w:eastAsia="Book Antiqua" w:hAnsi="Book Antiqua" w:cs="Book Antiqua"/>
          <w:color w:val="000000" w:themeColor="text1"/>
          <w:vertAlign w:val="superscript"/>
        </w:rPr>
        <w:t>[18]</w:t>
      </w:r>
      <w:r w:rsidRPr="00C81DD8">
        <w:rPr>
          <w:rFonts w:ascii="Book Antiqua" w:eastAsia="Book Antiqua" w:hAnsi="Book Antiqua" w:cs="Book Antiqua"/>
          <w:color w:val="000000" w:themeColor="text1"/>
        </w:rPr>
        <w:t>. A large volume renal transplant center study performed at Cambridge University Hospital from December 30, 2019 to May 19, 2020, including 71 kidney transplantations, also did not report any cases of donor</w:t>
      </w:r>
      <w:r w:rsidR="009A60C1">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derived COVID-19 transmission during transplantation</w:t>
      </w:r>
      <w:r w:rsidRPr="00C81DD8">
        <w:rPr>
          <w:rFonts w:ascii="Book Antiqua" w:eastAsia="Book Antiqua" w:hAnsi="Book Antiqua" w:cs="Book Antiqua"/>
          <w:color w:val="000000" w:themeColor="text1"/>
          <w:vertAlign w:val="superscript"/>
        </w:rPr>
        <w:t>[20]</w:t>
      </w:r>
      <w:r w:rsidRPr="00C81DD8">
        <w:rPr>
          <w:rFonts w:ascii="Book Antiqua" w:eastAsia="Book Antiqua" w:hAnsi="Book Antiqua" w:cs="Book Antiqua"/>
          <w:color w:val="000000" w:themeColor="text1"/>
        </w:rPr>
        <w:t>.</w:t>
      </w:r>
    </w:p>
    <w:p w14:paraId="145F4707"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26348194" w14:textId="728A5AD1" w:rsidR="00A77B3E" w:rsidRPr="00C81DD8" w:rsidRDefault="00C573F3" w:rsidP="00C81DD8">
      <w:pPr>
        <w:adjustRightInd w:val="0"/>
        <w:snapToGrid w:val="0"/>
        <w:spacing w:line="360" w:lineRule="auto"/>
        <w:jc w:val="both"/>
        <w:rPr>
          <w:rFonts w:ascii="Book Antiqua" w:hAnsi="Book Antiqua"/>
          <w:color w:val="000000" w:themeColor="text1"/>
        </w:rPr>
      </w:pPr>
      <w:bookmarkStart w:id="16" w:name="OLE_LINK251"/>
      <w:bookmarkStart w:id="17" w:name="OLE_LINK252"/>
      <w:r w:rsidRPr="00C81DD8">
        <w:rPr>
          <w:rFonts w:ascii="Book Antiqua" w:eastAsia="Book Antiqua" w:hAnsi="Book Antiqua" w:cs="Book Antiqua"/>
          <w:b/>
          <w:bCs/>
          <w:caps/>
          <w:color w:val="000000" w:themeColor="text1"/>
          <w:u w:val="single"/>
        </w:rPr>
        <w:t xml:space="preserve">Surgical consideration for renal transplant during </w:t>
      </w:r>
      <w:r w:rsidR="00CA5DF9">
        <w:rPr>
          <w:rFonts w:ascii="Book Antiqua" w:eastAsia="Book Antiqua" w:hAnsi="Book Antiqua" w:cs="Book Antiqua"/>
          <w:b/>
          <w:bCs/>
          <w:caps/>
          <w:color w:val="000000" w:themeColor="text1"/>
          <w:u w:val="single"/>
        </w:rPr>
        <w:t>COVID-19</w:t>
      </w:r>
      <w:r w:rsidRPr="00C81DD8">
        <w:rPr>
          <w:rFonts w:ascii="Book Antiqua" w:eastAsia="Book Antiqua" w:hAnsi="Book Antiqua" w:cs="Book Antiqua"/>
          <w:b/>
          <w:bCs/>
          <w:caps/>
          <w:color w:val="000000" w:themeColor="text1"/>
          <w:u w:val="single"/>
        </w:rPr>
        <w:t xml:space="preserve"> pandemic</w:t>
      </w:r>
    </w:p>
    <w:bookmarkEnd w:id="16"/>
    <w:bookmarkEnd w:id="17"/>
    <w:p w14:paraId="475BE0C8" w14:textId="493E95CB" w:rsidR="00A77B3E" w:rsidRPr="00C81DD8" w:rsidRDefault="00A57AEB" w:rsidP="00C81DD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World Health Organization </w:t>
      </w:r>
      <w:r w:rsidR="00C573F3" w:rsidRPr="00C81DD8">
        <w:rPr>
          <w:rFonts w:ascii="Book Antiqua" w:eastAsia="Book Antiqua" w:hAnsi="Book Antiqua" w:cs="Book Antiqua"/>
          <w:color w:val="000000" w:themeColor="text1"/>
        </w:rPr>
        <w:t xml:space="preserve">has recommended using personal protective equipment in addition to recommending against routine or nonemergent procedures during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pandemic. The use of procedures causing aerosolization, such as endotracheal intubation, high flow respirators, and suction</w:t>
      </w:r>
      <w:r>
        <w:rPr>
          <w:rFonts w:ascii="Book Antiqua" w:eastAsia="Book Antiqua" w:hAnsi="Book Antiqua" w:cs="Book Antiqua"/>
          <w:color w:val="000000" w:themeColor="text1"/>
        </w:rPr>
        <w:t>,</w:t>
      </w:r>
      <w:r w:rsidR="00C573F3" w:rsidRPr="00C81DD8">
        <w:rPr>
          <w:rFonts w:ascii="Book Antiqua" w:eastAsia="Book Antiqua" w:hAnsi="Book Antiqua" w:cs="Book Antiqua"/>
          <w:color w:val="000000" w:themeColor="text1"/>
        </w:rPr>
        <w:t xml:space="preserve"> poses an imminent risk of spreading the disease. The increasing mechanical ventilation requirement in intensive care units may limit the number of ventilators for routine procedures</w:t>
      </w:r>
      <w:r w:rsidR="00C573F3" w:rsidRPr="00C81DD8">
        <w:rPr>
          <w:rFonts w:ascii="Book Antiqua" w:eastAsia="Book Antiqua" w:hAnsi="Book Antiqua" w:cs="Book Antiqua"/>
          <w:color w:val="000000" w:themeColor="text1"/>
          <w:vertAlign w:val="superscript"/>
        </w:rPr>
        <w:t>[21]</w:t>
      </w:r>
      <w:r w:rsidR="00C573F3" w:rsidRPr="00C81DD8">
        <w:rPr>
          <w:rFonts w:ascii="Book Antiqua" w:eastAsia="Book Antiqua" w:hAnsi="Book Antiqua" w:cs="Book Antiqua"/>
          <w:color w:val="000000" w:themeColor="text1"/>
        </w:rPr>
        <w:t xml:space="preserve">. Despite the limitations mentioned above, some procedures, including emergency surgeries, transplant surgeries, and cancer surgeries, should be continued as lack of such services would increase morbidity and mortality. The anecdotal evidence of routine surgeries, including cholecystectomy in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patients, have shown unfavorable outcomes</w:t>
      </w:r>
      <w:r w:rsidR="00C573F3" w:rsidRPr="00C81DD8">
        <w:rPr>
          <w:rFonts w:ascii="Book Antiqua" w:eastAsia="Book Antiqua" w:hAnsi="Book Antiqua" w:cs="Book Antiqua"/>
          <w:color w:val="000000" w:themeColor="text1"/>
          <w:vertAlign w:val="superscript"/>
        </w:rPr>
        <w:t>[22]</w:t>
      </w:r>
      <w:r w:rsidR="00C573F3" w:rsidRPr="00C81DD8">
        <w:rPr>
          <w:rFonts w:ascii="Book Antiqua" w:eastAsia="Book Antiqua" w:hAnsi="Book Antiqua" w:cs="Book Antiqua"/>
          <w:color w:val="000000" w:themeColor="text1"/>
        </w:rPr>
        <w:t xml:space="preserve">. Careful planning for anesthesia may help mitigate the spread during the procedure. Filtering face piece during intubation, use of disposable equipment, rapid sequence intubation avoiding manual ventilation, and the closed suction system are some of the proposed ways to prevent the spread of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vertAlign w:val="superscript"/>
        </w:rPr>
        <w:t>[23]</w:t>
      </w:r>
      <w:r w:rsidR="00C573F3" w:rsidRPr="00C81DD8">
        <w:rPr>
          <w:rFonts w:ascii="Book Antiqua" w:eastAsia="Book Antiqua" w:hAnsi="Book Antiqua" w:cs="Book Antiqua"/>
          <w:color w:val="000000" w:themeColor="text1"/>
        </w:rPr>
        <w:t xml:space="preserve">. The use of agents containing 62%-71% ethanol, 0.5% hydrogen peroxide, or 0.1% sodium hypochlorite effectively decreases transmission of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in operating theatres</w:t>
      </w:r>
      <w:r w:rsidR="00C573F3" w:rsidRPr="00C81DD8">
        <w:rPr>
          <w:rFonts w:ascii="Book Antiqua" w:eastAsia="Book Antiqua" w:hAnsi="Book Antiqua" w:cs="Book Antiqua"/>
          <w:color w:val="000000" w:themeColor="text1"/>
          <w:vertAlign w:val="superscript"/>
        </w:rPr>
        <w:t>[24]</w:t>
      </w:r>
      <w:r w:rsidR="00C573F3" w:rsidRPr="00C81DD8">
        <w:rPr>
          <w:rFonts w:ascii="Book Antiqua" w:eastAsia="Book Antiqua" w:hAnsi="Book Antiqua" w:cs="Book Antiqua"/>
          <w:color w:val="000000" w:themeColor="text1"/>
        </w:rPr>
        <w:t xml:space="preserve">. The American Red Cross recommends a 28-d delay for donors traveling to high-risk regions or contact with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patients</w:t>
      </w:r>
      <w:r w:rsidR="00C573F3" w:rsidRPr="00C81DD8">
        <w:rPr>
          <w:rFonts w:ascii="Book Antiqua" w:eastAsia="Book Antiqua" w:hAnsi="Book Antiqua" w:cs="Book Antiqua"/>
          <w:color w:val="000000" w:themeColor="text1"/>
          <w:vertAlign w:val="superscript"/>
        </w:rPr>
        <w:t>[15]</w:t>
      </w:r>
      <w:r w:rsidR="00C573F3" w:rsidRPr="00C81DD8">
        <w:rPr>
          <w:rFonts w:ascii="Book Antiqua" w:eastAsia="Book Antiqua" w:hAnsi="Book Antiqua" w:cs="Book Antiqua"/>
          <w:color w:val="000000" w:themeColor="text1"/>
        </w:rPr>
        <w:t xml:space="preserve">. The presence of a false-negative </w:t>
      </w:r>
      <w:r>
        <w:rPr>
          <w:rFonts w:ascii="Book Antiqua" w:eastAsia="Book Antiqua" w:hAnsi="Book Antiqua" w:cs="Book Antiqua"/>
          <w:color w:val="000000" w:themeColor="text1"/>
        </w:rPr>
        <w:t>reverse transcription</w:t>
      </w:r>
      <w:r w:rsidR="00C573F3" w:rsidRPr="00C81DD8">
        <w:rPr>
          <w:rFonts w:ascii="Book Antiqua" w:eastAsia="Book Antiqua" w:hAnsi="Book Antiqua" w:cs="Book Antiqua"/>
          <w:color w:val="000000" w:themeColor="text1"/>
        </w:rPr>
        <w:t xml:space="preserve">-PCR for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causes the missing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infection in both donors and recipients. Transplanted patients in the immediate postoperative period are immunocompromised and thus have a higher susceptibility of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vertAlign w:val="superscript"/>
        </w:rPr>
        <w:t>[25]</w:t>
      </w:r>
      <w:r w:rsidR="00C573F3" w:rsidRPr="00C81DD8">
        <w:rPr>
          <w:rFonts w:ascii="Book Antiqua" w:eastAsia="Book Antiqua" w:hAnsi="Book Antiqua" w:cs="Book Antiqua"/>
          <w:color w:val="000000" w:themeColor="text1"/>
        </w:rPr>
        <w:t xml:space="preserve">. The requirement to monitor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cases and restrict transplants to emergencies in case of increasing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cases has also been proposed to decrease the spread of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vertAlign w:val="superscript"/>
        </w:rPr>
        <w:t>[26]</w:t>
      </w:r>
      <w:r w:rsidR="00C573F3" w:rsidRPr="00C81DD8">
        <w:rPr>
          <w:rFonts w:ascii="Book Antiqua" w:eastAsia="Book Antiqua" w:hAnsi="Book Antiqua" w:cs="Book Antiqua"/>
          <w:color w:val="000000" w:themeColor="text1"/>
        </w:rPr>
        <w:t xml:space="preserve">. Further research has to be undertaken to assess postoperative complications and risk stratification strategies in </w:t>
      </w:r>
      <w:r w:rsidR="00CA5DF9">
        <w:rPr>
          <w:rFonts w:ascii="Book Antiqua" w:eastAsia="Book Antiqua" w:hAnsi="Book Antiqua" w:cs="Book Antiqua"/>
          <w:color w:val="000000" w:themeColor="text1"/>
        </w:rPr>
        <w:t>COVID-19</w:t>
      </w:r>
      <w:r w:rsidR="00C573F3" w:rsidRPr="00C81DD8">
        <w:rPr>
          <w:rFonts w:ascii="Book Antiqua" w:eastAsia="Book Antiqua" w:hAnsi="Book Antiqua" w:cs="Book Antiqua"/>
          <w:color w:val="000000" w:themeColor="text1"/>
        </w:rPr>
        <w:t xml:space="preserve"> patients</w:t>
      </w:r>
      <w:r w:rsidR="00C573F3" w:rsidRPr="00C81DD8">
        <w:rPr>
          <w:rFonts w:ascii="Book Antiqua" w:eastAsia="Book Antiqua" w:hAnsi="Book Antiqua" w:cs="Book Antiqua"/>
          <w:color w:val="000000" w:themeColor="text1"/>
          <w:vertAlign w:val="superscript"/>
        </w:rPr>
        <w:t>[27]</w:t>
      </w:r>
      <w:r w:rsidR="00C573F3" w:rsidRPr="00C81DD8">
        <w:rPr>
          <w:rFonts w:ascii="Book Antiqua" w:eastAsia="Book Antiqua" w:hAnsi="Book Antiqua" w:cs="Book Antiqua"/>
          <w:color w:val="000000" w:themeColor="text1"/>
        </w:rPr>
        <w:t>.</w:t>
      </w:r>
    </w:p>
    <w:p w14:paraId="2ACB4694"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535F6126" w14:textId="359273CF" w:rsidR="00A77B3E" w:rsidRPr="00C81DD8" w:rsidRDefault="00CA5DF9" w:rsidP="00C81DD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COVID-19</w:t>
      </w:r>
      <w:r w:rsidR="00C573F3" w:rsidRPr="00C81DD8">
        <w:rPr>
          <w:rFonts w:ascii="Book Antiqua" w:eastAsia="Book Antiqua" w:hAnsi="Book Antiqua" w:cs="Book Antiqua"/>
          <w:b/>
          <w:bCs/>
          <w:caps/>
          <w:color w:val="000000" w:themeColor="text1"/>
          <w:u w:val="single"/>
        </w:rPr>
        <w:t xml:space="preserve"> treatment options for renal transplant recipients</w:t>
      </w:r>
    </w:p>
    <w:p w14:paraId="0D1ED04A" w14:textId="46396186"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Kidney transplant recipients pose a particular risk because of their steady-state of immunosuppression</w:t>
      </w:r>
      <w:r w:rsidRPr="00C81DD8">
        <w:rPr>
          <w:rFonts w:ascii="Book Antiqua" w:eastAsia="Book Antiqua" w:hAnsi="Book Antiqua" w:cs="Book Antiqua"/>
          <w:color w:val="000000" w:themeColor="text1"/>
          <w:vertAlign w:val="superscript"/>
        </w:rPr>
        <w:t>[28]</w:t>
      </w:r>
      <w:r w:rsidRPr="00C81DD8">
        <w:rPr>
          <w:rFonts w:ascii="Book Antiqua" w:eastAsia="Book Antiqua" w:hAnsi="Book Antiqua" w:cs="Book Antiqua"/>
          <w:color w:val="000000" w:themeColor="text1"/>
        </w:rPr>
        <w:t xml:space="preserve">. Kidney transplant patients who contract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are at a higher risk of developing acute kidney injury and mortality</w:t>
      </w:r>
      <w:r w:rsidRPr="00C81DD8">
        <w:rPr>
          <w:rFonts w:ascii="Book Antiqua" w:eastAsia="Book Antiqua" w:hAnsi="Book Antiqua" w:cs="Book Antiqua"/>
          <w:color w:val="000000" w:themeColor="text1"/>
          <w:vertAlign w:val="superscript"/>
        </w:rPr>
        <w:t>[17]</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shd w:val="clear" w:color="auto" w:fill="FFFFFF"/>
        </w:rPr>
        <w:t xml:space="preserve">There is no global </w:t>
      </w:r>
      <w:r w:rsidRPr="00C81DD8">
        <w:rPr>
          <w:rFonts w:ascii="Book Antiqua" w:eastAsia="Book Antiqua" w:hAnsi="Book Antiqua" w:cs="Book Antiqua"/>
          <w:color w:val="000000" w:themeColor="text1"/>
          <w:shd w:val="clear" w:color="auto" w:fill="FFFFFF"/>
        </w:rPr>
        <w:lastRenderedPageBreak/>
        <w:t xml:space="preserve">consensus on the ideal management of kidney transplant recipients with </w:t>
      </w:r>
      <w:r w:rsidR="00CA5DF9">
        <w:rPr>
          <w:rFonts w:ascii="Book Antiqua" w:eastAsia="Book Antiqua" w:hAnsi="Book Antiqua" w:cs="Book Antiqua"/>
          <w:color w:val="000000" w:themeColor="text1"/>
          <w:shd w:val="clear" w:color="auto" w:fill="FFFFFF"/>
        </w:rPr>
        <w:t>COVID-19</w:t>
      </w:r>
      <w:r w:rsidRPr="00C81DD8">
        <w:rPr>
          <w:rFonts w:ascii="Book Antiqua" w:eastAsia="Book Antiqua" w:hAnsi="Book Antiqua" w:cs="Book Antiqua"/>
          <w:color w:val="000000" w:themeColor="text1"/>
          <w:shd w:val="clear" w:color="auto" w:fill="FFFFFF"/>
        </w:rPr>
        <w:t xml:space="preserve"> disease, so patients are dealt with individually from case to case. Essential aspects of the treatment are managing immunosuppression medications and considering drug-drug interactions. </w:t>
      </w:r>
      <w:r w:rsidRPr="00C81DD8">
        <w:rPr>
          <w:rFonts w:ascii="Book Antiqua" w:eastAsia="Book Antiqua" w:hAnsi="Book Antiqua" w:cs="Book Antiqua"/>
          <w:color w:val="000000" w:themeColor="text1"/>
        </w:rPr>
        <w:t>In kidney transplant patients, the most commonly used immunosuppressive drugs [</w:t>
      </w:r>
      <w:r w:rsidR="0000575F">
        <w:rPr>
          <w:rFonts w:ascii="Book Antiqua" w:eastAsia="Book Antiqua" w:hAnsi="Book Antiqua" w:cs="Book Antiqua"/>
          <w:color w:val="000000" w:themeColor="text1"/>
        </w:rPr>
        <w:t>m</w:t>
      </w:r>
      <w:r w:rsidRPr="00C81DD8">
        <w:rPr>
          <w:rFonts w:ascii="Book Antiqua" w:eastAsia="Book Antiqua" w:hAnsi="Book Antiqua" w:cs="Book Antiqua"/>
          <w:color w:val="000000" w:themeColor="text1"/>
        </w:rPr>
        <w:t xml:space="preserve">ycophenolate </w:t>
      </w:r>
      <w:r w:rsidR="0000575F">
        <w:rPr>
          <w:rFonts w:ascii="Book Antiqua" w:eastAsia="Book Antiqua" w:hAnsi="Book Antiqua" w:cs="Book Antiqua"/>
          <w:color w:val="000000" w:themeColor="text1"/>
        </w:rPr>
        <w:t>m</w:t>
      </w:r>
      <w:r w:rsidRPr="00C81DD8">
        <w:rPr>
          <w:rFonts w:ascii="Book Antiqua" w:eastAsia="Book Antiqua" w:hAnsi="Book Antiqua" w:cs="Book Antiqua"/>
          <w:color w:val="000000" w:themeColor="text1"/>
        </w:rPr>
        <w:t>ofetil (MMF), tacrolimus, and cyclosporine] have a narrow therapeutic index and fluctuating pharmacokinetics</w:t>
      </w:r>
      <w:r w:rsidRPr="00C81DD8">
        <w:rPr>
          <w:rFonts w:ascii="Book Antiqua" w:eastAsia="Book Antiqua" w:hAnsi="Book Antiqua" w:cs="Book Antiqua"/>
          <w:color w:val="000000" w:themeColor="text1"/>
          <w:vertAlign w:val="superscript"/>
        </w:rPr>
        <w:t>[29,30]</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shd w:val="clear" w:color="auto" w:fill="FFFFFF"/>
        </w:rPr>
        <w:t>Mycophenolate, which inhibits T and B cell proliferation, is always withheld</w:t>
      </w:r>
      <w:r w:rsidRPr="00C81DD8">
        <w:rPr>
          <w:rFonts w:ascii="Book Antiqua" w:eastAsia="Book Antiqua" w:hAnsi="Book Antiqua" w:cs="Book Antiqua"/>
          <w:color w:val="000000" w:themeColor="text1"/>
          <w:shd w:val="clear" w:color="auto" w:fill="FFFFFF"/>
          <w:vertAlign w:val="superscript"/>
        </w:rPr>
        <w:t>[31,32]</w:t>
      </w:r>
      <w:r w:rsidRPr="00C81DD8">
        <w:rPr>
          <w:rFonts w:ascii="Book Antiqua" w:eastAsia="Book Antiqua" w:hAnsi="Book Antiqua" w:cs="Book Antiqua"/>
          <w:color w:val="000000" w:themeColor="text1"/>
          <w:shd w:val="clear" w:color="auto" w:fill="FFFFFF"/>
        </w:rPr>
        <w:t>. Calcineurin inhibitors (</w:t>
      </w:r>
      <w:r w:rsidRPr="00C81DD8">
        <w:rPr>
          <w:rFonts w:ascii="Book Antiqua" w:eastAsia="Book Antiqua" w:hAnsi="Book Antiqua" w:cs="Book Antiqua"/>
          <w:color w:val="000000" w:themeColor="text1"/>
        </w:rPr>
        <w:t xml:space="preserve">CNIs) are substrates for cytochrome P450 3Y4. Moreover, cyclosporine further inhibits </w:t>
      </w:r>
      <w:r w:rsidR="00C65C16">
        <w:rPr>
          <w:rFonts w:ascii="Book Antiqua" w:eastAsia="Book Antiqua" w:hAnsi="Book Antiqua" w:cs="Book Antiqua"/>
          <w:color w:val="000000" w:themeColor="text1"/>
        </w:rPr>
        <w:t>cytochrome P450 (</w:t>
      </w:r>
      <w:r w:rsidRPr="00C81DD8">
        <w:rPr>
          <w:rFonts w:ascii="Book Antiqua" w:eastAsia="Book Antiqua" w:hAnsi="Book Antiqua" w:cs="Book Antiqua"/>
          <w:color w:val="000000" w:themeColor="text1"/>
        </w:rPr>
        <w:t>CYP</w:t>
      </w:r>
      <w:r w:rsidR="00C65C16">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rPr>
        <w:t xml:space="preserve">2C9, CYP3A4, and </w:t>
      </w:r>
      <w:r w:rsidR="0000575F" w:rsidRPr="00C81DD8">
        <w:rPr>
          <w:rFonts w:ascii="Book Antiqua" w:eastAsia="Book Antiqua" w:hAnsi="Book Antiqua" w:cs="Book Antiqua"/>
          <w:color w:val="000000" w:themeColor="text1"/>
        </w:rPr>
        <w:t xml:space="preserve">organic anion-transporting peptides </w:t>
      </w:r>
      <w:r w:rsidR="0000575F">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OATP</w:t>
      </w:r>
      <w:r w:rsidR="0000575F">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rPr>
        <w:t xml:space="preserve">1B1/1B3. MMF is a substrate of OATP and </w:t>
      </w:r>
      <w:r w:rsidR="0000575F">
        <w:rPr>
          <w:rFonts w:ascii="Book Antiqua" w:eastAsia="Book Antiqua" w:hAnsi="Book Antiqua" w:cs="Book Antiqua"/>
          <w:color w:val="000000" w:themeColor="text1"/>
        </w:rPr>
        <w:t>uridine diphosphate</w:t>
      </w:r>
      <w:r w:rsidRPr="00C81DD8">
        <w:rPr>
          <w:rFonts w:ascii="Book Antiqua" w:eastAsia="Book Antiqua" w:hAnsi="Book Antiqua" w:cs="Book Antiqua"/>
          <w:color w:val="000000" w:themeColor="text1"/>
        </w:rPr>
        <w:t xml:space="preserve">-glucuronosyltransferase enzymes. Significant drug-drug interactions are tabulated in </w:t>
      </w:r>
      <w:r w:rsidRPr="00C81DD8">
        <w:rPr>
          <w:rFonts w:ascii="Book Antiqua" w:eastAsia="Book Antiqua" w:hAnsi="Book Antiqua" w:cs="Book Antiqua"/>
          <w:caps/>
          <w:color w:val="000000" w:themeColor="text1"/>
        </w:rPr>
        <w:t>t</w:t>
      </w:r>
      <w:r w:rsidRPr="00C81DD8">
        <w:rPr>
          <w:rFonts w:ascii="Book Antiqua" w:eastAsia="Book Antiqua" w:hAnsi="Book Antiqua" w:cs="Book Antiqua"/>
          <w:color w:val="000000" w:themeColor="text1"/>
        </w:rPr>
        <w:t xml:space="preserve">able 1. </w:t>
      </w:r>
    </w:p>
    <w:p w14:paraId="7229666B"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394B1846" w14:textId="225F3ACE"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aps/>
          <w:color w:val="000000" w:themeColor="text1"/>
          <w:u w:val="single"/>
        </w:rPr>
        <w:t>Remdesivir and other antivirals such as Favipiravir</w:t>
      </w:r>
    </w:p>
    <w:p w14:paraId="10EF0395" w14:textId="31A41E02"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Remdesivir and favipiravir are analogs of adenosine that inhibit SARS-C</w:t>
      </w:r>
      <w:r w:rsidR="00CA5DF9" w:rsidRPr="00C81DD8">
        <w:rPr>
          <w:rFonts w:ascii="Book Antiqua" w:eastAsia="Book Antiqua" w:hAnsi="Book Antiqua" w:cs="Book Antiqua"/>
          <w:color w:val="000000" w:themeColor="text1"/>
        </w:rPr>
        <w:t>o</w:t>
      </w:r>
      <w:r w:rsidRPr="00C81DD8">
        <w:rPr>
          <w:rFonts w:ascii="Book Antiqua" w:eastAsia="Book Antiqua" w:hAnsi="Book Antiqua" w:cs="Book Antiqua"/>
          <w:color w:val="000000" w:themeColor="text1"/>
        </w:rPr>
        <w:t>V</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2 RNA-dependent RNA polymerase, which is needed to replicate the virus</w:t>
      </w:r>
      <w:r w:rsidRPr="00C81DD8">
        <w:rPr>
          <w:rFonts w:ascii="Book Antiqua" w:eastAsia="Book Antiqua" w:hAnsi="Book Antiqua" w:cs="Book Antiqua"/>
          <w:color w:val="000000" w:themeColor="text1"/>
          <w:vertAlign w:val="superscript"/>
        </w:rPr>
        <w:t>[33]</w:t>
      </w:r>
      <w:r w:rsidRPr="00C81DD8">
        <w:rPr>
          <w:rFonts w:ascii="Book Antiqua" w:eastAsia="Book Antiqua" w:hAnsi="Book Antiqua" w:cs="Book Antiqua"/>
          <w:color w:val="000000" w:themeColor="text1"/>
        </w:rPr>
        <w:t xml:space="preserve">. Remdesivir is beneficial, especially in severe cases of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infection. However, its effect is not studied in those patients with e</w:t>
      </w:r>
      <w:r w:rsidR="0000575F">
        <w:rPr>
          <w:rFonts w:ascii="Book Antiqua" w:eastAsia="Book Antiqua" w:hAnsi="Book Antiqua" w:cs="Book Antiqua"/>
          <w:color w:val="000000" w:themeColor="text1"/>
        </w:rPr>
        <w:t>stimated glomerular filtration rate</w:t>
      </w:r>
      <w:r w:rsidRPr="00C81DD8">
        <w:rPr>
          <w:rFonts w:ascii="Book Antiqua" w:eastAsia="Book Antiqua" w:hAnsi="Book Antiqua" w:cs="Book Antiqua"/>
          <w:color w:val="000000" w:themeColor="text1"/>
        </w:rPr>
        <w:t xml:space="preserve"> &lt; 30 m</w:t>
      </w:r>
      <w:r w:rsidRPr="00C81DD8">
        <w:rPr>
          <w:rFonts w:ascii="Book Antiqua" w:eastAsia="Book Antiqua" w:hAnsi="Book Antiqua" w:cs="Book Antiqua"/>
          <w:caps/>
          <w:color w:val="000000" w:themeColor="text1"/>
        </w:rPr>
        <w:t>l</w:t>
      </w:r>
      <w:r w:rsidRPr="00C81DD8">
        <w:rPr>
          <w:rFonts w:ascii="Book Antiqua" w:eastAsia="Book Antiqua" w:hAnsi="Book Antiqua" w:cs="Book Antiqua"/>
          <w:color w:val="000000" w:themeColor="text1"/>
        </w:rPr>
        <w:t>/min per 1.73 m</w:t>
      </w:r>
      <w:r w:rsidRPr="00C81DD8">
        <w:rPr>
          <w:rFonts w:ascii="Book Antiqua" w:eastAsia="Book Antiqua" w:hAnsi="Book Antiqua" w:cs="Book Antiqua"/>
          <w:color w:val="000000" w:themeColor="text1"/>
          <w:vertAlign w:val="superscript"/>
        </w:rPr>
        <w:t>2</w:t>
      </w:r>
      <w:r w:rsidR="0000575F">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rPr>
        <w:t>and it serves as an exclusion criterion for treatment</w:t>
      </w:r>
      <w:r w:rsidRPr="00C81DD8">
        <w:rPr>
          <w:rFonts w:ascii="Book Antiqua" w:eastAsia="Book Antiqua" w:hAnsi="Book Antiqua" w:cs="Book Antiqua"/>
          <w:color w:val="000000" w:themeColor="text1"/>
          <w:vertAlign w:val="superscript"/>
        </w:rPr>
        <w:t>[33,34]</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shd w:val="clear" w:color="auto" w:fill="FFFFFF"/>
        </w:rPr>
        <w:t xml:space="preserve">As of February 2021, remdesivir is the only </w:t>
      </w:r>
      <w:r w:rsidR="0000575F">
        <w:rPr>
          <w:rFonts w:ascii="Book Antiqua" w:eastAsia="Book Antiqua" w:hAnsi="Book Antiqua" w:cs="Book Antiqua"/>
          <w:color w:val="000000" w:themeColor="text1"/>
          <w:shd w:val="clear" w:color="auto" w:fill="FFFFFF"/>
        </w:rPr>
        <w:t>Food and Drug Administration</w:t>
      </w:r>
      <w:r w:rsidRPr="00C81DD8">
        <w:rPr>
          <w:rFonts w:ascii="Book Antiqua" w:eastAsia="Book Antiqua" w:hAnsi="Book Antiqua" w:cs="Book Antiqua"/>
          <w:color w:val="000000" w:themeColor="text1"/>
          <w:shd w:val="clear" w:color="auto" w:fill="FFFFFF"/>
        </w:rPr>
        <w:t xml:space="preserve">-approved antiviral drug used for hospitalized adults and children with severe infection </w:t>
      </w:r>
      <w:r w:rsidRPr="00C81DD8">
        <w:rPr>
          <w:rFonts w:ascii="Book Antiqua" w:eastAsia="Book Antiqua" w:hAnsi="Book Antiqua" w:cs="Book Antiqua"/>
          <w:color w:val="000000" w:themeColor="text1"/>
        </w:rPr>
        <w:t>(low O</w:t>
      </w:r>
      <w:r w:rsidRPr="00671E89">
        <w:rPr>
          <w:rFonts w:ascii="Book Antiqua" w:eastAsia="Book Antiqua" w:hAnsi="Book Antiqua" w:cs="Book Antiqua"/>
          <w:color w:val="000000" w:themeColor="text1"/>
          <w:vertAlign w:val="subscript"/>
        </w:rPr>
        <w:t>2</w:t>
      </w:r>
      <w:r w:rsidRPr="00C81DD8">
        <w:rPr>
          <w:rFonts w:ascii="Book Antiqua" w:eastAsia="Book Antiqua" w:hAnsi="Book Antiqua" w:cs="Book Antiqua"/>
          <w:color w:val="000000" w:themeColor="text1"/>
        </w:rPr>
        <w:t xml:space="preserve"> saturations, requiring significant supplemental oxygen, needing mechanical ventilation) for reducing time to recovery</w:t>
      </w:r>
      <w:r w:rsidRPr="00C81DD8">
        <w:rPr>
          <w:rFonts w:ascii="Book Antiqua" w:eastAsia="Book Antiqua" w:hAnsi="Book Antiqua" w:cs="Book Antiqua"/>
          <w:color w:val="000000" w:themeColor="text1"/>
          <w:vertAlign w:val="superscript"/>
        </w:rPr>
        <w:t>[35]</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i/>
          <w:iCs/>
          <w:color w:val="000000" w:themeColor="text1"/>
        </w:rPr>
        <w:t>In vitro</w:t>
      </w:r>
      <w:r w:rsidRPr="00C81DD8">
        <w:rPr>
          <w:rFonts w:ascii="Book Antiqua" w:eastAsia="Book Antiqua" w:hAnsi="Book Antiqua" w:cs="Book Antiqua"/>
          <w:color w:val="000000" w:themeColor="text1"/>
        </w:rPr>
        <w:t xml:space="preserve">, remdesivir serves as a substrate of CYP3A4 and the drug carriers OATP1B and P-glycoprotein. It also acts as an inhibitor of multiple enzymes, including OATP1B1, CYP3A4, OATP1B3, and </w:t>
      </w:r>
      <w:r w:rsidR="0000575F">
        <w:rPr>
          <w:rFonts w:ascii="Book Antiqua" w:eastAsia="Book Antiqua" w:hAnsi="Book Antiqua" w:cs="Book Antiqua"/>
          <w:color w:val="000000" w:themeColor="text1"/>
        </w:rPr>
        <w:t>m</w:t>
      </w:r>
      <w:r w:rsidRPr="00C81DD8">
        <w:rPr>
          <w:rFonts w:ascii="Book Antiqua" w:eastAsia="Book Antiqua" w:hAnsi="Book Antiqua" w:cs="Book Antiqua"/>
          <w:color w:val="000000" w:themeColor="text1"/>
        </w:rPr>
        <w:t>ultidrug and toxin extrusion protein 1</w:t>
      </w:r>
      <w:r w:rsidRPr="00C81DD8">
        <w:rPr>
          <w:rFonts w:ascii="Book Antiqua" w:eastAsia="Book Antiqua" w:hAnsi="Book Antiqua" w:cs="Book Antiqua"/>
          <w:color w:val="000000" w:themeColor="text1"/>
          <w:vertAlign w:val="superscript"/>
        </w:rPr>
        <w:t>[36]</w:t>
      </w:r>
      <w:r w:rsidRPr="00C81DD8">
        <w:rPr>
          <w:rFonts w:ascii="Book Antiqua" w:eastAsia="Book Antiqua" w:hAnsi="Book Antiqua" w:cs="Book Antiqua"/>
          <w:color w:val="000000" w:themeColor="text1"/>
        </w:rPr>
        <w:t xml:space="preserve">. Favipiravir is more beneficial at least than </w:t>
      </w:r>
      <w:r w:rsidR="0000575F">
        <w:rPr>
          <w:rFonts w:ascii="Book Antiqua" w:eastAsia="Book Antiqua" w:hAnsi="Book Antiqua" w:cs="Book Antiqua"/>
          <w:color w:val="000000" w:themeColor="text1"/>
        </w:rPr>
        <w:t>l</w:t>
      </w:r>
      <w:r w:rsidRPr="00C81DD8">
        <w:rPr>
          <w:rFonts w:ascii="Book Antiqua" w:eastAsia="Book Antiqua" w:hAnsi="Book Antiqua" w:cs="Book Antiqua"/>
          <w:color w:val="000000" w:themeColor="text1"/>
        </w:rPr>
        <w:t xml:space="preserve">opinavir–ritonavir, and its use is authorized in </w:t>
      </w:r>
      <w:r w:rsidR="0000575F">
        <w:rPr>
          <w:rFonts w:ascii="Book Antiqua" w:eastAsia="Book Antiqua" w:hAnsi="Book Antiqua" w:cs="Book Antiqua"/>
          <w:color w:val="000000" w:themeColor="text1"/>
        </w:rPr>
        <w:t>C</w:t>
      </w:r>
      <w:r w:rsidRPr="00C81DD8">
        <w:rPr>
          <w:rFonts w:ascii="Book Antiqua" w:eastAsia="Book Antiqua" w:hAnsi="Book Antiqua" w:cs="Book Antiqua"/>
          <w:color w:val="000000" w:themeColor="text1"/>
        </w:rPr>
        <w:t>hina from February 2020</w:t>
      </w:r>
      <w:r w:rsidRPr="00C81DD8">
        <w:rPr>
          <w:rFonts w:ascii="Book Antiqua" w:eastAsia="Book Antiqua" w:hAnsi="Book Antiqua" w:cs="Book Antiqua"/>
          <w:color w:val="000000" w:themeColor="text1"/>
          <w:vertAlign w:val="superscript"/>
        </w:rPr>
        <w:t>[37]</w:t>
      </w:r>
      <w:r w:rsidRPr="00C81DD8">
        <w:rPr>
          <w:rFonts w:ascii="Book Antiqua" w:eastAsia="Book Antiqua" w:hAnsi="Book Antiqua" w:cs="Book Antiqua"/>
          <w:color w:val="000000" w:themeColor="text1"/>
        </w:rPr>
        <w:t>. Although there are no clear drug-drug interactions between remdesivir and other immunosuppressive agents, careful monitoring of the drug levels is needed given the lack of sufficient data.</w:t>
      </w:r>
    </w:p>
    <w:p w14:paraId="3C692FEA"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2A5FF41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Ivermectin</w:t>
      </w:r>
    </w:p>
    <w:p w14:paraId="3E249051" w14:textId="6FFEE652"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Ivermectin</w:t>
      </w:r>
      <w:r w:rsidRPr="00C81DD8">
        <w:rPr>
          <w:rFonts w:ascii="Book Antiqua" w:eastAsia="Book Antiqua" w:hAnsi="Book Antiqua" w:cs="Book Antiqua"/>
          <w:b/>
          <w:bCs/>
          <w:color w:val="000000" w:themeColor="text1"/>
        </w:rPr>
        <w:t xml:space="preserve"> </w:t>
      </w:r>
      <w:r w:rsidRPr="00C81DD8">
        <w:rPr>
          <w:rFonts w:ascii="Book Antiqua" w:eastAsia="Book Antiqua" w:hAnsi="Book Antiqua" w:cs="Book Antiqua"/>
          <w:color w:val="000000" w:themeColor="text1"/>
        </w:rPr>
        <w:t>is an antiparasitic drug that significantly affects SARS-C</w:t>
      </w:r>
      <w:r w:rsidR="00CA5DF9">
        <w:rPr>
          <w:rFonts w:ascii="Book Antiqua" w:eastAsia="Book Antiqua" w:hAnsi="Book Antiqua" w:cs="Book Antiqua"/>
          <w:color w:val="000000" w:themeColor="text1"/>
        </w:rPr>
        <w:t>o</w:t>
      </w:r>
      <w:r w:rsidRPr="00C81DD8">
        <w:rPr>
          <w:rFonts w:ascii="Book Antiqua" w:eastAsia="Book Antiqua" w:hAnsi="Book Antiqua" w:cs="Book Antiqua"/>
          <w:color w:val="000000" w:themeColor="text1"/>
        </w:rPr>
        <w:t>V</w:t>
      </w:r>
      <w:r w:rsidR="00CA5DF9">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2 </w:t>
      </w:r>
      <w:r w:rsidRPr="00C81DD8">
        <w:rPr>
          <w:rFonts w:ascii="Book Antiqua" w:eastAsia="Book Antiqua" w:hAnsi="Book Antiqua" w:cs="Book Antiqua"/>
          <w:i/>
          <w:iCs/>
          <w:color w:val="000000" w:themeColor="text1"/>
        </w:rPr>
        <w:t>in vitro</w:t>
      </w:r>
      <w:r w:rsidRPr="00C81DD8">
        <w:rPr>
          <w:rFonts w:ascii="Book Antiqua" w:eastAsia="Book Antiqua" w:hAnsi="Book Antiqua" w:cs="Book Antiqua"/>
          <w:color w:val="000000" w:themeColor="text1"/>
        </w:rPr>
        <w:t xml:space="preserve"> with questionable efficacy in clinical trials</w:t>
      </w:r>
      <w:r w:rsidRPr="00C81DD8">
        <w:rPr>
          <w:rFonts w:ascii="Book Antiqua" w:eastAsia="Book Antiqua" w:hAnsi="Book Antiqua" w:cs="Book Antiqua"/>
          <w:color w:val="000000" w:themeColor="text1"/>
          <w:vertAlign w:val="superscript"/>
        </w:rPr>
        <w:t>[38]</w:t>
      </w:r>
      <w:r w:rsidRPr="00C81DD8">
        <w:rPr>
          <w:rFonts w:ascii="Book Antiqua" w:eastAsia="Book Antiqua" w:hAnsi="Book Antiqua" w:cs="Book Antiqua"/>
          <w:color w:val="000000" w:themeColor="text1"/>
        </w:rPr>
        <w:t>. However, it has significant interactions with immunosuppressive medications</w:t>
      </w:r>
      <w:r w:rsidRPr="00C81DD8">
        <w:rPr>
          <w:rFonts w:ascii="Book Antiqua" w:eastAsia="Book Antiqua" w:hAnsi="Book Antiqua" w:cs="Book Antiqua"/>
          <w:color w:val="000000" w:themeColor="text1"/>
          <w:vertAlign w:val="superscript"/>
        </w:rPr>
        <w:t>[39]</w:t>
      </w:r>
      <w:r w:rsidRPr="00C81DD8">
        <w:rPr>
          <w:rFonts w:ascii="Book Antiqua" w:eastAsia="Book Antiqua" w:hAnsi="Book Antiqua" w:cs="Book Antiqua"/>
          <w:color w:val="000000" w:themeColor="text1"/>
        </w:rPr>
        <w:t>.</w:t>
      </w:r>
    </w:p>
    <w:p w14:paraId="1BC14B78"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178FE7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Chloroquine/hydroxychloroquine</w:t>
      </w:r>
    </w:p>
    <w:p w14:paraId="79C77DE3" w14:textId="7D0BAAF6"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Both the chloroquine (CL) and hydroxychloroquine (HCL) are potent inhibitors of the SARS-CoV-1 and other coronaviruses </w:t>
      </w:r>
      <w:r w:rsidRPr="00671E89">
        <w:rPr>
          <w:rFonts w:ascii="Book Antiqua" w:eastAsia="Book Antiqua" w:hAnsi="Book Antiqua" w:cs="Book Antiqua"/>
          <w:i/>
          <w:iCs/>
          <w:color w:val="000000" w:themeColor="text1"/>
        </w:rPr>
        <w:t>in vitro</w:t>
      </w:r>
      <w:r w:rsidRPr="00C81DD8">
        <w:rPr>
          <w:rFonts w:ascii="Book Antiqua" w:eastAsia="Book Antiqua" w:hAnsi="Book Antiqua" w:cs="Book Antiqua"/>
          <w:color w:val="000000" w:themeColor="text1"/>
        </w:rPr>
        <w:t>, but they have also been used to treat the novel coronavirus</w:t>
      </w:r>
      <w:r w:rsidRPr="00C81DD8">
        <w:rPr>
          <w:rFonts w:ascii="Book Antiqua" w:eastAsia="Book Antiqua" w:hAnsi="Book Antiqua" w:cs="Book Antiqua"/>
          <w:color w:val="000000" w:themeColor="text1"/>
          <w:vertAlign w:val="superscript"/>
        </w:rPr>
        <w:t>[40]</w:t>
      </w:r>
      <w:r w:rsidRPr="00C81DD8">
        <w:rPr>
          <w:rFonts w:ascii="Book Antiqua" w:eastAsia="Book Antiqua" w:hAnsi="Book Antiqua" w:cs="Book Antiqua"/>
          <w:color w:val="000000" w:themeColor="text1"/>
        </w:rPr>
        <w:t xml:space="preserve">. It has been shown that both CL and HCL increase the blood level of cyclosporine, tacrolimus, and </w:t>
      </w:r>
      <w:r w:rsidR="00F9179F">
        <w:rPr>
          <w:rFonts w:ascii="Book Antiqua" w:eastAsia="Book Antiqua" w:hAnsi="Book Antiqua" w:cs="Book Antiqua"/>
          <w:color w:val="000000" w:themeColor="text1"/>
        </w:rPr>
        <w:t>mammalian target of rapamycin (</w:t>
      </w:r>
      <w:r w:rsidRPr="00C81DD8">
        <w:rPr>
          <w:rFonts w:ascii="Book Antiqua" w:eastAsia="Book Antiqua" w:hAnsi="Book Antiqua" w:cs="Book Antiqua"/>
          <w:color w:val="000000" w:themeColor="text1"/>
        </w:rPr>
        <w:t>mTOR</w:t>
      </w:r>
      <w:r w:rsidR="00F9179F">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when used simultaneously. However, given the long half-life of CL/HCL, closer monitoring of the trough levels is not recommended. Generally, there is no need for dose adjustment when used in patients with reduced </w:t>
      </w:r>
      <w:r w:rsidR="0000575F" w:rsidRPr="00C81DD8">
        <w:rPr>
          <w:rFonts w:ascii="Book Antiqua" w:eastAsia="Book Antiqua" w:hAnsi="Book Antiqua" w:cs="Book Antiqua"/>
          <w:color w:val="000000" w:themeColor="text1"/>
        </w:rPr>
        <w:t>e</w:t>
      </w:r>
      <w:r w:rsidR="0000575F">
        <w:rPr>
          <w:rFonts w:ascii="Book Antiqua" w:eastAsia="Book Antiqua" w:hAnsi="Book Antiqua" w:cs="Book Antiqua"/>
          <w:color w:val="000000" w:themeColor="text1"/>
        </w:rPr>
        <w:t>stimated glomerular filtration rate</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i/>
          <w:iCs/>
          <w:color w:val="000000" w:themeColor="text1"/>
        </w:rPr>
        <w:t>i.e.</w:t>
      </w:r>
      <w:r w:rsidRPr="00C81DD8">
        <w:rPr>
          <w:rFonts w:ascii="Book Antiqua" w:eastAsia="Book Antiqua" w:hAnsi="Book Antiqua" w:cs="Book Antiqua"/>
          <w:color w:val="000000" w:themeColor="text1"/>
        </w:rPr>
        <w:t xml:space="preserve"> &lt; 30 m</w:t>
      </w:r>
      <w:r w:rsidRPr="00C81DD8">
        <w:rPr>
          <w:rFonts w:ascii="Book Antiqua" w:eastAsia="Book Antiqua" w:hAnsi="Book Antiqua" w:cs="Book Antiqua"/>
          <w:caps/>
          <w:color w:val="000000" w:themeColor="text1"/>
        </w:rPr>
        <w:t>l</w:t>
      </w:r>
      <w:r w:rsidRPr="00C81DD8">
        <w:rPr>
          <w:rFonts w:ascii="Book Antiqua" w:eastAsia="Book Antiqua" w:hAnsi="Book Antiqua" w:cs="Book Antiqua"/>
          <w:color w:val="000000" w:themeColor="text1"/>
        </w:rPr>
        <w:t>/min</w:t>
      </w:r>
      <w:r w:rsidRPr="00C81DD8">
        <w:rPr>
          <w:rFonts w:ascii="Book Antiqua" w:eastAsia="Book Antiqua" w:hAnsi="Book Antiqua" w:cs="Book Antiqua"/>
          <w:color w:val="000000" w:themeColor="text1"/>
          <w:vertAlign w:val="superscript"/>
        </w:rPr>
        <w:t>[41]</w:t>
      </w:r>
      <w:r w:rsidRPr="00C81DD8">
        <w:rPr>
          <w:rFonts w:ascii="Book Antiqua" w:eastAsia="Book Antiqua" w:hAnsi="Book Antiqua" w:cs="Book Antiqua"/>
          <w:color w:val="000000" w:themeColor="text1"/>
        </w:rPr>
        <w:t xml:space="preserve">. </w:t>
      </w:r>
    </w:p>
    <w:p w14:paraId="7535590F"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AA68E5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Lopinavir–ritonavir and darunavir–cobicistat</w:t>
      </w:r>
    </w:p>
    <w:p w14:paraId="02B02748" w14:textId="070A353D"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These medications are in use more in the early phases of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infection. Lopinavir and ritonavir are protease inhibitors that block cytochrome P4503A. CNI</w:t>
      </w:r>
      <w:r w:rsidR="0000575F">
        <w:rPr>
          <w:rFonts w:ascii="Book Antiqua" w:eastAsia="Book Antiqua" w:hAnsi="Book Antiqua" w:cs="Book Antiqua"/>
          <w:color w:val="000000" w:themeColor="text1"/>
        </w:rPr>
        <w:t>s</w:t>
      </w:r>
      <w:r w:rsidRPr="00C81DD8">
        <w:rPr>
          <w:rFonts w:ascii="Book Antiqua" w:eastAsia="Book Antiqua" w:hAnsi="Book Antiqua" w:cs="Book Antiqua"/>
          <w:color w:val="000000" w:themeColor="text1"/>
        </w:rPr>
        <w:t xml:space="preserve"> and mTOR inhibitors should be withdrawn entirely if they receive ritonavir or cobicistat</w:t>
      </w:r>
      <w:r w:rsidRPr="00C81DD8">
        <w:rPr>
          <w:rFonts w:ascii="Book Antiqua" w:eastAsia="Book Antiqua" w:hAnsi="Book Antiqua" w:cs="Book Antiqua"/>
          <w:color w:val="000000" w:themeColor="text1"/>
          <w:vertAlign w:val="superscript"/>
        </w:rPr>
        <w:t>[42]</w:t>
      </w:r>
      <w:r w:rsidRPr="00C81DD8">
        <w:rPr>
          <w:rFonts w:ascii="Book Antiqua" w:eastAsia="Book Antiqua" w:hAnsi="Book Antiqua" w:cs="Book Antiqua"/>
          <w:color w:val="000000" w:themeColor="text1"/>
        </w:rPr>
        <w:t xml:space="preserve">. Tacrolimus levels </w:t>
      </w:r>
      <w:r w:rsidR="00F9179F">
        <w:rPr>
          <w:rFonts w:ascii="Book Antiqua" w:eastAsia="Book Antiqua" w:hAnsi="Book Antiqua" w:cs="Book Antiqua"/>
          <w:color w:val="000000" w:themeColor="text1"/>
        </w:rPr>
        <w:t>we</w:t>
      </w:r>
      <w:r w:rsidRPr="00C81DD8">
        <w:rPr>
          <w:rFonts w:ascii="Book Antiqua" w:eastAsia="Book Antiqua" w:hAnsi="Book Antiqua" w:cs="Book Antiqua"/>
          <w:color w:val="000000" w:themeColor="text1"/>
        </w:rPr>
        <w:t xml:space="preserve">re elevated when treated with </w:t>
      </w:r>
      <w:r w:rsidR="00F9179F">
        <w:rPr>
          <w:rFonts w:ascii="Book Antiqua" w:eastAsia="Book Antiqua" w:hAnsi="Book Antiqua" w:cs="Book Antiqua"/>
          <w:color w:val="000000" w:themeColor="text1"/>
        </w:rPr>
        <w:t>l</w:t>
      </w:r>
      <w:r w:rsidRPr="00C81DD8">
        <w:rPr>
          <w:rFonts w:ascii="Book Antiqua" w:eastAsia="Book Antiqua" w:hAnsi="Book Antiqua" w:cs="Book Antiqua"/>
          <w:color w:val="000000" w:themeColor="text1"/>
        </w:rPr>
        <w:t>opinavir and ritonavir in a kidney transplant patient, which went down to normal levels when switched to favipiravir</w:t>
      </w:r>
      <w:r w:rsidRPr="00C81DD8">
        <w:rPr>
          <w:rFonts w:ascii="Book Antiqua" w:eastAsia="Book Antiqua" w:hAnsi="Book Antiqua" w:cs="Book Antiqua"/>
          <w:color w:val="000000" w:themeColor="text1"/>
          <w:vertAlign w:val="superscript"/>
        </w:rPr>
        <w:t>[43]</w:t>
      </w:r>
      <w:r w:rsidRPr="00C81DD8">
        <w:rPr>
          <w:rFonts w:ascii="Book Antiqua" w:eastAsia="Book Antiqua" w:hAnsi="Book Antiqua" w:cs="Book Antiqua"/>
          <w:color w:val="000000" w:themeColor="text1"/>
        </w:rPr>
        <w:t>. It must be mentioned that none of these medications have shown any clear benefit</w:t>
      </w:r>
      <w:r w:rsidRPr="00C81DD8">
        <w:rPr>
          <w:rFonts w:ascii="Book Antiqua" w:eastAsia="Book Antiqua" w:hAnsi="Book Antiqua" w:cs="Book Antiqua"/>
          <w:color w:val="000000" w:themeColor="text1"/>
          <w:vertAlign w:val="superscript"/>
        </w:rPr>
        <w:t>[44]</w:t>
      </w:r>
      <w:r w:rsidRPr="00C81DD8">
        <w:rPr>
          <w:rFonts w:ascii="Book Antiqua" w:eastAsia="Book Antiqua" w:hAnsi="Book Antiqua" w:cs="Book Antiqua"/>
          <w:color w:val="000000" w:themeColor="text1"/>
        </w:rPr>
        <w:t>.</w:t>
      </w:r>
    </w:p>
    <w:p w14:paraId="3ADFB00D"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3271B3B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Role of corticosteroids</w:t>
      </w:r>
    </w:p>
    <w:p w14:paraId="4F08983F" w14:textId="2DA91976"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Steroids have a pivotal role in suppressing cytokine storm and decreasing inflammatory cell migration. The RECOVERY trial has shown a significant decrease in mortality risk using daily dexamethasone in patients requiring supplemental O</w:t>
      </w:r>
      <w:r w:rsidRPr="00671E89">
        <w:rPr>
          <w:rFonts w:ascii="Book Antiqua" w:eastAsia="Book Antiqua" w:hAnsi="Book Antiqua" w:cs="Book Antiqua"/>
          <w:color w:val="000000" w:themeColor="text1"/>
          <w:vertAlign w:val="subscript"/>
        </w:rPr>
        <w:t>2</w:t>
      </w:r>
      <w:r w:rsidRPr="00C81DD8">
        <w:rPr>
          <w:rFonts w:ascii="Book Antiqua" w:eastAsia="Book Antiqua" w:hAnsi="Book Antiqua" w:cs="Book Antiqua"/>
          <w:color w:val="000000" w:themeColor="text1"/>
        </w:rPr>
        <w:t>. The W</w:t>
      </w:r>
      <w:r w:rsidR="00A57AEB">
        <w:rPr>
          <w:rFonts w:ascii="Book Antiqua" w:eastAsia="Book Antiqua" w:hAnsi="Book Antiqua" w:cs="Book Antiqua"/>
          <w:color w:val="000000" w:themeColor="text1"/>
        </w:rPr>
        <w:t xml:space="preserve">orld Health Organization </w:t>
      </w:r>
      <w:r w:rsidRPr="00C81DD8">
        <w:rPr>
          <w:rFonts w:ascii="Book Antiqua" w:eastAsia="Book Antiqua" w:hAnsi="Book Antiqua" w:cs="Book Antiqua"/>
          <w:color w:val="000000" w:themeColor="text1"/>
        </w:rPr>
        <w:t xml:space="preserve">later included that in their recommendations for treating a severe form of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disease</w:t>
      </w:r>
      <w:r w:rsidRPr="00C81DD8">
        <w:rPr>
          <w:rFonts w:ascii="Book Antiqua" w:eastAsia="Book Antiqua" w:hAnsi="Book Antiqua" w:cs="Book Antiqua"/>
          <w:color w:val="000000" w:themeColor="text1"/>
          <w:vertAlign w:val="superscript"/>
        </w:rPr>
        <w:t>[45]</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shd w:val="clear" w:color="auto" w:fill="FFFFFF"/>
        </w:rPr>
        <w:t xml:space="preserve">Dexamethasone and methylprednisolone may lower tacrolimus concentrations through induction of </w:t>
      </w:r>
      <w:r w:rsidRPr="00C81DD8">
        <w:rPr>
          <w:rFonts w:ascii="Book Antiqua" w:eastAsia="Book Antiqua" w:hAnsi="Book Antiqua" w:cs="Book Antiqua"/>
          <w:color w:val="000000" w:themeColor="text1"/>
        </w:rPr>
        <w:t>CYP3A4 or, more likely, CYP3A5</w:t>
      </w:r>
      <w:r w:rsidRPr="00C81DD8">
        <w:rPr>
          <w:rFonts w:ascii="Book Antiqua" w:eastAsia="Book Antiqua" w:hAnsi="Book Antiqua" w:cs="Book Antiqua"/>
          <w:color w:val="000000" w:themeColor="text1"/>
          <w:vertAlign w:val="superscript"/>
        </w:rPr>
        <w:t>[46]</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shd w:val="clear" w:color="auto" w:fill="FFFFFF"/>
        </w:rPr>
        <w:t xml:space="preserve">Therefore, closer monitoring of tacrolimus/sirolimus may be needed when steroids are in use. </w:t>
      </w:r>
    </w:p>
    <w:p w14:paraId="17C59323"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11AA6EEC" w14:textId="77777777" w:rsidR="00A77B3E" w:rsidRPr="00CA5DF9" w:rsidRDefault="00C573F3" w:rsidP="00C81DD8">
      <w:pPr>
        <w:adjustRightInd w:val="0"/>
        <w:snapToGrid w:val="0"/>
        <w:spacing w:line="360" w:lineRule="auto"/>
        <w:jc w:val="both"/>
        <w:rPr>
          <w:rFonts w:ascii="Book Antiqua" w:hAnsi="Book Antiqua"/>
          <w:b/>
          <w:bCs/>
          <w:color w:val="000000" w:themeColor="text1"/>
        </w:rPr>
      </w:pPr>
      <w:r w:rsidRPr="00C81DD8">
        <w:rPr>
          <w:rFonts w:ascii="Book Antiqua" w:eastAsia="Book Antiqua" w:hAnsi="Book Antiqua" w:cs="Book Antiqua"/>
          <w:b/>
          <w:bCs/>
          <w:i/>
          <w:iCs/>
          <w:color w:val="000000" w:themeColor="text1"/>
        </w:rPr>
        <w:lastRenderedPageBreak/>
        <w:t>Role of tocilizumab and sarilumab (anti-interleukin-6/interleukin-</w:t>
      </w:r>
      <w:r w:rsidRPr="00C65C16">
        <w:rPr>
          <w:rFonts w:ascii="Book Antiqua" w:eastAsia="Book Antiqua" w:hAnsi="Book Antiqua" w:cs="Book Antiqua"/>
          <w:b/>
          <w:bCs/>
          <w:i/>
          <w:iCs/>
          <w:color w:val="000000" w:themeColor="text1"/>
        </w:rPr>
        <w:t xml:space="preserve">6R </w:t>
      </w:r>
      <w:r w:rsidRPr="00671E89">
        <w:rPr>
          <w:rFonts w:ascii="Book Antiqua" w:eastAsia="Book Antiqua" w:hAnsi="Book Antiqua" w:cs="Book Antiqua"/>
          <w:b/>
          <w:bCs/>
          <w:i/>
          <w:iCs/>
          <w:color w:val="000000" w:themeColor="text1"/>
        </w:rPr>
        <w:t>monoclonal antibodies)</w:t>
      </w:r>
    </w:p>
    <w:p w14:paraId="526E18F8" w14:textId="546CC8A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It is thought that COVID-19 infection induces the release of interleukin (IL)-6, a pro-inflammatory cytokine produced by several other cell types, including bronchial epithelial cells. Tocilizumab is a recombinant monoclonal antibody against the anti-IL-6 receptor used for rheumatologic disorders and cytokine release syndrom</w:t>
      </w:r>
      <w:r w:rsidR="00C65C16">
        <w:rPr>
          <w:rFonts w:ascii="Book Antiqua" w:eastAsia="Book Antiqua" w:hAnsi="Book Antiqua" w:cs="Book Antiqua"/>
          <w:color w:val="000000" w:themeColor="text1"/>
        </w:rPr>
        <w:t>e</w:t>
      </w:r>
      <w:r w:rsidRPr="00C81DD8">
        <w:rPr>
          <w:rFonts w:ascii="Book Antiqua" w:eastAsia="Book Antiqua" w:hAnsi="Book Antiqua" w:cs="Book Antiqua"/>
          <w:color w:val="000000" w:themeColor="text1"/>
          <w:vertAlign w:val="superscript"/>
        </w:rPr>
        <w:t>[47]</w:t>
      </w:r>
      <w:r w:rsidRPr="00C81DD8">
        <w:rPr>
          <w:rFonts w:ascii="Book Antiqua" w:eastAsia="Book Antiqua" w:hAnsi="Book Antiqua" w:cs="Book Antiqua"/>
          <w:color w:val="000000" w:themeColor="text1"/>
        </w:rPr>
        <w:t xml:space="preserve">. Tocilizumab, safe in renal dysfunction, was successfully used in </w:t>
      </w:r>
      <w:r w:rsidR="00C65C16">
        <w:rPr>
          <w:rFonts w:ascii="Book Antiqua" w:eastAsia="Book Antiqua" w:hAnsi="Book Antiqua" w:cs="Book Antiqua"/>
          <w:color w:val="000000" w:themeColor="text1"/>
        </w:rPr>
        <w:t>C</w:t>
      </w:r>
      <w:r w:rsidRPr="00C81DD8">
        <w:rPr>
          <w:rFonts w:ascii="Book Antiqua" w:eastAsia="Book Antiqua" w:hAnsi="Book Antiqua" w:cs="Book Antiqua"/>
          <w:color w:val="000000" w:themeColor="text1"/>
        </w:rPr>
        <w:t xml:space="preserve">hina and is currently in use for severe hyperinflammatory syndrome, often requiring mechanical ventilation. By that time, in transplant patients, immunosuppressive agents such as CNIs, MMF, azathioprine, and mTOR inhibitors are already withdrawn. Generally, tocilizumab is not recommended if the </w:t>
      </w:r>
      <w:r w:rsidR="00C65C16">
        <w:rPr>
          <w:rFonts w:ascii="Book Antiqua" w:eastAsia="Book Antiqua" w:hAnsi="Book Antiqua" w:cs="Book Antiqua"/>
          <w:color w:val="000000" w:themeColor="text1"/>
        </w:rPr>
        <w:t xml:space="preserve">white blood cell </w:t>
      </w:r>
      <w:r w:rsidRPr="00C81DD8">
        <w:rPr>
          <w:rFonts w:ascii="Book Antiqua" w:eastAsia="Book Antiqua" w:hAnsi="Book Antiqua" w:cs="Book Antiqua"/>
          <w:color w:val="000000" w:themeColor="text1"/>
        </w:rPr>
        <w:t>is &lt; 1000/mm</w:t>
      </w:r>
      <w:r w:rsidRPr="00C81DD8">
        <w:rPr>
          <w:rFonts w:ascii="Book Antiqua" w:eastAsia="Book Antiqua" w:hAnsi="Book Antiqua" w:cs="Book Antiqua"/>
          <w:color w:val="000000" w:themeColor="text1"/>
          <w:vertAlign w:val="superscript"/>
        </w:rPr>
        <w:t>3[47,48]</w:t>
      </w:r>
      <w:r w:rsidRPr="00C81DD8">
        <w:rPr>
          <w:rFonts w:ascii="Book Antiqua" w:eastAsia="Book Antiqua" w:hAnsi="Book Antiqua" w:cs="Book Antiqua"/>
          <w:color w:val="000000" w:themeColor="text1"/>
        </w:rPr>
        <w:t>.</w:t>
      </w:r>
    </w:p>
    <w:p w14:paraId="64C0B5A3" w14:textId="6C5A8103"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 xml:space="preserve">One-third of patients who received tocilizumab had a reactivation of </w:t>
      </w:r>
      <w:r w:rsidR="000B3EFA">
        <w:rPr>
          <w:rFonts w:ascii="Book Antiqua" w:eastAsia="Book Antiqua" w:hAnsi="Book Antiqua" w:cs="Book Antiqua"/>
          <w:color w:val="000000" w:themeColor="text1"/>
        </w:rPr>
        <w:t>cytomegalovirus</w:t>
      </w:r>
      <w:r w:rsidRPr="00C81DD8">
        <w:rPr>
          <w:rFonts w:ascii="Book Antiqua" w:eastAsia="Book Antiqua" w:hAnsi="Book Antiqua" w:cs="Book Antiqua"/>
          <w:color w:val="000000" w:themeColor="text1"/>
        </w:rPr>
        <w:t>, but this was not much higher than the control group. This is suggestive that the immunocompromised state from the steroids and critical illness may be more contributory to this viral activation. Thrombotic complications such as venous thrombosis or cerebrovascular events were also very similar to the control groups. Tocilizumab seems to be safe overall, similar to COVID-19 patients among solid organ transplant and non-solid organ transplant patients</w:t>
      </w:r>
      <w:r w:rsidRPr="00C81DD8">
        <w:rPr>
          <w:rFonts w:ascii="Book Antiqua" w:eastAsia="Book Antiqua" w:hAnsi="Book Antiqua" w:cs="Book Antiqua"/>
          <w:color w:val="000000" w:themeColor="text1"/>
          <w:vertAlign w:val="superscript"/>
        </w:rPr>
        <w:t>[49]</w:t>
      </w:r>
      <w:r w:rsidRPr="00C81DD8">
        <w:rPr>
          <w:rFonts w:ascii="Book Antiqua" w:eastAsia="Book Antiqua" w:hAnsi="Book Antiqua" w:cs="Book Antiqua"/>
          <w:color w:val="000000" w:themeColor="text1"/>
        </w:rPr>
        <w:t>.</w:t>
      </w:r>
    </w:p>
    <w:p w14:paraId="50051C5C"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6F1DCFB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Intravenous immunoglobulins</w:t>
      </w:r>
    </w:p>
    <w:p w14:paraId="65B64E3C" w14:textId="0CECE2E0"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Some studies reported a beneficial effect while using a high dose of intravenous immunoglobulins in managing severe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infection to combat endothelial activation and counteract inflammation</w:t>
      </w:r>
      <w:r w:rsidRPr="00C81DD8">
        <w:rPr>
          <w:rFonts w:ascii="Book Antiqua" w:eastAsia="Book Antiqua" w:hAnsi="Book Antiqua" w:cs="Book Antiqua"/>
          <w:color w:val="000000" w:themeColor="text1"/>
          <w:vertAlign w:val="superscript"/>
        </w:rPr>
        <w:t>[50]</w:t>
      </w:r>
      <w:r w:rsidRPr="00C81DD8">
        <w:rPr>
          <w:rFonts w:ascii="Book Antiqua" w:eastAsia="Book Antiqua" w:hAnsi="Book Antiqua" w:cs="Book Antiqua"/>
          <w:color w:val="000000" w:themeColor="text1"/>
        </w:rPr>
        <w:t>.</w:t>
      </w:r>
    </w:p>
    <w:p w14:paraId="1DE43AD3"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57B1812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aps/>
          <w:color w:val="000000" w:themeColor="text1"/>
          <w:u w:val="single"/>
        </w:rPr>
        <w:t>Role of using Convalescent plasma and hyperimmune immunoglobulins</w:t>
      </w:r>
    </w:p>
    <w:p w14:paraId="4FB3859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Transferring a passive immunity from a healed patient through convalescent plasma has shown promising results, and more trials are underway</w:t>
      </w:r>
      <w:r w:rsidRPr="00C81DD8">
        <w:rPr>
          <w:rFonts w:ascii="Book Antiqua" w:eastAsia="Book Antiqua" w:hAnsi="Book Antiqua" w:cs="Book Antiqua"/>
          <w:color w:val="000000" w:themeColor="text1"/>
          <w:vertAlign w:val="superscript"/>
        </w:rPr>
        <w:t>[51,52]</w:t>
      </w:r>
      <w:r w:rsidRPr="00C81DD8">
        <w:rPr>
          <w:rFonts w:ascii="Book Antiqua" w:eastAsia="Book Antiqua" w:hAnsi="Book Antiqua" w:cs="Book Antiqua"/>
          <w:color w:val="000000" w:themeColor="text1"/>
        </w:rPr>
        <w:t>.</w:t>
      </w:r>
    </w:p>
    <w:p w14:paraId="35199B79"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326E36B7" w14:textId="77777777" w:rsidR="00A77B3E" w:rsidRPr="00C81DD8" w:rsidRDefault="00C573F3" w:rsidP="00C81DD8">
      <w:pPr>
        <w:adjustRightInd w:val="0"/>
        <w:snapToGrid w:val="0"/>
        <w:spacing w:line="360" w:lineRule="auto"/>
        <w:jc w:val="both"/>
        <w:rPr>
          <w:rFonts w:ascii="Book Antiqua" w:hAnsi="Book Antiqua"/>
          <w:color w:val="000000" w:themeColor="text1"/>
        </w:rPr>
      </w:pPr>
      <w:bookmarkStart w:id="18" w:name="OLE_LINK253"/>
      <w:bookmarkStart w:id="19" w:name="OLE_LINK254"/>
      <w:r w:rsidRPr="00C81DD8">
        <w:rPr>
          <w:rFonts w:ascii="Book Antiqua" w:eastAsia="Book Antiqua" w:hAnsi="Book Antiqua" w:cs="Book Antiqua"/>
          <w:b/>
          <w:bCs/>
          <w:caps/>
          <w:color w:val="000000" w:themeColor="text1"/>
          <w:u w:val="single"/>
        </w:rPr>
        <w:t>COVID-19 vaccine</w:t>
      </w:r>
    </w:p>
    <w:bookmarkEnd w:id="18"/>
    <w:bookmarkEnd w:id="19"/>
    <w:p w14:paraId="4935E87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The first </w:t>
      </w:r>
      <w:r w:rsidRPr="00C81DD8">
        <w:rPr>
          <w:rFonts w:ascii="Book Antiqua" w:eastAsia="Book Antiqua" w:hAnsi="Book Antiqua" w:cs="Book Antiqua"/>
          <w:caps/>
          <w:color w:val="000000" w:themeColor="text1"/>
        </w:rPr>
        <w:t>covid</w:t>
      </w:r>
      <w:r w:rsidRPr="00C81DD8">
        <w:rPr>
          <w:rFonts w:ascii="Book Antiqua" w:eastAsia="Book Antiqua" w:hAnsi="Book Antiqua" w:cs="Book Antiqua"/>
          <w:color w:val="000000" w:themeColor="text1"/>
        </w:rPr>
        <w:t>-19 vaccines were given in the United States in December of 2020. The vaccines used new technology with messenger RNA. These vaccines were initially targeted for the geriatric population and later to those of high risk, eventually making it down to the general public. Amongst this population of high-risk patients was where those with organ transplants reside.</w:t>
      </w:r>
    </w:p>
    <w:p w14:paraId="34230859" w14:textId="4A22C1B6"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Many studies were published regarding this population. Renal function should be closely monitored after the vaccine as there is an increased chance of rejection, especially if booster vaccines may be required</w:t>
      </w:r>
      <w:r w:rsidRPr="00C81DD8">
        <w:rPr>
          <w:rFonts w:ascii="Book Antiqua" w:eastAsia="Book Antiqua" w:hAnsi="Book Antiqua" w:cs="Book Antiqua"/>
          <w:color w:val="000000" w:themeColor="text1"/>
          <w:vertAlign w:val="superscript"/>
        </w:rPr>
        <w:t>[53]</w:t>
      </w:r>
      <w:r w:rsidRPr="00C81DD8">
        <w:rPr>
          <w:rFonts w:ascii="Book Antiqua" w:eastAsia="Book Antiqua" w:hAnsi="Book Antiqua" w:cs="Book Antiqua"/>
          <w:color w:val="000000" w:themeColor="text1"/>
        </w:rPr>
        <w:t>. Because this group is immunocompromised, there was concern that their body would not be able to elicit an appropriate response to make antibodies. A study published in kidney international showed that 85% of patients had made the appropriate antibodies 6 mo after the vaccines</w:t>
      </w:r>
      <w:r w:rsidRPr="00C81DD8">
        <w:rPr>
          <w:rFonts w:ascii="Book Antiqua" w:eastAsia="Book Antiqua" w:hAnsi="Book Antiqua" w:cs="Book Antiqua"/>
          <w:color w:val="000000" w:themeColor="text1"/>
          <w:vertAlign w:val="superscript"/>
        </w:rPr>
        <w:t>[54]</w:t>
      </w:r>
      <w:r w:rsidRPr="00C81DD8">
        <w:rPr>
          <w:rFonts w:ascii="Book Antiqua" w:eastAsia="Book Antiqua" w:hAnsi="Book Antiqua" w:cs="Book Antiqua"/>
          <w:color w:val="000000" w:themeColor="text1"/>
        </w:rPr>
        <w:t xml:space="preserve">. Another study in Germany demonstrated that 22% of the post-renal transplant patients had antibodies but were only tested </w:t>
      </w:r>
      <w:r w:rsidR="00C65C16">
        <w:rPr>
          <w:rFonts w:ascii="Book Antiqua" w:eastAsia="Book Antiqua" w:hAnsi="Book Antiqua" w:cs="Book Antiqua"/>
          <w:color w:val="000000" w:themeColor="text1"/>
        </w:rPr>
        <w:t>2 wk</w:t>
      </w:r>
      <w:r w:rsidRPr="00C81DD8">
        <w:rPr>
          <w:rFonts w:ascii="Book Antiqua" w:eastAsia="Book Antiqua" w:hAnsi="Book Antiqua" w:cs="Book Antiqua"/>
          <w:color w:val="000000" w:themeColor="text1"/>
        </w:rPr>
        <w:t xml:space="preserve"> after vaccination</w:t>
      </w:r>
      <w:r w:rsidRPr="00C81DD8">
        <w:rPr>
          <w:rFonts w:ascii="Book Antiqua" w:eastAsia="Book Antiqua" w:hAnsi="Book Antiqua" w:cs="Book Antiqua"/>
          <w:color w:val="000000" w:themeColor="text1"/>
          <w:vertAlign w:val="superscript"/>
        </w:rPr>
        <w:t>[55]</w:t>
      </w:r>
      <w:r w:rsidRPr="00C81DD8">
        <w:rPr>
          <w:rFonts w:ascii="Book Antiqua" w:eastAsia="Book Antiqua" w:hAnsi="Book Antiqua" w:cs="Book Antiqua"/>
          <w:color w:val="000000" w:themeColor="text1"/>
        </w:rPr>
        <w:t>. The efficacy is not very clear in this immunocompromised population. In patients who have received the vaccine and had worsening kidney function, pulsatile steroids were given to a patient whose creatinine was increased and showed marked improvement</w:t>
      </w:r>
      <w:r w:rsidRPr="00C81DD8">
        <w:rPr>
          <w:rFonts w:ascii="Book Antiqua" w:eastAsia="Book Antiqua" w:hAnsi="Book Antiqua" w:cs="Book Antiqua"/>
          <w:color w:val="000000" w:themeColor="text1"/>
          <w:vertAlign w:val="superscript"/>
        </w:rPr>
        <w:t>[53]</w:t>
      </w:r>
      <w:r w:rsidRPr="00C81DD8">
        <w:rPr>
          <w:rFonts w:ascii="Book Antiqua" w:eastAsia="Book Antiqua" w:hAnsi="Book Antiqua" w:cs="Book Antiqua"/>
          <w:color w:val="000000" w:themeColor="text1"/>
        </w:rPr>
        <w:t>. The best solution would appear to be to get the vaccine but still abide by other appropriate precautions such as social distancing, face coverings, and hand hygiene</w:t>
      </w:r>
      <w:r w:rsidRPr="00C81DD8">
        <w:rPr>
          <w:rFonts w:ascii="Book Antiqua" w:eastAsia="Book Antiqua" w:hAnsi="Book Antiqua" w:cs="Book Antiqua"/>
          <w:color w:val="000000" w:themeColor="text1"/>
          <w:vertAlign w:val="superscript"/>
        </w:rPr>
        <w:t>[56]</w:t>
      </w:r>
      <w:r w:rsidRPr="00C81DD8">
        <w:rPr>
          <w:rFonts w:ascii="Book Antiqua" w:eastAsia="Book Antiqua" w:hAnsi="Book Antiqua" w:cs="Book Antiqua"/>
          <w:color w:val="000000" w:themeColor="text1"/>
        </w:rPr>
        <w:t>.</w:t>
      </w:r>
    </w:p>
    <w:p w14:paraId="3F041B3E"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1B95FC5B" w14:textId="0169F1AC"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aps/>
          <w:color w:val="000000" w:themeColor="text1"/>
          <w:u w:val="single"/>
        </w:rPr>
        <w:t xml:space="preserve">Advice for renal transplant recipients with or at risk of </w:t>
      </w:r>
      <w:r w:rsidR="00CA5DF9">
        <w:rPr>
          <w:rFonts w:ascii="Book Antiqua" w:eastAsia="Book Antiqua" w:hAnsi="Book Antiqua" w:cs="Book Antiqua"/>
          <w:b/>
          <w:bCs/>
          <w:caps/>
          <w:color w:val="000000" w:themeColor="text1"/>
          <w:u w:val="single"/>
        </w:rPr>
        <w:t>COVID-19</w:t>
      </w:r>
      <w:r w:rsidRPr="00C81DD8">
        <w:rPr>
          <w:rFonts w:ascii="Book Antiqua" w:eastAsia="Book Antiqua" w:hAnsi="Book Antiqua" w:cs="Book Antiqua"/>
          <w:b/>
          <w:bCs/>
          <w:caps/>
          <w:color w:val="000000" w:themeColor="text1"/>
          <w:u w:val="single"/>
        </w:rPr>
        <w:t xml:space="preserve"> infection</w:t>
      </w:r>
    </w:p>
    <w:p w14:paraId="63FEF8F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Patients on immunosuppression are generally advised to spend as much time at home as possible unless it is essential to go outside. The patient should also play their role in spreading awareness among their community about physical distancing and personal hygiene such as frequent hand washing. If needed to go outside at all, they must wear facemasks and get vaccinated when possible. If a transplant recipient has tested positive for COVID but having mild or no symptoms, staying home and have a telephonic follow-up every 24-48 h is recommended. Patients should have frequent temperature checks and observe symptoms. If symptoms are progressing, patients must contact a healthcare worker as soon as possible for an assessment. Generally, patients are advised to reduce </w:t>
      </w:r>
      <w:r w:rsidRPr="00C81DD8">
        <w:rPr>
          <w:rFonts w:ascii="Book Antiqua" w:eastAsia="Book Antiqua" w:hAnsi="Book Antiqua" w:cs="Book Antiqua"/>
          <w:color w:val="000000" w:themeColor="text1"/>
        </w:rPr>
        <w:lastRenderedPageBreak/>
        <w:t>prednisone to 0.2 mg/kg per day but not stop it abruptly. Similarly, consideration should be given to stopping/reducing antimetabolites</w:t>
      </w:r>
      <w:r w:rsidRPr="00C81DD8">
        <w:rPr>
          <w:rFonts w:ascii="Book Antiqua" w:eastAsia="Book Antiqua" w:hAnsi="Book Antiqua" w:cs="Book Antiqua"/>
          <w:color w:val="000000" w:themeColor="text1"/>
          <w:vertAlign w:val="superscript"/>
        </w:rPr>
        <w:t>[32]</w:t>
      </w:r>
      <w:r w:rsidRPr="00C81DD8">
        <w:rPr>
          <w:rFonts w:ascii="Book Antiqua" w:eastAsia="Book Antiqua" w:hAnsi="Book Antiqua" w:cs="Book Antiqua"/>
          <w:color w:val="000000" w:themeColor="text1"/>
        </w:rPr>
        <w:t>.</w:t>
      </w:r>
    </w:p>
    <w:p w14:paraId="47A0ECC6"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03A83CC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aps/>
          <w:color w:val="000000" w:themeColor="text1"/>
          <w:u w:val="single"/>
        </w:rPr>
        <w:t>Management of Immunosuppression in Renal Transplant Recipients</w:t>
      </w:r>
    </w:p>
    <w:p w14:paraId="682F5CE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Immunocompromised patients are considered to be at high risk for severe disease from COVID-19 infection. Solid organ transplant recipients are of particular concern given the need to balance the potential for acute rejection and compromised immune response to a viral infection. There is currently inconclusive literature available to guide the optimal management of COVID-19 infection and baseline immunosuppression in renal transplant patients. </w:t>
      </w:r>
    </w:p>
    <w:p w14:paraId="7C0BEADF" w14:textId="77777777"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 xml:space="preserve">Ramoz </w:t>
      </w:r>
      <w:r w:rsidRPr="00C81DD8">
        <w:rPr>
          <w:rFonts w:ascii="Book Antiqua" w:eastAsia="Book Antiqua" w:hAnsi="Book Antiqua" w:cs="Book Antiqua"/>
          <w:i/>
          <w:iCs/>
          <w:color w:val="000000" w:themeColor="text1"/>
        </w:rPr>
        <w:t>et al</w:t>
      </w:r>
      <w:r w:rsidRPr="00C81DD8">
        <w:rPr>
          <w:rFonts w:ascii="Book Antiqua" w:eastAsia="Book Antiqua" w:hAnsi="Book Antiqua" w:cs="Book Antiqua"/>
          <w:color w:val="000000" w:themeColor="text1"/>
          <w:vertAlign w:val="superscript"/>
        </w:rPr>
        <w:t>[57]</w:t>
      </w:r>
      <w:r w:rsidRPr="00C81DD8">
        <w:rPr>
          <w:rFonts w:ascii="Book Antiqua" w:eastAsia="Book Antiqua" w:hAnsi="Book Antiqua" w:cs="Book Antiqua"/>
          <w:color w:val="000000" w:themeColor="text1"/>
        </w:rPr>
        <w:t xml:space="preserve"> summarized 40 published cases detailing immunosuppression regimen management in renal transplant recipients with COVID-19 infection. Calcineurin inhibitors and antiproliferative therapy were discontinued in 75% of patients, whereas only 7.5% of patients were managed with no change in their baseline regimen. None of the patients treated without modification in their immunosuppressive therapy required mechanical ventilation</w:t>
      </w:r>
      <w:r w:rsidRPr="00C81DD8">
        <w:rPr>
          <w:rFonts w:ascii="Book Antiqua" w:eastAsia="Book Antiqua" w:hAnsi="Book Antiqua" w:cs="Book Antiqua"/>
          <w:color w:val="000000" w:themeColor="text1"/>
          <w:vertAlign w:val="superscript"/>
        </w:rPr>
        <w:t>[58-60]</w:t>
      </w:r>
      <w:r w:rsidRPr="00C81DD8">
        <w:rPr>
          <w:rFonts w:ascii="Book Antiqua" w:eastAsia="Book Antiqua" w:hAnsi="Book Antiqua" w:cs="Book Antiqua"/>
          <w:color w:val="000000" w:themeColor="text1"/>
        </w:rPr>
        <w:t>.</w:t>
      </w:r>
    </w:p>
    <w:p w14:paraId="703E6EDC" w14:textId="77777777"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Before the publication of the RECOVERY trial, which demonstrated lower 28-d mortality with the use of dexamethasone, a select group of patients were successfully managed with corticosteroid-sparing regimens. An example of such regimens consisted of dose-reduced antiproliferative therapy from mycophenolic acid 540 mg twice daily to 360 mg twice daily and decreased tacrolimus target trough levels from 6-8 ng/mL to 4-6 ng/mL</w:t>
      </w:r>
      <w:r w:rsidRPr="00C81DD8">
        <w:rPr>
          <w:rFonts w:ascii="Book Antiqua" w:eastAsia="Book Antiqua" w:hAnsi="Book Antiqua" w:cs="Book Antiqua"/>
          <w:color w:val="000000" w:themeColor="text1"/>
          <w:vertAlign w:val="superscript"/>
        </w:rPr>
        <w:t>[57,61]</w:t>
      </w:r>
      <w:r w:rsidRPr="00C81DD8">
        <w:rPr>
          <w:rFonts w:ascii="Book Antiqua" w:eastAsia="Book Antiqua" w:hAnsi="Book Antiqua" w:cs="Book Antiqua"/>
          <w:color w:val="000000" w:themeColor="text1"/>
        </w:rPr>
        <w:t xml:space="preserve">. The rationale for avoiding corticosteroids in these patients was based on the inconclusive evidence at the time supporting the use of corticosteroids coupled with the potential for decreased immune response, reduced pathogen clearance, promotion of secondary infections, and increased viral shedding. </w:t>
      </w:r>
    </w:p>
    <w:p w14:paraId="262FE5E2" w14:textId="4C477C1A" w:rsidR="00A77B3E" w:rsidRPr="00C81DD8" w:rsidRDefault="00C573F3" w:rsidP="00C81DD8">
      <w:pPr>
        <w:adjustRightInd w:val="0"/>
        <w:snapToGrid w:val="0"/>
        <w:spacing w:line="360" w:lineRule="auto"/>
        <w:ind w:firstLine="480"/>
        <w:jc w:val="both"/>
        <w:rPr>
          <w:rFonts w:ascii="Book Antiqua" w:hAnsi="Book Antiqua"/>
          <w:color w:val="000000" w:themeColor="text1"/>
        </w:rPr>
      </w:pPr>
      <w:r w:rsidRPr="00C81DD8">
        <w:rPr>
          <w:rFonts w:ascii="Book Antiqua" w:eastAsia="Book Antiqua" w:hAnsi="Book Antiqua" w:cs="Book Antiqua"/>
          <w:color w:val="000000" w:themeColor="text1"/>
        </w:rPr>
        <w:t>An alternative strategy to manage immunosuppression is to follow a stepwise approach to reducing or holding the antimetabolite in moderate to severe COVID-19 infection</w:t>
      </w:r>
      <w:r w:rsidRPr="00C81DD8">
        <w:rPr>
          <w:rFonts w:ascii="Book Antiqua" w:eastAsia="Book Antiqua" w:hAnsi="Book Antiqua" w:cs="Book Antiqua"/>
          <w:color w:val="000000" w:themeColor="text1"/>
          <w:vertAlign w:val="superscript"/>
        </w:rPr>
        <w:t>[6]</w:t>
      </w:r>
      <w:r w:rsidRPr="00C81DD8">
        <w:rPr>
          <w:rFonts w:ascii="Book Antiqua" w:eastAsia="Book Antiqua" w:hAnsi="Book Antiqua" w:cs="Book Antiqua"/>
          <w:color w:val="000000" w:themeColor="text1"/>
        </w:rPr>
        <w:t>. Preference is generally given to the calcineurin inhibitor as they inhibit IL-6</w:t>
      </w:r>
      <w:r w:rsidR="00C65C16">
        <w:rPr>
          <w:rFonts w:ascii="Book Antiqua" w:eastAsia="Book Antiqua" w:hAnsi="Book Antiqua" w:cs="Book Antiqua"/>
          <w:color w:val="000000" w:themeColor="text1"/>
        </w:rPr>
        <w:t xml:space="preserve">, </w:t>
      </w:r>
      <w:r w:rsidRPr="00C81DD8">
        <w:rPr>
          <w:rFonts w:ascii="Book Antiqua" w:eastAsia="Book Antiqua" w:hAnsi="Book Antiqua" w:cs="Book Antiqua"/>
          <w:color w:val="000000" w:themeColor="text1"/>
        </w:rPr>
        <w:t xml:space="preserve">IL-1, and </w:t>
      </w:r>
      <w:r w:rsidR="00C65C16">
        <w:rPr>
          <w:rFonts w:ascii="Book Antiqua" w:eastAsia="Book Antiqua" w:hAnsi="Book Antiqua" w:cs="Book Antiqua"/>
          <w:color w:val="000000" w:themeColor="text1"/>
        </w:rPr>
        <w:t>tumor necrosis factor</w:t>
      </w:r>
      <w:r w:rsidRPr="00C81DD8">
        <w:rPr>
          <w:rFonts w:ascii="Book Antiqua" w:eastAsia="Book Antiqua" w:hAnsi="Book Antiqua" w:cs="Book Antiqua"/>
          <w:color w:val="000000" w:themeColor="text1"/>
        </w:rPr>
        <w:t xml:space="preserve">-α, inflammatory cytokines thought to contribute to the </w:t>
      </w:r>
      <w:r w:rsidRPr="00C81DD8">
        <w:rPr>
          <w:rFonts w:ascii="Book Antiqua" w:eastAsia="Book Antiqua" w:hAnsi="Book Antiqua" w:cs="Book Antiqua"/>
          <w:color w:val="000000" w:themeColor="text1"/>
        </w:rPr>
        <w:lastRenderedPageBreak/>
        <w:t>dysregulated immune response cytokine storm observed in severe COVID-19 infections</w:t>
      </w:r>
      <w:r w:rsidRPr="00C81DD8">
        <w:rPr>
          <w:rFonts w:ascii="Book Antiqua" w:eastAsia="Book Antiqua" w:hAnsi="Book Antiqua" w:cs="Book Antiqua"/>
          <w:color w:val="000000" w:themeColor="text1"/>
          <w:vertAlign w:val="superscript"/>
        </w:rPr>
        <w:t>[62]</w:t>
      </w:r>
      <w:r w:rsidRPr="00C81DD8">
        <w:rPr>
          <w:rFonts w:ascii="Book Antiqua" w:eastAsia="Book Antiqua" w:hAnsi="Book Antiqua" w:cs="Book Antiqua"/>
          <w:color w:val="000000" w:themeColor="text1"/>
        </w:rPr>
        <w:t>. According to recommendations from the American Society of Transplantation, patients receiving maintenance corticosteroids have generally been maintained during therapy</w:t>
      </w:r>
      <w:r w:rsidRPr="00C81DD8">
        <w:rPr>
          <w:rFonts w:ascii="Book Antiqua" w:eastAsia="Book Antiqua" w:hAnsi="Book Antiqua" w:cs="Book Antiqua"/>
          <w:color w:val="000000" w:themeColor="text1"/>
          <w:vertAlign w:val="superscript"/>
        </w:rPr>
        <w:t>[63]</w:t>
      </w:r>
      <w:r w:rsidRPr="00C81DD8">
        <w:rPr>
          <w:rFonts w:ascii="Book Antiqua" w:eastAsia="Book Antiqua" w:hAnsi="Book Antiqua" w:cs="Book Antiqua"/>
          <w:color w:val="000000" w:themeColor="text1"/>
        </w:rPr>
        <w:t>. In patients with unstable severe COVID-19 disease requiring mechanical ventilation, cessation of all immunosuppressive agents can be considered to initiate or continue corticosteroids</w:t>
      </w:r>
      <w:r w:rsidRPr="00C81DD8">
        <w:rPr>
          <w:rFonts w:ascii="Book Antiqua" w:eastAsia="Book Antiqua" w:hAnsi="Book Antiqua" w:cs="Book Antiqua"/>
          <w:color w:val="000000" w:themeColor="text1"/>
          <w:vertAlign w:val="superscript"/>
        </w:rPr>
        <w:t>[64]</w:t>
      </w:r>
      <w:r w:rsidRPr="00C81DD8">
        <w:rPr>
          <w:rFonts w:ascii="Book Antiqua" w:eastAsia="Book Antiqua" w:hAnsi="Book Antiqua" w:cs="Book Antiqua"/>
          <w:color w:val="000000" w:themeColor="text1"/>
        </w:rPr>
        <w:t>. For patients on dual therapy with an antimetabolite and calcineurin inhibitor, it may be reasonable to replace the antimetabolite with low-dose corticosteroids</w:t>
      </w:r>
      <w:r w:rsidRPr="00C81DD8">
        <w:rPr>
          <w:rFonts w:ascii="Book Antiqua" w:eastAsia="Book Antiqua" w:hAnsi="Book Antiqua" w:cs="Book Antiqua"/>
          <w:color w:val="000000" w:themeColor="text1"/>
          <w:vertAlign w:val="superscript"/>
        </w:rPr>
        <w:t>[64]</w:t>
      </w:r>
      <w:r w:rsidRPr="00C81DD8">
        <w:rPr>
          <w:rFonts w:ascii="Book Antiqua" w:eastAsia="Book Antiqua" w:hAnsi="Book Antiqua" w:cs="Book Antiqua"/>
          <w:color w:val="000000" w:themeColor="text1"/>
        </w:rPr>
        <w:t>. Although the optimal timing has yet to be established, immunosuppression can be cautiously resumed 5-15 d after resolving symptoms, starting with the calcineurin inhibitor</w:t>
      </w:r>
      <w:r w:rsidRPr="00C81DD8">
        <w:rPr>
          <w:rFonts w:ascii="Book Antiqua" w:eastAsia="Book Antiqua" w:hAnsi="Book Antiqua" w:cs="Book Antiqua"/>
          <w:color w:val="000000" w:themeColor="text1"/>
          <w:vertAlign w:val="superscript"/>
        </w:rPr>
        <w:t>[64]</w:t>
      </w:r>
      <w:r w:rsidRPr="00C81DD8">
        <w:rPr>
          <w:rFonts w:ascii="Book Antiqua" w:eastAsia="Book Antiqua" w:hAnsi="Book Antiqua" w:cs="Book Antiqua"/>
          <w:color w:val="000000" w:themeColor="text1"/>
        </w:rPr>
        <w:t xml:space="preserve">. </w:t>
      </w:r>
    </w:p>
    <w:p w14:paraId="1692E19A" w14:textId="77777777" w:rsidR="00A77B3E" w:rsidRPr="00C81DD8" w:rsidRDefault="00A77B3E" w:rsidP="00C81DD8">
      <w:pPr>
        <w:adjustRightInd w:val="0"/>
        <w:snapToGrid w:val="0"/>
        <w:spacing w:line="360" w:lineRule="auto"/>
        <w:ind w:firstLine="480"/>
        <w:jc w:val="both"/>
        <w:rPr>
          <w:rFonts w:ascii="Book Antiqua" w:hAnsi="Book Antiqua"/>
          <w:color w:val="000000" w:themeColor="text1"/>
        </w:rPr>
      </w:pPr>
    </w:p>
    <w:p w14:paraId="1BE583E6"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aps/>
          <w:color w:val="000000" w:themeColor="text1"/>
          <w:u w:val="single"/>
        </w:rPr>
        <w:t>Potential Drug Interactions: Immunosuppression and Agents for COVID-19</w:t>
      </w:r>
    </w:p>
    <w:p w14:paraId="4F01D5D0" w14:textId="272F0ED5"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The narrow therapeutic indexes and variable pharmacokinetic parameters of immunosuppressive medications used for renal transplant patients require careful screening and monitoring when used with specific agents</w:t>
      </w:r>
      <w:r w:rsidRPr="00C81DD8">
        <w:rPr>
          <w:rFonts w:ascii="Book Antiqua" w:eastAsia="Book Antiqua" w:hAnsi="Book Antiqua" w:cs="Book Antiqua"/>
          <w:color w:val="000000" w:themeColor="text1"/>
          <w:vertAlign w:val="superscript"/>
        </w:rPr>
        <w:t>[</w:t>
      </w:r>
      <w:r w:rsidR="00EF3439">
        <w:rPr>
          <w:rFonts w:ascii="Book Antiqua" w:hAnsi="Book Antiqua" w:cs="Book Antiqua" w:hint="eastAsia"/>
          <w:color w:val="000000" w:themeColor="text1"/>
          <w:vertAlign w:val="superscript"/>
          <w:lang w:eastAsia="zh-CN"/>
        </w:rPr>
        <w:t>29,</w:t>
      </w:r>
      <w:r w:rsidRPr="00C81DD8">
        <w:rPr>
          <w:rFonts w:ascii="Book Antiqua" w:eastAsia="Book Antiqua" w:hAnsi="Book Antiqua" w:cs="Book Antiqua"/>
          <w:color w:val="000000" w:themeColor="text1"/>
          <w:vertAlign w:val="superscript"/>
        </w:rPr>
        <w:t>30]</w:t>
      </w:r>
      <w:r w:rsidRPr="00C81DD8">
        <w:rPr>
          <w:rFonts w:ascii="Book Antiqua" w:eastAsia="Book Antiqua" w:hAnsi="Book Antiqua" w:cs="Book Antiqua"/>
          <w:color w:val="000000" w:themeColor="text1"/>
        </w:rPr>
        <w:t xml:space="preserve">. Tacrolimus and cyclosporine are substrates of CYP3A4 and the P-glycoprotein efflux pump. Besides, cyclosporine weakly inhibits CYP2C9, CYP3A4, and OATP1B1/1B3, as well as P-glycoprotein. Mycophenolate is a substrate of specific OATP and </w:t>
      </w:r>
      <w:r w:rsidR="00C65C16">
        <w:rPr>
          <w:rFonts w:ascii="Book Antiqua" w:eastAsia="Book Antiqua" w:hAnsi="Book Antiqua" w:cs="Book Antiqua"/>
          <w:color w:val="000000" w:themeColor="text1"/>
        </w:rPr>
        <w:t>uridine diphosphate</w:t>
      </w:r>
      <w:r w:rsidRPr="00C81DD8">
        <w:rPr>
          <w:rFonts w:ascii="Book Antiqua" w:eastAsia="Book Antiqua" w:hAnsi="Book Antiqua" w:cs="Book Antiqua"/>
          <w:color w:val="000000" w:themeColor="text1"/>
        </w:rPr>
        <w:t>-glucuronosyltransferase enzymes. As of January 2021, currently recommended therapies for COVID-19 include remdesivir and corticosteroids</w:t>
      </w:r>
      <w:r w:rsidRPr="00C81DD8">
        <w:rPr>
          <w:rFonts w:ascii="Book Antiqua" w:eastAsia="Book Antiqua" w:hAnsi="Book Antiqua" w:cs="Book Antiqua"/>
          <w:color w:val="000000" w:themeColor="text1"/>
          <w:vertAlign w:val="superscript"/>
        </w:rPr>
        <w:t>[</w:t>
      </w:r>
      <w:r w:rsidR="00EF3439">
        <w:rPr>
          <w:rFonts w:ascii="Book Antiqua" w:hAnsi="Book Antiqua" w:cs="Book Antiqua" w:hint="eastAsia"/>
          <w:color w:val="000000" w:themeColor="text1"/>
          <w:vertAlign w:val="superscript"/>
          <w:lang w:eastAsia="zh-CN"/>
        </w:rPr>
        <w:t>65</w:t>
      </w:r>
      <w:r w:rsidRPr="00C81DD8">
        <w:rPr>
          <w:rFonts w:ascii="Book Antiqua" w:eastAsia="Book Antiqua" w:hAnsi="Book Antiqua" w:cs="Book Antiqua"/>
          <w:color w:val="000000" w:themeColor="text1"/>
          <w:vertAlign w:val="superscript"/>
        </w:rPr>
        <w:t>]</w:t>
      </w:r>
      <w:r w:rsidRPr="00C81DD8">
        <w:rPr>
          <w:rFonts w:ascii="Book Antiqua" w:eastAsia="Book Antiqua" w:hAnsi="Book Antiqua" w:cs="Book Antiqua"/>
          <w:color w:val="000000" w:themeColor="text1"/>
        </w:rPr>
        <w:t>.</w:t>
      </w:r>
    </w:p>
    <w:p w14:paraId="14745C70"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F0B004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 xml:space="preserve">Remdesivir </w:t>
      </w:r>
    </w:p>
    <w:p w14:paraId="7416FB49" w14:textId="05521FC8"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Remdesivir is a novel adenosine analog that inhibits SARS-CoV-2 RNA-dependent RNA polymerase, an essential enzyme required for viral replication</w:t>
      </w:r>
      <w:r w:rsidRPr="00C81DD8">
        <w:rPr>
          <w:rFonts w:ascii="Book Antiqua" w:eastAsia="Book Antiqua" w:hAnsi="Book Antiqua" w:cs="Book Antiqua"/>
          <w:color w:val="000000" w:themeColor="text1"/>
          <w:vertAlign w:val="superscript"/>
        </w:rPr>
        <w:t>[33]</w:t>
      </w:r>
      <w:r w:rsidRPr="00C81DD8">
        <w:rPr>
          <w:rFonts w:ascii="Book Antiqua" w:eastAsia="Book Antiqua" w:hAnsi="Book Antiqua" w:cs="Book Antiqua"/>
          <w:color w:val="000000" w:themeColor="text1"/>
        </w:rPr>
        <w:t xml:space="preserve">. Remdesivir is a substrate of CYP3A4, and the drug transporters OATP1B1 and P-glycoprotein and an inhibitor of CYP3A4, OATP1B1, OATP1B3, and </w:t>
      </w:r>
      <w:r w:rsidR="0000575F">
        <w:rPr>
          <w:rFonts w:ascii="Book Antiqua" w:eastAsia="Book Antiqua" w:hAnsi="Book Antiqua" w:cs="Book Antiqua"/>
          <w:color w:val="000000" w:themeColor="text1"/>
        </w:rPr>
        <w:t>m</w:t>
      </w:r>
      <w:r w:rsidR="0000575F" w:rsidRPr="00C81DD8">
        <w:rPr>
          <w:rFonts w:ascii="Book Antiqua" w:eastAsia="Book Antiqua" w:hAnsi="Book Antiqua" w:cs="Book Antiqua"/>
          <w:color w:val="000000" w:themeColor="text1"/>
        </w:rPr>
        <w:t>ultidrug and toxin extrusion protein 1</w:t>
      </w:r>
      <w:r w:rsidRPr="00C81DD8">
        <w:rPr>
          <w:rFonts w:ascii="Book Antiqua" w:eastAsia="Book Antiqua" w:hAnsi="Book Antiqua" w:cs="Book Antiqua"/>
          <w:color w:val="000000" w:themeColor="text1"/>
        </w:rPr>
        <w:t xml:space="preserve"> </w:t>
      </w:r>
      <w:r w:rsidRPr="00C81DD8">
        <w:rPr>
          <w:rFonts w:ascii="Book Antiqua" w:eastAsia="Book Antiqua" w:hAnsi="Book Antiqua" w:cs="Book Antiqua"/>
          <w:i/>
          <w:iCs/>
          <w:color w:val="000000" w:themeColor="text1"/>
        </w:rPr>
        <w:t>in</w:t>
      </w:r>
      <w:r w:rsidR="0000575F">
        <w:rPr>
          <w:rFonts w:ascii="Book Antiqua" w:eastAsia="Book Antiqua" w:hAnsi="Book Antiqua" w:cs="Book Antiqua"/>
          <w:i/>
          <w:iCs/>
          <w:color w:val="000000" w:themeColor="text1"/>
        </w:rPr>
        <w:t xml:space="preserve"> </w:t>
      </w:r>
      <w:r w:rsidRPr="00C81DD8">
        <w:rPr>
          <w:rFonts w:ascii="Book Antiqua" w:eastAsia="Book Antiqua" w:hAnsi="Book Antiqua" w:cs="Book Antiqua"/>
          <w:i/>
          <w:iCs/>
          <w:color w:val="000000" w:themeColor="text1"/>
        </w:rPr>
        <w:t>vitro</w:t>
      </w:r>
      <w:r w:rsidRPr="00C81DD8">
        <w:rPr>
          <w:rFonts w:ascii="Book Antiqua" w:eastAsia="Book Antiqua" w:hAnsi="Book Antiqua" w:cs="Book Antiqua"/>
          <w:color w:val="000000" w:themeColor="text1"/>
          <w:vertAlign w:val="superscript"/>
        </w:rPr>
        <w:t>[</w:t>
      </w:r>
      <w:r w:rsidR="00EF3439">
        <w:rPr>
          <w:rFonts w:ascii="Book Antiqua" w:hAnsi="Book Antiqua" w:cs="Book Antiqua" w:hint="eastAsia"/>
          <w:color w:val="000000" w:themeColor="text1"/>
          <w:vertAlign w:val="superscript"/>
          <w:lang w:eastAsia="zh-CN"/>
        </w:rPr>
        <w:t>66</w:t>
      </w:r>
      <w:r w:rsidRPr="00C81DD8">
        <w:rPr>
          <w:rFonts w:ascii="Book Antiqua" w:eastAsia="Book Antiqua" w:hAnsi="Book Antiqua" w:cs="Book Antiqua"/>
          <w:color w:val="000000" w:themeColor="text1"/>
          <w:vertAlign w:val="superscript"/>
        </w:rPr>
        <w:t>]</w:t>
      </w:r>
      <w:r w:rsidRPr="00C81DD8">
        <w:rPr>
          <w:rFonts w:ascii="Book Antiqua" w:eastAsia="Book Antiqua" w:hAnsi="Book Antiqua" w:cs="Book Antiqua"/>
          <w:color w:val="000000" w:themeColor="text1"/>
        </w:rPr>
        <w:t>. Despite the lack of evidence demonstrating any significant drug interactions between immunosuppression and remdesivir, careful monitoring is still warranted due to the lack of strong evidence at this time</w:t>
      </w:r>
      <w:r w:rsidRPr="00C81DD8">
        <w:rPr>
          <w:rFonts w:ascii="Book Antiqua" w:eastAsia="Book Antiqua" w:hAnsi="Book Antiqua" w:cs="Book Antiqua"/>
          <w:color w:val="000000" w:themeColor="text1"/>
          <w:vertAlign w:val="superscript"/>
        </w:rPr>
        <w:t>[30]</w:t>
      </w:r>
      <w:r w:rsidRPr="00C81DD8">
        <w:rPr>
          <w:rFonts w:ascii="Book Antiqua" w:eastAsia="Book Antiqua" w:hAnsi="Book Antiqua" w:cs="Book Antiqua"/>
          <w:color w:val="000000" w:themeColor="text1"/>
        </w:rPr>
        <w:t>.</w:t>
      </w:r>
    </w:p>
    <w:p w14:paraId="30B308A5"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5F5F75C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i/>
          <w:iCs/>
          <w:color w:val="000000" w:themeColor="text1"/>
        </w:rPr>
        <w:t>Corticosteroids</w:t>
      </w:r>
    </w:p>
    <w:p w14:paraId="6C3683AC" w14:textId="3A99FC65"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A dysregulated immune response characterized by systemic inflammation has been shown to occur in severe COVID-19</w:t>
      </w:r>
      <w:r w:rsidRPr="00C81DD8">
        <w:rPr>
          <w:rFonts w:ascii="Book Antiqua" w:eastAsia="Book Antiqua" w:hAnsi="Book Antiqua" w:cs="Book Antiqua"/>
          <w:color w:val="000000" w:themeColor="text1"/>
          <w:vertAlign w:val="superscript"/>
        </w:rPr>
        <w:t>[57,61]</w:t>
      </w:r>
      <w:r w:rsidRPr="00C81DD8">
        <w:rPr>
          <w:rFonts w:ascii="Book Antiqua" w:eastAsia="Book Antiqua" w:hAnsi="Book Antiqua" w:cs="Book Antiqua"/>
          <w:color w:val="000000" w:themeColor="text1"/>
        </w:rPr>
        <w:t>. Corticosteroids may mitigate the systemic inflammatory response and lead to clinical improvement through the decreased production of inflammatory mediators and suppression of neutrophil migration. Although its significance is unknown, corticosteroids such as dexamethasone and methylprednisolone may decrease tacrolimus serum concentrations through induction of CYP3A4</w:t>
      </w:r>
      <w:r w:rsidR="00C65C16">
        <w:rPr>
          <w:rFonts w:ascii="Book Antiqua" w:eastAsia="Book Antiqua" w:hAnsi="Book Antiqua" w:cs="Book Antiqua"/>
          <w:color w:val="000000" w:themeColor="text1"/>
        </w:rPr>
        <w:t xml:space="preserve"> and </w:t>
      </w:r>
      <w:r w:rsidRPr="00C81DD8">
        <w:rPr>
          <w:rFonts w:ascii="Book Antiqua" w:eastAsia="Book Antiqua" w:hAnsi="Book Antiqua" w:cs="Book Antiqua"/>
          <w:color w:val="000000" w:themeColor="text1"/>
        </w:rPr>
        <w:t>CYP3A5</w:t>
      </w:r>
      <w:r w:rsidRPr="00C81DD8">
        <w:rPr>
          <w:rFonts w:ascii="Book Antiqua" w:eastAsia="Book Antiqua" w:hAnsi="Book Antiqua" w:cs="Book Antiqua"/>
          <w:color w:val="000000" w:themeColor="text1"/>
          <w:vertAlign w:val="superscript"/>
        </w:rPr>
        <w:t>[</w:t>
      </w:r>
      <w:r w:rsidR="00EF3439">
        <w:rPr>
          <w:rFonts w:ascii="Book Antiqua" w:hAnsi="Book Antiqua" w:cs="Book Antiqua" w:hint="eastAsia"/>
          <w:color w:val="000000" w:themeColor="text1"/>
          <w:vertAlign w:val="superscript"/>
          <w:lang w:eastAsia="zh-CN"/>
        </w:rPr>
        <w:t>67</w:t>
      </w:r>
      <w:r w:rsidRPr="00C81DD8">
        <w:rPr>
          <w:rFonts w:ascii="Book Antiqua" w:eastAsia="Book Antiqua" w:hAnsi="Book Antiqua" w:cs="Book Antiqua"/>
          <w:color w:val="000000" w:themeColor="text1"/>
          <w:vertAlign w:val="superscript"/>
        </w:rPr>
        <w:t>]</w:t>
      </w:r>
      <w:r w:rsidR="00AB6810" w:rsidRPr="00C81DD8">
        <w:rPr>
          <w:rFonts w:ascii="Book Antiqua" w:eastAsia="Book Antiqua" w:hAnsi="Book Antiqua" w:cs="Book Antiqua"/>
          <w:color w:val="000000" w:themeColor="text1"/>
        </w:rPr>
        <w:t>.</w:t>
      </w:r>
      <w:r w:rsidR="00EF3439">
        <w:rPr>
          <w:rFonts w:ascii="Book Antiqua" w:hAnsi="Book Antiqua" w:cs="Book Antiqua" w:hint="eastAsia"/>
          <w:color w:val="000000" w:themeColor="text1"/>
          <w:lang w:eastAsia="zh-CN"/>
        </w:rPr>
        <w:t xml:space="preserve"> </w:t>
      </w:r>
      <w:r w:rsidRPr="00C81DD8">
        <w:rPr>
          <w:rFonts w:ascii="Book Antiqua" w:eastAsia="Book Antiqua" w:hAnsi="Book Antiqua" w:cs="Book Antiqua"/>
          <w:color w:val="000000" w:themeColor="text1"/>
        </w:rPr>
        <w:t xml:space="preserve">Additional monitoring of calcineurin inhibitor serum concentrations may be considered when corticosteroids are initiated, tapered, or discontinued. </w:t>
      </w:r>
    </w:p>
    <w:p w14:paraId="02664DA8"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29BDD65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aps/>
          <w:color w:val="000000" w:themeColor="text1"/>
          <w:u w:val="single"/>
        </w:rPr>
        <w:t>CONCLUSION</w:t>
      </w:r>
    </w:p>
    <w:p w14:paraId="72D56754" w14:textId="18487028"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This comprehensive review covered most of the faced challenges in kidney transplantation in different stages of the pandemic. In addition, it elucidated the epidemiology, nature, course of the disease, surgical consideration in donors and recipients</w:t>
      </w:r>
      <w:r w:rsidR="00C65C16">
        <w:rPr>
          <w:rFonts w:ascii="Book Antiqua" w:eastAsia="Book Antiqua" w:hAnsi="Book Antiqua" w:cs="Book Antiqua"/>
          <w:color w:val="000000" w:themeColor="text1"/>
        </w:rPr>
        <w:t>,</w:t>
      </w:r>
      <w:r w:rsidRPr="00C81DD8">
        <w:rPr>
          <w:rFonts w:ascii="Book Antiqua" w:eastAsia="Book Antiqua" w:hAnsi="Book Antiqua" w:cs="Book Antiqua"/>
          <w:color w:val="000000" w:themeColor="text1"/>
        </w:rPr>
        <w:t xml:space="preserve"> as well as role of immunosuppression and management of COVID-19 infected kidney transplant recipients during these extraordinary circumstances.</w:t>
      </w:r>
    </w:p>
    <w:p w14:paraId="7FEA0589"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FE35B1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REFERENCES</w:t>
      </w:r>
    </w:p>
    <w:p w14:paraId="60299695" w14:textId="20D6DDD7" w:rsidR="00A77B3E" w:rsidRPr="00C81DD8" w:rsidRDefault="00C573F3" w:rsidP="00C81DD8">
      <w:pPr>
        <w:adjustRightInd w:val="0"/>
        <w:snapToGrid w:val="0"/>
        <w:spacing w:line="360" w:lineRule="auto"/>
        <w:jc w:val="both"/>
        <w:rPr>
          <w:rFonts w:ascii="Book Antiqua" w:hAnsi="Book Antiqua"/>
          <w:color w:val="000000" w:themeColor="text1"/>
          <w:lang w:eastAsia="zh-CN"/>
        </w:rPr>
      </w:pPr>
      <w:bookmarkStart w:id="20" w:name="OLE_LINK7"/>
      <w:r w:rsidRPr="00CA5DF9">
        <w:rPr>
          <w:rFonts w:ascii="Book Antiqua" w:eastAsia="Book Antiqua" w:hAnsi="Book Antiqua" w:cs="Book Antiqua"/>
          <w:color w:val="000000" w:themeColor="text1"/>
          <w:highlight w:val="yellow"/>
        </w:rPr>
        <w:t xml:space="preserve">1 </w:t>
      </w:r>
      <w:r w:rsidR="000F44AD" w:rsidRPr="00CA5DF9">
        <w:rPr>
          <w:rFonts w:ascii="Book Antiqua" w:eastAsia="Book Antiqua" w:hAnsi="Book Antiqua" w:cs="Book Antiqua"/>
          <w:b/>
          <w:bCs/>
          <w:color w:val="000000" w:themeColor="text1"/>
          <w:highlight w:val="yellow"/>
        </w:rPr>
        <w:t>Centers for Disease Control and Prevention</w:t>
      </w:r>
      <w:r w:rsidRPr="00CA5DF9">
        <w:rPr>
          <w:rFonts w:ascii="Book Antiqua" w:eastAsia="Book Antiqua" w:hAnsi="Book Antiqua" w:cs="Book Antiqua"/>
          <w:b/>
          <w:bCs/>
          <w:color w:val="000000" w:themeColor="text1"/>
          <w:highlight w:val="yellow"/>
        </w:rPr>
        <w:t xml:space="preserve">. </w:t>
      </w:r>
      <w:r w:rsidRPr="00CA5DF9">
        <w:rPr>
          <w:rFonts w:ascii="Book Antiqua" w:eastAsia="Book Antiqua" w:hAnsi="Book Antiqua" w:cs="Book Antiqua"/>
          <w:bCs/>
          <w:color w:val="000000" w:themeColor="text1"/>
          <w:highlight w:val="yellow"/>
        </w:rPr>
        <w:t xml:space="preserve">Coronavirus Disease 2019 (COVID-19). </w:t>
      </w:r>
      <w:r w:rsidRPr="00CA5DF9">
        <w:rPr>
          <w:rFonts w:ascii="Book Antiqua" w:eastAsia="Book Antiqua" w:hAnsi="Book Antiqua" w:cs="Book Antiqua"/>
          <w:color w:val="000000" w:themeColor="text1"/>
          <w:highlight w:val="yellow"/>
        </w:rPr>
        <w:t xml:space="preserve">[cited </w:t>
      </w:r>
      <w:r w:rsidR="000F44AD" w:rsidRPr="00CA5DF9">
        <w:rPr>
          <w:rFonts w:ascii="Book Antiqua" w:hAnsi="Book Antiqua" w:cs="Book Antiqua"/>
          <w:color w:val="000000" w:themeColor="text1"/>
          <w:highlight w:val="yellow"/>
          <w:lang w:eastAsia="zh-CN"/>
        </w:rPr>
        <w:t xml:space="preserve">5 </w:t>
      </w:r>
      <w:r w:rsidR="000F44AD" w:rsidRPr="00CA5DF9">
        <w:rPr>
          <w:rFonts w:ascii="Book Antiqua" w:eastAsia="Book Antiqua" w:hAnsi="Book Antiqua" w:cs="Book Antiqua"/>
          <w:color w:val="000000" w:themeColor="text1"/>
          <w:highlight w:val="yellow"/>
        </w:rPr>
        <w:t>January 5</w:t>
      </w:r>
      <w:r w:rsidR="000F44AD" w:rsidRPr="00CA5DF9">
        <w:rPr>
          <w:rFonts w:ascii="Book Antiqua" w:hAnsi="Book Antiqua" w:cs="Book Antiqua"/>
          <w:color w:val="000000" w:themeColor="text1"/>
          <w:highlight w:val="yellow"/>
          <w:lang w:eastAsia="zh-CN"/>
        </w:rPr>
        <w:t xml:space="preserve"> </w:t>
      </w:r>
      <w:r w:rsidRPr="00CA5DF9">
        <w:rPr>
          <w:rFonts w:ascii="Book Antiqua" w:eastAsia="Book Antiqua" w:hAnsi="Book Antiqua" w:cs="Book Antiqua"/>
          <w:color w:val="000000" w:themeColor="text1"/>
          <w:highlight w:val="yellow"/>
        </w:rPr>
        <w:t>2021</w:t>
      </w:r>
      <w:r w:rsidR="000F44AD" w:rsidRPr="00CA5DF9">
        <w:rPr>
          <w:rFonts w:ascii="Book Antiqua" w:eastAsia="Book Antiqua" w:hAnsi="Book Antiqua" w:cs="Book Antiqua"/>
          <w:color w:val="000000" w:themeColor="text1"/>
          <w:highlight w:val="yellow"/>
        </w:rPr>
        <w:t>]</w:t>
      </w:r>
      <w:r w:rsidR="00CA5DF9">
        <w:rPr>
          <w:rFonts w:ascii="Book Antiqua" w:eastAsia="Book Antiqua" w:hAnsi="Book Antiqua" w:cs="Book Antiqua"/>
          <w:color w:val="000000" w:themeColor="text1"/>
          <w:highlight w:val="yellow"/>
        </w:rPr>
        <w:t>.</w:t>
      </w:r>
      <w:r w:rsidRPr="00CA5DF9">
        <w:rPr>
          <w:rFonts w:ascii="Book Antiqua" w:eastAsia="Book Antiqua" w:hAnsi="Book Antiqua" w:cs="Book Antiqua"/>
          <w:color w:val="000000" w:themeColor="text1"/>
          <w:highlight w:val="yellow"/>
        </w:rPr>
        <w:t xml:space="preserve"> Available from: https://www.cdc.gov/coronavirus/2019-ncov/index.html</w:t>
      </w:r>
    </w:p>
    <w:p w14:paraId="3682B23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 </w:t>
      </w:r>
      <w:r w:rsidRPr="00C81DD8">
        <w:rPr>
          <w:rFonts w:ascii="Book Antiqua" w:eastAsia="Book Antiqua" w:hAnsi="Book Antiqua" w:cs="Book Antiqua"/>
          <w:b/>
          <w:bCs/>
          <w:color w:val="000000" w:themeColor="text1"/>
        </w:rPr>
        <w:t>Jose RJ</w:t>
      </w:r>
      <w:r w:rsidRPr="00C81DD8">
        <w:rPr>
          <w:rFonts w:ascii="Book Antiqua" w:eastAsia="Book Antiqua" w:hAnsi="Book Antiqua" w:cs="Book Antiqua"/>
          <w:color w:val="000000" w:themeColor="text1"/>
        </w:rPr>
        <w:t xml:space="preserve">, Manuel A. COVID-19 cytokine storm: the interplay between inflammation and coagulation. </w:t>
      </w:r>
      <w:r w:rsidRPr="00C81DD8">
        <w:rPr>
          <w:rFonts w:ascii="Book Antiqua" w:eastAsia="Book Antiqua" w:hAnsi="Book Antiqua" w:cs="Book Antiqua"/>
          <w:i/>
          <w:iCs/>
          <w:color w:val="000000" w:themeColor="text1"/>
        </w:rPr>
        <w:t>Lancet Respir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8</w:t>
      </w:r>
      <w:r w:rsidRPr="00C81DD8">
        <w:rPr>
          <w:rFonts w:ascii="Book Antiqua" w:eastAsia="Book Antiqua" w:hAnsi="Book Antiqua" w:cs="Book Antiqua"/>
          <w:color w:val="000000" w:themeColor="text1"/>
        </w:rPr>
        <w:t>: e46-e47 [PMID: 32353251 DOI: 10.1016/S2213-2600(20)30216-2]</w:t>
      </w:r>
    </w:p>
    <w:p w14:paraId="4EFAB00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 </w:t>
      </w:r>
      <w:r w:rsidRPr="00C81DD8">
        <w:rPr>
          <w:rFonts w:ascii="Book Antiqua" w:eastAsia="Book Antiqua" w:hAnsi="Book Antiqua" w:cs="Book Antiqua"/>
          <w:b/>
          <w:bCs/>
          <w:color w:val="000000" w:themeColor="text1"/>
        </w:rPr>
        <w:t>Yuki K</w:t>
      </w:r>
      <w:r w:rsidRPr="00C81DD8">
        <w:rPr>
          <w:rFonts w:ascii="Book Antiqua" w:eastAsia="Book Antiqua" w:hAnsi="Book Antiqua" w:cs="Book Antiqua"/>
          <w:color w:val="000000" w:themeColor="text1"/>
        </w:rPr>
        <w:t xml:space="preserve">, Fujiogi M, Koutsogiannaki S. COVID-19 pathophysiology: A review. </w:t>
      </w:r>
      <w:r w:rsidRPr="00C81DD8">
        <w:rPr>
          <w:rFonts w:ascii="Book Antiqua" w:eastAsia="Book Antiqua" w:hAnsi="Book Antiqua" w:cs="Book Antiqua"/>
          <w:i/>
          <w:iCs/>
          <w:color w:val="000000" w:themeColor="text1"/>
        </w:rPr>
        <w:t>Clin Immunol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215</w:t>
      </w:r>
      <w:r w:rsidRPr="00C81DD8">
        <w:rPr>
          <w:rFonts w:ascii="Book Antiqua" w:eastAsia="Book Antiqua" w:hAnsi="Book Antiqua" w:cs="Book Antiqua"/>
          <w:color w:val="000000" w:themeColor="text1"/>
        </w:rPr>
        <w:t>: 108427 [PMID: 32325252 DOI: 10.1016/j.clim.2020.108427]</w:t>
      </w:r>
    </w:p>
    <w:p w14:paraId="023FFF86"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 </w:t>
      </w:r>
      <w:r w:rsidRPr="00C81DD8">
        <w:rPr>
          <w:rFonts w:ascii="Book Antiqua" w:eastAsia="Book Antiqua" w:hAnsi="Book Antiqua" w:cs="Book Antiqua"/>
          <w:b/>
          <w:bCs/>
          <w:color w:val="000000" w:themeColor="text1"/>
        </w:rPr>
        <w:t>Kidney Disease: Improving Global Outcomes (KDIGO) Transplant Work Group.</w:t>
      </w:r>
      <w:r w:rsidRPr="00C81DD8">
        <w:rPr>
          <w:rFonts w:ascii="Book Antiqua" w:eastAsia="Book Antiqua" w:hAnsi="Book Antiqua" w:cs="Book Antiqua"/>
          <w:color w:val="000000" w:themeColor="text1"/>
        </w:rPr>
        <w:t xml:space="preserve"> KDIGO clinical practice guideline for the care of kidney transplant recipients. </w:t>
      </w:r>
      <w:r w:rsidRPr="00C81DD8">
        <w:rPr>
          <w:rFonts w:ascii="Book Antiqua" w:eastAsia="Book Antiqua" w:hAnsi="Book Antiqua" w:cs="Book Antiqua"/>
          <w:i/>
          <w:iCs/>
          <w:color w:val="000000" w:themeColor="text1"/>
        </w:rPr>
        <w:t xml:space="preserve">Am J </w:t>
      </w:r>
      <w:r w:rsidRPr="00C81DD8">
        <w:rPr>
          <w:rFonts w:ascii="Book Antiqua" w:eastAsia="Book Antiqua" w:hAnsi="Book Antiqua" w:cs="Book Antiqua"/>
          <w:i/>
          <w:iCs/>
          <w:color w:val="000000" w:themeColor="text1"/>
        </w:rPr>
        <w:lastRenderedPageBreak/>
        <w:t>Transplant</w:t>
      </w:r>
      <w:r w:rsidRPr="00C81DD8">
        <w:rPr>
          <w:rFonts w:ascii="Book Antiqua" w:eastAsia="Book Antiqua" w:hAnsi="Book Antiqua" w:cs="Book Antiqua"/>
          <w:color w:val="000000" w:themeColor="text1"/>
        </w:rPr>
        <w:t xml:space="preserve"> 2009; </w:t>
      </w:r>
      <w:r w:rsidRPr="00C81DD8">
        <w:rPr>
          <w:rFonts w:ascii="Book Antiqua" w:eastAsia="Book Antiqua" w:hAnsi="Book Antiqua" w:cs="Book Antiqua"/>
          <w:b/>
          <w:bCs/>
          <w:color w:val="000000" w:themeColor="text1"/>
        </w:rPr>
        <w:t>9 Suppl 3</w:t>
      </w:r>
      <w:r w:rsidRPr="00C81DD8">
        <w:rPr>
          <w:rFonts w:ascii="Book Antiqua" w:eastAsia="Book Antiqua" w:hAnsi="Book Antiqua" w:cs="Book Antiqua"/>
          <w:color w:val="000000" w:themeColor="text1"/>
        </w:rPr>
        <w:t>: S1-155 [PMID: 19845597 DOI: 10.1111/j.1600-6143.2009.02834.x]</w:t>
      </w:r>
    </w:p>
    <w:p w14:paraId="6C3A584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 </w:t>
      </w:r>
      <w:r w:rsidRPr="00C81DD8">
        <w:rPr>
          <w:rFonts w:ascii="Book Antiqua" w:eastAsia="Book Antiqua" w:hAnsi="Book Antiqua" w:cs="Book Antiqua"/>
          <w:b/>
          <w:bCs/>
          <w:color w:val="000000" w:themeColor="text1"/>
        </w:rPr>
        <w:t>Williams WW</w:t>
      </w:r>
      <w:r w:rsidRPr="00C81DD8">
        <w:rPr>
          <w:rFonts w:ascii="Book Antiqua" w:eastAsia="Book Antiqua" w:hAnsi="Book Antiqua" w:cs="Book Antiqua"/>
          <w:color w:val="000000" w:themeColor="text1"/>
        </w:rPr>
        <w:t xml:space="preserve">, Taheri D, Tolkoff-Rubin N, Colvin RB. Clinical role of the renal transplant biopsy. </w:t>
      </w:r>
      <w:r w:rsidRPr="00C81DD8">
        <w:rPr>
          <w:rFonts w:ascii="Book Antiqua" w:eastAsia="Book Antiqua" w:hAnsi="Book Antiqua" w:cs="Book Antiqua"/>
          <w:i/>
          <w:iCs/>
          <w:color w:val="000000" w:themeColor="text1"/>
        </w:rPr>
        <w:t>Nat Rev Nephrol</w:t>
      </w:r>
      <w:r w:rsidRPr="00C81DD8">
        <w:rPr>
          <w:rFonts w:ascii="Book Antiqua" w:eastAsia="Book Antiqua" w:hAnsi="Book Antiqua" w:cs="Book Antiqua"/>
          <w:color w:val="000000" w:themeColor="text1"/>
        </w:rPr>
        <w:t xml:space="preserve"> 2012; </w:t>
      </w:r>
      <w:r w:rsidRPr="00C81DD8">
        <w:rPr>
          <w:rFonts w:ascii="Book Antiqua" w:eastAsia="Book Antiqua" w:hAnsi="Book Antiqua" w:cs="Book Antiqua"/>
          <w:b/>
          <w:bCs/>
          <w:color w:val="000000" w:themeColor="text1"/>
        </w:rPr>
        <w:t>8</w:t>
      </w:r>
      <w:r w:rsidRPr="00C81DD8">
        <w:rPr>
          <w:rFonts w:ascii="Book Antiqua" w:eastAsia="Book Antiqua" w:hAnsi="Book Antiqua" w:cs="Book Antiqua"/>
          <w:color w:val="000000" w:themeColor="text1"/>
        </w:rPr>
        <w:t>: 110-121 [PMID: 22231130 DOI: 10.1038/nrneph.2011.213]</w:t>
      </w:r>
    </w:p>
    <w:p w14:paraId="15594FC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6 </w:t>
      </w:r>
      <w:r w:rsidRPr="00C81DD8">
        <w:rPr>
          <w:rFonts w:ascii="Book Antiqua" w:eastAsia="Book Antiqua" w:hAnsi="Book Antiqua" w:cs="Book Antiqua"/>
          <w:b/>
          <w:bCs/>
          <w:color w:val="000000" w:themeColor="text1"/>
        </w:rPr>
        <w:t>Elias M</w:t>
      </w:r>
      <w:r w:rsidRPr="00C81DD8">
        <w:rPr>
          <w:rFonts w:ascii="Book Antiqua" w:eastAsia="Book Antiqua" w:hAnsi="Book Antiqua" w:cs="Book Antiqua"/>
          <w:color w:val="000000" w:themeColor="text1"/>
        </w:rPr>
        <w:t xml:space="preserve">, Pievani D, Randoux C, Louis K, Denis B, Delion A, Le Goff O, Antoine C, Greze C, Pillebout E, Abboud I, Glotz D, Daugas E, Lefaucheur C. COVID-19 Infection in Kidney Transplant Recipients: Disease Incidence and Clinical Outcomes. </w:t>
      </w:r>
      <w:r w:rsidRPr="00C81DD8">
        <w:rPr>
          <w:rFonts w:ascii="Book Antiqua" w:eastAsia="Book Antiqua" w:hAnsi="Book Antiqua" w:cs="Book Antiqua"/>
          <w:i/>
          <w:iCs/>
          <w:color w:val="000000" w:themeColor="text1"/>
        </w:rPr>
        <w:t>J Am Soc Nephrol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31</w:t>
      </w:r>
      <w:r w:rsidRPr="00C81DD8">
        <w:rPr>
          <w:rFonts w:ascii="Book Antiqua" w:eastAsia="Book Antiqua" w:hAnsi="Book Antiqua" w:cs="Book Antiqua"/>
          <w:color w:val="000000" w:themeColor="text1"/>
        </w:rPr>
        <w:t>: 2413-2423 [PMID: 32847984 DOI: 10.1681/ASN.2020050639]</w:t>
      </w:r>
    </w:p>
    <w:p w14:paraId="1E5711E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7 </w:t>
      </w:r>
      <w:r w:rsidRPr="00C81DD8">
        <w:rPr>
          <w:rFonts w:ascii="Book Antiqua" w:eastAsia="Book Antiqua" w:hAnsi="Book Antiqua" w:cs="Book Antiqua"/>
          <w:b/>
          <w:bCs/>
          <w:color w:val="000000" w:themeColor="text1"/>
        </w:rPr>
        <w:t>Akalin E</w:t>
      </w:r>
      <w:r w:rsidRPr="00C81DD8">
        <w:rPr>
          <w:rFonts w:ascii="Book Antiqua" w:eastAsia="Book Antiqua" w:hAnsi="Book Antiqua" w:cs="Book Antiqua"/>
          <w:color w:val="000000" w:themeColor="text1"/>
        </w:rPr>
        <w:t xml:space="preserve">, Azzi Y, Bartash R, Seethamraju H, Parides M, Hemmige V, Ross M, Forest S, Goldstein YD, Ajaimy M, Liriano-Ward L, Pynadath C, Loarte-Campos P, Nandigam PB, Graham J, Le M, Rocca J, Kinkhabwala M. Covid-19 and Kidney Transplantation. </w:t>
      </w:r>
      <w:r w:rsidRPr="00C81DD8">
        <w:rPr>
          <w:rFonts w:ascii="Book Antiqua" w:eastAsia="Book Antiqua" w:hAnsi="Book Antiqua" w:cs="Book Antiqua"/>
          <w:i/>
          <w:iCs/>
          <w:color w:val="000000" w:themeColor="text1"/>
        </w:rPr>
        <w:t>N Engl J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382</w:t>
      </w:r>
      <w:r w:rsidRPr="00C81DD8">
        <w:rPr>
          <w:rFonts w:ascii="Book Antiqua" w:eastAsia="Book Antiqua" w:hAnsi="Book Antiqua" w:cs="Book Antiqua"/>
          <w:color w:val="000000" w:themeColor="text1"/>
        </w:rPr>
        <w:t>: 2475-2477 [PMID: 32329975 DOI: 10.1056/NEJMc2011117]</w:t>
      </w:r>
    </w:p>
    <w:p w14:paraId="0D56F87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8 </w:t>
      </w:r>
      <w:r w:rsidRPr="00C81DD8">
        <w:rPr>
          <w:rFonts w:ascii="Book Antiqua" w:eastAsia="Book Antiqua" w:hAnsi="Book Antiqua" w:cs="Book Antiqua"/>
          <w:b/>
          <w:bCs/>
          <w:color w:val="000000" w:themeColor="text1"/>
        </w:rPr>
        <w:t>Columbia University Kidney Transplant Program.</w:t>
      </w:r>
      <w:r w:rsidRPr="00C81DD8">
        <w:rPr>
          <w:rFonts w:ascii="Book Antiqua" w:eastAsia="Book Antiqua" w:hAnsi="Book Antiqua" w:cs="Book Antiqua"/>
          <w:color w:val="000000" w:themeColor="text1"/>
        </w:rPr>
        <w:t xml:space="preserve">. Early Description of Coronavirus 2019 Disease in Kidney Transplant Recipients in New York. </w:t>
      </w:r>
      <w:r w:rsidRPr="00C81DD8">
        <w:rPr>
          <w:rFonts w:ascii="Book Antiqua" w:eastAsia="Book Antiqua" w:hAnsi="Book Antiqua" w:cs="Book Antiqua"/>
          <w:i/>
          <w:iCs/>
          <w:color w:val="000000" w:themeColor="text1"/>
        </w:rPr>
        <w:t>J Am Soc Nephrol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31</w:t>
      </w:r>
      <w:r w:rsidRPr="00C81DD8">
        <w:rPr>
          <w:rFonts w:ascii="Book Antiqua" w:eastAsia="Book Antiqua" w:hAnsi="Book Antiqua" w:cs="Book Antiqua"/>
          <w:color w:val="000000" w:themeColor="text1"/>
        </w:rPr>
        <w:t>: 1150-1156 [PMID: 32317402 DOI: 10.1681/ASN.2020030375]</w:t>
      </w:r>
    </w:p>
    <w:p w14:paraId="5C8647B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9 </w:t>
      </w:r>
      <w:r w:rsidRPr="00C81DD8">
        <w:rPr>
          <w:rFonts w:ascii="Book Antiqua" w:eastAsia="Book Antiqua" w:hAnsi="Book Antiqua" w:cs="Book Antiqua"/>
          <w:b/>
          <w:bCs/>
          <w:color w:val="000000" w:themeColor="text1"/>
        </w:rPr>
        <w:t>Banerjee D</w:t>
      </w:r>
      <w:r w:rsidRPr="00C81DD8">
        <w:rPr>
          <w:rFonts w:ascii="Book Antiqua" w:eastAsia="Book Antiqua" w:hAnsi="Book Antiqua" w:cs="Book Antiqua"/>
          <w:color w:val="000000" w:themeColor="text1"/>
        </w:rPr>
        <w:t xml:space="preserve">, Popoola J, Shah S, Ster IC, Quan V, Phanish M. COVID-19 infection in kidney transplant recipients. </w:t>
      </w:r>
      <w:r w:rsidRPr="00C81DD8">
        <w:rPr>
          <w:rFonts w:ascii="Book Antiqua" w:eastAsia="Book Antiqua" w:hAnsi="Book Antiqua" w:cs="Book Antiqua"/>
          <w:i/>
          <w:iCs/>
          <w:color w:val="000000" w:themeColor="text1"/>
        </w:rPr>
        <w:t>Kidney Int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97</w:t>
      </w:r>
      <w:r w:rsidRPr="00C81DD8">
        <w:rPr>
          <w:rFonts w:ascii="Book Antiqua" w:eastAsia="Book Antiqua" w:hAnsi="Book Antiqua" w:cs="Book Antiqua"/>
          <w:color w:val="000000" w:themeColor="text1"/>
        </w:rPr>
        <w:t>: 1076-1082 [PMID: 32354637 DOI: 10.1016/j.kint.2020.03.018]</w:t>
      </w:r>
    </w:p>
    <w:p w14:paraId="26792B1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10 </w:t>
      </w:r>
      <w:r w:rsidRPr="00C81DD8">
        <w:rPr>
          <w:rFonts w:ascii="Book Antiqua" w:eastAsia="Book Antiqua" w:hAnsi="Book Antiqua" w:cs="Book Antiqua"/>
          <w:b/>
          <w:bCs/>
          <w:color w:val="000000" w:themeColor="text1"/>
        </w:rPr>
        <w:t>Kumar D</w:t>
      </w:r>
      <w:r w:rsidRPr="00C81DD8">
        <w:rPr>
          <w:rFonts w:ascii="Book Antiqua" w:eastAsia="Book Antiqua" w:hAnsi="Book Antiqua" w:cs="Book Antiqua"/>
          <w:color w:val="000000" w:themeColor="text1"/>
        </w:rPr>
        <w:t xml:space="preserve">, Manuel O, Natori Y, Egawa H, Grossi P, Han SH, Fernández-Ruiz M, Humar A. COVID-19: A global transplant perspective on successfully navigating a pandemic.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1773-1779 [PMID: 32202064 DOI: 10.1111/ajt.15876]</w:t>
      </w:r>
    </w:p>
    <w:p w14:paraId="1175F5E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11 </w:t>
      </w:r>
      <w:r w:rsidRPr="00C81DD8">
        <w:rPr>
          <w:rFonts w:ascii="Book Antiqua" w:eastAsia="Book Antiqua" w:hAnsi="Book Antiqua" w:cs="Book Antiqua"/>
          <w:b/>
          <w:bCs/>
          <w:color w:val="000000" w:themeColor="text1"/>
        </w:rPr>
        <w:t>Elhadedy MA</w:t>
      </w:r>
      <w:r w:rsidRPr="00C81DD8">
        <w:rPr>
          <w:rFonts w:ascii="Book Antiqua" w:eastAsia="Book Antiqua" w:hAnsi="Book Antiqua" w:cs="Book Antiqua"/>
          <w:color w:val="000000" w:themeColor="text1"/>
        </w:rPr>
        <w:t xml:space="preserve">, Marie Y, Halawa A. COVID-19 in Renal Transplant Recipients: Case Series and a Brief Review of Current Evidence. </w:t>
      </w:r>
      <w:r w:rsidRPr="00C81DD8">
        <w:rPr>
          <w:rFonts w:ascii="Book Antiqua" w:eastAsia="Book Antiqua" w:hAnsi="Book Antiqua" w:cs="Book Antiqua"/>
          <w:i/>
          <w:iCs/>
          <w:color w:val="000000" w:themeColor="text1"/>
        </w:rPr>
        <w:t>Nephron</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145</w:t>
      </w:r>
      <w:r w:rsidRPr="00C81DD8">
        <w:rPr>
          <w:rFonts w:ascii="Book Antiqua" w:eastAsia="Book Antiqua" w:hAnsi="Book Antiqua" w:cs="Book Antiqua"/>
          <w:color w:val="000000" w:themeColor="text1"/>
        </w:rPr>
        <w:t>: 192-198 [PMID: 33291120 DOI: 10.1159/000512329]</w:t>
      </w:r>
    </w:p>
    <w:p w14:paraId="7566963F"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12 </w:t>
      </w:r>
      <w:r w:rsidRPr="00C81DD8">
        <w:rPr>
          <w:rFonts w:ascii="Book Antiqua" w:eastAsia="Book Antiqua" w:hAnsi="Book Antiqua" w:cs="Book Antiqua"/>
          <w:b/>
          <w:bCs/>
          <w:color w:val="000000" w:themeColor="text1"/>
        </w:rPr>
        <w:t>Sharma V</w:t>
      </w:r>
      <w:r w:rsidRPr="00C81DD8">
        <w:rPr>
          <w:rFonts w:ascii="Book Antiqua" w:eastAsia="Book Antiqua" w:hAnsi="Book Antiqua" w:cs="Book Antiqua"/>
          <w:color w:val="000000" w:themeColor="text1"/>
        </w:rPr>
        <w:t xml:space="preserve">, Shaw A, Lowe M, Summers A, van Dellen D, Augustine T. The impact of the COVID-19 pandemic on renal transplantation in the UK. </w:t>
      </w:r>
      <w:r w:rsidRPr="00C81DD8">
        <w:rPr>
          <w:rFonts w:ascii="Book Antiqua" w:eastAsia="Book Antiqua" w:hAnsi="Book Antiqua" w:cs="Book Antiqua"/>
          <w:i/>
          <w:iCs/>
          <w:color w:val="000000" w:themeColor="text1"/>
        </w:rPr>
        <w:t>Clin Med (Lond)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e82-e86 [PMID: 32457133 DOI: 10.7861/clinmed.2020-0183]</w:t>
      </w:r>
    </w:p>
    <w:p w14:paraId="7B9EE31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13 </w:t>
      </w:r>
      <w:r w:rsidRPr="00C81DD8">
        <w:rPr>
          <w:rFonts w:ascii="Book Antiqua" w:eastAsia="Book Antiqua" w:hAnsi="Book Antiqua" w:cs="Book Antiqua"/>
          <w:b/>
          <w:bCs/>
          <w:color w:val="000000" w:themeColor="text1"/>
        </w:rPr>
        <w:t>Lei S</w:t>
      </w:r>
      <w:r w:rsidRPr="00C81DD8">
        <w:rPr>
          <w:rFonts w:ascii="Book Antiqua" w:eastAsia="Book Antiqua" w:hAnsi="Book Antiqua" w:cs="Book Antiqua"/>
          <w:color w:val="000000" w:themeColor="text1"/>
        </w:rPr>
        <w:t xml:space="preserve">, Jiang F, Su W, Chen C, Chen J, Mei W, Zhan LY, Jia Y, Zhang L, Liu D, Xia ZY, Xia Z. Clinical characteristics and outcomes of patients undergoing surgeries during the </w:t>
      </w:r>
      <w:r w:rsidRPr="00C81DD8">
        <w:rPr>
          <w:rFonts w:ascii="Book Antiqua" w:eastAsia="Book Antiqua" w:hAnsi="Book Antiqua" w:cs="Book Antiqua"/>
          <w:color w:val="000000" w:themeColor="text1"/>
        </w:rPr>
        <w:lastRenderedPageBreak/>
        <w:t xml:space="preserve">incubation period of COVID-19 infection. </w:t>
      </w:r>
      <w:r w:rsidRPr="00C81DD8">
        <w:rPr>
          <w:rFonts w:ascii="Book Antiqua" w:eastAsia="Book Antiqua" w:hAnsi="Book Antiqua" w:cs="Book Antiqua"/>
          <w:i/>
          <w:iCs/>
          <w:color w:val="000000" w:themeColor="text1"/>
        </w:rPr>
        <w:t>EClinicalMedicine</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21</w:t>
      </w:r>
      <w:r w:rsidRPr="00C81DD8">
        <w:rPr>
          <w:rFonts w:ascii="Book Antiqua" w:eastAsia="Book Antiqua" w:hAnsi="Book Antiqua" w:cs="Book Antiqua"/>
          <w:color w:val="000000" w:themeColor="text1"/>
        </w:rPr>
        <w:t>: 100331 [PMID: 32292899 DOI: 10.1016/j.eclinm.2020.100331]</w:t>
      </w:r>
    </w:p>
    <w:p w14:paraId="197B2BC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14 </w:t>
      </w:r>
      <w:r w:rsidRPr="00C81DD8">
        <w:rPr>
          <w:rFonts w:ascii="Book Antiqua" w:eastAsia="Book Antiqua" w:hAnsi="Book Antiqua" w:cs="Book Antiqua"/>
          <w:b/>
          <w:bCs/>
          <w:color w:val="000000" w:themeColor="text1"/>
        </w:rPr>
        <w:t>Kotton CN</w:t>
      </w:r>
      <w:r w:rsidRPr="00C81DD8">
        <w:rPr>
          <w:rFonts w:ascii="Book Antiqua" w:eastAsia="Book Antiqua" w:hAnsi="Book Antiqua" w:cs="Book Antiqua"/>
          <w:color w:val="000000" w:themeColor="text1"/>
        </w:rPr>
        <w:t xml:space="preserve">, Fishman JA. Viral infection in the renal transplant recipient. </w:t>
      </w:r>
      <w:r w:rsidRPr="00C81DD8">
        <w:rPr>
          <w:rFonts w:ascii="Book Antiqua" w:eastAsia="Book Antiqua" w:hAnsi="Book Antiqua" w:cs="Book Antiqua"/>
          <w:i/>
          <w:iCs/>
          <w:color w:val="000000" w:themeColor="text1"/>
        </w:rPr>
        <w:t>J Am Soc Nephrol</w:t>
      </w:r>
      <w:r w:rsidRPr="00C81DD8">
        <w:rPr>
          <w:rFonts w:ascii="Book Antiqua" w:eastAsia="Book Antiqua" w:hAnsi="Book Antiqua" w:cs="Book Antiqua"/>
          <w:color w:val="000000" w:themeColor="text1"/>
        </w:rPr>
        <w:t xml:space="preserve"> 2005; </w:t>
      </w:r>
      <w:r w:rsidRPr="00C81DD8">
        <w:rPr>
          <w:rFonts w:ascii="Book Antiqua" w:eastAsia="Book Antiqua" w:hAnsi="Book Antiqua" w:cs="Book Antiqua"/>
          <w:b/>
          <w:bCs/>
          <w:color w:val="000000" w:themeColor="text1"/>
        </w:rPr>
        <w:t>16</w:t>
      </w:r>
      <w:r w:rsidRPr="00C81DD8">
        <w:rPr>
          <w:rFonts w:ascii="Book Antiqua" w:eastAsia="Book Antiqua" w:hAnsi="Book Antiqua" w:cs="Book Antiqua"/>
          <w:color w:val="000000" w:themeColor="text1"/>
        </w:rPr>
        <w:t>: 1758-1774 [PMID: 15829710 DOI: 10.1681/ASN.2004121113]</w:t>
      </w:r>
    </w:p>
    <w:p w14:paraId="254BF26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15 </w:t>
      </w:r>
      <w:r w:rsidRPr="00C81DD8">
        <w:rPr>
          <w:rFonts w:ascii="Book Antiqua" w:eastAsia="Book Antiqua" w:hAnsi="Book Antiqua" w:cs="Book Antiqua"/>
          <w:b/>
          <w:bCs/>
          <w:color w:val="000000" w:themeColor="text1"/>
        </w:rPr>
        <w:t>Adapa S</w:t>
      </w:r>
      <w:r w:rsidRPr="00C81DD8">
        <w:rPr>
          <w:rFonts w:ascii="Book Antiqua" w:eastAsia="Book Antiqua" w:hAnsi="Book Antiqua" w:cs="Book Antiqua"/>
          <w:color w:val="000000" w:themeColor="text1"/>
        </w:rPr>
        <w:t xml:space="preserve">, Chenna A, Balla M, Merugu GP, Koduri NM, Daggubati SR, Gayam V, Naramala S, Konala VM. COVID-19 Pandemic Causing Acute Kidney Injury and Impact on Patients With Chronic Kidney Disease and Renal Transplantation. </w:t>
      </w:r>
      <w:r w:rsidRPr="00C81DD8">
        <w:rPr>
          <w:rFonts w:ascii="Book Antiqua" w:eastAsia="Book Antiqua" w:hAnsi="Book Antiqua" w:cs="Book Antiqua"/>
          <w:i/>
          <w:iCs/>
          <w:color w:val="000000" w:themeColor="text1"/>
        </w:rPr>
        <w:t>J Clin Med Res</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12</w:t>
      </w:r>
      <w:r w:rsidRPr="00C81DD8">
        <w:rPr>
          <w:rFonts w:ascii="Book Antiqua" w:eastAsia="Book Antiqua" w:hAnsi="Book Antiqua" w:cs="Book Antiqua"/>
          <w:color w:val="000000" w:themeColor="text1"/>
        </w:rPr>
        <w:t>: 352-361 [PMID: 32587651 DOI: 10.14740/jocmr4200]</w:t>
      </w:r>
    </w:p>
    <w:p w14:paraId="6D9E085E"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16 </w:t>
      </w:r>
      <w:r w:rsidRPr="00C81DD8">
        <w:rPr>
          <w:rFonts w:ascii="Book Antiqua" w:eastAsia="Book Antiqua" w:hAnsi="Book Antiqua" w:cs="Book Antiqua"/>
          <w:b/>
          <w:bCs/>
          <w:color w:val="000000" w:themeColor="text1"/>
        </w:rPr>
        <w:t>Pereira MR</w:t>
      </w:r>
      <w:r w:rsidRPr="00C81DD8">
        <w:rPr>
          <w:rFonts w:ascii="Book Antiqua" w:eastAsia="Book Antiqua" w:hAnsi="Book Antiqua" w:cs="Book Antiqua"/>
          <w:color w:val="000000" w:themeColor="text1"/>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1800-1808 [PMID: 32330343 DOI: 10.1111/ajt.15941]</w:t>
      </w:r>
    </w:p>
    <w:p w14:paraId="62B3E08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17 </w:t>
      </w:r>
      <w:r w:rsidRPr="00C81DD8">
        <w:rPr>
          <w:rFonts w:ascii="Book Antiqua" w:eastAsia="Book Antiqua" w:hAnsi="Book Antiqua" w:cs="Book Antiqua"/>
          <w:b/>
          <w:bCs/>
          <w:color w:val="000000" w:themeColor="text1"/>
        </w:rPr>
        <w:t>Cravedi P</w:t>
      </w:r>
      <w:r w:rsidRPr="00C81DD8">
        <w:rPr>
          <w:rFonts w:ascii="Book Antiqua" w:eastAsia="Book Antiqua" w:hAnsi="Book Antiqua" w:cs="Book Antiqua"/>
          <w:color w:val="000000" w:themeColor="text1"/>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3140-3148 [PMID: 32649791 DOI: 10.1111/ajt.16185]</w:t>
      </w:r>
    </w:p>
    <w:p w14:paraId="29B987E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18 </w:t>
      </w:r>
      <w:r w:rsidRPr="00C81DD8">
        <w:rPr>
          <w:rFonts w:ascii="Book Antiqua" w:eastAsia="Book Antiqua" w:hAnsi="Book Antiqua" w:cs="Book Antiqua"/>
          <w:b/>
          <w:bCs/>
          <w:color w:val="000000" w:themeColor="text1"/>
        </w:rPr>
        <w:t>Boyarsky BJ</w:t>
      </w:r>
      <w:r w:rsidRPr="00C81DD8">
        <w:rPr>
          <w:rFonts w:ascii="Book Antiqua" w:eastAsia="Book Antiqua" w:hAnsi="Book Antiqua" w:cs="Book Antiqua"/>
          <w:color w:val="000000" w:themeColor="text1"/>
        </w:rPr>
        <w:t xml:space="preserve">, Ruck JM, Chiang TP, Werbel WA, Strauss AT, Getsin SN, Jackson KR, Kernodle AB, Van Pilsum Rasmussen SE, Baker TB, Al Ammary F, Durand CM, Avery RK, Massie AB, Segev DL, Garonzik-Wang JM. Evolving Impact of COVID-19 on Transplant Center Practices and Policies in the United States. </w:t>
      </w:r>
      <w:r w:rsidRPr="00C81DD8">
        <w:rPr>
          <w:rFonts w:ascii="Book Antiqua" w:eastAsia="Book Antiqua" w:hAnsi="Book Antiqua" w:cs="Book Antiqua"/>
          <w:i/>
          <w:iCs/>
          <w:color w:val="000000" w:themeColor="text1"/>
        </w:rPr>
        <w:t>Clin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34</w:t>
      </w:r>
      <w:r w:rsidRPr="00C81DD8">
        <w:rPr>
          <w:rFonts w:ascii="Book Antiqua" w:eastAsia="Book Antiqua" w:hAnsi="Book Antiqua" w:cs="Book Antiqua"/>
          <w:color w:val="000000" w:themeColor="text1"/>
        </w:rPr>
        <w:t>: e14086 [PMID: 32918766 DOI: 10.1111/ctr.14086]</w:t>
      </w:r>
    </w:p>
    <w:p w14:paraId="4D9FF2E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19 </w:t>
      </w:r>
      <w:r w:rsidRPr="00C81DD8">
        <w:rPr>
          <w:rFonts w:ascii="Book Antiqua" w:eastAsia="Book Antiqua" w:hAnsi="Book Antiqua" w:cs="Book Antiqua"/>
          <w:b/>
          <w:bCs/>
          <w:color w:val="000000" w:themeColor="text1"/>
        </w:rPr>
        <w:t>Asim M</w:t>
      </w:r>
      <w:r w:rsidRPr="00C81DD8">
        <w:rPr>
          <w:rFonts w:ascii="Book Antiqua" w:eastAsia="Book Antiqua" w:hAnsi="Book Antiqua" w:cs="Book Antiqua"/>
          <w:color w:val="000000" w:themeColor="text1"/>
        </w:rPr>
        <w:t xml:space="preserve">, Alkadi M, Hamad A, Othman M, Abuhelaiqa E, Fituri O, El-Madhoun I, Al-Malki H. Restructuring nephrology services to combat COVID-19 pandemic: Report from a Middle Eastern country. </w:t>
      </w:r>
      <w:r w:rsidRPr="00C81DD8">
        <w:rPr>
          <w:rFonts w:ascii="Book Antiqua" w:eastAsia="Book Antiqua" w:hAnsi="Book Antiqua" w:cs="Book Antiqua"/>
          <w:i/>
          <w:iCs/>
          <w:color w:val="000000" w:themeColor="text1"/>
        </w:rPr>
        <w:t>World J Nephrol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9</w:t>
      </w:r>
      <w:r w:rsidRPr="00C81DD8">
        <w:rPr>
          <w:rFonts w:ascii="Book Antiqua" w:eastAsia="Book Antiqua" w:hAnsi="Book Antiqua" w:cs="Book Antiqua"/>
          <w:color w:val="000000" w:themeColor="text1"/>
        </w:rPr>
        <w:t>: 9-17 [PMID: 33312898 DOI: 10.5527/wjn.v9.i2.9]</w:t>
      </w:r>
    </w:p>
    <w:p w14:paraId="0C373C8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20 </w:t>
      </w:r>
      <w:r w:rsidRPr="00C81DD8">
        <w:rPr>
          <w:rFonts w:ascii="Book Antiqua" w:eastAsia="Book Antiqua" w:hAnsi="Book Antiqua" w:cs="Book Antiqua"/>
          <w:b/>
          <w:bCs/>
          <w:color w:val="000000" w:themeColor="text1"/>
        </w:rPr>
        <w:t>Georgiades F</w:t>
      </w:r>
      <w:r w:rsidRPr="00C81DD8">
        <w:rPr>
          <w:rFonts w:ascii="Book Antiqua" w:eastAsia="Book Antiqua" w:hAnsi="Book Antiqua" w:cs="Book Antiqua"/>
          <w:color w:val="000000" w:themeColor="text1"/>
        </w:rPr>
        <w:t xml:space="preserve">, Summers DM, Butler AJ, Russell NKI, Clatworthy MR, Torpey N. Renal transplantation during the SARS-CoV-2 pandemic in the UK: Experience from a large-volume center. </w:t>
      </w:r>
      <w:r w:rsidRPr="00C81DD8">
        <w:rPr>
          <w:rFonts w:ascii="Book Antiqua" w:eastAsia="Book Antiqua" w:hAnsi="Book Antiqua" w:cs="Book Antiqua"/>
          <w:i/>
          <w:iCs/>
          <w:color w:val="000000" w:themeColor="text1"/>
        </w:rPr>
        <w:t>Clin Transplant</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35</w:t>
      </w:r>
      <w:r w:rsidRPr="00C81DD8">
        <w:rPr>
          <w:rFonts w:ascii="Book Antiqua" w:eastAsia="Book Antiqua" w:hAnsi="Book Antiqua" w:cs="Book Antiqua"/>
          <w:color w:val="000000" w:themeColor="text1"/>
        </w:rPr>
        <w:t>: e14150 [PMID: 33170982 DOI: 10.1111/ctr.14150]</w:t>
      </w:r>
    </w:p>
    <w:p w14:paraId="3E1AA78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21 </w:t>
      </w:r>
      <w:r w:rsidRPr="00C81DD8">
        <w:rPr>
          <w:rFonts w:ascii="Book Antiqua" w:eastAsia="Book Antiqua" w:hAnsi="Book Antiqua" w:cs="Book Antiqua"/>
          <w:b/>
          <w:bCs/>
          <w:color w:val="000000" w:themeColor="text1"/>
        </w:rPr>
        <w:t>El Kassas M</w:t>
      </w:r>
      <w:r w:rsidRPr="00C81DD8">
        <w:rPr>
          <w:rFonts w:ascii="Book Antiqua" w:eastAsia="Book Antiqua" w:hAnsi="Book Antiqua" w:cs="Book Antiqua"/>
          <w:color w:val="000000" w:themeColor="text1"/>
        </w:rPr>
        <w:t xml:space="preserve">, Alboraie M, Al Balakosy A, Abdeen N, Afify S, Abdalgaber M, Sherief AF, Madkour A, Abdellah Ahmed M, Eltabbakh M, Salaheldin M, Wifi MN. Liver transplantation in the era of COVID-19. </w:t>
      </w:r>
      <w:r w:rsidRPr="00C81DD8">
        <w:rPr>
          <w:rFonts w:ascii="Book Antiqua" w:eastAsia="Book Antiqua" w:hAnsi="Book Antiqua" w:cs="Book Antiqua"/>
          <w:i/>
          <w:iCs/>
          <w:color w:val="000000" w:themeColor="text1"/>
        </w:rPr>
        <w:t>Arab J Gastroenterol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21</w:t>
      </w:r>
      <w:r w:rsidRPr="00C81DD8">
        <w:rPr>
          <w:rFonts w:ascii="Book Antiqua" w:eastAsia="Book Antiqua" w:hAnsi="Book Antiqua" w:cs="Book Antiqua"/>
          <w:color w:val="000000" w:themeColor="text1"/>
        </w:rPr>
        <w:t>: 69-75 [PMID: 32439237 DOI: 10.1016/j.ajg.2020.04.019]</w:t>
      </w:r>
    </w:p>
    <w:p w14:paraId="1F9958EF"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22 </w:t>
      </w:r>
      <w:r w:rsidRPr="00C81DD8">
        <w:rPr>
          <w:rFonts w:ascii="Book Antiqua" w:eastAsia="Book Antiqua" w:hAnsi="Book Antiqua" w:cs="Book Antiqua"/>
          <w:b/>
          <w:bCs/>
          <w:color w:val="000000" w:themeColor="text1"/>
        </w:rPr>
        <w:t>Søreide K</w:t>
      </w:r>
      <w:r w:rsidRPr="00C81DD8">
        <w:rPr>
          <w:rFonts w:ascii="Book Antiqua" w:eastAsia="Book Antiqua" w:hAnsi="Book Antiqua" w:cs="Book Antiqua"/>
          <w:color w:val="000000" w:themeColor="text1"/>
        </w:rPr>
        <w:t xml:space="preserve">, Hallet J, Matthews JB, Schnitzbauer AA, Line PD, Lai PBS, Otero J, Callegaro D, Warner SG, Baxter NN, Teh CSC, Ng-Kamstra J, Meara JG, Hagander L, Lorenzon L. Immediate and long-term impact of the COVID-19 pandemic on delivery of surgical services. </w:t>
      </w:r>
      <w:r w:rsidRPr="00C81DD8">
        <w:rPr>
          <w:rFonts w:ascii="Book Antiqua" w:eastAsia="Book Antiqua" w:hAnsi="Book Antiqua" w:cs="Book Antiqua"/>
          <w:i/>
          <w:iCs/>
          <w:color w:val="000000" w:themeColor="text1"/>
        </w:rPr>
        <w:t>Br J Surg</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107</w:t>
      </w:r>
      <w:r w:rsidRPr="00C81DD8">
        <w:rPr>
          <w:rFonts w:ascii="Book Antiqua" w:eastAsia="Book Antiqua" w:hAnsi="Book Antiqua" w:cs="Book Antiqua"/>
          <w:color w:val="000000" w:themeColor="text1"/>
        </w:rPr>
        <w:t>: 1250-1261 [PMID: 32350857 DOI: 10.1002/bjs.11670]</w:t>
      </w:r>
    </w:p>
    <w:p w14:paraId="58F5847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23 </w:t>
      </w:r>
      <w:r w:rsidRPr="00C81DD8">
        <w:rPr>
          <w:rFonts w:ascii="Book Antiqua" w:eastAsia="Book Antiqua" w:hAnsi="Book Antiqua" w:cs="Book Antiqua"/>
          <w:b/>
          <w:bCs/>
          <w:color w:val="000000" w:themeColor="text1"/>
        </w:rPr>
        <w:t>Coccolini F</w:t>
      </w:r>
      <w:r w:rsidRPr="00C81DD8">
        <w:rPr>
          <w:rFonts w:ascii="Book Antiqua" w:eastAsia="Book Antiqua" w:hAnsi="Book Antiqua" w:cs="Book Antiqua"/>
          <w:color w:val="000000" w:themeColor="text1"/>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C81DD8">
        <w:rPr>
          <w:rFonts w:ascii="Book Antiqua" w:eastAsia="Book Antiqua" w:hAnsi="Book Antiqua" w:cs="Book Antiqua"/>
          <w:i/>
          <w:iCs/>
          <w:color w:val="000000" w:themeColor="text1"/>
        </w:rPr>
        <w:t>World J Emerg Surg</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15</w:t>
      </w:r>
      <w:r w:rsidRPr="00C81DD8">
        <w:rPr>
          <w:rFonts w:ascii="Book Antiqua" w:eastAsia="Book Antiqua" w:hAnsi="Book Antiqua" w:cs="Book Antiqua"/>
          <w:color w:val="000000" w:themeColor="text1"/>
        </w:rPr>
        <w:t>: 25 [PMID: 32264898 DOI: 10.1186/s13017-020-00307-2]</w:t>
      </w:r>
    </w:p>
    <w:p w14:paraId="5DE7B98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24 </w:t>
      </w:r>
      <w:r w:rsidRPr="00C81DD8">
        <w:rPr>
          <w:rFonts w:ascii="Book Antiqua" w:eastAsia="Book Antiqua" w:hAnsi="Book Antiqua" w:cs="Book Antiqua"/>
          <w:b/>
          <w:bCs/>
          <w:color w:val="000000" w:themeColor="text1"/>
        </w:rPr>
        <w:t>De Simone B</w:t>
      </w:r>
      <w:r w:rsidRPr="00C81DD8">
        <w:rPr>
          <w:rFonts w:ascii="Book Antiqua" w:eastAsia="Book Antiqua" w:hAnsi="Book Antiqua" w:cs="Book Antiqua"/>
          <w:color w:val="000000" w:themeColor="text1"/>
        </w:rPr>
        <w:t xml:space="preserve">, Chouillard E, Di Saverio S, Pagani L, Sartelli M, Biffl WL, Coccolini F, Pieri A, Khan M, Borzellino G, Campanile FC, Ansaloni L, Catena F. Emergency surgery during the COVID-19 pandemic: what you need to know for practice. </w:t>
      </w:r>
      <w:r w:rsidRPr="00C81DD8">
        <w:rPr>
          <w:rFonts w:ascii="Book Antiqua" w:eastAsia="Book Antiqua" w:hAnsi="Book Antiqua" w:cs="Book Antiqua"/>
          <w:i/>
          <w:iCs/>
          <w:color w:val="000000" w:themeColor="text1"/>
        </w:rPr>
        <w:t>Ann R Coll Surg Engl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102</w:t>
      </w:r>
      <w:r w:rsidRPr="00C81DD8">
        <w:rPr>
          <w:rFonts w:ascii="Book Antiqua" w:eastAsia="Book Antiqua" w:hAnsi="Book Antiqua" w:cs="Book Antiqua"/>
          <w:color w:val="000000" w:themeColor="text1"/>
        </w:rPr>
        <w:t>: 323-332 [PMID: 32352836 DOI: 10.1308/rcsann.2020.0097]</w:t>
      </w:r>
    </w:p>
    <w:p w14:paraId="1DC6146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25 </w:t>
      </w:r>
      <w:r w:rsidRPr="00C81DD8">
        <w:rPr>
          <w:rFonts w:ascii="Book Antiqua" w:eastAsia="Book Antiqua" w:hAnsi="Book Antiqua" w:cs="Book Antiqua"/>
          <w:b/>
          <w:bCs/>
          <w:color w:val="000000" w:themeColor="text1"/>
        </w:rPr>
        <w:t>Martino F</w:t>
      </w:r>
      <w:r w:rsidRPr="00C81DD8">
        <w:rPr>
          <w:rFonts w:ascii="Book Antiqua" w:eastAsia="Book Antiqua" w:hAnsi="Book Antiqua" w:cs="Book Antiqua"/>
          <w:color w:val="000000" w:themeColor="text1"/>
        </w:rPr>
        <w:t xml:space="preserve">, Plebani M, Ronco C. Kidney transplant programmes during the COVID-19 pandemic. </w:t>
      </w:r>
      <w:r w:rsidRPr="00C81DD8">
        <w:rPr>
          <w:rFonts w:ascii="Book Antiqua" w:eastAsia="Book Antiqua" w:hAnsi="Book Antiqua" w:cs="Book Antiqua"/>
          <w:i/>
          <w:iCs/>
          <w:color w:val="000000" w:themeColor="text1"/>
        </w:rPr>
        <w:t>Lancet Respir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8</w:t>
      </w:r>
      <w:r w:rsidRPr="00C81DD8">
        <w:rPr>
          <w:rFonts w:ascii="Book Antiqua" w:eastAsia="Book Antiqua" w:hAnsi="Book Antiqua" w:cs="Book Antiqua"/>
          <w:color w:val="000000" w:themeColor="text1"/>
        </w:rPr>
        <w:t>: e39 [PMID: 32305079 DOI: 10.1016/S2213-2600(20)30182-X]</w:t>
      </w:r>
    </w:p>
    <w:p w14:paraId="5309F73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26 </w:t>
      </w:r>
      <w:r w:rsidRPr="00C81DD8">
        <w:rPr>
          <w:rFonts w:ascii="Book Antiqua" w:eastAsia="Book Antiqua" w:hAnsi="Book Antiqua" w:cs="Book Antiqua"/>
          <w:b/>
          <w:bCs/>
          <w:color w:val="000000" w:themeColor="text1"/>
        </w:rPr>
        <w:t>Gori A</w:t>
      </w:r>
      <w:r w:rsidRPr="00C81DD8">
        <w:rPr>
          <w:rFonts w:ascii="Book Antiqua" w:eastAsia="Book Antiqua" w:hAnsi="Book Antiqua" w:cs="Book Antiqua"/>
          <w:color w:val="000000" w:themeColor="text1"/>
        </w:rPr>
        <w:t xml:space="preserve">, Dondossola D, Antonelli B, Mangioni D, Alagna L, Reggiani P, Bandera A, Rossi G. Coronavirus disease 2019 and transplantation: A view from the inside.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1939-1940 [PMID: 32181969 DOI: 10.1111/ajt.15853]</w:t>
      </w:r>
    </w:p>
    <w:p w14:paraId="405D77C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27 </w:t>
      </w:r>
      <w:r w:rsidRPr="00C81DD8">
        <w:rPr>
          <w:rFonts w:ascii="Book Antiqua" w:eastAsia="Book Antiqua" w:hAnsi="Book Antiqua" w:cs="Book Antiqua"/>
          <w:b/>
          <w:bCs/>
          <w:color w:val="000000" w:themeColor="text1"/>
        </w:rPr>
        <w:t>COVIDSurg Collaborative.</w:t>
      </w:r>
      <w:r w:rsidRPr="00C81DD8">
        <w:rPr>
          <w:rFonts w:ascii="Book Antiqua" w:eastAsia="Book Antiqua" w:hAnsi="Book Antiqua" w:cs="Book Antiqua"/>
          <w:color w:val="000000" w:themeColor="text1"/>
        </w:rPr>
        <w:t xml:space="preserve">. Elective surgery cancellations due to the COVID-19 pandemic: global predictive modelling to inform surgical recovery plans. </w:t>
      </w:r>
      <w:r w:rsidRPr="00C81DD8">
        <w:rPr>
          <w:rFonts w:ascii="Book Antiqua" w:eastAsia="Book Antiqua" w:hAnsi="Book Antiqua" w:cs="Book Antiqua"/>
          <w:i/>
          <w:iCs/>
          <w:color w:val="000000" w:themeColor="text1"/>
        </w:rPr>
        <w:t>Br J Surg</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107</w:t>
      </w:r>
      <w:r w:rsidRPr="00C81DD8">
        <w:rPr>
          <w:rFonts w:ascii="Book Antiqua" w:eastAsia="Book Antiqua" w:hAnsi="Book Antiqua" w:cs="Book Antiqua"/>
          <w:color w:val="000000" w:themeColor="text1"/>
        </w:rPr>
        <w:t>: 1440-1449 [PMID: 32395848 DOI: 10.1002/bjs.11746]</w:t>
      </w:r>
    </w:p>
    <w:p w14:paraId="5CC9111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28 </w:t>
      </w:r>
      <w:r w:rsidRPr="00C81DD8">
        <w:rPr>
          <w:rFonts w:ascii="Book Antiqua" w:eastAsia="Book Antiqua" w:hAnsi="Book Antiqua" w:cs="Book Antiqua"/>
          <w:b/>
          <w:bCs/>
          <w:color w:val="000000" w:themeColor="text1"/>
        </w:rPr>
        <w:t>D'Antiga L</w:t>
      </w:r>
      <w:r w:rsidRPr="00C81DD8">
        <w:rPr>
          <w:rFonts w:ascii="Book Antiqua" w:eastAsia="Book Antiqua" w:hAnsi="Book Antiqua" w:cs="Book Antiqua"/>
          <w:color w:val="000000" w:themeColor="text1"/>
        </w:rPr>
        <w:t xml:space="preserve">. Coronaviruses and Immunosuppressed Patients: The Facts During the Third Epidemic. </w:t>
      </w:r>
      <w:r w:rsidRPr="00C81DD8">
        <w:rPr>
          <w:rFonts w:ascii="Book Antiqua" w:eastAsia="Book Antiqua" w:hAnsi="Book Antiqua" w:cs="Book Antiqua"/>
          <w:i/>
          <w:iCs/>
          <w:color w:val="000000" w:themeColor="text1"/>
        </w:rPr>
        <w:t>Liver Transpl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26</w:t>
      </w:r>
      <w:r w:rsidRPr="00C81DD8">
        <w:rPr>
          <w:rFonts w:ascii="Book Antiqua" w:eastAsia="Book Antiqua" w:hAnsi="Book Antiqua" w:cs="Book Antiqua"/>
          <w:color w:val="000000" w:themeColor="text1"/>
        </w:rPr>
        <w:t>: 832-834 [PMID: 32196933 DOI: 10.1002/</w:t>
      </w:r>
      <w:r w:rsidR="001D3D01" w:rsidRPr="00C81DD8">
        <w:rPr>
          <w:rFonts w:ascii="Book Antiqua" w:eastAsia="Book Antiqua" w:hAnsi="Book Antiqua" w:cs="Book Antiqua"/>
          <w:color w:val="000000" w:themeColor="text1"/>
        </w:rPr>
        <w:t>l</w:t>
      </w:r>
      <w:r w:rsidRPr="00C81DD8">
        <w:rPr>
          <w:rFonts w:ascii="Book Antiqua" w:eastAsia="Book Antiqua" w:hAnsi="Book Antiqua" w:cs="Book Antiqua"/>
          <w:color w:val="000000" w:themeColor="text1"/>
        </w:rPr>
        <w:t>t.25756]</w:t>
      </w:r>
    </w:p>
    <w:p w14:paraId="28A18C9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29 </w:t>
      </w:r>
      <w:r w:rsidRPr="00C81DD8">
        <w:rPr>
          <w:rFonts w:ascii="Book Antiqua" w:eastAsia="Book Antiqua" w:hAnsi="Book Antiqua" w:cs="Book Antiqua"/>
          <w:b/>
          <w:bCs/>
          <w:color w:val="000000" w:themeColor="text1"/>
        </w:rPr>
        <w:t>Manitpisitkul W</w:t>
      </w:r>
      <w:r w:rsidRPr="00C81DD8">
        <w:rPr>
          <w:rFonts w:ascii="Book Antiqua" w:eastAsia="Book Antiqua" w:hAnsi="Book Antiqua" w:cs="Book Antiqua"/>
          <w:color w:val="000000" w:themeColor="text1"/>
        </w:rPr>
        <w:t xml:space="preserve">, McCann E, Lee S, Weir MR. Drug interactions in transplant patients: what everyone should know. </w:t>
      </w:r>
      <w:r w:rsidRPr="00C81DD8">
        <w:rPr>
          <w:rFonts w:ascii="Book Antiqua" w:eastAsia="Book Antiqua" w:hAnsi="Book Antiqua" w:cs="Book Antiqua"/>
          <w:i/>
          <w:iCs/>
          <w:color w:val="000000" w:themeColor="text1"/>
        </w:rPr>
        <w:t>Curr Opin Nephrol Hypertens</w:t>
      </w:r>
      <w:r w:rsidRPr="00C81DD8">
        <w:rPr>
          <w:rFonts w:ascii="Book Antiqua" w:eastAsia="Book Antiqua" w:hAnsi="Book Antiqua" w:cs="Book Antiqua"/>
          <w:color w:val="000000" w:themeColor="text1"/>
        </w:rPr>
        <w:t xml:space="preserve"> 2009; </w:t>
      </w:r>
      <w:r w:rsidRPr="00C81DD8">
        <w:rPr>
          <w:rFonts w:ascii="Book Antiqua" w:eastAsia="Book Antiqua" w:hAnsi="Book Antiqua" w:cs="Book Antiqua"/>
          <w:b/>
          <w:bCs/>
          <w:color w:val="000000" w:themeColor="text1"/>
        </w:rPr>
        <w:t>18</w:t>
      </w:r>
      <w:r w:rsidRPr="00C81DD8">
        <w:rPr>
          <w:rFonts w:ascii="Book Antiqua" w:eastAsia="Book Antiqua" w:hAnsi="Book Antiqua" w:cs="Book Antiqua"/>
          <w:color w:val="000000" w:themeColor="text1"/>
        </w:rPr>
        <w:t>: 404-411 [PMID: 19593130 DOI: 10.1097/MNH.0b013e32832edcb2]</w:t>
      </w:r>
    </w:p>
    <w:p w14:paraId="589BC35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30 </w:t>
      </w:r>
      <w:r w:rsidRPr="00C81DD8">
        <w:rPr>
          <w:rFonts w:ascii="Book Antiqua" w:eastAsia="Book Antiqua" w:hAnsi="Book Antiqua" w:cs="Book Antiqua"/>
          <w:b/>
          <w:bCs/>
          <w:color w:val="000000" w:themeColor="text1"/>
        </w:rPr>
        <w:t>Elens L</w:t>
      </w:r>
      <w:r w:rsidRPr="00C81DD8">
        <w:rPr>
          <w:rFonts w:ascii="Book Antiqua" w:eastAsia="Book Antiqua" w:hAnsi="Book Antiqua" w:cs="Book Antiqua"/>
          <w:color w:val="000000" w:themeColor="text1"/>
        </w:rPr>
        <w:t xml:space="preserve">, Langman LJ, Hesselink DA, Bergan S, Moes DJAR, Molinaro M, Venkataramanan R, Lemaitre F. Pharmacologic Treatment of Transplant Recipients Infected With SARS-CoV-2: Considerations Regarding Therapeutic Drug Monitoring and Drug-Drug Interactions. </w:t>
      </w:r>
      <w:r w:rsidRPr="00C81DD8">
        <w:rPr>
          <w:rFonts w:ascii="Book Antiqua" w:eastAsia="Book Antiqua" w:hAnsi="Book Antiqua" w:cs="Book Antiqua"/>
          <w:i/>
          <w:iCs/>
          <w:color w:val="000000" w:themeColor="text1"/>
        </w:rPr>
        <w:t>Ther Drug Monit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42</w:t>
      </w:r>
      <w:r w:rsidRPr="00C81DD8">
        <w:rPr>
          <w:rFonts w:ascii="Book Antiqua" w:eastAsia="Book Antiqua" w:hAnsi="Book Antiqua" w:cs="Book Antiqua"/>
          <w:color w:val="000000" w:themeColor="text1"/>
        </w:rPr>
        <w:t>: 360-368 [PMID: 32304488 DOI: 10.1097/FTD.0000000000000761]</w:t>
      </w:r>
    </w:p>
    <w:p w14:paraId="6AA1C0D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31 </w:t>
      </w:r>
      <w:r w:rsidRPr="00C81DD8">
        <w:rPr>
          <w:rFonts w:ascii="Book Antiqua" w:eastAsia="Book Antiqua" w:hAnsi="Book Antiqua" w:cs="Book Antiqua"/>
          <w:b/>
          <w:bCs/>
          <w:color w:val="000000" w:themeColor="text1"/>
        </w:rPr>
        <w:t>Kronbichler A</w:t>
      </w:r>
      <w:r w:rsidRPr="00C81DD8">
        <w:rPr>
          <w:rFonts w:ascii="Book Antiqua" w:eastAsia="Book Antiqua" w:hAnsi="Book Antiqua" w:cs="Book Antiqua"/>
          <w:color w:val="000000" w:themeColor="text1"/>
        </w:rPr>
        <w:t xml:space="preserve">, Gauckler P, Windpessl M, Il Shin J, Jha V, Rovin BH, Oberbauer R. COVID-19: implications for immunosuppression in kidney disease and transplantation. </w:t>
      </w:r>
      <w:r w:rsidRPr="00C81DD8">
        <w:rPr>
          <w:rFonts w:ascii="Book Antiqua" w:eastAsia="Book Antiqua" w:hAnsi="Book Antiqua" w:cs="Book Antiqua"/>
          <w:i/>
          <w:iCs/>
          <w:color w:val="000000" w:themeColor="text1"/>
        </w:rPr>
        <w:t>Nat Rev Nephrol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16</w:t>
      </w:r>
      <w:r w:rsidRPr="00C81DD8">
        <w:rPr>
          <w:rFonts w:ascii="Book Antiqua" w:eastAsia="Book Antiqua" w:hAnsi="Book Antiqua" w:cs="Book Antiqua"/>
          <w:color w:val="000000" w:themeColor="text1"/>
        </w:rPr>
        <w:t>: 365-367 [PMID: 32409782 DOI: 10.1038/s41581-020-0305-6]</w:t>
      </w:r>
    </w:p>
    <w:p w14:paraId="5A6ECE1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32 </w:t>
      </w:r>
      <w:r w:rsidRPr="00C81DD8">
        <w:rPr>
          <w:rFonts w:ascii="Book Antiqua" w:eastAsia="Book Antiqua" w:hAnsi="Book Antiqua" w:cs="Book Antiqua"/>
          <w:b/>
          <w:bCs/>
          <w:color w:val="000000" w:themeColor="text1"/>
        </w:rPr>
        <w:t>Maggiore U</w:t>
      </w:r>
      <w:r w:rsidRPr="00C81DD8">
        <w:rPr>
          <w:rFonts w:ascii="Book Antiqua" w:eastAsia="Book Antiqua" w:hAnsi="Book Antiqua" w:cs="Book Antiqua"/>
          <w:color w:val="000000" w:themeColor="text1"/>
        </w:rPr>
        <w:t xml:space="preserve">, Abramowicz D, Crespo M, Mariat C, Mjoen G, Peruzzi L, Sever MS, Oniscu GC, Hilbrands L, Watschinger B. How should I manage immunosuppression in a kidney transplant patient with COVID-19? An ERA-EDTA DESCARTES expert opinion. </w:t>
      </w:r>
      <w:r w:rsidRPr="00C81DD8">
        <w:rPr>
          <w:rFonts w:ascii="Book Antiqua" w:eastAsia="Book Antiqua" w:hAnsi="Book Antiqua" w:cs="Book Antiqua"/>
          <w:i/>
          <w:iCs/>
          <w:color w:val="000000" w:themeColor="text1"/>
        </w:rPr>
        <w:t>Nephrol Dial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35</w:t>
      </w:r>
      <w:r w:rsidRPr="00C81DD8">
        <w:rPr>
          <w:rFonts w:ascii="Book Antiqua" w:eastAsia="Book Antiqua" w:hAnsi="Book Antiqua" w:cs="Book Antiqua"/>
          <w:color w:val="000000" w:themeColor="text1"/>
        </w:rPr>
        <w:t>: 899-904 [PMID: 32441741 DOI: 10.1093/ndt/gfaa130]</w:t>
      </w:r>
    </w:p>
    <w:p w14:paraId="67E54316"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33 </w:t>
      </w:r>
      <w:r w:rsidRPr="00C81DD8">
        <w:rPr>
          <w:rFonts w:ascii="Book Antiqua" w:eastAsia="Book Antiqua" w:hAnsi="Book Antiqua" w:cs="Book Antiqua"/>
          <w:b/>
          <w:bCs/>
          <w:color w:val="000000" w:themeColor="text1"/>
        </w:rPr>
        <w:t>Eastman RT</w:t>
      </w:r>
      <w:r w:rsidRPr="00C81DD8">
        <w:rPr>
          <w:rFonts w:ascii="Book Antiqua" w:eastAsia="Book Antiqua" w:hAnsi="Book Antiqua" w:cs="Book Antiqua"/>
          <w:color w:val="000000" w:themeColor="text1"/>
        </w:rPr>
        <w:t xml:space="preserve">, Roth JS, Brimacombe KR, Simeonov A, Shen M, Patnaik S, Hall MD. Remdesivir: A Review of Its Discovery and Development Leading to Emergency Use Authorization for Treatment of COVID-19. </w:t>
      </w:r>
      <w:r w:rsidRPr="00C81DD8">
        <w:rPr>
          <w:rFonts w:ascii="Book Antiqua" w:eastAsia="Book Antiqua" w:hAnsi="Book Antiqua" w:cs="Book Antiqua"/>
          <w:i/>
          <w:iCs/>
          <w:color w:val="000000" w:themeColor="text1"/>
        </w:rPr>
        <w:t>ACS Cent Sci</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6</w:t>
      </w:r>
      <w:r w:rsidRPr="00C81DD8">
        <w:rPr>
          <w:rFonts w:ascii="Book Antiqua" w:eastAsia="Book Antiqua" w:hAnsi="Book Antiqua" w:cs="Book Antiqua"/>
          <w:color w:val="000000" w:themeColor="text1"/>
        </w:rPr>
        <w:t>: 672-683 [PMID: 32483554 DOI: 10.1021/acscentsci.0c00489]</w:t>
      </w:r>
    </w:p>
    <w:p w14:paraId="614B910F"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34 </w:t>
      </w:r>
      <w:r w:rsidRPr="00C81DD8">
        <w:rPr>
          <w:rFonts w:ascii="Book Antiqua" w:eastAsia="Book Antiqua" w:hAnsi="Book Antiqua" w:cs="Book Antiqua"/>
          <w:b/>
          <w:bCs/>
          <w:color w:val="000000" w:themeColor="text1"/>
        </w:rPr>
        <w:t>Grein J</w:t>
      </w:r>
      <w:r w:rsidRPr="00C81DD8">
        <w:rPr>
          <w:rFonts w:ascii="Book Antiqua" w:eastAsia="Book Antiqua" w:hAnsi="Book Antiqua" w:cs="Book Antiqua"/>
          <w:color w:val="000000" w:themeColor="text1"/>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w:t>
      </w:r>
      <w:r w:rsidRPr="00C81DD8">
        <w:rPr>
          <w:rFonts w:ascii="Book Antiqua" w:eastAsia="Book Antiqua" w:hAnsi="Book Antiqua" w:cs="Book Antiqua"/>
          <w:color w:val="000000" w:themeColor="text1"/>
        </w:rPr>
        <w:lastRenderedPageBreak/>
        <w:t xml:space="preserve">R, Flanigan T. Compassionate Use of Remdesivir for Patients with Severe Covid-19. </w:t>
      </w:r>
      <w:r w:rsidRPr="00C81DD8">
        <w:rPr>
          <w:rFonts w:ascii="Book Antiqua" w:eastAsia="Book Antiqua" w:hAnsi="Book Antiqua" w:cs="Book Antiqua"/>
          <w:i/>
          <w:iCs/>
          <w:color w:val="000000" w:themeColor="text1"/>
        </w:rPr>
        <w:t>N Engl J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382</w:t>
      </w:r>
      <w:r w:rsidRPr="00C81DD8">
        <w:rPr>
          <w:rFonts w:ascii="Book Antiqua" w:eastAsia="Book Antiqua" w:hAnsi="Book Antiqua" w:cs="Book Antiqua"/>
          <w:color w:val="000000" w:themeColor="text1"/>
        </w:rPr>
        <w:t>: 2327-2336 [PMID: 32275812 DOI: 10.1056/NEJMoa2007016]</w:t>
      </w:r>
    </w:p>
    <w:p w14:paraId="2B08E622" w14:textId="6E0932EE" w:rsidR="00A77B3E" w:rsidRPr="00C81DD8" w:rsidRDefault="00C573F3" w:rsidP="00C81DD8">
      <w:pPr>
        <w:adjustRightInd w:val="0"/>
        <w:snapToGrid w:val="0"/>
        <w:spacing w:line="360" w:lineRule="auto"/>
        <w:jc w:val="both"/>
        <w:rPr>
          <w:rFonts w:ascii="Book Antiqua" w:hAnsi="Book Antiqua"/>
          <w:color w:val="000000" w:themeColor="text1"/>
          <w:lang w:eastAsia="zh-CN"/>
        </w:rPr>
      </w:pPr>
      <w:r w:rsidRPr="00CA5DF9">
        <w:rPr>
          <w:rFonts w:ascii="Book Antiqua" w:eastAsia="Book Antiqua" w:hAnsi="Book Antiqua" w:cs="Book Antiqua"/>
          <w:color w:val="000000" w:themeColor="text1"/>
          <w:highlight w:val="yellow"/>
        </w:rPr>
        <w:t xml:space="preserve">35 </w:t>
      </w:r>
      <w:r w:rsidR="000F44AD" w:rsidRPr="00CA5DF9">
        <w:rPr>
          <w:rFonts w:ascii="Book Antiqua" w:hAnsi="Book Antiqua" w:cs="Book Antiqua"/>
          <w:b/>
          <w:color w:val="000000" w:themeColor="text1"/>
          <w:highlight w:val="yellow"/>
          <w:lang w:eastAsia="zh-CN"/>
        </w:rPr>
        <w:t xml:space="preserve">United States Food and Drug </w:t>
      </w:r>
      <w:r w:rsidRPr="00CA5DF9">
        <w:rPr>
          <w:rFonts w:ascii="Book Antiqua" w:eastAsia="Book Antiqua" w:hAnsi="Book Antiqua" w:cs="Book Antiqua"/>
          <w:b/>
          <w:bCs/>
          <w:color w:val="000000" w:themeColor="text1"/>
          <w:highlight w:val="yellow"/>
        </w:rPr>
        <w:t xml:space="preserve">Administration. </w:t>
      </w:r>
      <w:bookmarkStart w:id="21" w:name="OLE_LINK541"/>
      <w:bookmarkStart w:id="22" w:name="OLE_LINK542"/>
      <w:r w:rsidRPr="00CA5DF9">
        <w:rPr>
          <w:rFonts w:ascii="Book Antiqua" w:eastAsia="Book Antiqua" w:hAnsi="Book Antiqua" w:cs="Book Antiqua"/>
          <w:bCs/>
          <w:color w:val="000000" w:themeColor="text1"/>
          <w:highlight w:val="yellow"/>
        </w:rPr>
        <w:t>Fact sheet for health care providers Emergency Use Authorization (EUA) of remdesivir (GS-5734™</w:t>
      </w:r>
      <w:bookmarkEnd w:id="21"/>
      <w:bookmarkEnd w:id="22"/>
      <w:r w:rsidRPr="00CA5DF9">
        <w:rPr>
          <w:rFonts w:ascii="Book Antiqua" w:eastAsia="Book Antiqua" w:hAnsi="Book Antiqua" w:cs="Book Antiqua"/>
          <w:bCs/>
          <w:color w:val="000000" w:themeColor="text1"/>
          <w:highlight w:val="yellow"/>
        </w:rPr>
        <w:t xml:space="preserve">). 2020 [cited </w:t>
      </w:r>
      <w:r w:rsidR="000F44AD" w:rsidRPr="00CA5DF9">
        <w:rPr>
          <w:rFonts w:ascii="Book Antiqua" w:hAnsi="Book Antiqua" w:cs="Book Antiqua"/>
          <w:bCs/>
          <w:color w:val="000000" w:themeColor="text1"/>
          <w:highlight w:val="yellow"/>
          <w:lang w:eastAsia="zh-CN"/>
        </w:rPr>
        <w:t xml:space="preserve">1 </w:t>
      </w:r>
      <w:r w:rsidRPr="00CA5DF9">
        <w:rPr>
          <w:rFonts w:ascii="Book Antiqua" w:eastAsia="Book Antiqua" w:hAnsi="Book Antiqua" w:cs="Book Antiqua"/>
          <w:bCs/>
          <w:color w:val="000000" w:themeColor="text1"/>
          <w:highlight w:val="yellow"/>
        </w:rPr>
        <w:t>May</w:t>
      </w:r>
      <w:r w:rsidRPr="00CA5DF9">
        <w:rPr>
          <w:rFonts w:ascii="Book Antiqua" w:eastAsia="Book Antiqua" w:hAnsi="Book Antiqua" w:cs="Book Antiqua"/>
          <w:b/>
          <w:bCs/>
          <w:color w:val="000000" w:themeColor="text1"/>
          <w:highlight w:val="yellow"/>
        </w:rPr>
        <w:t xml:space="preserve"> </w:t>
      </w:r>
      <w:r w:rsidRPr="00CA5DF9">
        <w:rPr>
          <w:rFonts w:ascii="Book Antiqua" w:eastAsia="Book Antiqua" w:hAnsi="Book Antiqua" w:cs="Book Antiqua"/>
          <w:color w:val="000000" w:themeColor="text1"/>
          <w:highlight w:val="yellow"/>
        </w:rPr>
        <w:t>2020]</w:t>
      </w:r>
      <w:r w:rsidR="00CA5DF9">
        <w:rPr>
          <w:rFonts w:ascii="Book Antiqua" w:eastAsia="Book Antiqua" w:hAnsi="Book Antiqua" w:cs="Book Antiqua"/>
          <w:color w:val="000000" w:themeColor="text1"/>
          <w:highlight w:val="yellow"/>
        </w:rPr>
        <w:t>.</w:t>
      </w:r>
      <w:r w:rsidR="000F44AD" w:rsidRPr="00CA5DF9">
        <w:rPr>
          <w:rFonts w:ascii="Book Antiqua" w:hAnsi="Book Antiqua" w:cs="Book Antiqua"/>
          <w:color w:val="000000" w:themeColor="text1"/>
          <w:highlight w:val="yellow"/>
          <w:lang w:eastAsia="zh-CN"/>
        </w:rPr>
        <w:t xml:space="preserve"> </w:t>
      </w:r>
      <w:r w:rsidRPr="00CA5DF9">
        <w:rPr>
          <w:rFonts w:ascii="Book Antiqua" w:eastAsia="Book Antiqua" w:hAnsi="Book Antiqua" w:cs="Book Antiqua"/>
          <w:color w:val="000000" w:themeColor="text1"/>
          <w:highlight w:val="yellow"/>
        </w:rPr>
        <w:t xml:space="preserve">Available from: </w:t>
      </w:r>
      <w:bookmarkStart w:id="23" w:name="OLE_LINK543"/>
      <w:bookmarkStart w:id="24" w:name="OLE_LINK544"/>
      <w:r w:rsidRPr="00CA5DF9">
        <w:rPr>
          <w:rFonts w:ascii="Book Antiqua" w:eastAsia="Book Antiqua" w:hAnsi="Book Antiqua" w:cs="Book Antiqua"/>
          <w:color w:val="000000" w:themeColor="text1"/>
          <w:highlight w:val="yellow"/>
        </w:rPr>
        <w:t>https://www.fda.gov/media/137566</w:t>
      </w:r>
      <w:bookmarkEnd w:id="23"/>
      <w:bookmarkEnd w:id="24"/>
      <w:r w:rsidRPr="00CA5DF9">
        <w:rPr>
          <w:rFonts w:ascii="Book Antiqua" w:eastAsia="Book Antiqua" w:hAnsi="Book Antiqua" w:cs="Book Antiqua"/>
          <w:color w:val="000000" w:themeColor="text1"/>
          <w:highlight w:val="yellow"/>
        </w:rPr>
        <w:t>/download</w:t>
      </w:r>
    </w:p>
    <w:p w14:paraId="0F717F98" w14:textId="4E87F0B2"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36 </w:t>
      </w:r>
      <w:r w:rsidRPr="00C81DD8">
        <w:rPr>
          <w:rFonts w:ascii="Book Antiqua" w:eastAsia="Book Antiqua" w:hAnsi="Book Antiqua" w:cs="Book Antiqua"/>
          <w:b/>
          <w:bCs/>
          <w:color w:val="000000" w:themeColor="text1"/>
        </w:rPr>
        <w:t>Tempestilli M</w:t>
      </w:r>
      <w:r w:rsidRPr="00C81DD8">
        <w:rPr>
          <w:rFonts w:ascii="Book Antiqua" w:eastAsia="Book Antiqua" w:hAnsi="Book Antiqua" w:cs="Book Antiqua"/>
          <w:color w:val="000000" w:themeColor="text1"/>
        </w:rPr>
        <w:t xml:space="preserve">, Caputi P, Avataneo V, Notari S, Forini O, Scorzolini L, Marchioni L, Ascoli Bartoli T, Castilletti C, Lalle E, Capobianchi MR, Nicastri E, D'Avolio A, Ippolito G, Agrati C; </w:t>
      </w:r>
      <w:r w:rsidR="00CA5DF9">
        <w:rPr>
          <w:rFonts w:ascii="Book Antiqua" w:eastAsia="Book Antiqua" w:hAnsi="Book Antiqua" w:cs="Book Antiqua"/>
          <w:color w:val="000000" w:themeColor="text1"/>
        </w:rPr>
        <w:t>COVID-19</w:t>
      </w:r>
      <w:r w:rsidRPr="00C81DD8">
        <w:rPr>
          <w:rFonts w:ascii="Book Antiqua" w:eastAsia="Book Antiqua" w:hAnsi="Book Antiqua" w:cs="Book Antiqua"/>
          <w:color w:val="000000" w:themeColor="text1"/>
        </w:rPr>
        <w:t xml:space="preserve"> INMI Study Group. Pharmacokinetics of remdesivir and GS-441524 in two critically ill patients who recovered from COVID-19. </w:t>
      </w:r>
      <w:r w:rsidRPr="00C81DD8">
        <w:rPr>
          <w:rFonts w:ascii="Book Antiqua" w:eastAsia="Book Antiqua" w:hAnsi="Book Antiqua" w:cs="Book Antiqua"/>
          <w:i/>
          <w:iCs/>
          <w:color w:val="000000" w:themeColor="text1"/>
        </w:rPr>
        <w:t>J Antimicrob Chemother</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75</w:t>
      </w:r>
      <w:r w:rsidRPr="00C81DD8">
        <w:rPr>
          <w:rFonts w:ascii="Book Antiqua" w:eastAsia="Book Antiqua" w:hAnsi="Book Antiqua" w:cs="Book Antiqua"/>
          <w:color w:val="000000" w:themeColor="text1"/>
        </w:rPr>
        <w:t>: 2977-2980 [PMID: 32607555 DOI: 10.1093/jac/dkaa239]</w:t>
      </w:r>
    </w:p>
    <w:p w14:paraId="1038AA83"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37 </w:t>
      </w:r>
      <w:r w:rsidRPr="00C81DD8">
        <w:rPr>
          <w:rFonts w:ascii="Book Antiqua" w:eastAsia="Book Antiqua" w:hAnsi="Book Antiqua" w:cs="Book Antiqua"/>
          <w:b/>
          <w:bCs/>
          <w:color w:val="000000" w:themeColor="text1"/>
        </w:rPr>
        <w:t>Dong L</w:t>
      </w:r>
      <w:r w:rsidRPr="00C81DD8">
        <w:rPr>
          <w:rFonts w:ascii="Book Antiqua" w:eastAsia="Book Antiqua" w:hAnsi="Book Antiqua" w:cs="Book Antiqua"/>
          <w:color w:val="000000" w:themeColor="text1"/>
        </w:rPr>
        <w:t xml:space="preserve">, Hu S, Gao J. Discovering drugs to treat coronavirus disease 2019 (COVID-19). </w:t>
      </w:r>
      <w:r w:rsidRPr="00C81DD8">
        <w:rPr>
          <w:rFonts w:ascii="Book Antiqua" w:eastAsia="Book Antiqua" w:hAnsi="Book Antiqua" w:cs="Book Antiqua"/>
          <w:i/>
          <w:iCs/>
          <w:color w:val="000000" w:themeColor="text1"/>
        </w:rPr>
        <w:t>Drug Discov Ther</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14</w:t>
      </w:r>
      <w:r w:rsidRPr="00C81DD8">
        <w:rPr>
          <w:rFonts w:ascii="Book Antiqua" w:eastAsia="Book Antiqua" w:hAnsi="Book Antiqua" w:cs="Book Antiqua"/>
          <w:color w:val="000000" w:themeColor="text1"/>
        </w:rPr>
        <w:t>: 58-60 [PMID: 32147628 DOI: 10.5582/ddt.2020.01012]</w:t>
      </w:r>
    </w:p>
    <w:p w14:paraId="68F2113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38 </w:t>
      </w:r>
      <w:r w:rsidRPr="00C81DD8">
        <w:rPr>
          <w:rFonts w:ascii="Book Antiqua" w:eastAsia="Book Antiqua" w:hAnsi="Book Antiqua" w:cs="Book Antiqua"/>
          <w:b/>
          <w:bCs/>
          <w:color w:val="000000" w:themeColor="text1"/>
        </w:rPr>
        <w:t>Sharun K</w:t>
      </w:r>
      <w:r w:rsidRPr="00C81DD8">
        <w:rPr>
          <w:rFonts w:ascii="Book Antiqua" w:eastAsia="Book Antiqua" w:hAnsi="Book Antiqua" w:cs="Book Antiqua"/>
          <w:color w:val="000000" w:themeColor="text1"/>
        </w:rPr>
        <w:t xml:space="preserve">, Dhama K, Patel SK, Pathak M, Tiwari R, Singh BR, Sah R, Bonilla-Aldana DK, Rodriguez-Morales AJ, Leblebicioglu H. Ivermectin, a new candidate therapeutic against SARS-CoV-2/COVID-19. </w:t>
      </w:r>
      <w:r w:rsidRPr="00C81DD8">
        <w:rPr>
          <w:rFonts w:ascii="Book Antiqua" w:eastAsia="Book Antiqua" w:hAnsi="Book Antiqua" w:cs="Book Antiqua"/>
          <w:i/>
          <w:iCs/>
          <w:color w:val="000000" w:themeColor="text1"/>
        </w:rPr>
        <w:t>Ann Clin Microbiol Antimicrob</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19</w:t>
      </w:r>
      <w:r w:rsidRPr="00C81DD8">
        <w:rPr>
          <w:rFonts w:ascii="Book Antiqua" w:eastAsia="Book Antiqua" w:hAnsi="Book Antiqua" w:cs="Book Antiqua"/>
          <w:color w:val="000000" w:themeColor="text1"/>
        </w:rPr>
        <w:t>: 23 [PMID: 32473642 DOI: 10.1186/s12941-020-00368-w]</w:t>
      </w:r>
    </w:p>
    <w:p w14:paraId="298B82F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39 </w:t>
      </w:r>
      <w:r w:rsidRPr="00C81DD8">
        <w:rPr>
          <w:rFonts w:ascii="Book Antiqua" w:eastAsia="Book Antiqua" w:hAnsi="Book Antiqua" w:cs="Book Antiqua"/>
          <w:b/>
          <w:bCs/>
          <w:color w:val="000000" w:themeColor="text1"/>
        </w:rPr>
        <w:t>Daoud A</w:t>
      </w:r>
      <w:r w:rsidRPr="00C81DD8">
        <w:rPr>
          <w:rFonts w:ascii="Book Antiqua" w:eastAsia="Book Antiqua" w:hAnsi="Book Antiqua" w:cs="Book Antiqua"/>
          <w:color w:val="000000" w:themeColor="text1"/>
        </w:rPr>
        <w:t xml:space="preserve">, Alqassieh A, Alkhader D, Posadas Salas MA, Rao V, Fülöp T, Soliman KM. Immunosuppression in kidney transplant recipients with COVID-19 infection - where do we stand and where are we heading? </w:t>
      </w:r>
      <w:r w:rsidRPr="00C81DD8">
        <w:rPr>
          <w:rFonts w:ascii="Book Antiqua" w:eastAsia="Book Antiqua" w:hAnsi="Book Antiqua" w:cs="Book Antiqua"/>
          <w:i/>
          <w:iCs/>
          <w:color w:val="000000" w:themeColor="text1"/>
        </w:rPr>
        <w:t>Ren Fail</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43</w:t>
      </w:r>
      <w:r w:rsidRPr="00C81DD8">
        <w:rPr>
          <w:rFonts w:ascii="Book Antiqua" w:eastAsia="Book Antiqua" w:hAnsi="Book Antiqua" w:cs="Book Antiqua"/>
          <w:color w:val="000000" w:themeColor="text1"/>
        </w:rPr>
        <w:t>: 273-280 [PMID: 33491531 DOI: 10.1080/0886022X.2021.1876730]</w:t>
      </w:r>
    </w:p>
    <w:p w14:paraId="682AF2BF"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40 </w:t>
      </w:r>
      <w:r w:rsidRPr="00C81DD8">
        <w:rPr>
          <w:rFonts w:ascii="Book Antiqua" w:eastAsia="Book Antiqua" w:hAnsi="Book Antiqua" w:cs="Book Antiqua"/>
          <w:b/>
          <w:bCs/>
          <w:color w:val="000000" w:themeColor="text1"/>
        </w:rPr>
        <w:t>Cortegiani A</w:t>
      </w:r>
      <w:r w:rsidRPr="00C81DD8">
        <w:rPr>
          <w:rFonts w:ascii="Book Antiqua" w:eastAsia="Book Antiqua" w:hAnsi="Book Antiqua" w:cs="Book Antiqua"/>
          <w:color w:val="000000" w:themeColor="text1"/>
        </w:rPr>
        <w:t xml:space="preserve">, Ingoglia G, Ippolito M, Giarratano A, Einav S. A systematic review on the efficacy and safety of chloroquine for the treatment of COVID-19. </w:t>
      </w:r>
      <w:r w:rsidRPr="00C81DD8">
        <w:rPr>
          <w:rFonts w:ascii="Book Antiqua" w:eastAsia="Book Antiqua" w:hAnsi="Book Antiqua" w:cs="Book Antiqua"/>
          <w:i/>
          <w:iCs/>
          <w:color w:val="000000" w:themeColor="text1"/>
        </w:rPr>
        <w:t>J Crit Care</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57</w:t>
      </w:r>
      <w:r w:rsidRPr="00C81DD8">
        <w:rPr>
          <w:rFonts w:ascii="Book Antiqua" w:eastAsia="Book Antiqua" w:hAnsi="Book Antiqua" w:cs="Book Antiqua"/>
          <w:color w:val="000000" w:themeColor="text1"/>
        </w:rPr>
        <w:t>: 279-283 [PMID: 32173110 DOI: 10.1016/j.jcrc.2020.03.005]</w:t>
      </w:r>
    </w:p>
    <w:p w14:paraId="52AF871E"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41 </w:t>
      </w:r>
      <w:r w:rsidRPr="00C81DD8">
        <w:rPr>
          <w:rFonts w:ascii="Book Antiqua" w:eastAsia="Book Antiqua" w:hAnsi="Book Antiqua" w:cs="Book Antiqua"/>
          <w:b/>
          <w:bCs/>
          <w:color w:val="000000" w:themeColor="text1"/>
        </w:rPr>
        <w:t>Back D</w:t>
      </w:r>
      <w:r w:rsidRPr="00C81DD8">
        <w:rPr>
          <w:rFonts w:ascii="Book Antiqua" w:eastAsia="Book Antiqua" w:hAnsi="Book Antiqua" w:cs="Book Antiqua"/>
          <w:color w:val="000000" w:themeColor="text1"/>
        </w:rPr>
        <w:t xml:space="preserve">, Marzolini C, Hodge C, Marra F, Boyle A, Gibbons S, Burger D, Khoo S. COVID-19 treatment in patients with comorbidities: Awareness of drug-drug interactions. </w:t>
      </w:r>
      <w:r w:rsidRPr="00C81DD8">
        <w:rPr>
          <w:rFonts w:ascii="Book Antiqua" w:eastAsia="Book Antiqua" w:hAnsi="Book Antiqua" w:cs="Book Antiqua"/>
          <w:i/>
          <w:iCs/>
          <w:color w:val="000000" w:themeColor="text1"/>
        </w:rPr>
        <w:t>Br J Clin Pharmacol</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87</w:t>
      </w:r>
      <w:r w:rsidRPr="00C81DD8">
        <w:rPr>
          <w:rFonts w:ascii="Book Antiqua" w:eastAsia="Book Antiqua" w:hAnsi="Book Antiqua" w:cs="Book Antiqua"/>
          <w:color w:val="000000" w:themeColor="text1"/>
        </w:rPr>
        <w:t>: 212-213 [PMID: 32384171 DOI: 10.1111/bcp.14358]</w:t>
      </w:r>
    </w:p>
    <w:p w14:paraId="32DF5BC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42 </w:t>
      </w:r>
      <w:r w:rsidRPr="00C81DD8">
        <w:rPr>
          <w:rFonts w:ascii="Book Antiqua" w:eastAsia="Book Antiqua" w:hAnsi="Book Antiqua" w:cs="Book Antiqua"/>
          <w:b/>
          <w:bCs/>
          <w:color w:val="000000" w:themeColor="text1"/>
        </w:rPr>
        <w:t>Patel SJ</w:t>
      </w:r>
      <w:r w:rsidRPr="00C81DD8">
        <w:rPr>
          <w:rFonts w:ascii="Book Antiqua" w:eastAsia="Book Antiqua" w:hAnsi="Book Antiqua" w:cs="Book Antiqua"/>
          <w:color w:val="000000" w:themeColor="text1"/>
        </w:rPr>
        <w:t xml:space="preserve">, Kuten SA, Musick WL, Gaber AO, Monsour HP, Knight RJ. Combination Drug Products for HIV-A Word of Caution for the Transplant Clinician.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2016; </w:t>
      </w:r>
      <w:r w:rsidRPr="00C81DD8">
        <w:rPr>
          <w:rFonts w:ascii="Book Antiqua" w:eastAsia="Book Antiqua" w:hAnsi="Book Antiqua" w:cs="Book Antiqua"/>
          <w:b/>
          <w:bCs/>
          <w:color w:val="000000" w:themeColor="text1"/>
        </w:rPr>
        <w:t>16</w:t>
      </w:r>
      <w:r w:rsidRPr="00C81DD8">
        <w:rPr>
          <w:rFonts w:ascii="Book Antiqua" w:eastAsia="Book Antiqua" w:hAnsi="Book Antiqua" w:cs="Book Antiqua"/>
          <w:color w:val="000000" w:themeColor="text1"/>
        </w:rPr>
        <w:t>: 2479-2482 [PMID: 27089541 DOI: 10.1111/ajt.13826]</w:t>
      </w:r>
    </w:p>
    <w:p w14:paraId="3DD1690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43 </w:t>
      </w:r>
      <w:r w:rsidRPr="00C81DD8">
        <w:rPr>
          <w:rFonts w:ascii="Book Antiqua" w:eastAsia="Book Antiqua" w:hAnsi="Book Antiqua" w:cs="Book Antiqua"/>
          <w:b/>
          <w:bCs/>
          <w:color w:val="000000" w:themeColor="text1"/>
        </w:rPr>
        <w:t>Raja MA</w:t>
      </w:r>
      <w:r w:rsidRPr="00C81DD8">
        <w:rPr>
          <w:rFonts w:ascii="Book Antiqua" w:eastAsia="Book Antiqua" w:hAnsi="Book Antiqua" w:cs="Book Antiqua"/>
          <w:color w:val="000000" w:themeColor="text1"/>
        </w:rPr>
        <w:t xml:space="preserve">, Mendoza MA, Villavicencio A, Anjan S, Reynolds JM, Kittipibul V, Fernandez A, Guerra G, Camargo JF, Simkins J, Morris MI, Abbo LA, Natori Y. COVID-19 in solid organ transplant recipients: A systematic review and meta-analysis of current literature. </w:t>
      </w:r>
      <w:r w:rsidRPr="00C81DD8">
        <w:rPr>
          <w:rFonts w:ascii="Book Antiqua" w:eastAsia="Book Antiqua" w:hAnsi="Book Antiqua" w:cs="Book Antiqua"/>
          <w:i/>
          <w:iCs/>
          <w:color w:val="000000" w:themeColor="text1"/>
        </w:rPr>
        <w:t>Transplant Rev (Orlando)</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35</w:t>
      </w:r>
      <w:r w:rsidRPr="00C81DD8">
        <w:rPr>
          <w:rFonts w:ascii="Book Antiqua" w:eastAsia="Book Antiqua" w:hAnsi="Book Antiqua" w:cs="Book Antiqua"/>
          <w:color w:val="000000" w:themeColor="text1"/>
        </w:rPr>
        <w:t>: 100588 [PMID: 33246166 DOI: 10.1016/j.trre.2020.100588]</w:t>
      </w:r>
    </w:p>
    <w:p w14:paraId="25B78CD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44 </w:t>
      </w:r>
      <w:r w:rsidRPr="00C81DD8">
        <w:rPr>
          <w:rFonts w:ascii="Book Antiqua" w:eastAsia="Book Antiqua" w:hAnsi="Book Antiqua" w:cs="Book Antiqua"/>
          <w:b/>
          <w:bCs/>
          <w:color w:val="000000" w:themeColor="text1"/>
        </w:rPr>
        <w:t>Guan WJ</w:t>
      </w:r>
      <w:r w:rsidRPr="00C81DD8">
        <w:rPr>
          <w:rFonts w:ascii="Book Antiqua" w:eastAsia="Book Antiqua" w:hAnsi="Book Antiqua" w:cs="Book Antiqua"/>
          <w:color w:val="000000" w:themeColor="text1"/>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C81DD8">
        <w:rPr>
          <w:rFonts w:ascii="Book Antiqua" w:eastAsia="Book Antiqua" w:hAnsi="Book Antiqua" w:cs="Book Antiqua"/>
          <w:i/>
          <w:iCs/>
          <w:color w:val="000000" w:themeColor="text1"/>
        </w:rPr>
        <w:t>N Engl J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382</w:t>
      </w:r>
      <w:r w:rsidRPr="00C81DD8">
        <w:rPr>
          <w:rFonts w:ascii="Book Antiqua" w:eastAsia="Book Antiqua" w:hAnsi="Book Antiqua" w:cs="Book Antiqua"/>
          <w:color w:val="000000" w:themeColor="text1"/>
        </w:rPr>
        <w:t>: 1708-1720 [PMID: 32109013 DOI: 10.1056/NEJMoa2002032]</w:t>
      </w:r>
    </w:p>
    <w:p w14:paraId="0DA3A0C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45 </w:t>
      </w:r>
      <w:r w:rsidRPr="00C81DD8">
        <w:rPr>
          <w:rFonts w:ascii="Book Antiqua" w:eastAsia="Book Antiqua" w:hAnsi="Book Antiqua" w:cs="Book Antiqua"/>
          <w:b/>
          <w:bCs/>
          <w:color w:val="000000" w:themeColor="text1"/>
        </w:rPr>
        <w:t>RECOVERY Collaborative Group.</w:t>
      </w:r>
      <w:r w:rsidRPr="00C81DD8">
        <w:rPr>
          <w:rFonts w:ascii="Book Antiqua" w:eastAsia="Book Antiqua" w:hAnsi="Book Antiqua" w:cs="Book Antiqua"/>
          <w:color w:val="000000" w:themeColor="text1"/>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C81DD8">
        <w:rPr>
          <w:rFonts w:ascii="Book Antiqua" w:eastAsia="Book Antiqua" w:hAnsi="Book Antiqua" w:cs="Book Antiqua"/>
          <w:i/>
          <w:iCs/>
          <w:color w:val="000000" w:themeColor="text1"/>
        </w:rPr>
        <w:t>N Engl J Med</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384</w:t>
      </w:r>
      <w:r w:rsidRPr="00C81DD8">
        <w:rPr>
          <w:rFonts w:ascii="Book Antiqua" w:eastAsia="Book Antiqua" w:hAnsi="Book Antiqua" w:cs="Book Antiqua"/>
          <w:color w:val="000000" w:themeColor="text1"/>
        </w:rPr>
        <w:t>: 693-704 [PMID: 32678530 DOI: 10.1056/NEJMoa2021436]</w:t>
      </w:r>
    </w:p>
    <w:p w14:paraId="595C99E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46 </w:t>
      </w:r>
      <w:r w:rsidRPr="00C81DD8">
        <w:rPr>
          <w:rFonts w:ascii="Book Antiqua" w:eastAsia="Book Antiqua" w:hAnsi="Book Antiqua" w:cs="Book Antiqua"/>
          <w:b/>
          <w:bCs/>
          <w:color w:val="000000" w:themeColor="text1"/>
        </w:rPr>
        <w:t>Anglicheau D</w:t>
      </w:r>
      <w:r w:rsidRPr="00C81DD8">
        <w:rPr>
          <w:rFonts w:ascii="Book Antiqua" w:eastAsia="Book Antiqua" w:hAnsi="Book Antiqua" w:cs="Book Antiqua"/>
          <w:color w:val="000000" w:themeColor="text1"/>
        </w:rPr>
        <w:t xml:space="preserve">, Flamant M, Schlageter MH, Martinez F, Cassinat B, Beaune P, Legendre C, Thervet E. Pharmacokinetic interaction between corticosteroids and tacrolimus after renal transplantation. </w:t>
      </w:r>
      <w:r w:rsidRPr="00C81DD8">
        <w:rPr>
          <w:rFonts w:ascii="Book Antiqua" w:eastAsia="Book Antiqua" w:hAnsi="Book Antiqua" w:cs="Book Antiqua"/>
          <w:i/>
          <w:iCs/>
          <w:color w:val="000000" w:themeColor="text1"/>
        </w:rPr>
        <w:t>Nephrol Dial Transplant</w:t>
      </w:r>
      <w:r w:rsidRPr="00C81DD8">
        <w:rPr>
          <w:rFonts w:ascii="Book Antiqua" w:eastAsia="Book Antiqua" w:hAnsi="Book Antiqua" w:cs="Book Antiqua"/>
          <w:color w:val="000000" w:themeColor="text1"/>
        </w:rPr>
        <w:t xml:space="preserve"> 2003; </w:t>
      </w:r>
      <w:r w:rsidRPr="00C81DD8">
        <w:rPr>
          <w:rFonts w:ascii="Book Antiqua" w:eastAsia="Book Antiqua" w:hAnsi="Book Antiqua" w:cs="Book Antiqua"/>
          <w:b/>
          <w:bCs/>
          <w:color w:val="000000" w:themeColor="text1"/>
        </w:rPr>
        <w:t>18</w:t>
      </w:r>
      <w:r w:rsidRPr="00C81DD8">
        <w:rPr>
          <w:rFonts w:ascii="Book Antiqua" w:eastAsia="Book Antiqua" w:hAnsi="Book Antiqua" w:cs="Book Antiqua"/>
          <w:color w:val="000000" w:themeColor="text1"/>
        </w:rPr>
        <w:t>: 2409-2414 [PMID: 14551375 DOI: 10.1093/ndt/gfg381]</w:t>
      </w:r>
    </w:p>
    <w:p w14:paraId="508862E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47 </w:t>
      </w:r>
      <w:r w:rsidRPr="00C81DD8">
        <w:rPr>
          <w:rFonts w:ascii="Book Antiqua" w:eastAsia="Book Antiqua" w:hAnsi="Book Antiqua" w:cs="Book Antiqua"/>
          <w:b/>
          <w:bCs/>
          <w:color w:val="000000" w:themeColor="text1"/>
        </w:rPr>
        <w:t>Zhang C</w:t>
      </w:r>
      <w:r w:rsidRPr="00C81DD8">
        <w:rPr>
          <w:rFonts w:ascii="Book Antiqua" w:eastAsia="Book Antiqua" w:hAnsi="Book Antiqua" w:cs="Book Antiqua"/>
          <w:color w:val="000000" w:themeColor="text1"/>
        </w:rPr>
        <w:t xml:space="preserve">, Wu Z, Li JW, Zhao H, Wang GQ. Cytokine release syndrome in severe COVID-19: interleukin-6 receptor antagonist tocilizumab may be the key to reduce mortality. </w:t>
      </w:r>
      <w:r w:rsidRPr="00C81DD8">
        <w:rPr>
          <w:rFonts w:ascii="Book Antiqua" w:eastAsia="Book Antiqua" w:hAnsi="Book Antiqua" w:cs="Book Antiqua"/>
          <w:i/>
          <w:iCs/>
          <w:color w:val="000000" w:themeColor="text1"/>
        </w:rPr>
        <w:t>Int J Antimicrob Agents</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55</w:t>
      </w:r>
      <w:r w:rsidRPr="00C81DD8">
        <w:rPr>
          <w:rFonts w:ascii="Book Antiqua" w:eastAsia="Book Antiqua" w:hAnsi="Book Antiqua" w:cs="Book Antiqua"/>
          <w:color w:val="000000" w:themeColor="text1"/>
        </w:rPr>
        <w:t>: 105954 [PMID: 32234467 DOI: 10.1016/j.ijantimicag.2020.105954]</w:t>
      </w:r>
    </w:p>
    <w:p w14:paraId="1B46C55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48 </w:t>
      </w:r>
      <w:r w:rsidRPr="00C81DD8">
        <w:rPr>
          <w:rFonts w:ascii="Book Antiqua" w:eastAsia="Book Antiqua" w:hAnsi="Book Antiqua" w:cs="Book Antiqua"/>
          <w:b/>
          <w:bCs/>
          <w:color w:val="000000" w:themeColor="text1"/>
        </w:rPr>
        <w:t>Xu X</w:t>
      </w:r>
      <w:r w:rsidRPr="00C81DD8">
        <w:rPr>
          <w:rFonts w:ascii="Book Antiqua" w:eastAsia="Book Antiqua" w:hAnsi="Book Antiqua" w:cs="Book Antiqua"/>
          <w:color w:val="000000" w:themeColor="text1"/>
        </w:rPr>
        <w:t xml:space="preserve">, Han M, Li T, Sun W, Wang D, Fu B, Zhou Y, Zheng X, Yang Y, Li X, Zhang X, Pan A, Wei H. Effective treatment of severe COVID-19 patients with tocilizumab. </w:t>
      </w:r>
      <w:r w:rsidR="000F44AD" w:rsidRPr="00C81DD8">
        <w:rPr>
          <w:rFonts w:ascii="Book Antiqua" w:eastAsia="Book Antiqua" w:hAnsi="Book Antiqua" w:cs="Book Antiqua"/>
          <w:i/>
          <w:iCs/>
          <w:color w:val="000000" w:themeColor="text1"/>
        </w:rPr>
        <w:t>Proc Natl Acad Sci US</w:t>
      </w:r>
      <w:r w:rsidRPr="00C81DD8">
        <w:rPr>
          <w:rFonts w:ascii="Book Antiqua" w:eastAsia="Book Antiqua" w:hAnsi="Book Antiqua" w:cs="Book Antiqua"/>
          <w:i/>
          <w:iCs/>
          <w:color w:val="000000" w:themeColor="text1"/>
        </w:rPr>
        <w:t>A</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117</w:t>
      </w:r>
      <w:r w:rsidRPr="00C81DD8">
        <w:rPr>
          <w:rFonts w:ascii="Book Antiqua" w:eastAsia="Book Antiqua" w:hAnsi="Book Antiqua" w:cs="Book Antiqua"/>
          <w:color w:val="000000" w:themeColor="text1"/>
        </w:rPr>
        <w:t>: 10970-10975 [PMID: 32350134 DOI: 10.1073/pnas.2005615117]</w:t>
      </w:r>
    </w:p>
    <w:p w14:paraId="050D151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49 </w:t>
      </w:r>
      <w:r w:rsidRPr="00C81DD8">
        <w:rPr>
          <w:rFonts w:ascii="Book Antiqua" w:eastAsia="Book Antiqua" w:hAnsi="Book Antiqua" w:cs="Book Antiqua"/>
          <w:b/>
          <w:bCs/>
          <w:color w:val="000000" w:themeColor="text1"/>
        </w:rPr>
        <w:t>Pereira MR</w:t>
      </w:r>
      <w:r w:rsidRPr="00C81DD8">
        <w:rPr>
          <w:rFonts w:ascii="Book Antiqua" w:eastAsia="Book Antiqua" w:hAnsi="Book Antiqua" w:cs="Book Antiqua"/>
          <w:color w:val="000000" w:themeColor="text1"/>
        </w:rPr>
        <w:t xml:space="preserve">, Aversa MM, Farr MA, Miko BA, Aaron JG, Mohan S, Cohen DJ, Husain SA, Ratner LE, Arcasoy S, Uriel N, Zheng EX, Fox AN, Tsapepas DS, Emond JC, Verna EC. Tocilizumab for severe COVID-19 in solid organ transplant recipients: a matched cohort study.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3198-3205 [PMID: 32946668 DOI: 10.1111/ajt.16314]</w:t>
      </w:r>
    </w:p>
    <w:p w14:paraId="61EDCFB7"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50 </w:t>
      </w:r>
      <w:r w:rsidRPr="00C81DD8">
        <w:rPr>
          <w:rFonts w:ascii="Book Antiqua" w:eastAsia="Book Antiqua" w:hAnsi="Book Antiqua" w:cs="Book Antiqua"/>
          <w:b/>
          <w:bCs/>
          <w:color w:val="000000" w:themeColor="text1"/>
        </w:rPr>
        <w:t>Cao W</w:t>
      </w:r>
      <w:r w:rsidRPr="00C81DD8">
        <w:rPr>
          <w:rFonts w:ascii="Book Antiqua" w:eastAsia="Book Antiqua" w:hAnsi="Book Antiqua" w:cs="Book Antiqua"/>
          <w:color w:val="000000" w:themeColor="text1"/>
        </w:rPr>
        <w:t xml:space="preserve">, Liu X, Bai T, Fan H, Hong K, Song H, Han Y, Lin L, Ruan L, Li T. High-Dose Intravenous Immunoglobulin as a Therapeutic Option for Deteriorating Patients With Coronavirus Disease 2019. </w:t>
      </w:r>
      <w:r w:rsidRPr="00C81DD8">
        <w:rPr>
          <w:rFonts w:ascii="Book Antiqua" w:eastAsia="Book Antiqua" w:hAnsi="Book Antiqua" w:cs="Book Antiqua"/>
          <w:i/>
          <w:iCs/>
          <w:color w:val="000000" w:themeColor="text1"/>
        </w:rPr>
        <w:t>Open Forum Infect Dis</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7</w:t>
      </w:r>
      <w:r w:rsidRPr="00C81DD8">
        <w:rPr>
          <w:rFonts w:ascii="Book Antiqua" w:eastAsia="Book Antiqua" w:hAnsi="Book Antiqua" w:cs="Book Antiqua"/>
          <w:color w:val="000000" w:themeColor="text1"/>
        </w:rPr>
        <w:t>: ofaa102 [PMID: 32258207 DOI: 10.1093/ofid/ofaa102]</w:t>
      </w:r>
    </w:p>
    <w:p w14:paraId="7B46959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51 </w:t>
      </w:r>
      <w:r w:rsidRPr="00C81DD8">
        <w:rPr>
          <w:rFonts w:ascii="Book Antiqua" w:eastAsia="Book Antiqua" w:hAnsi="Book Antiqua" w:cs="Book Antiqua"/>
          <w:b/>
          <w:bCs/>
          <w:color w:val="000000" w:themeColor="text1"/>
        </w:rPr>
        <w:t>Chen L</w:t>
      </w:r>
      <w:r w:rsidRPr="00C81DD8">
        <w:rPr>
          <w:rFonts w:ascii="Book Antiqua" w:eastAsia="Book Antiqua" w:hAnsi="Book Antiqua" w:cs="Book Antiqua"/>
          <w:color w:val="000000" w:themeColor="text1"/>
        </w:rPr>
        <w:t xml:space="preserve">, Xiong J, Bao L, Shi Y. Convalescent plasma as a potential therapy for COVID-19. </w:t>
      </w:r>
      <w:r w:rsidRPr="00C81DD8">
        <w:rPr>
          <w:rFonts w:ascii="Book Antiqua" w:eastAsia="Book Antiqua" w:hAnsi="Book Antiqua" w:cs="Book Antiqua"/>
          <w:i/>
          <w:iCs/>
          <w:color w:val="000000" w:themeColor="text1"/>
        </w:rPr>
        <w:t>Lancet Infect Dis</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398-400 [PMID: 32113510 DOI: 10.1016/S1473-3099(20)30141-9]</w:t>
      </w:r>
    </w:p>
    <w:p w14:paraId="5DE4BFB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52 </w:t>
      </w:r>
      <w:r w:rsidRPr="00C81DD8">
        <w:rPr>
          <w:rFonts w:ascii="Book Antiqua" w:eastAsia="Book Antiqua" w:hAnsi="Book Antiqua" w:cs="Book Antiqua"/>
          <w:b/>
          <w:bCs/>
          <w:color w:val="000000" w:themeColor="text1"/>
        </w:rPr>
        <w:t>Shen C</w:t>
      </w:r>
      <w:r w:rsidRPr="00C81DD8">
        <w:rPr>
          <w:rFonts w:ascii="Book Antiqua" w:eastAsia="Book Antiqua" w:hAnsi="Book Antiqua" w:cs="Book Antiqua"/>
          <w:color w:val="000000" w:themeColor="text1"/>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C81DD8">
        <w:rPr>
          <w:rFonts w:ascii="Book Antiqua" w:eastAsia="Book Antiqua" w:hAnsi="Book Antiqua" w:cs="Book Antiqua"/>
          <w:i/>
          <w:iCs/>
          <w:color w:val="000000" w:themeColor="text1"/>
        </w:rPr>
        <w:t>JAMA</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323</w:t>
      </w:r>
      <w:r w:rsidRPr="00C81DD8">
        <w:rPr>
          <w:rFonts w:ascii="Book Antiqua" w:eastAsia="Book Antiqua" w:hAnsi="Book Antiqua" w:cs="Book Antiqua"/>
          <w:color w:val="000000" w:themeColor="text1"/>
        </w:rPr>
        <w:t>: 1582-1589 [PMID: 32219428 DOI: 10.1001/jama.2020.4783]</w:t>
      </w:r>
    </w:p>
    <w:p w14:paraId="2B9B491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53 </w:t>
      </w:r>
      <w:r w:rsidRPr="00C81DD8">
        <w:rPr>
          <w:rFonts w:ascii="Book Antiqua" w:eastAsia="Book Antiqua" w:hAnsi="Book Antiqua" w:cs="Book Antiqua"/>
          <w:b/>
          <w:bCs/>
          <w:color w:val="000000" w:themeColor="text1"/>
        </w:rPr>
        <w:t>Del Bello A</w:t>
      </w:r>
      <w:r w:rsidRPr="00C81DD8">
        <w:rPr>
          <w:rFonts w:ascii="Book Antiqua" w:eastAsia="Book Antiqua" w:hAnsi="Book Antiqua" w:cs="Book Antiqua"/>
          <w:color w:val="000000" w:themeColor="text1"/>
        </w:rPr>
        <w:t xml:space="preserve">, Marion O, Delas A, Congy-Jolivet N, Colombat M, Kamar N. Acute rejection after anti-SARS-CoV-2 mRNA vaccination in a patient who underwent a kidney transplant. </w:t>
      </w:r>
      <w:r w:rsidRPr="00C81DD8">
        <w:rPr>
          <w:rFonts w:ascii="Book Antiqua" w:eastAsia="Book Antiqua" w:hAnsi="Book Antiqua" w:cs="Book Antiqua"/>
          <w:i/>
          <w:iCs/>
          <w:color w:val="000000" w:themeColor="text1"/>
        </w:rPr>
        <w:t>Kidney Int</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100</w:t>
      </w:r>
      <w:r w:rsidRPr="00C81DD8">
        <w:rPr>
          <w:rFonts w:ascii="Book Antiqua" w:eastAsia="Book Antiqua" w:hAnsi="Book Antiqua" w:cs="Book Antiqua"/>
          <w:color w:val="000000" w:themeColor="text1"/>
        </w:rPr>
        <w:t>: 238-239 [PMID: 33932459 DOI: 10.1016/j.kint.2021.04.025]</w:t>
      </w:r>
    </w:p>
    <w:p w14:paraId="7F50A683"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54 </w:t>
      </w:r>
      <w:r w:rsidRPr="00C81DD8">
        <w:rPr>
          <w:rFonts w:ascii="Book Antiqua" w:eastAsia="Book Antiqua" w:hAnsi="Book Antiqua" w:cs="Book Antiqua"/>
          <w:b/>
          <w:bCs/>
          <w:color w:val="000000" w:themeColor="text1"/>
        </w:rPr>
        <w:t>Ikizler TA</w:t>
      </w:r>
      <w:r w:rsidRPr="00C81DD8">
        <w:rPr>
          <w:rFonts w:ascii="Book Antiqua" w:eastAsia="Book Antiqua" w:hAnsi="Book Antiqua" w:cs="Book Antiqua"/>
          <w:color w:val="000000" w:themeColor="text1"/>
        </w:rPr>
        <w:t xml:space="preserve">, Coates PT, Rovin BH, Ronco P. Immune response to SARS-CoV-2 infection and vaccination in patients receiving kidney replacement therapy. </w:t>
      </w:r>
      <w:r w:rsidRPr="00C81DD8">
        <w:rPr>
          <w:rFonts w:ascii="Book Antiqua" w:eastAsia="Book Antiqua" w:hAnsi="Book Antiqua" w:cs="Book Antiqua"/>
          <w:i/>
          <w:iCs/>
          <w:color w:val="000000" w:themeColor="text1"/>
        </w:rPr>
        <w:t>Kidney Int</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99</w:t>
      </w:r>
      <w:r w:rsidRPr="00C81DD8">
        <w:rPr>
          <w:rFonts w:ascii="Book Antiqua" w:eastAsia="Book Antiqua" w:hAnsi="Book Antiqua" w:cs="Book Antiqua"/>
          <w:color w:val="000000" w:themeColor="text1"/>
        </w:rPr>
        <w:t>: 1275-1279 [PMID: 33931226 DOI: 10.1016/j.kint.2021.04.007]</w:t>
      </w:r>
    </w:p>
    <w:p w14:paraId="5410ECA5"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55 </w:t>
      </w:r>
      <w:r w:rsidRPr="00C81DD8">
        <w:rPr>
          <w:rFonts w:ascii="Book Antiqua" w:eastAsia="Book Antiqua" w:hAnsi="Book Antiqua" w:cs="Book Antiqua"/>
          <w:b/>
          <w:bCs/>
          <w:color w:val="000000" w:themeColor="text1"/>
        </w:rPr>
        <w:t>Korth J</w:t>
      </w:r>
      <w:r w:rsidRPr="00C81DD8">
        <w:rPr>
          <w:rFonts w:ascii="Book Antiqua" w:eastAsia="Book Antiqua" w:hAnsi="Book Antiqua" w:cs="Book Antiqua"/>
          <w:color w:val="000000" w:themeColor="text1"/>
        </w:rPr>
        <w:t xml:space="preserve">, Jahn M, Dorsch O, Anastasiou OE, Sorge-Hädicke B, Eisenberger U, Gäckler A, Dittmer U, Witzke O, Wilde B, Dolff S, Kribben A. Impaired Humoral Response in Renal Transplant Recipients to SARS-CoV-2 Vaccination with BNT162b2 (Pfizer-BioNTech). </w:t>
      </w:r>
      <w:r w:rsidRPr="00C81DD8">
        <w:rPr>
          <w:rFonts w:ascii="Book Antiqua" w:eastAsia="Book Antiqua" w:hAnsi="Book Antiqua" w:cs="Book Antiqua"/>
          <w:i/>
          <w:iCs/>
          <w:color w:val="000000" w:themeColor="text1"/>
        </w:rPr>
        <w:t>Viruses</w:t>
      </w:r>
      <w:r w:rsidRPr="00C81DD8">
        <w:rPr>
          <w:rFonts w:ascii="Book Antiqua" w:eastAsia="Book Antiqua" w:hAnsi="Book Antiqua" w:cs="Book Antiqua"/>
          <w:color w:val="000000" w:themeColor="text1"/>
        </w:rPr>
        <w:t xml:space="preserve"> 2021; </w:t>
      </w:r>
      <w:r w:rsidRPr="00C81DD8">
        <w:rPr>
          <w:rFonts w:ascii="Book Antiqua" w:eastAsia="Book Antiqua" w:hAnsi="Book Antiqua" w:cs="Book Antiqua"/>
          <w:b/>
          <w:bCs/>
          <w:color w:val="000000" w:themeColor="text1"/>
        </w:rPr>
        <w:t>13</w:t>
      </w:r>
      <w:r w:rsidRPr="00C81DD8">
        <w:rPr>
          <w:rFonts w:ascii="Book Antiqua" w:eastAsia="Book Antiqua" w:hAnsi="Book Antiqua" w:cs="Book Antiqua"/>
          <w:color w:val="000000" w:themeColor="text1"/>
        </w:rPr>
        <w:t xml:space="preserve"> [PMID: 33923063 DOI: 10.3390/v13050756]</w:t>
      </w:r>
    </w:p>
    <w:p w14:paraId="285355E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56 </w:t>
      </w:r>
      <w:r w:rsidRPr="00C81DD8">
        <w:rPr>
          <w:rFonts w:ascii="Book Antiqua" w:eastAsia="Book Antiqua" w:hAnsi="Book Antiqua" w:cs="Book Antiqua"/>
          <w:b/>
          <w:bCs/>
          <w:color w:val="000000" w:themeColor="text1"/>
        </w:rPr>
        <w:t>Basic-Jukic N</w:t>
      </w:r>
      <w:r w:rsidRPr="00C81DD8">
        <w:rPr>
          <w:rFonts w:ascii="Book Antiqua" w:eastAsia="Book Antiqua" w:hAnsi="Book Antiqua" w:cs="Book Antiqua"/>
          <w:color w:val="000000" w:themeColor="text1"/>
        </w:rPr>
        <w:t xml:space="preserve">, Ivo J. SARS-CoV-2 infection after two doses of mRNA vaccine in renal transplant recipients. </w:t>
      </w:r>
      <w:r w:rsidRPr="00C81DD8">
        <w:rPr>
          <w:rFonts w:ascii="Book Antiqua" w:eastAsia="Book Antiqua" w:hAnsi="Book Antiqua" w:cs="Book Antiqua"/>
          <w:i/>
          <w:iCs/>
          <w:color w:val="000000" w:themeColor="text1"/>
        </w:rPr>
        <w:t>Transpl Infect Dis</w:t>
      </w:r>
      <w:r w:rsidRPr="00C81DD8">
        <w:rPr>
          <w:rFonts w:ascii="Book Antiqua" w:eastAsia="Book Antiqua" w:hAnsi="Book Antiqua" w:cs="Book Antiqua"/>
          <w:color w:val="000000" w:themeColor="text1"/>
        </w:rPr>
        <w:t xml:space="preserve"> 2021: e13628 [PMID: 33915005 DOI: 10.1111/tid.13628]</w:t>
      </w:r>
    </w:p>
    <w:p w14:paraId="201432B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lastRenderedPageBreak/>
        <w:t xml:space="preserve">57 </w:t>
      </w:r>
      <w:r w:rsidRPr="00C81DD8">
        <w:rPr>
          <w:rFonts w:ascii="Book Antiqua" w:eastAsia="Book Antiqua" w:hAnsi="Book Antiqua" w:cs="Book Antiqua"/>
          <w:b/>
          <w:bCs/>
          <w:color w:val="000000" w:themeColor="text1"/>
        </w:rPr>
        <w:t>Ramoz LL</w:t>
      </w:r>
      <w:r w:rsidRPr="00C81DD8">
        <w:rPr>
          <w:rFonts w:ascii="Book Antiqua" w:eastAsia="Book Antiqua" w:hAnsi="Book Antiqua" w:cs="Book Antiqua"/>
          <w:color w:val="000000" w:themeColor="text1"/>
        </w:rPr>
        <w:t xml:space="preserve">, Patel-Shori NM. Recent changes in pregnancy and lactation labeling: retirement of risk categories. </w:t>
      </w:r>
      <w:r w:rsidRPr="00C81DD8">
        <w:rPr>
          <w:rFonts w:ascii="Book Antiqua" w:eastAsia="Book Antiqua" w:hAnsi="Book Antiqua" w:cs="Book Antiqua"/>
          <w:i/>
          <w:iCs/>
          <w:color w:val="000000" w:themeColor="text1"/>
        </w:rPr>
        <w:t>Pharmacotherapy</w:t>
      </w:r>
      <w:r w:rsidRPr="00C81DD8">
        <w:rPr>
          <w:rFonts w:ascii="Book Antiqua" w:eastAsia="Book Antiqua" w:hAnsi="Book Antiqua" w:cs="Book Antiqua"/>
          <w:color w:val="000000" w:themeColor="text1"/>
        </w:rPr>
        <w:t xml:space="preserve"> 2014; </w:t>
      </w:r>
      <w:r w:rsidRPr="00C81DD8">
        <w:rPr>
          <w:rFonts w:ascii="Book Antiqua" w:eastAsia="Book Antiqua" w:hAnsi="Book Antiqua" w:cs="Book Antiqua"/>
          <w:b/>
          <w:bCs/>
          <w:color w:val="000000" w:themeColor="text1"/>
        </w:rPr>
        <w:t>34</w:t>
      </w:r>
      <w:r w:rsidRPr="00C81DD8">
        <w:rPr>
          <w:rFonts w:ascii="Book Antiqua" w:eastAsia="Book Antiqua" w:hAnsi="Book Antiqua" w:cs="Book Antiqua"/>
          <w:color w:val="000000" w:themeColor="text1"/>
        </w:rPr>
        <w:t>: 389-395 [PMID: 24390829 DOI: 10.1002/phar.1385]</w:t>
      </w:r>
    </w:p>
    <w:p w14:paraId="41EAC3F1"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58 </w:t>
      </w:r>
      <w:r w:rsidRPr="00C81DD8">
        <w:rPr>
          <w:rFonts w:ascii="Book Antiqua" w:eastAsia="Book Antiqua" w:hAnsi="Book Antiqua" w:cs="Book Antiqua"/>
          <w:b/>
          <w:bCs/>
          <w:color w:val="000000" w:themeColor="text1"/>
        </w:rPr>
        <w:t>Seminari E</w:t>
      </w:r>
      <w:r w:rsidRPr="00C81DD8">
        <w:rPr>
          <w:rFonts w:ascii="Book Antiqua" w:eastAsia="Book Antiqua" w:hAnsi="Book Antiqua" w:cs="Book Antiqua"/>
          <w:color w:val="000000" w:themeColor="text1"/>
        </w:rPr>
        <w:t xml:space="preserve">, Colaneri M, Sambo M, Gallazzi I, Di Matteo A, Roda S, Bruno R; COVID19 IRCCS San Matteo Pavia Task Force. SARS Cov-2 infection in a renal-transplanted patient: A case report.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1882-1884 [PMID: 32243672 DOI: 10.1111/ajt.15902]</w:t>
      </w:r>
    </w:p>
    <w:p w14:paraId="666BBB2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59 </w:t>
      </w:r>
      <w:r w:rsidRPr="00C81DD8">
        <w:rPr>
          <w:rFonts w:ascii="Book Antiqua" w:eastAsia="Book Antiqua" w:hAnsi="Book Antiqua" w:cs="Book Antiqua"/>
          <w:b/>
          <w:bCs/>
          <w:color w:val="000000" w:themeColor="text1"/>
        </w:rPr>
        <w:t>Ning L</w:t>
      </w:r>
      <w:r w:rsidRPr="00C81DD8">
        <w:rPr>
          <w:rFonts w:ascii="Book Antiqua" w:eastAsia="Book Antiqua" w:hAnsi="Book Antiqua" w:cs="Book Antiqua"/>
          <w:color w:val="000000" w:themeColor="text1"/>
        </w:rPr>
        <w:t xml:space="preserve">, Liu L, Li W, Liu H, Wang J, Yao Z, Zhang S, Zhao D, Nashan B, Shen A, Liu L, Li L. Novel coronavirus (SARS-CoV-2) infection in a renal transplant recipient: Case report. </w:t>
      </w:r>
      <w:r w:rsidRPr="00C81DD8">
        <w:rPr>
          <w:rFonts w:ascii="Book Antiqua" w:eastAsia="Book Antiqua" w:hAnsi="Book Antiqua" w:cs="Book Antiqua"/>
          <w:i/>
          <w:iCs/>
          <w:color w:val="000000" w:themeColor="text1"/>
        </w:rPr>
        <w:t>Am J Transplant</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20</w:t>
      </w:r>
      <w:r w:rsidRPr="00C81DD8">
        <w:rPr>
          <w:rFonts w:ascii="Book Antiqua" w:eastAsia="Book Antiqua" w:hAnsi="Book Antiqua" w:cs="Book Antiqua"/>
          <w:color w:val="000000" w:themeColor="text1"/>
        </w:rPr>
        <w:t>: 1864-1868 [PMID: 32277555 DOI: 10.1111/ajt.15897]</w:t>
      </w:r>
    </w:p>
    <w:p w14:paraId="4DF6E53C"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60 </w:t>
      </w:r>
      <w:r w:rsidRPr="00C81DD8">
        <w:rPr>
          <w:rFonts w:ascii="Book Antiqua" w:eastAsia="Book Antiqua" w:hAnsi="Book Antiqua" w:cs="Book Antiqua"/>
          <w:b/>
          <w:bCs/>
          <w:color w:val="000000" w:themeColor="text1"/>
        </w:rPr>
        <w:t>Zhang H</w:t>
      </w:r>
      <w:r w:rsidRPr="00C81DD8">
        <w:rPr>
          <w:rFonts w:ascii="Book Antiqua" w:eastAsia="Book Antiqua" w:hAnsi="Book Antiqua" w:cs="Book Antiqua"/>
          <w:color w:val="000000" w:themeColor="text1"/>
        </w:rPr>
        <w:t xml:space="preserve">, Chen Y, Yuan Q, Xia QX, Zeng XP, Peng JT, Liu J, Xiao XY, Jiang GS, Xiao HY, Xie LB, Chen J, Liu JL, Xiao X, Su H, Zhang C, Zhang XP, Yang H, Li H, Wang ZD. Identification of Kidney Transplant Recipients with Coronavirus Disease 2019. </w:t>
      </w:r>
      <w:r w:rsidRPr="00C81DD8">
        <w:rPr>
          <w:rFonts w:ascii="Book Antiqua" w:eastAsia="Book Antiqua" w:hAnsi="Book Antiqua" w:cs="Book Antiqua"/>
          <w:i/>
          <w:iCs/>
          <w:color w:val="000000" w:themeColor="text1"/>
        </w:rPr>
        <w:t>Eur Urol</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77</w:t>
      </w:r>
      <w:r w:rsidRPr="00C81DD8">
        <w:rPr>
          <w:rFonts w:ascii="Book Antiqua" w:eastAsia="Book Antiqua" w:hAnsi="Book Antiqua" w:cs="Book Antiqua"/>
          <w:color w:val="000000" w:themeColor="text1"/>
        </w:rPr>
        <w:t>: 742-747 [PMID: 32249089 DOI: 10.1016/j.eururo.2020.03.030]</w:t>
      </w:r>
    </w:p>
    <w:p w14:paraId="13C51F7E"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61 </w:t>
      </w:r>
      <w:r w:rsidRPr="00C81DD8">
        <w:rPr>
          <w:rFonts w:ascii="Book Antiqua" w:eastAsia="Book Antiqua" w:hAnsi="Book Antiqua" w:cs="Book Antiqua"/>
          <w:b/>
          <w:bCs/>
          <w:color w:val="000000" w:themeColor="text1"/>
        </w:rPr>
        <w:t>Beigel JH</w:t>
      </w:r>
      <w:r w:rsidRPr="00C81DD8">
        <w:rPr>
          <w:rFonts w:ascii="Book Antiqua" w:eastAsia="Book Antiqua" w:hAnsi="Book Antiqua" w:cs="Book Antiqua"/>
          <w:color w:val="000000" w:themeColor="text1"/>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C81DD8">
        <w:rPr>
          <w:rFonts w:ascii="Book Antiqua" w:eastAsia="Book Antiqua" w:hAnsi="Book Antiqua" w:cs="Book Antiqua"/>
          <w:i/>
          <w:iCs/>
          <w:color w:val="000000" w:themeColor="text1"/>
        </w:rPr>
        <w:t>N Engl J Med</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383</w:t>
      </w:r>
      <w:r w:rsidRPr="00C81DD8">
        <w:rPr>
          <w:rFonts w:ascii="Book Antiqua" w:eastAsia="Book Antiqua" w:hAnsi="Book Antiqua" w:cs="Book Antiqua"/>
          <w:color w:val="000000" w:themeColor="text1"/>
        </w:rPr>
        <w:t>: 1813-1826 [PMID: 32445440 DOI: 10.1056/NEJMoa2007764]</w:t>
      </w:r>
    </w:p>
    <w:p w14:paraId="0C55DF7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 xml:space="preserve">62 </w:t>
      </w:r>
      <w:r w:rsidRPr="00C81DD8">
        <w:rPr>
          <w:rFonts w:ascii="Book Antiqua" w:eastAsia="Book Antiqua" w:hAnsi="Book Antiqua" w:cs="Book Antiqua"/>
          <w:b/>
          <w:bCs/>
          <w:color w:val="000000" w:themeColor="text1"/>
        </w:rPr>
        <w:t>Hage R</w:t>
      </w:r>
      <w:r w:rsidRPr="00C81DD8">
        <w:rPr>
          <w:rFonts w:ascii="Book Antiqua" w:eastAsia="Book Antiqua" w:hAnsi="Book Antiqua" w:cs="Book Antiqua"/>
          <w:color w:val="000000" w:themeColor="text1"/>
        </w:rPr>
        <w:t xml:space="preserve">, Steinack C, Schuurmans MM. Calcineurin inhibitors revisited: A new paradigm for COVID-19? </w:t>
      </w:r>
      <w:r w:rsidRPr="00C81DD8">
        <w:rPr>
          <w:rFonts w:ascii="Book Antiqua" w:eastAsia="Book Antiqua" w:hAnsi="Book Antiqua" w:cs="Book Antiqua"/>
          <w:i/>
          <w:iCs/>
          <w:color w:val="000000" w:themeColor="text1"/>
        </w:rPr>
        <w:t>Braz J Infect Dis</w:t>
      </w:r>
      <w:r w:rsidRPr="00C81DD8">
        <w:rPr>
          <w:rFonts w:ascii="Book Antiqua" w:eastAsia="Book Antiqua" w:hAnsi="Book Antiqua" w:cs="Book Antiqua"/>
          <w:color w:val="000000" w:themeColor="text1"/>
        </w:rPr>
        <w:t xml:space="preserve"> 2020; </w:t>
      </w:r>
      <w:r w:rsidRPr="00C81DD8">
        <w:rPr>
          <w:rFonts w:ascii="Book Antiqua" w:eastAsia="Book Antiqua" w:hAnsi="Book Antiqua" w:cs="Book Antiqua"/>
          <w:b/>
          <w:bCs/>
          <w:color w:val="000000" w:themeColor="text1"/>
        </w:rPr>
        <w:t>24</w:t>
      </w:r>
      <w:r w:rsidRPr="00C81DD8">
        <w:rPr>
          <w:rFonts w:ascii="Book Antiqua" w:eastAsia="Book Antiqua" w:hAnsi="Book Antiqua" w:cs="Book Antiqua"/>
          <w:color w:val="000000" w:themeColor="text1"/>
        </w:rPr>
        <w:t>: 365-367 [PMID: 32603679 DOI: 10.1016/j.bjid.2020.06.005]</w:t>
      </w:r>
    </w:p>
    <w:p w14:paraId="5569D481" w14:textId="71F3CCA5" w:rsidR="00A77B3E" w:rsidRPr="00C81DD8" w:rsidRDefault="00C573F3" w:rsidP="00C81DD8">
      <w:pPr>
        <w:adjustRightInd w:val="0"/>
        <w:snapToGrid w:val="0"/>
        <w:spacing w:line="360" w:lineRule="auto"/>
        <w:jc w:val="both"/>
        <w:rPr>
          <w:rFonts w:ascii="Book Antiqua" w:hAnsi="Book Antiqua"/>
          <w:color w:val="000000" w:themeColor="text1"/>
          <w:lang w:eastAsia="zh-CN"/>
        </w:rPr>
      </w:pPr>
      <w:r w:rsidRPr="00CA5DF9">
        <w:rPr>
          <w:rFonts w:ascii="Book Antiqua" w:eastAsia="Book Antiqua" w:hAnsi="Book Antiqua" w:cs="Book Antiqua"/>
          <w:color w:val="000000" w:themeColor="text1"/>
          <w:highlight w:val="yellow"/>
        </w:rPr>
        <w:t xml:space="preserve">63 </w:t>
      </w:r>
      <w:r w:rsidR="00AB6810" w:rsidRPr="00CA5DF9">
        <w:rPr>
          <w:rFonts w:ascii="Book Antiqua" w:hAnsi="Book Antiqua" w:cs="Book Antiqua"/>
          <w:b/>
          <w:color w:val="000000" w:themeColor="text1"/>
          <w:highlight w:val="yellow"/>
          <w:lang w:eastAsia="zh-CN"/>
        </w:rPr>
        <w:t xml:space="preserve">American Society of </w:t>
      </w:r>
      <w:r w:rsidRPr="00CA5DF9">
        <w:rPr>
          <w:rFonts w:ascii="Book Antiqua" w:eastAsia="Book Antiqua" w:hAnsi="Book Antiqua" w:cs="Book Antiqua"/>
          <w:b/>
          <w:bCs/>
          <w:color w:val="000000" w:themeColor="text1"/>
          <w:highlight w:val="yellow"/>
        </w:rPr>
        <w:t>Transplantation.</w:t>
      </w:r>
      <w:r w:rsidRPr="00CA5DF9">
        <w:rPr>
          <w:rFonts w:ascii="Book Antiqua" w:eastAsia="Book Antiqua" w:hAnsi="Book Antiqua" w:cs="Book Antiqua"/>
          <w:bCs/>
          <w:color w:val="000000" w:themeColor="text1"/>
          <w:highlight w:val="yellow"/>
        </w:rPr>
        <w:t xml:space="preserve"> 2019-nCoV (Coronavirus): FAQs for Organ Transplantation. </w:t>
      </w:r>
      <w:r w:rsidR="00AB6810" w:rsidRPr="00CA5DF9">
        <w:rPr>
          <w:rFonts w:ascii="Book Antiqua" w:hAnsi="Book Antiqua" w:cs="Book Antiqua"/>
          <w:bCs/>
          <w:color w:val="000000" w:themeColor="text1"/>
          <w:highlight w:val="yellow"/>
          <w:lang w:eastAsia="zh-CN"/>
        </w:rPr>
        <w:t xml:space="preserve">Updated: </w:t>
      </w:r>
      <w:r w:rsidRPr="00CA5DF9">
        <w:rPr>
          <w:rFonts w:ascii="Book Antiqua" w:eastAsia="Book Antiqua" w:hAnsi="Book Antiqua" w:cs="Book Antiqua"/>
          <w:bCs/>
          <w:color w:val="000000" w:themeColor="text1"/>
          <w:highlight w:val="yellow"/>
        </w:rPr>
        <w:t>October 13,</w:t>
      </w:r>
      <w:r w:rsidRPr="00CA5DF9">
        <w:rPr>
          <w:rFonts w:ascii="Book Antiqua" w:eastAsia="Book Antiqua" w:hAnsi="Book Antiqua" w:cs="Book Antiqua"/>
          <w:color w:val="000000" w:themeColor="text1"/>
          <w:highlight w:val="yellow"/>
        </w:rPr>
        <w:t xml:space="preserve"> 2020 [cited </w:t>
      </w:r>
      <w:r w:rsidR="000F44AD" w:rsidRPr="00CA5DF9">
        <w:rPr>
          <w:rFonts w:ascii="Book Antiqua" w:hAnsi="Book Antiqua" w:cs="Book Antiqua"/>
          <w:color w:val="000000" w:themeColor="text1"/>
          <w:highlight w:val="yellow"/>
          <w:lang w:eastAsia="zh-CN"/>
        </w:rPr>
        <w:t xml:space="preserve">27 </w:t>
      </w:r>
      <w:r w:rsidR="000F44AD" w:rsidRPr="00CA5DF9">
        <w:rPr>
          <w:rFonts w:ascii="Book Antiqua" w:eastAsia="Book Antiqua" w:hAnsi="Book Antiqua" w:cs="Book Antiqua"/>
          <w:color w:val="000000" w:themeColor="text1"/>
          <w:highlight w:val="yellow"/>
        </w:rPr>
        <w:t xml:space="preserve">January </w:t>
      </w:r>
      <w:r w:rsidRPr="00CA5DF9">
        <w:rPr>
          <w:rFonts w:ascii="Book Antiqua" w:eastAsia="Book Antiqua" w:hAnsi="Book Antiqua" w:cs="Book Antiqua"/>
          <w:color w:val="000000" w:themeColor="text1"/>
          <w:highlight w:val="yellow"/>
        </w:rPr>
        <w:t>2021</w:t>
      </w:r>
      <w:r w:rsidR="000F44AD" w:rsidRPr="00CA5DF9">
        <w:rPr>
          <w:rFonts w:ascii="Book Antiqua" w:eastAsia="Book Antiqua" w:hAnsi="Book Antiqua" w:cs="Book Antiqua"/>
          <w:color w:val="000000" w:themeColor="text1"/>
          <w:highlight w:val="yellow"/>
        </w:rPr>
        <w:t>]</w:t>
      </w:r>
      <w:r w:rsidR="00CA5DF9">
        <w:rPr>
          <w:rFonts w:ascii="Book Antiqua" w:eastAsia="Book Antiqua" w:hAnsi="Book Antiqua" w:cs="Book Antiqua"/>
          <w:color w:val="000000" w:themeColor="text1"/>
          <w:highlight w:val="yellow"/>
        </w:rPr>
        <w:t>.</w:t>
      </w:r>
      <w:r w:rsidRPr="00CA5DF9">
        <w:rPr>
          <w:rFonts w:ascii="Book Antiqua" w:eastAsia="Book Antiqua" w:hAnsi="Book Antiqua" w:cs="Book Antiqua"/>
          <w:color w:val="000000" w:themeColor="text1"/>
          <w:highlight w:val="yellow"/>
        </w:rPr>
        <w:t xml:space="preserve"> Available from: https://www.myast.org/sites/default/files/COVID19%20FAQ%20Tx%20Centers%2010.26.2020.pdf</w:t>
      </w:r>
    </w:p>
    <w:p w14:paraId="580A4CA0" w14:textId="6A1508FA" w:rsidR="00A77B3E" w:rsidRPr="00C81DD8" w:rsidRDefault="00C573F3" w:rsidP="00C81DD8">
      <w:pPr>
        <w:adjustRightInd w:val="0"/>
        <w:snapToGrid w:val="0"/>
        <w:spacing w:line="360" w:lineRule="auto"/>
        <w:jc w:val="both"/>
        <w:rPr>
          <w:rFonts w:ascii="Book Antiqua" w:hAnsi="Book Antiqua"/>
          <w:color w:val="000000" w:themeColor="text1"/>
          <w:lang w:eastAsia="zh-CN"/>
        </w:rPr>
      </w:pPr>
      <w:r w:rsidRPr="00CA5DF9">
        <w:rPr>
          <w:rFonts w:ascii="Book Antiqua" w:eastAsia="Book Antiqua" w:hAnsi="Book Antiqua" w:cs="Book Antiqua"/>
          <w:color w:val="000000" w:themeColor="text1"/>
          <w:highlight w:val="yellow"/>
        </w:rPr>
        <w:lastRenderedPageBreak/>
        <w:t xml:space="preserve">64 </w:t>
      </w:r>
      <w:r w:rsidR="00AB6810" w:rsidRPr="00CA5DF9">
        <w:rPr>
          <w:rFonts w:ascii="Book Antiqua" w:eastAsia="Book Antiqua" w:hAnsi="Book Antiqua" w:cs="Book Antiqua"/>
          <w:b/>
          <w:bCs/>
          <w:color w:val="000000" w:themeColor="text1"/>
          <w:highlight w:val="yellow"/>
        </w:rPr>
        <w:t>Maggiore U</w:t>
      </w:r>
      <w:r w:rsidRPr="00CA5DF9">
        <w:rPr>
          <w:rFonts w:ascii="Book Antiqua" w:eastAsia="Book Antiqua" w:hAnsi="Book Antiqua" w:cs="Book Antiqua"/>
          <w:b/>
          <w:bCs/>
          <w:color w:val="000000" w:themeColor="text1"/>
          <w:highlight w:val="yellow"/>
        </w:rPr>
        <w:t>,</w:t>
      </w:r>
      <w:r w:rsidR="00AB6810" w:rsidRPr="00CA5DF9">
        <w:rPr>
          <w:rFonts w:ascii="Book Antiqua" w:eastAsia="Book Antiqua" w:hAnsi="Book Antiqua" w:cs="Book Antiqua"/>
          <w:color w:val="000000" w:themeColor="text1"/>
          <w:highlight w:val="yellow"/>
        </w:rPr>
        <w:t xml:space="preserve"> Abramowicz D, Crespo M, Mariat C, Mjoen G, Peruzzi L, Sever MS, Oniscu GC, Hilbrands L</w:t>
      </w:r>
      <w:r w:rsidRPr="00CA5DF9">
        <w:rPr>
          <w:rFonts w:ascii="Book Antiqua" w:eastAsia="Book Antiqua" w:hAnsi="Book Antiqua" w:cs="Book Antiqua"/>
          <w:color w:val="000000" w:themeColor="text1"/>
          <w:highlight w:val="yellow"/>
        </w:rPr>
        <w:t xml:space="preserve">, </w:t>
      </w:r>
      <w:r w:rsidR="00AB6810" w:rsidRPr="00CA5DF9">
        <w:rPr>
          <w:rFonts w:ascii="Book Antiqua" w:eastAsia="Book Antiqua" w:hAnsi="Book Antiqua" w:cs="Book Antiqua"/>
          <w:color w:val="000000" w:themeColor="text1"/>
          <w:highlight w:val="yellow"/>
        </w:rPr>
        <w:t>Watschinger B</w:t>
      </w:r>
      <w:r w:rsidRPr="00CA5DF9">
        <w:rPr>
          <w:rFonts w:ascii="Book Antiqua" w:eastAsia="Book Antiqua" w:hAnsi="Book Antiqua" w:cs="Book Antiqua"/>
          <w:color w:val="000000" w:themeColor="text1"/>
          <w:highlight w:val="yellow"/>
        </w:rPr>
        <w:t>, How should I manage immunosuppression in a kidney transplant patient with COVID-19? An ERA-EDTA DESCARTES expert opinion. Oxford University Press</w:t>
      </w:r>
      <w:r w:rsidR="00CA5DF9" w:rsidRPr="00CA5DF9">
        <w:rPr>
          <w:rFonts w:ascii="Book Antiqua" w:eastAsia="Book Antiqua" w:hAnsi="Book Antiqua" w:cs="Book Antiqua"/>
          <w:color w:val="000000" w:themeColor="text1"/>
          <w:highlight w:val="yellow"/>
        </w:rPr>
        <w:t>, 2020</w:t>
      </w:r>
    </w:p>
    <w:p w14:paraId="1E2A8851" w14:textId="44064180" w:rsidR="00A77B3E" w:rsidRPr="00CA5DF9" w:rsidRDefault="00C573F3" w:rsidP="00EF3439">
      <w:pPr>
        <w:adjustRightInd w:val="0"/>
        <w:snapToGrid w:val="0"/>
        <w:spacing w:line="360" w:lineRule="auto"/>
        <w:jc w:val="both"/>
        <w:rPr>
          <w:rFonts w:ascii="Book Antiqua" w:hAnsi="Book Antiqua"/>
          <w:color w:val="000000" w:themeColor="text1"/>
          <w:highlight w:val="yellow"/>
          <w:lang w:eastAsia="zh-CN"/>
        </w:rPr>
      </w:pPr>
      <w:bookmarkStart w:id="25" w:name="OLE_LINK547"/>
      <w:bookmarkStart w:id="26" w:name="OLE_LINK548"/>
      <w:r w:rsidRPr="00CA5DF9">
        <w:rPr>
          <w:rFonts w:ascii="Book Antiqua" w:eastAsia="Book Antiqua" w:hAnsi="Book Antiqua" w:cs="Book Antiqua"/>
          <w:color w:val="000000" w:themeColor="text1"/>
          <w:highlight w:val="yellow"/>
        </w:rPr>
        <w:t xml:space="preserve">65 </w:t>
      </w:r>
      <w:bookmarkEnd w:id="25"/>
      <w:bookmarkEnd w:id="26"/>
      <w:r w:rsidR="00AB6810" w:rsidRPr="00CA5DF9">
        <w:rPr>
          <w:rFonts w:ascii="Book Antiqua" w:eastAsia="Book Antiqua" w:hAnsi="Book Antiqua" w:cs="Book Antiqua"/>
          <w:b/>
          <w:color w:val="000000" w:themeColor="text1"/>
          <w:highlight w:val="yellow"/>
        </w:rPr>
        <w:t>National Institute of Health</w:t>
      </w:r>
      <w:r w:rsidRPr="00CA5DF9">
        <w:rPr>
          <w:rFonts w:ascii="Book Antiqua" w:eastAsia="Book Antiqua" w:hAnsi="Book Antiqua" w:cs="Book Antiqua"/>
          <w:color w:val="000000" w:themeColor="text1"/>
          <w:highlight w:val="yellow"/>
        </w:rPr>
        <w:t xml:space="preserve">. COVID-19 Treatment Guidelines Panel. Coronavirus Disease 2019 (COVID-19) Treatment Guidelines. 2020 [cited </w:t>
      </w:r>
      <w:r w:rsidR="00AB6810" w:rsidRPr="00CA5DF9">
        <w:rPr>
          <w:rFonts w:ascii="Book Antiqua" w:hAnsi="Book Antiqua" w:cs="Book Antiqua"/>
          <w:color w:val="000000" w:themeColor="text1"/>
          <w:highlight w:val="yellow"/>
          <w:lang w:eastAsia="zh-CN"/>
        </w:rPr>
        <w:t xml:space="preserve">9 </w:t>
      </w:r>
      <w:r w:rsidR="00AB6810" w:rsidRPr="00CA5DF9">
        <w:rPr>
          <w:rFonts w:ascii="Book Antiqua" w:eastAsia="Book Antiqua" w:hAnsi="Book Antiqua" w:cs="Book Antiqua"/>
          <w:color w:val="000000" w:themeColor="text1"/>
          <w:highlight w:val="yellow"/>
        </w:rPr>
        <w:t>January</w:t>
      </w:r>
      <w:r w:rsidR="00AB6810" w:rsidRPr="00CA5DF9">
        <w:rPr>
          <w:rFonts w:ascii="Book Antiqua" w:hAnsi="Book Antiqua" w:cs="Book Antiqua"/>
          <w:color w:val="000000" w:themeColor="text1"/>
          <w:highlight w:val="yellow"/>
          <w:lang w:eastAsia="zh-CN"/>
        </w:rPr>
        <w:t xml:space="preserve"> </w:t>
      </w:r>
      <w:r w:rsidRPr="00CA5DF9">
        <w:rPr>
          <w:rFonts w:ascii="Book Antiqua" w:eastAsia="Book Antiqua" w:hAnsi="Book Antiqua" w:cs="Book Antiqua"/>
          <w:color w:val="000000" w:themeColor="text1"/>
          <w:highlight w:val="yellow"/>
        </w:rPr>
        <w:t>2021</w:t>
      </w:r>
      <w:r w:rsidR="00AB6810" w:rsidRPr="00CA5DF9">
        <w:rPr>
          <w:rFonts w:ascii="Book Antiqua" w:eastAsia="Book Antiqua" w:hAnsi="Book Antiqua" w:cs="Book Antiqua"/>
          <w:color w:val="000000" w:themeColor="text1"/>
          <w:highlight w:val="yellow"/>
        </w:rPr>
        <w:t>]</w:t>
      </w:r>
      <w:r w:rsidR="00CA5DF9">
        <w:rPr>
          <w:rFonts w:ascii="Book Antiqua" w:eastAsia="Book Antiqua" w:hAnsi="Book Antiqua" w:cs="Book Antiqua"/>
          <w:color w:val="000000" w:themeColor="text1"/>
          <w:highlight w:val="yellow"/>
        </w:rPr>
        <w:t>.</w:t>
      </w:r>
      <w:r w:rsidRPr="00CA5DF9">
        <w:rPr>
          <w:rFonts w:ascii="Book Antiqua" w:eastAsia="Book Antiqua" w:hAnsi="Book Antiqua" w:cs="Book Antiqua"/>
          <w:color w:val="000000" w:themeColor="text1"/>
          <w:highlight w:val="yellow"/>
        </w:rPr>
        <w:t xml:space="preserve"> Available from: https://www.covid19treatmentguidelines.nih.gov</w:t>
      </w:r>
    </w:p>
    <w:p w14:paraId="60BC5E5F" w14:textId="3F0BADCE" w:rsidR="00A77B3E" w:rsidRPr="00C81DD8" w:rsidRDefault="00EF3439" w:rsidP="00C81DD8">
      <w:pPr>
        <w:adjustRightInd w:val="0"/>
        <w:snapToGrid w:val="0"/>
        <w:spacing w:line="360" w:lineRule="auto"/>
        <w:jc w:val="both"/>
        <w:rPr>
          <w:rFonts w:ascii="Book Antiqua" w:hAnsi="Book Antiqua"/>
          <w:color w:val="000000" w:themeColor="text1"/>
          <w:lang w:eastAsia="zh-CN"/>
        </w:rPr>
      </w:pPr>
      <w:r w:rsidRPr="00CA5DF9">
        <w:rPr>
          <w:rFonts w:ascii="Book Antiqua" w:eastAsia="Book Antiqua" w:hAnsi="Book Antiqua" w:cs="Book Antiqua"/>
          <w:color w:val="000000" w:themeColor="text1"/>
          <w:highlight w:val="yellow"/>
        </w:rPr>
        <w:t>6</w:t>
      </w:r>
      <w:r w:rsidRPr="00CA5DF9">
        <w:rPr>
          <w:rFonts w:ascii="Book Antiqua" w:hAnsi="Book Antiqua" w:cs="Book Antiqua" w:hint="eastAsia"/>
          <w:color w:val="000000" w:themeColor="text1"/>
          <w:highlight w:val="yellow"/>
          <w:lang w:eastAsia="zh-CN"/>
        </w:rPr>
        <w:t>6</w:t>
      </w:r>
      <w:r w:rsidRPr="00CA5DF9">
        <w:rPr>
          <w:rFonts w:ascii="Book Antiqua" w:eastAsia="Book Antiqua" w:hAnsi="Book Antiqua" w:cs="Book Antiqua"/>
          <w:color w:val="000000" w:themeColor="text1"/>
          <w:highlight w:val="yellow"/>
        </w:rPr>
        <w:t xml:space="preserve"> </w:t>
      </w:r>
      <w:r w:rsidR="00AB6810" w:rsidRPr="00CA5DF9">
        <w:rPr>
          <w:rFonts w:ascii="Book Antiqua" w:hAnsi="Book Antiqua" w:cs="Book Antiqua"/>
          <w:b/>
          <w:color w:val="000000" w:themeColor="text1"/>
          <w:highlight w:val="yellow"/>
          <w:lang w:eastAsia="zh-CN"/>
        </w:rPr>
        <w:t xml:space="preserve">United States Food and Drug </w:t>
      </w:r>
      <w:r w:rsidR="00AB6810" w:rsidRPr="00CA5DF9">
        <w:rPr>
          <w:rFonts w:ascii="Book Antiqua" w:eastAsia="Book Antiqua" w:hAnsi="Book Antiqua" w:cs="Book Antiqua"/>
          <w:b/>
          <w:bCs/>
          <w:color w:val="000000" w:themeColor="text1"/>
          <w:highlight w:val="yellow"/>
        </w:rPr>
        <w:t>Administration</w:t>
      </w:r>
      <w:r w:rsidR="00C573F3" w:rsidRPr="00CA5DF9">
        <w:rPr>
          <w:rFonts w:ascii="Book Antiqua" w:eastAsia="Book Antiqua" w:hAnsi="Book Antiqua" w:cs="Book Antiqua"/>
          <w:b/>
          <w:bCs/>
          <w:color w:val="000000" w:themeColor="text1"/>
          <w:highlight w:val="yellow"/>
        </w:rPr>
        <w:t xml:space="preserve">. </w:t>
      </w:r>
      <w:r w:rsidR="00C573F3" w:rsidRPr="00CA5DF9">
        <w:rPr>
          <w:rFonts w:ascii="Book Antiqua" w:eastAsia="Book Antiqua" w:hAnsi="Book Antiqua" w:cs="Book Antiqua"/>
          <w:bCs/>
          <w:color w:val="000000" w:themeColor="text1"/>
          <w:highlight w:val="yellow"/>
        </w:rPr>
        <w:t xml:space="preserve">Remdesivir (VEKLURY) 2020 [cited </w:t>
      </w:r>
      <w:r w:rsidR="00AB6810" w:rsidRPr="00CA5DF9">
        <w:rPr>
          <w:rFonts w:ascii="Book Antiqua" w:hAnsi="Book Antiqua" w:cs="Book Antiqua"/>
          <w:bCs/>
          <w:color w:val="000000" w:themeColor="text1"/>
          <w:highlight w:val="yellow"/>
          <w:lang w:eastAsia="zh-CN"/>
        </w:rPr>
        <w:t xml:space="preserve">9 </w:t>
      </w:r>
      <w:r w:rsidR="00AB6810" w:rsidRPr="00CA5DF9">
        <w:rPr>
          <w:rFonts w:ascii="Book Antiqua" w:eastAsia="Book Antiqua" w:hAnsi="Book Antiqua" w:cs="Book Antiqua"/>
          <w:bCs/>
          <w:color w:val="000000" w:themeColor="text1"/>
          <w:highlight w:val="yellow"/>
        </w:rPr>
        <w:t>January</w:t>
      </w:r>
      <w:r w:rsidR="00AB6810" w:rsidRPr="00CA5DF9">
        <w:rPr>
          <w:rFonts w:ascii="Book Antiqua" w:eastAsia="Book Antiqua" w:hAnsi="Book Antiqua" w:cs="Book Antiqua"/>
          <w:color w:val="000000" w:themeColor="text1"/>
          <w:highlight w:val="yellow"/>
        </w:rPr>
        <w:t xml:space="preserve"> </w:t>
      </w:r>
      <w:r w:rsidR="00C573F3" w:rsidRPr="00CA5DF9">
        <w:rPr>
          <w:rFonts w:ascii="Book Antiqua" w:eastAsia="Book Antiqua" w:hAnsi="Book Antiqua" w:cs="Book Antiqua"/>
          <w:bCs/>
          <w:color w:val="000000" w:themeColor="text1"/>
          <w:highlight w:val="yellow"/>
        </w:rPr>
        <w:t>2021</w:t>
      </w:r>
      <w:r w:rsidR="00AB6810" w:rsidRPr="00CA5DF9">
        <w:rPr>
          <w:rFonts w:ascii="Book Antiqua" w:eastAsia="Book Antiqua" w:hAnsi="Book Antiqua" w:cs="Book Antiqua"/>
          <w:color w:val="000000" w:themeColor="text1"/>
          <w:highlight w:val="yellow"/>
        </w:rPr>
        <w:t>]</w:t>
      </w:r>
      <w:r w:rsidR="00CA5DF9">
        <w:rPr>
          <w:rFonts w:ascii="Book Antiqua" w:eastAsia="Book Antiqua" w:hAnsi="Book Antiqua" w:cs="Book Antiqua"/>
          <w:color w:val="000000" w:themeColor="text1"/>
          <w:highlight w:val="yellow"/>
        </w:rPr>
        <w:t>.</w:t>
      </w:r>
      <w:r w:rsidR="00C573F3" w:rsidRPr="00CA5DF9">
        <w:rPr>
          <w:rFonts w:ascii="Book Antiqua" w:eastAsia="Book Antiqua" w:hAnsi="Book Antiqua" w:cs="Book Antiqua"/>
          <w:color w:val="000000" w:themeColor="text1"/>
          <w:highlight w:val="yellow"/>
        </w:rPr>
        <w:t xml:space="preserve"> Available from: https://www.accessdata.fda.gov/drugsatfda_docs/Label/2020/214787Orig1s000 Lbl.pdf</w:t>
      </w:r>
    </w:p>
    <w:p w14:paraId="357D3F46" w14:textId="77777777" w:rsidR="00A77B3E" w:rsidRPr="00C81DD8" w:rsidRDefault="00EF3439"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6</w:t>
      </w:r>
      <w:r>
        <w:rPr>
          <w:rFonts w:ascii="Book Antiqua" w:hAnsi="Book Antiqua" w:cs="Book Antiqua" w:hint="eastAsia"/>
          <w:color w:val="000000" w:themeColor="text1"/>
          <w:lang w:eastAsia="zh-CN"/>
        </w:rPr>
        <w:t>7</w:t>
      </w:r>
      <w:r w:rsidRPr="00C81DD8">
        <w:rPr>
          <w:rFonts w:ascii="Book Antiqua" w:eastAsia="Book Antiqua" w:hAnsi="Book Antiqua" w:cs="Book Antiqua"/>
          <w:color w:val="000000" w:themeColor="text1"/>
        </w:rPr>
        <w:t xml:space="preserve"> </w:t>
      </w:r>
      <w:r w:rsidR="00C573F3" w:rsidRPr="00C81DD8">
        <w:rPr>
          <w:rFonts w:ascii="Book Antiqua" w:eastAsia="Book Antiqua" w:hAnsi="Book Antiqua" w:cs="Book Antiqua"/>
          <w:b/>
          <w:bCs/>
          <w:color w:val="000000" w:themeColor="text1"/>
        </w:rPr>
        <w:t>Hosohata K</w:t>
      </w:r>
      <w:r w:rsidR="00C573F3" w:rsidRPr="00C81DD8">
        <w:rPr>
          <w:rFonts w:ascii="Book Antiqua" w:eastAsia="Book Antiqua" w:hAnsi="Book Antiqua" w:cs="Book Antiqua"/>
          <w:color w:val="000000" w:themeColor="text1"/>
        </w:rPr>
        <w:t xml:space="preserve">, Uesugi M, Hashi S, Hosokawa M, Inui K, Matsubara K, Ogawa K, Fujimoto Y, Kaido T, Uemoto S, Masuda S. Association between CYP3A5 genotypes in graft liver and increase in tacrolimus biotransformation from steroid treatment in living-donor liver transplant patients. </w:t>
      </w:r>
      <w:r w:rsidR="00C573F3" w:rsidRPr="00C81DD8">
        <w:rPr>
          <w:rFonts w:ascii="Book Antiqua" w:eastAsia="Book Antiqua" w:hAnsi="Book Antiqua" w:cs="Book Antiqua"/>
          <w:i/>
          <w:iCs/>
          <w:color w:val="000000" w:themeColor="text1"/>
        </w:rPr>
        <w:t>Drug Metab Pharmacokinet</w:t>
      </w:r>
      <w:r w:rsidR="00C573F3" w:rsidRPr="00C81DD8">
        <w:rPr>
          <w:rFonts w:ascii="Book Antiqua" w:eastAsia="Book Antiqua" w:hAnsi="Book Antiqua" w:cs="Book Antiqua"/>
          <w:color w:val="000000" w:themeColor="text1"/>
        </w:rPr>
        <w:t xml:space="preserve"> 2014; </w:t>
      </w:r>
      <w:r w:rsidR="00C573F3" w:rsidRPr="00C81DD8">
        <w:rPr>
          <w:rFonts w:ascii="Book Antiqua" w:eastAsia="Book Antiqua" w:hAnsi="Book Antiqua" w:cs="Book Antiqua"/>
          <w:b/>
          <w:bCs/>
          <w:color w:val="000000" w:themeColor="text1"/>
        </w:rPr>
        <w:t>29</w:t>
      </w:r>
      <w:r w:rsidR="00C573F3" w:rsidRPr="00C81DD8">
        <w:rPr>
          <w:rFonts w:ascii="Book Antiqua" w:eastAsia="Book Antiqua" w:hAnsi="Book Antiqua" w:cs="Book Antiqua"/>
          <w:color w:val="000000" w:themeColor="text1"/>
        </w:rPr>
        <w:t>: 83-89 [PMID: 23955548 DOI: 10.2133/dmpk.dmpk-13-rg-060]</w:t>
      </w:r>
    </w:p>
    <w:bookmarkEnd w:id="20"/>
    <w:p w14:paraId="20F13553" w14:textId="77777777" w:rsidR="00A77B3E" w:rsidRPr="00C81DD8" w:rsidRDefault="00A77B3E" w:rsidP="00C81DD8">
      <w:pPr>
        <w:adjustRightInd w:val="0"/>
        <w:snapToGrid w:val="0"/>
        <w:spacing w:line="360" w:lineRule="auto"/>
        <w:jc w:val="both"/>
        <w:rPr>
          <w:rFonts w:ascii="Book Antiqua" w:hAnsi="Book Antiqua"/>
          <w:color w:val="000000" w:themeColor="text1"/>
        </w:rPr>
        <w:sectPr w:rsidR="00A77B3E" w:rsidRPr="00C81DD8">
          <w:pgSz w:w="12240" w:h="15840"/>
          <w:pgMar w:top="1440" w:right="1440" w:bottom="1440" w:left="1440" w:header="720" w:footer="720" w:gutter="0"/>
          <w:cols w:space="720"/>
          <w:docGrid w:linePitch="360"/>
        </w:sectPr>
      </w:pPr>
    </w:p>
    <w:p w14:paraId="60978346"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lastRenderedPageBreak/>
        <w:t>Footnotes</w:t>
      </w:r>
    </w:p>
    <w:p w14:paraId="2F93F14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Conflict-of-interest statement: </w:t>
      </w:r>
      <w:r w:rsidRPr="00C81DD8">
        <w:rPr>
          <w:rFonts w:ascii="Book Antiqua" w:eastAsia="Book Antiqua" w:hAnsi="Book Antiqua" w:cs="Book Antiqua"/>
          <w:color w:val="000000" w:themeColor="text1"/>
        </w:rPr>
        <w:t xml:space="preserve">The authors declare that there </w:t>
      </w:r>
      <w:r w:rsidR="00C81DD8">
        <w:rPr>
          <w:rFonts w:ascii="Book Antiqua" w:hAnsi="Book Antiqua" w:cs="Book Antiqua" w:hint="eastAsia"/>
          <w:color w:val="000000" w:themeColor="text1"/>
          <w:lang w:eastAsia="zh-CN"/>
        </w:rPr>
        <w:t>are</w:t>
      </w:r>
      <w:r w:rsidRPr="00C81DD8">
        <w:rPr>
          <w:rFonts w:ascii="Book Antiqua" w:eastAsia="Book Antiqua" w:hAnsi="Book Antiqua" w:cs="Book Antiqua"/>
          <w:color w:val="000000" w:themeColor="text1"/>
        </w:rPr>
        <w:t xml:space="preserve"> no any conflicts of interest.</w:t>
      </w:r>
    </w:p>
    <w:p w14:paraId="599B9990"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415F1DA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bCs/>
          <w:color w:val="000000" w:themeColor="text1"/>
        </w:rPr>
        <w:t xml:space="preserve">Open-Access: </w:t>
      </w:r>
      <w:r w:rsidRPr="00C81DD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02530E"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9393ECA"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Manuscript source: </w:t>
      </w:r>
      <w:r w:rsidRPr="00C81DD8">
        <w:rPr>
          <w:rFonts w:ascii="Book Antiqua" w:eastAsia="Book Antiqua" w:hAnsi="Book Antiqua" w:cs="Book Antiqua"/>
          <w:color w:val="000000" w:themeColor="text1"/>
        </w:rPr>
        <w:t xml:space="preserve">Invited </w:t>
      </w:r>
      <w:r w:rsidR="00AB6810" w:rsidRPr="00C81DD8">
        <w:rPr>
          <w:rFonts w:ascii="Book Antiqua" w:eastAsia="Book Antiqua" w:hAnsi="Book Antiqua" w:cs="Book Antiqua"/>
          <w:color w:val="000000" w:themeColor="text1"/>
        </w:rPr>
        <w:t>m</w:t>
      </w:r>
      <w:r w:rsidRPr="00C81DD8">
        <w:rPr>
          <w:rFonts w:ascii="Book Antiqua" w:eastAsia="Book Antiqua" w:hAnsi="Book Antiqua" w:cs="Book Antiqua"/>
          <w:color w:val="000000" w:themeColor="text1"/>
        </w:rPr>
        <w:t>anuscript</w:t>
      </w:r>
    </w:p>
    <w:p w14:paraId="542AAB37"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03F7430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Peer-review started: </w:t>
      </w:r>
      <w:r w:rsidRPr="00C81DD8">
        <w:rPr>
          <w:rFonts w:ascii="Book Antiqua" w:eastAsia="Book Antiqua" w:hAnsi="Book Antiqua" w:cs="Book Antiqua"/>
          <w:color w:val="000000" w:themeColor="text1"/>
        </w:rPr>
        <w:t>March 3, 2021</w:t>
      </w:r>
    </w:p>
    <w:p w14:paraId="3FD372E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First decision: </w:t>
      </w:r>
      <w:r w:rsidRPr="00C81DD8">
        <w:rPr>
          <w:rFonts w:ascii="Book Antiqua" w:eastAsia="Book Antiqua" w:hAnsi="Book Antiqua" w:cs="Book Antiqua"/>
          <w:color w:val="000000" w:themeColor="text1"/>
        </w:rPr>
        <w:t>May 5, 2021</w:t>
      </w:r>
    </w:p>
    <w:p w14:paraId="2DEB0DF0"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Article in press: </w:t>
      </w:r>
    </w:p>
    <w:p w14:paraId="2D826EC1"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7FDFAF49"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Specialty type: </w:t>
      </w:r>
      <w:r w:rsidRPr="00C81DD8">
        <w:rPr>
          <w:rFonts w:ascii="Book Antiqua" w:eastAsia="Book Antiqua" w:hAnsi="Book Antiqua" w:cs="Book Antiqua"/>
          <w:color w:val="000000" w:themeColor="text1"/>
        </w:rPr>
        <w:t xml:space="preserve">Medicine, </w:t>
      </w:r>
      <w:r w:rsidR="00AB6810" w:rsidRPr="00C81DD8">
        <w:rPr>
          <w:rFonts w:ascii="Book Antiqua" w:eastAsia="Book Antiqua" w:hAnsi="Book Antiqua" w:cs="Book Antiqua"/>
          <w:color w:val="000000" w:themeColor="text1"/>
        </w:rPr>
        <w:t>general and in</w:t>
      </w:r>
      <w:r w:rsidRPr="00C81DD8">
        <w:rPr>
          <w:rFonts w:ascii="Book Antiqua" w:eastAsia="Book Antiqua" w:hAnsi="Book Antiqua" w:cs="Book Antiqua"/>
          <w:color w:val="000000" w:themeColor="text1"/>
        </w:rPr>
        <w:t>ternal</w:t>
      </w:r>
    </w:p>
    <w:p w14:paraId="4354872B" w14:textId="0AB54C15"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 xml:space="preserve">Country/Territory of origin: </w:t>
      </w:r>
      <w:r w:rsidR="00CA5DF9" w:rsidRPr="00CA5DF9">
        <w:rPr>
          <w:rFonts w:ascii="Book Antiqua" w:eastAsia="Book Antiqua" w:hAnsi="Book Antiqua" w:cs="Book Antiqua"/>
          <w:color w:val="000000" w:themeColor="text1"/>
        </w:rPr>
        <w:t>Egypt</w:t>
      </w:r>
    </w:p>
    <w:p w14:paraId="1CD25C02"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b/>
          <w:color w:val="000000" w:themeColor="text1"/>
        </w:rPr>
        <w:t>Peer-review report’s scientific quality classification</w:t>
      </w:r>
    </w:p>
    <w:p w14:paraId="4D2074F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Grade A (Excellent): 0</w:t>
      </w:r>
    </w:p>
    <w:p w14:paraId="7134296E"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Grade B (Very good): 0</w:t>
      </w:r>
    </w:p>
    <w:p w14:paraId="79264AE8"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Grade C (Good): 0</w:t>
      </w:r>
    </w:p>
    <w:p w14:paraId="4D14A07D"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Grade D (Fair): D</w:t>
      </w:r>
    </w:p>
    <w:p w14:paraId="2B5DBF24" w14:textId="77777777" w:rsidR="00A77B3E" w:rsidRPr="00C81DD8" w:rsidRDefault="00C573F3" w:rsidP="00C81DD8">
      <w:pPr>
        <w:adjustRightInd w:val="0"/>
        <w:snapToGrid w:val="0"/>
        <w:spacing w:line="360" w:lineRule="auto"/>
        <w:jc w:val="both"/>
        <w:rPr>
          <w:rFonts w:ascii="Book Antiqua" w:hAnsi="Book Antiqua"/>
          <w:color w:val="000000" w:themeColor="text1"/>
        </w:rPr>
      </w:pPr>
      <w:r w:rsidRPr="00C81DD8">
        <w:rPr>
          <w:rFonts w:ascii="Book Antiqua" w:eastAsia="Book Antiqua" w:hAnsi="Book Antiqua" w:cs="Book Antiqua"/>
          <w:color w:val="000000" w:themeColor="text1"/>
        </w:rPr>
        <w:t>Grade E (Poor): 0</w:t>
      </w:r>
    </w:p>
    <w:p w14:paraId="467A98DA" w14:textId="77777777" w:rsidR="00A77B3E" w:rsidRPr="00C81DD8" w:rsidRDefault="00A77B3E" w:rsidP="00C81DD8">
      <w:pPr>
        <w:adjustRightInd w:val="0"/>
        <w:snapToGrid w:val="0"/>
        <w:spacing w:line="360" w:lineRule="auto"/>
        <w:jc w:val="both"/>
        <w:rPr>
          <w:rFonts w:ascii="Book Antiqua" w:hAnsi="Book Antiqua"/>
          <w:color w:val="000000" w:themeColor="text1"/>
        </w:rPr>
      </w:pPr>
    </w:p>
    <w:p w14:paraId="6846B5B0" w14:textId="36CAEB28" w:rsidR="00A77B3E" w:rsidRPr="00C81DD8" w:rsidRDefault="00C573F3" w:rsidP="00C81DD8">
      <w:pPr>
        <w:adjustRightInd w:val="0"/>
        <w:snapToGrid w:val="0"/>
        <w:spacing w:line="360" w:lineRule="auto"/>
        <w:jc w:val="both"/>
        <w:rPr>
          <w:rFonts w:ascii="Book Antiqua" w:hAnsi="Book Antiqua" w:cs="Book Antiqua"/>
          <w:b/>
          <w:color w:val="000000" w:themeColor="text1"/>
          <w:lang w:eastAsia="zh-CN"/>
        </w:rPr>
      </w:pPr>
      <w:r w:rsidRPr="00C81DD8">
        <w:rPr>
          <w:rFonts w:ascii="Book Antiqua" w:eastAsia="Book Antiqua" w:hAnsi="Book Antiqua" w:cs="Book Antiqua"/>
          <w:b/>
          <w:color w:val="000000" w:themeColor="text1"/>
        </w:rPr>
        <w:t xml:space="preserve">P-Reviewer: </w:t>
      </w:r>
      <w:r w:rsidRPr="00C81DD8">
        <w:rPr>
          <w:rFonts w:ascii="Book Antiqua" w:eastAsia="Book Antiqua" w:hAnsi="Book Antiqua" w:cs="Book Antiqua"/>
          <w:color w:val="000000" w:themeColor="text1"/>
        </w:rPr>
        <w:t>Fourtounas KC</w:t>
      </w:r>
      <w:r w:rsidRPr="00C81DD8">
        <w:rPr>
          <w:rFonts w:ascii="Book Antiqua" w:eastAsia="Book Antiqua" w:hAnsi="Book Antiqua" w:cs="Book Antiqua"/>
          <w:b/>
          <w:color w:val="000000" w:themeColor="text1"/>
        </w:rPr>
        <w:t xml:space="preserve"> S-Editor: </w:t>
      </w:r>
      <w:r w:rsidRPr="00C81DD8">
        <w:rPr>
          <w:rFonts w:ascii="Book Antiqua" w:eastAsia="Book Antiqua" w:hAnsi="Book Antiqua" w:cs="Book Antiqua"/>
          <w:color w:val="000000" w:themeColor="text1"/>
        </w:rPr>
        <w:t>Ma YJ</w:t>
      </w:r>
      <w:r w:rsidRPr="00C81DD8">
        <w:rPr>
          <w:rFonts w:ascii="Book Antiqua" w:eastAsia="Book Antiqua" w:hAnsi="Book Antiqua" w:cs="Book Antiqua"/>
          <w:b/>
          <w:color w:val="000000" w:themeColor="text1"/>
        </w:rPr>
        <w:t xml:space="preserve"> L-Editor:</w:t>
      </w:r>
      <w:r w:rsidR="00E87FD1">
        <w:rPr>
          <w:rFonts w:ascii="Book Antiqua" w:eastAsia="Book Antiqua" w:hAnsi="Book Antiqua" w:cs="Book Antiqua"/>
          <w:bCs/>
          <w:color w:val="000000" w:themeColor="text1"/>
        </w:rPr>
        <w:t xml:space="preserve"> Filipodia</w:t>
      </w:r>
      <w:r w:rsidRPr="00C81DD8">
        <w:rPr>
          <w:rFonts w:ascii="Book Antiqua" w:eastAsia="Book Antiqua" w:hAnsi="Book Antiqua" w:cs="Book Antiqua"/>
          <w:b/>
          <w:color w:val="000000" w:themeColor="text1"/>
        </w:rPr>
        <w:t xml:space="preserve"> P-Editor: </w:t>
      </w:r>
    </w:p>
    <w:p w14:paraId="7BB5209D" w14:textId="77777777" w:rsidR="00AB6810" w:rsidRPr="00C81DD8" w:rsidRDefault="00AB6810" w:rsidP="00C81DD8">
      <w:pPr>
        <w:adjustRightInd w:val="0"/>
        <w:snapToGrid w:val="0"/>
        <w:spacing w:line="360" w:lineRule="auto"/>
        <w:jc w:val="both"/>
        <w:rPr>
          <w:rFonts w:ascii="Book Antiqua" w:hAnsi="Book Antiqua" w:cs="Book Antiqua"/>
          <w:b/>
          <w:color w:val="000000" w:themeColor="text1"/>
          <w:lang w:eastAsia="zh-CN"/>
        </w:rPr>
      </w:pPr>
    </w:p>
    <w:p w14:paraId="6EB114A7" w14:textId="77777777" w:rsidR="00AB6810" w:rsidRPr="00C81DD8" w:rsidRDefault="00AB6810" w:rsidP="00C81DD8">
      <w:pPr>
        <w:adjustRightInd w:val="0"/>
        <w:snapToGrid w:val="0"/>
        <w:spacing w:line="360" w:lineRule="auto"/>
        <w:jc w:val="both"/>
        <w:rPr>
          <w:rFonts w:ascii="Book Antiqua" w:hAnsi="Book Antiqua"/>
          <w:color w:val="000000" w:themeColor="text1"/>
        </w:rPr>
        <w:sectPr w:rsidR="00AB6810" w:rsidRPr="00C81DD8">
          <w:pgSz w:w="12240" w:h="15840"/>
          <w:pgMar w:top="1440" w:right="1440" w:bottom="1440" w:left="1440" w:header="720" w:footer="720" w:gutter="0"/>
          <w:cols w:space="720"/>
          <w:docGrid w:linePitch="360"/>
        </w:sectPr>
      </w:pPr>
    </w:p>
    <w:p w14:paraId="1A7240FB" w14:textId="68347015" w:rsidR="00AB6810" w:rsidRPr="00C81DD8" w:rsidRDefault="00AB6810" w:rsidP="00C81DD8">
      <w:pPr>
        <w:adjustRightInd w:val="0"/>
        <w:snapToGrid w:val="0"/>
        <w:spacing w:line="360" w:lineRule="auto"/>
        <w:jc w:val="both"/>
        <w:rPr>
          <w:rFonts w:ascii="Book Antiqua" w:hAnsi="Book Antiqua" w:cstheme="minorBidi"/>
          <w:b/>
          <w:bCs/>
          <w:color w:val="000000" w:themeColor="text1"/>
          <w:lang w:eastAsia="zh-CN"/>
        </w:rPr>
      </w:pPr>
      <w:r w:rsidRPr="00C81DD8">
        <w:rPr>
          <w:rFonts w:ascii="Book Antiqua" w:hAnsi="Book Antiqua" w:cstheme="minorBidi"/>
          <w:b/>
          <w:bCs/>
          <w:color w:val="000000" w:themeColor="text1"/>
        </w:rPr>
        <w:lastRenderedPageBreak/>
        <w:t>Table 1 Interactions between the common immunosuppressive medications and the novel therapeutic agents of coronavirus disease 2019 disease</w:t>
      </w:r>
    </w:p>
    <w:tbl>
      <w:tblPr>
        <w:tblStyle w:val="TableGrid"/>
        <w:tblW w:w="48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1385"/>
        <w:gridCol w:w="1385"/>
        <w:gridCol w:w="1303"/>
        <w:gridCol w:w="1190"/>
        <w:gridCol w:w="1523"/>
      </w:tblGrid>
      <w:tr w:rsidR="00300BD9" w:rsidRPr="00C81DD8" w14:paraId="37ED98F3" w14:textId="77777777" w:rsidTr="00E631FF">
        <w:tc>
          <w:tcPr>
            <w:tcW w:w="1276" w:type="pct"/>
            <w:tcBorders>
              <w:top w:val="single" w:sz="4" w:space="0" w:color="auto"/>
              <w:bottom w:val="single" w:sz="4" w:space="0" w:color="auto"/>
            </w:tcBorders>
          </w:tcPr>
          <w:p w14:paraId="2C33AFD5"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p>
        </w:tc>
        <w:tc>
          <w:tcPr>
            <w:tcW w:w="760" w:type="pct"/>
            <w:tcBorders>
              <w:top w:val="single" w:sz="4" w:space="0" w:color="auto"/>
              <w:bottom w:val="single" w:sz="4" w:space="0" w:color="auto"/>
            </w:tcBorders>
          </w:tcPr>
          <w:p w14:paraId="55ED3F44"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r w:rsidRPr="00C81DD8">
              <w:rPr>
                <w:rFonts w:ascii="Book Antiqua" w:hAnsi="Book Antiqua"/>
                <w:b/>
                <w:color w:val="000000" w:themeColor="text1"/>
                <w:lang w:eastAsia="zh-CN"/>
              </w:rPr>
              <w:t>RMD</w:t>
            </w:r>
          </w:p>
        </w:tc>
        <w:tc>
          <w:tcPr>
            <w:tcW w:w="760" w:type="pct"/>
            <w:tcBorders>
              <w:top w:val="single" w:sz="4" w:space="0" w:color="auto"/>
              <w:bottom w:val="single" w:sz="4" w:space="0" w:color="auto"/>
            </w:tcBorders>
          </w:tcPr>
          <w:p w14:paraId="09A0F916"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r w:rsidRPr="00C81DD8">
              <w:rPr>
                <w:rFonts w:ascii="Book Antiqua" w:hAnsi="Book Antiqua"/>
                <w:b/>
                <w:color w:val="000000" w:themeColor="text1"/>
                <w:lang w:eastAsia="zh-CN"/>
              </w:rPr>
              <w:t>FAV</w:t>
            </w:r>
          </w:p>
        </w:tc>
        <w:tc>
          <w:tcPr>
            <w:tcW w:w="715" w:type="pct"/>
            <w:tcBorders>
              <w:top w:val="single" w:sz="4" w:space="0" w:color="auto"/>
              <w:bottom w:val="single" w:sz="4" w:space="0" w:color="auto"/>
            </w:tcBorders>
          </w:tcPr>
          <w:p w14:paraId="7F806B40"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r w:rsidRPr="00C81DD8">
              <w:rPr>
                <w:rFonts w:ascii="Book Antiqua" w:hAnsi="Book Antiqua"/>
                <w:b/>
                <w:color w:val="000000" w:themeColor="text1"/>
                <w:lang w:eastAsia="zh-CN"/>
              </w:rPr>
              <w:t>CL/HCL</w:t>
            </w:r>
          </w:p>
        </w:tc>
        <w:tc>
          <w:tcPr>
            <w:tcW w:w="653" w:type="pct"/>
            <w:tcBorders>
              <w:top w:val="single" w:sz="4" w:space="0" w:color="auto"/>
              <w:bottom w:val="single" w:sz="4" w:space="0" w:color="auto"/>
            </w:tcBorders>
          </w:tcPr>
          <w:p w14:paraId="7C9F612B"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r w:rsidRPr="00C81DD8">
              <w:rPr>
                <w:rFonts w:ascii="Book Antiqua" w:hAnsi="Book Antiqua"/>
                <w:b/>
                <w:color w:val="000000" w:themeColor="text1"/>
                <w:lang w:eastAsia="zh-CN"/>
              </w:rPr>
              <w:t>TCZ</w:t>
            </w:r>
          </w:p>
        </w:tc>
        <w:tc>
          <w:tcPr>
            <w:tcW w:w="836" w:type="pct"/>
            <w:tcBorders>
              <w:top w:val="single" w:sz="4" w:space="0" w:color="auto"/>
              <w:bottom w:val="single" w:sz="4" w:space="0" w:color="auto"/>
            </w:tcBorders>
          </w:tcPr>
          <w:p w14:paraId="095FB69F" w14:textId="77777777" w:rsidR="00300BD9" w:rsidRPr="00C81DD8" w:rsidRDefault="00300BD9" w:rsidP="00C81DD8">
            <w:pPr>
              <w:adjustRightInd w:val="0"/>
              <w:snapToGrid w:val="0"/>
              <w:spacing w:line="360" w:lineRule="auto"/>
              <w:jc w:val="both"/>
              <w:rPr>
                <w:rFonts w:ascii="Book Antiqua" w:hAnsi="Book Antiqua"/>
                <w:b/>
                <w:color w:val="000000" w:themeColor="text1"/>
                <w:lang w:eastAsia="zh-CN"/>
              </w:rPr>
            </w:pPr>
            <w:r w:rsidRPr="00C81DD8">
              <w:rPr>
                <w:rFonts w:ascii="Book Antiqua" w:hAnsi="Book Antiqua"/>
                <w:b/>
                <w:color w:val="000000" w:themeColor="text1"/>
                <w:lang w:eastAsia="zh-CN"/>
              </w:rPr>
              <w:t>LPV/r</w:t>
            </w:r>
          </w:p>
        </w:tc>
      </w:tr>
      <w:tr w:rsidR="00300BD9" w:rsidRPr="00C81DD8" w14:paraId="13E1C706" w14:textId="77777777" w:rsidTr="00E631FF">
        <w:tc>
          <w:tcPr>
            <w:tcW w:w="1276" w:type="pct"/>
            <w:tcBorders>
              <w:top w:val="single" w:sz="4" w:space="0" w:color="auto"/>
            </w:tcBorders>
          </w:tcPr>
          <w:p w14:paraId="31117C0B"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Prednisone</w:t>
            </w:r>
          </w:p>
        </w:tc>
        <w:tc>
          <w:tcPr>
            <w:tcW w:w="760" w:type="pct"/>
            <w:tcBorders>
              <w:top w:val="single" w:sz="4" w:space="0" w:color="auto"/>
            </w:tcBorders>
          </w:tcPr>
          <w:p w14:paraId="06D07CB4"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&lt;-&gt;</w:t>
            </w:r>
          </w:p>
        </w:tc>
        <w:tc>
          <w:tcPr>
            <w:tcW w:w="760" w:type="pct"/>
            <w:tcBorders>
              <w:top w:val="single" w:sz="4" w:space="0" w:color="auto"/>
            </w:tcBorders>
          </w:tcPr>
          <w:p w14:paraId="074CBC8B"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Borders>
              <w:top w:val="single" w:sz="4" w:space="0" w:color="auto"/>
            </w:tcBorders>
          </w:tcPr>
          <w:p w14:paraId="25E9C7FC"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Borders>
              <w:top w:val="single" w:sz="4" w:space="0" w:color="auto"/>
            </w:tcBorders>
          </w:tcPr>
          <w:p w14:paraId="14A9DDD3"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Borders>
              <w:top w:val="single" w:sz="4" w:space="0" w:color="auto"/>
            </w:tcBorders>
          </w:tcPr>
          <w:p w14:paraId="53AFA1DF"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r>
      <w:tr w:rsidR="00300BD9" w:rsidRPr="00C81DD8" w14:paraId="3880F5FC" w14:textId="77777777" w:rsidTr="00E631FF">
        <w:tc>
          <w:tcPr>
            <w:tcW w:w="1276" w:type="pct"/>
          </w:tcPr>
          <w:p w14:paraId="579CF0F1"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Methylprednisone</w:t>
            </w:r>
          </w:p>
        </w:tc>
        <w:tc>
          <w:tcPr>
            <w:tcW w:w="760" w:type="pct"/>
          </w:tcPr>
          <w:p w14:paraId="3AD43D7F"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7B47F2D8"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123C5423"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Pr>
          <w:p w14:paraId="2F748C5F"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Pr>
          <w:p w14:paraId="2539E132"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r>
      <w:tr w:rsidR="00300BD9" w:rsidRPr="00C81DD8" w14:paraId="18288F53" w14:textId="77777777" w:rsidTr="00E631FF">
        <w:tc>
          <w:tcPr>
            <w:tcW w:w="1276" w:type="pct"/>
          </w:tcPr>
          <w:p w14:paraId="46698E93"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Cyclosporine</w:t>
            </w:r>
          </w:p>
        </w:tc>
        <w:tc>
          <w:tcPr>
            <w:tcW w:w="760" w:type="pct"/>
          </w:tcPr>
          <w:p w14:paraId="5A8F88EC"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4F84B8AC"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31AD90C0"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w:t>
            </w:r>
          </w:p>
        </w:tc>
        <w:tc>
          <w:tcPr>
            <w:tcW w:w="653" w:type="pct"/>
          </w:tcPr>
          <w:p w14:paraId="6A96EFA9"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w:t>
            </w:r>
          </w:p>
        </w:tc>
        <w:tc>
          <w:tcPr>
            <w:tcW w:w="836" w:type="pct"/>
          </w:tcPr>
          <w:p w14:paraId="3B752566"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r>
      <w:tr w:rsidR="00300BD9" w:rsidRPr="00C81DD8" w14:paraId="17AEA5D5" w14:textId="77777777" w:rsidTr="00E631FF">
        <w:tc>
          <w:tcPr>
            <w:tcW w:w="1276" w:type="pct"/>
          </w:tcPr>
          <w:p w14:paraId="670F31C0"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Tacrolimus</w:t>
            </w:r>
          </w:p>
        </w:tc>
        <w:tc>
          <w:tcPr>
            <w:tcW w:w="760" w:type="pct"/>
          </w:tcPr>
          <w:p w14:paraId="4CF48158"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5B12EAB4"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7FC2DE24"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c>
          <w:tcPr>
            <w:tcW w:w="653" w:type="pct"/>
          </w:tcPr>
          <w:p w14:paraId="71D11AB7"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c>
          <w:tcPr>
            <w:tcW w:w="836" w:type="pct"/>
          </w:tcPr>
          <w:p w14:paraId="7DFAC042"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r>
      <w:tr w:rsidR="00300BD9" w:rsidRPr="00C81DD8" w14:paraId="6FE8476C" w14:textId="77777777" w:rsidTr="00E631FF">
        <w:tc>
          <w:tcPr>
            <w:tcW w:w="1276" w:type="pct"/>
          </w:tcPr>
          <w:p w14:paraId="221C879D"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Sirolimus</w:t>
            </w:r>
          </w:p>
        </w:tc>
        <w:tc>
          <w:tcPr>
            <w:tcW w:w="760" w:type="pct"/>
          </w:tcPr>
          <w:p w14:paraId="3B8B6475"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6D99AED9"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3BD5AC93"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c>
          <w:tcPr>
            <w:tcW w:w="653" w:type="pct"/>
          </w:tcPr>
          <w:p w14:paraId="0F4A530E"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c>
          <w:tcPr>
            <w:tcW w:w="836" w:type="pct"/>
          </w:tcPr>
          <w:p w14:paraId="3160F6C9"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w:t>
            </w:r>
          </w:p>
        </w:tc>
      </w:tr>
      <w:tr w:rsidR="00300BD9" w:rsidRPr="00C81DD8" w14:paraId="7E300B4A" w14:textId="77777777" w:rsidTr="00E631FF">
        <w:tc>
          <w:tcPr>
            <w:tcW w:w="1276" w:type="pct"/>
          </w:tcPr>
          <w:p w14:paraId="3D08E23C"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Mycophenolate</w:t>
            </w:r>
          </w:p>
        </w:tc>
        <w:tc>
          <w:tcPr>
            <w:tcW w:w="760" w:type="pct"/>
          </w:tcPr>
          <w:p w14:paraId="18DBF622"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497E4420"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0C086E4C"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Pr>
          <w:p w14:paraId="3A7C17F3"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Pr>
          <w:p w14:paraId="45AFA3E9"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p>
        </w:tc>
      </w:tr>
      <w:tr w:rsidR="00300BD9" w:rsidRPr="00C81DD8" w14:paraId="42CCDC42" w14:textId="77777777" w:rsidTr="00E631FF">
        <w:tc>
          <w:tcPr>
            <w:tcW w:w="1276" w:type="pct"/>
          </w:tcPr>
          <w:p w14:paraId="142E1A6F"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Azatguoprine</w:t>
            </w:r>
          </w:p>
        </w:tc>
        <w:tc>
          <w:tcPr>
            <w:tcW w:w="760" w:type="pct"/>
          </w:tcPr>
          <w:p w14:paraId="47B8D43D"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18B2FFAE"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26076FAF"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Pr>
          <w:p w14:paraId="06544C44"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Pr>
          <w:p w14:paraId="6AFE8F50"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r>
      <w:tr w:rsidR="00300BD9" w:rsidRPr="00C81DD8" w14:paraId="4F8B8484" w14:textId="77777777" w:rsidTr="00E631FF">
        <w:tc>
          <w:tcPr>
            <w:tcW w:w="1276" w:type="pct"/>
          </w:tcPr>
          <w:p w14:paraId="482AB4E8"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Anti-thymocyte globulin</w:t>
            </w:r>
          </w:p>
        </w:tc>
        <w:tc>
          <w:tcPr>
            <w:tcW w:w="760" w:type="pct"/>
          </w:tcPr>
          <w:p w14:paraId="296AF576"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075766CB"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3F0F32B1"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Pr>
          <w:p w14:paraId="45188BF0"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Pr>
          <w:p w14:paraId="59BD55A5"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r>
      <w:tr w:rsidR="00300BD9" w:rsidRPr="00C81DD8" w14:paraId="684653BD" w14:textId="77777777" w:rsidTr="00E631FF">
        <w:tc>
          <w:tcPr>
            <w:tcW w:w="1276" w:type="pct"/>
          </w:tcPr>
          <w:p w14:paraId="3667932C" w14:textId="77777777" w:rsidR="00300BD9"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Basiliximab</w:t>
            </w:r>
          </w:p>
        </w:tc>
        <w:tc>
          <w:tcPr>
            <w:tcW w:w="760" w:type="pct"/>
          </w:tcPr>
          <w:p w14:paraId="3E85C2F2"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60" w:type="pct"/>
          </w:tcPr>
          <w:p w14:paraId="2C948E17"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715" w:type="pct"/>
          </w:tcPr>
          <w:p w14:paraId="5A1BC978"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653" w:type="pct"/>
          </w:tcPr>
          <w:p w14:paraId="770CD483"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c>
          <w:tcPr>
            <w:tcW w:w="836" w:type="pct"/>
          </w:tcPr>
          <w:p w14:paraId="42419037" w14:textId="77777777" w:rsidR="00300BD9" w:rsidRPr="00C81DD8" w:rsidRDefault="00300BD9" w:rsidP="00C81DD8">
            <w:pPr>
              <w:adjustRightInd w:val="0"/>
              <w:snapToGrid w:val="0"/>
              <w:spacing w:line="360" w:lineRule="auto"/>
              <w:jc w:val="both"/>
              <w:rPr>
                <w:rFonts w:ascii="Book Antiqua" w:hAnsi="Book Antiqua"/>
              </w:rPr>
            </w:pPr>
            <w:r w:rsidRPr="00C81DD8">
              <w:rPr>
                <w:rFonts w:ascii="Book Antiqua" w:hAnsi="Book Antiqua"/>
                <w:color w:val="000000" w:themeColor="text1"/>
                <w:lang w:eastAsia="zh-CN"/>
              </w:rPr>
              <w:t>&lt;-&gt;</w:t>
            </w:r>
          </w:p>
        </w:tc>
      </w:tr>
    </w:tbl>
    <w:p w14:paraId="6D07579E" w14:textId="1232D896" w:rsidR="00AB6810" w:rsidRPr="00C81DD8" w:rsidRDefault="00300BD9" w:rsidP="00C81DD8">
      <w:pPr>
        <w:adjustRightInd w:val="0"/>
        <w:snapToGrid w:val="0"/>
        <w:spacing w:line="360" w:lineRule="auto"/>
        <w:jc w:val="both"/>
        <w:rPr>
          <w:rFonts w:ascii="Book Antiqua" w:hAnsi="Book Antiqua"/>
          <w:color w:val="000000" w:themeColor="text1"/>
          <w:lang w:eastAsia="zh-CN"/>
        </w:rPr>
      </w:pPr>
      <w:r w:rsidRPr="00C81DD8">
        <w:rPr>
          <w:rFonts w:ascii="Book Antiqua" w:hAnsi="Book Antiqua"/>
          <w:color w:val="000000" w:themeColor="text1"/>
          <w:lang w:eastAsia="zh-CN"/>
        </w:rPr>
        <w:t xml:space="preserve">↑: Potential increase exposure of the comedication; ↓: Potential decrease exposure of the comedication; &lt;-&gt;: No significant effect. CL/HCL: Chloroquine/hydrochloroquine; </w:t>
      </w:r>
      <w:r w:rsidR="00D80113" w:rsidRPr="00C81DD8">
        <w:rPr>
          <w:rFonts w:ascii="Book Antiqua" w:hAnsi="Book Antiqua"/>
          <w:color w:val="000000" w:themeColor="text1"/>
          <w:lang w:eastAsia="zh-CN"/>
        </w:rPr>
        <w:t xml:space="preserve">FAV: Faviprivar; </w:t>
      </w:r>
      <w:r w:rsidRPr="00C81DD8">
        <w:rPr>
          <w:rFonts w:ascii="Book Antiqua" w:hAnsi="Book Antiqua"/>
          <w:caps/>
          <w:color w:val="000000" w:themeColor="text1"/>
          <w:lang w:eastAsia="zh-CN"/>
        </w:rPr>
        <w:t>Lpv</w:t>
      </w:r>
      <w:r w:rsidR="00E631FF" w:rsidRPr="00C81DD8">
        <w:rPr>
          <w:rFonts w:ascii="Book Antiqua" w:hAnsi="Book Antiqua"/>
          <w:caps/>
          <w:color w:val="000000" w:themeColor="text1"/>
          <w:lang w:eastAsia="zh-CN"/>
        </w:rPr>
        <w:t>/</w:t>
      </w:r>
      <w:r w:rsidR="00E631FF" w:rsidRPr="00C81DD8">
        <w:rPr>
          <w:rFonts w:ascii="Book Antiqua" w:hAnsi="Book Antiqua"/>
          <w:color w:val="000000" w:themeColor="text1"/>
          <w:lang w:eastAsia="zh-CN"/>
        </w:rPr>
        <w:t>r</w:t>
      </w:r>
      <w:r w:rsidRPr="00C81DD8">
        <w:rPr>
          <w:rFonts w:ascii="Book Antiqua" w:hAnsi="Book Antiqua"/>
          <w:color w:val="000000" w:themeColor="text1"/>
          <w:lang w:eastAsia="zh-CN"/>
        </w:rPr>
        <w:t>: Lopinavir/ritonavir</w:t>
      </w:r>
      <w:r w:rsidR="00D80113">
        <w:rPr>
          <w:rFonts w:ascii="Book Antiqua" w:hAnsi="Book Antiqua"/>
          <w:color w:val="000000" w:themeColor="text1"/>
          <w:lang w:eastAsia="zh-CN"/>
        </w:rPr>
        <w:t>;</w:t>
      </w:r>
      <w:r w:rsidR="00D80113" w:rsidRPr="00D80113">
        <w:rPr>
          <w:rFonts w:ascii="Book Antiqua" w:hAnsi="Book Antiqua"/>
          <w:color w:val="000000" w:themeColor="text1"/>
          <w:lang w:eastAsia="zh-CN"/>
        </w:rPr>
        <w:t xml:space="preserve"> </w:t>
      </w:r>
      <w:r w:rsidR="00D80113" w:rsidRPr="00C81DD8">
        <w:rPr>
          <w:rFonts w:ascii="Book Antiqua" w:hAnsi="Book Antiqua"/>
          <w:color w:val="000000" w:themeColor="text1"/>
          <w:lang w:eastAsia="zh-CN"/>
        </w:rPr>
        <w:t xml:space="preserve">RMD: </w:t>
      </w:r>
      <w:r w:rsidR="00D80113" w:rsidRPr="00C81DD8">
        <w:rPr>
          <w:rFonts w:ascii="Book Antiqua" w:hAnsi="Book Antiqua"/>
          <w:caps/>
          <w:color w:val="000000" w:themeColor="text1"/>
          <w:lang w:eastAsia="zh-CN"/>
        </w:rPr>
        <w:t>r</w:t>
      </w:r>
      <w:r w:rsidR="00D80113" w:rsidRPr="00C81DD8">
        <w:rPr>
          <w:rFonts w:ascii="Book Antiqua" w:hAnsi="Book Antiqua"/>
          <w:color w:val="000000" w:themeColor="text1"/>
          <w:lang w:eastAsia="zh-CN"/>
        </w:rPr>
        <w:t>emdesivir</w:t>
      </w:r>
      <w:r w:rsidR="00D80113">
        <w:rPr>
          <w:rFonts w:ascii="Book Antiqua" w:hAnsi="Book Antiqua"/>
          <w:color w:val="000000" w:themeColor="text1"/>
          <w:lang w:eastAsia="zh-CN"/>
        </w:rPr>
        <w:t>.</w:t>
      </w:r>
    </w:p>
    <w:sectPr w:rsidR="00AB6810" w:rsidRPr="00C81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96FC" w14:textId="77777777" w:rsidR="0061530B" w:rsidRDefault="0061530B" w:rsidP="00AB6810">
      <w:r>
        <w:separator/>
      </w:r>
    </w:p>
  </w:endnote>
  <w:endnote w:type="continuationSeparator" w:id="0">
    <w:p w14:paraId="18B6CD9A" w14:textId="77777777" w:rsidR="0061530B" w:rsidRDefault="0061530B" w:rsidP="00AB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OTb65e897d.B">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71000340"/>
      <w:docPartObj>
        <w:docPartGallery w:val="Page Numbers (Bottom of Page)"/>
        <w:docPartUnique/>
      </w:docPartObj>
    </w:sdtPr>
    <w:sdtEndPr>
      <w:rPr>
        <w:noProof/>
      </w:rPr>
    </w:sdtEndPr>
    <w:sdtContent>
      <w:p w14:paraId="7C12D848" w14:textId="68742FDE" w:rsidR="00E41A62" w:rsidRPr="00671E89" w:rsidRDefault="00E41A62">
        <w:pPr>
          <w:pStyle w:val="Footer"/>
          <w:jc w:val="right"/>
          <w:rPr>
            <w:rFonts w:ascii="Book Antiqua" w:hAnsi="Book Antiqua"/>
            <w:sz w:val="24"/>
            <w:szCs w:val="24"/>
          </w:rPr>
        </w:pPr>
        <w:r w:rsidRPr="00671E89">
          <w:rPr>
            <w:rFonts w:ascii="Book Antiqua" w:hAnsi="Book Antiqua"/>
            <w:sz w:val="24"/>
            <w:szCs w:val="24"/>
          </w:rPr>
          <w:fldChar w:fldCharType="begin"/>
        </w:r>
        <w:r w:rsidRPr="00671E89">
          <w:rPr>
            <w:rFonts w:ascii="Book Antiqua" w:hAnsi="Book Antiqua"/>
            <w:sz w:val="24"/>
            <w:szCs w:val="24"/>
          </w:rPr>
          <w:instrText xml:space="preserve"> PAGE   \* MERGEFORMAT </w:instrText>
        </w:r>
        <w:r w:rsidRPr="00671E89">
          <w:rPr>
            <w:rFonts w:ascii="Book Antiqua" w:hAnsi="Book Antiqua"/>
            <w:sz w:val="24"/>
            <w:szCs w:val="24"/>
          </w:rPr>
          <w:fldChar w:fldCharType="separate"/>
        </w:r>
        <w:r w:rsidRPr="00671E89">
          <w:rPr>
            <w:rFonts w:ascii="Book Antiqua" w:hAnsi="Book Antiqua"/>
            <w:noProof/>
            <w:sz w:val="24"/>
            <w:szCs w:val="24"/>
          </w:rPr>
          <w:t>2</w:t>
        </w:r>
        <w:r w:rsidRPr="00671E89">
          <w:rPr>
            <w:rFonts w:ascii="Book Antiqua" w:hAnsi="Book Antiqua"/>
            <w:noProof/>
            <w:sz w:val="24"/>
            <w:szCs w:val="24"/>
          </w:rPr>
          <w:fldChar w:fldCharType="end"/>
        </w:r>
        <w:r w:rsidRPr="00671E89">
          <w:rPr>
            <w:rFonts w:ascii="Book Antiqua" w:hAnsi="Book Antiqua"/>
            <w:noProof/>
            <w:sz w:val="24"/>
            <w:szCs w:val="24"/>
          </w:rPr>
          <w:t xml:space="preserve"> / 2</w:t>
        </w:r>
        <w:r w:rsidR="00B00B50">
          <w:rPr>
            <w:rFonts w:ascii="Book Antiqua" w:hAnsi="Book Antiqua"/>
            <w:noProof/>
            <w:sz w:val="24"/>
            <w:szCs w:val="24"/>
          </w:rPr>
          <w:t>7</w:t>
        </w:r>
      </w:p>
    </w:sdtContent>
  </w:sdt>
  <w:p w14:paraId="4085FDC6" w14:textId="77777777" w:rsidR="00AB6810" w:rsidRDefault="00AB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60EB" w14:textId="77777777" w:rsidR="0061530B" w:rsidRDefault="0061530B" w:rsidP="00AB6810">
      <w:r>
        <w:separator/>
      </w:r>
    </w:p>
  </w:footnote>
  <w:footnote w:type="continuationSeparator" w:id="0">
    <w:p w14:paraId="71B76487" w14:textId="77777777" w:rsidR="0061530B" w:rsidRDefault="0061530B" w:rsidP="00AB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5F"/>
    <w:rsid w:val="00006D34"/>
    <w:rsid w:val="000B3EFA"/>
    <w:rsid w:val="000F44AD"/>
    <w:rsid w:val="00171227"/>
    <w:rsid w:val="001D3D01"/>
    <w:rsid w:val="002472BA"/>
    <w:rsid w:val="002954EF"/>
    <w:rsid w:val="00300BD9"/>
    <w:rsid w:val="00393F26"/>
    <w:rsid w:val="003E564D"/>
    <w:rsid w:val="00450D2A"/>
    <w:rsid w:val="00514570"/>
    <w:rsid w:val="0061530B"/>
    <w:rsid w:val="0067057D"/>
    <w:rsid w:val="00671E89"/>
    <w:rsid w:val="008306C4"/>
    <w:rsid w:val="0094388D"/>
    <w:rsid w:val="009A60C1"/>
    <w:rsid w:val="00A1002D"/>
    <w:rsid w:val="00A57AEB"/>
    <w:rsid w:val="00A77B3E"/>
    <w:rsid w:val="00AA234D"/>
    <w:rsid w:val="00AB6810"/>
    <w:rsid w:val="00B00B50"/>
    <w:rsid w:val="00BB330E"/>
    <w:rsid w:val="00BC28BD"/>
    <w:rsid w:val="00C573F3"/>
    <w:rsid w:val="00C65C16"/>
    <w:rsid w:val="00C81DD8"/>
    <w:rsid w:val="00CA2A55"/>
    <w:rsid w:val="00CA5DF9"/>
    <w:rsid w:val="00D80113"/>
    <w:rsid w:val="00D866B2"/>
    <w:rsid w:val="00E41A62"/>
    <w:rsid w:val="00E631FF"/>
    <w:rsid w:val="00E87FD1"/>
    <w:rsid w:val="00E944D9"/>
    <w:rsid w:val="00EF3439"/>
    <w:rsid w:val="00F9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3DFD7"/>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8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6810"/>
    <w:rPr>
      <w:sz w:val="18"/>
      <w:szCs w:val="18"/>
    </w:rPr>
  </w:style>
  <w:style w:type="paragraph" w:styleId="Footer">
    <w:name w:val="footer"/>
    <w:basedOn w:val="Normal"/>
    <w:link w:val="FooterChar"/>
    <w:uiPriority w:val="99"/>
    <w:rsid w:val="00AB68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6810"/>
    <w:rPr>
      <w:sz w:val="18"/>
      <w:szCs w:val="18"/>
    </w:rPr>
  </w:style>
  <w:style w:type="character" w:styleId="CommentReference">
    <w:name w:val="annotation reference"/>
    <w:basedOn w:val="DefaultParagraphFont"/>
    <w:rsid w:val="00AB6810"/>
    <w:rPr>
      <w:sz w:val="21"/>
      <w:szCs w:val="21"/>
    </w:rPr>
  </w:style>
  <w:style w:type="paragraph" w:styleId="CommentText">
    <w:name w:val="annotation text"/>
    <w:basedOn w:val="Normal"/>
    <w:link w:val="CommentTextChar"/>
    <w:rsid w:val="00AB6810"/>
  </w:style>
  <w:style w:type="character" w:customStyle="1" w:styleId="CommentTextChar">
    <w:name w:val="Comment Text Char"/>
    <w:basedOn w:val="DefaultParagraphFont"/>
    <w:link w:val="CommentText"/>
    <w:rsid w:val="00AB6810"/>
    <w:rPr>
      <w:sz w:val="24"/>
      <w:szCs w:val="24"/>
    </w:rPr>
  </w:style>
  <w:style w:type="paragraph" w:styleId="CommentSubject">
    <w:name w:val="annotation subject"/>
    <w:basedOn w:val="CommentText"/>
    <w:next w:val="CommentText"/>
    <w:link w:val="CommentSubjectChar"/>
    <w:rsid w:val="00AB6810"/>
    <w:rPr>
      <w:b/>
      <w:bCs/>
    </w:rPr>
  </w:style>
  <w:style w:type="character" w:customStyle="1" w:styleId="CommentSubjectChar">
    <w:name w:val="Comment Subject Char"/>
    <w:basedOn w:val="CommentTextChar"/>
    <w:link w:val="CommentSubject"/>
    <w:rsid w:val="00AB6810"/>
    <w:rPr>
      <w:b/>
      <w:bCs/>
      <w:sz w:val="24"/>
      <w:szCs w:val="24"/>
    </w:rPr>
  </w:style>
  <w:style w:type="paragraph" w:styleId="BalloonText">
    <w:name w:val="Balloon Text"/>
    <w:basedOn w:val="Normal"/>
    <w:link w:val="BalloonTextChar"/>
    <w:rsid w:val="00AB6810"/>
    <w:rPr>
      <w:sz w:val="18"/>
      <w:szCs w:val="18"/>
    </w:rPr>
  </w:style>
  <w:style w:type="character" w:customStyle="1" w:styleId="BalloonTextChar">
    <w:name w:val="Balloon Text Char"/>
    <w:basedOn w:val="DefaultParagraphFont"/>
    <w:link w:val="BalloonText"/>
    <w:rsid w:val="00AB6810"/>
    <w:rPr>
      <w:sz w:val="18"/>
      <w:szCs w:val="18"/>
    </w:rPr>
  </w:style>
  <w:style w:type="character" w:styleId="Emphasis">
    <w:name w:val="Emphasis"/>
    <w:basedOn w:val="DefaultParagraphFont"/>
    <w:uiPriority w:val="20"/>
    <w:qFormat/>
    <w:rsid w:val="00AB6810"/>
    <w:rPr>
      <w:i/>
      <w:iCs/>
    </w:rPr>
  </w:style>
  <w:style w:type="paragraph" w:customStyle="1" w:styleId="EndNoteBibliography">
    <w:name w:val="EndNote Bibliography"/>
    <w:basedOn w:val="Normal"/>
    <w:link w:val="EndNoteBibliographyChar"/>
    <w:rsid w:val="00AB6810"/>
    <w:pPr>
      <w:spacing w:after="160"/>
      <w:jc w:val="both"/>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B6810"/>
    <w:rPr>
      <w:rFonts w:ascii="Calibri" w:eastAsiaTheme="minorHAnsi" w:hAnsi="Calibri" w:cs="Calibri"/>
      <w:noProof/>
      <w:sz w:val="22"/>
      <w:szCs w:val="22"/>
    </w:rPr>
  </w:style>
  <w:style w:type="character" w:customStyle="1" w:styleId="fontstyle01">
    <w:name w:val="fontstyle01"/>
    <w:basedOn w:val="DefaultParagraphFont"/>
    <w:rsid w:val="00AB6810"/>
    <w:rPr>
      <w:rFonts w:ascii="AdvOTb65e897d.B" w:hAnsi="AdvOTb65e897d.B" w:hint="default"/>
      <w:b w:val="0"/>
      <w:bCs w:val="0"/>
      <w:i w:val="0"/>
      <w:iCs w:val="0"/>
      <w:color w:val="77015C"/>
      <w:sz w:val="20"/>
      <w:szCs w:val="20"/>
    </w:rPr>
  </w:style>
  <w:style w:type="table" w:styleId="TableGrid">
    <w:name w:val="Table Grid"/>
    <w:basedOn w:val="TableNormal"/>
    <w:rsid w:val="0030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7829</Words>
  <Characters>44630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2021-08-23T01:52:00Z</dcterms:created>
  <dcterms:modified xsi:type="dcterms:W3CDTF">2021-08-23T01:52:00Z</dcterms:modified>
</cp:coreProperties>
</file>