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rFonts w:ascii="Book Antiqua" w:hAnsi="Book Antiqua"/>
          <w:sz w:val="24"/>
          <w:szCs w:val="24"/>
          <w:highlight w:val="none"/>
          <w:lang w:val="en-US" w:eastAsia="en-US"/>
        </w:rPr>
      </w:pPr>
      <w:r>
        <w:rPr>
          <w:rFonts w:ascii="Book Antiqua" w:hAnsi="Book Antiqua" w:eastAsia="Book Antiqua" w:cs="Book Antiqua"/>
          <w:b/>
          <w:color w:val="000000"/>
          <w:sz w:val="24"/>
          <w:szCs w:val="24"/>
          <w:highlight w:val="none"/>
          <w:lang w:val="en-US" w:eastAsia="en-US"/>
        </w:rPr>
        <w:t xml:space="preserve">Name of Journal: </w:t>
      </w:r>
      <w:r>
        <w:rPr>
          <w:rFonts w:ascii="Book Antiqua" w:hAnsi="Book Antiqua" w:eastAsia="Book Antiqua" w:cs="Book Antiqua"/>
          <w:i/>
          <w:color w:val="000000"/>
          <w:sz w:val="24"/>
          <w:szCs w:val="24"/>
          <w:highlight w:val="none"/>
          <w:lang w:val="en-US" w:eastAsia="en-US"/>
        </w:rPr>
        <w:t>World Journal of Hepatology</w:t>
      </w:r>
    </w:p>
    <w:p>
      <w:pPr>
        <w:spacing w:after="0" w:line="360" w:lineRule="auto"/>
        <w:jc w:val="both"/>
        <w:rPr>
          <w:rFonts w:ascii="Book Antiqua" w:hAnsi="Book Antiqua"/>
          <w:sz w:val="24"/>
          <w:szCs w:val="24"/>
          <w:highlight w:val="none"/>
          <w:lang w:val="en-US" w:eastAsia="en-US"/>
        </w:rPr>
      </w:pPr>
      <w:r>
        <w:rPr>
          <w:rFonts w:ascii="Book Antiqua" w:hAnsi="Book Antiqua" w:eastAsia="Book Antiqua" w:cs="Book Antiqua"/>
          <w:b/>
          <w:color w:val="000000"/>
          <w:sz w:val="24"/>
          <w:szCs w:val="24"/>
          <w:highlight w:val="none"/>
          <w:lang w:val="en-US" w:eastAsia="en-US"/>
        </w:rPr>
        <w:t xml:space="preserve">Manuscript NO: </w:t>
      </w:r>
      <w:r>
        <w:rPr>
          <w:rFonts w:ascii="Book Antiqua" w:hAnsi="Book Antiqua" w:eastAsia="Book Antiqua" w:cs="Book Antiqua"/>
          <w:color w:val="000000"/>
          <w:sz w:val="24"/>
          <w:szCs w:val="24"/>
          <w:highlight w:val="none"/>
          <w:lang w:val="en-US" w:eastAsia="en-US"/>
        </w:rPr>
        <w:t>64950</w:t>
      </w:r>
    </w:p>
    <w:p>
      <w:pPr>
        <w:spacing w:after="0" w:line="360" w:lineRule="auto"/>
        <w:jc w:val="both"/>
        <w:rPr>
          <w:rFonts w:ascii="Book Antiqua" w:hAnsi="Book Antiqua"/>
          <w:sz w:val="24"/>
          <w:szCs w:val="24"/>
          <w:highlight w:val="none"/>
          <w:lang w:val="en-US" w:eastAsia="en-US"/>
        </w:rPr>
      </w:pPr>
      <w:r>
        <w:rPr>
          <w:rFonts w:ascii="Book Antiqua" w:hAnsi="Book Antiqua" w:eastAsia="Book Antiqua" w:cs="Book Antiqua"/>
          <w:b/>
          <w:color w:val="000000"/>
          <w:sz w:val="24"/>
          <w:szCs w:val="24"/>
          <w:highlight w:val="none"/>
          <w:lang w:val="en-US" w:eastAsia="en-US"/>
        </w:rPr>
        <w:t xml:space="preserve">Manuscript Type: </w:t>
      </w:r>
      <w:r>
        <w:rPr>
          <w:rFonts w:ascii="Book Antiqua" w:hAnsi="Book Antiqua" w:eastAsia="Book Antiqua" w:cs="Book Antiqua"/>
          <w:color w:val="000000"/>
          <w:sz w:val="24"/>
          <w:szCs w:val="24"/>
          <w:highlight w:val="none"/>
          <w:lang w:val="en-US" w:eastAsia="en-US"/>
        </w:rPr>
        <w:t>REVIEW</w:t>
      </w:r>
    </w:p>
    <w:p>
      <w:pPr>
        <w:spacing w:after="0" w:line="360" w:lineRule="auto"/>
        <w:jc w:val="both"/>
        <w:rPr>
          <w:rFonts w:ascii="Book Antiqua" w:hAnsi="Book Antiqua"/>
          <w:sz w:val="24"/>
          <w:szCs w:val="24"/>
          <w:highlight w:val="none"/>
          <w:lang w:val="en-US" w:eastAsia="en-US"/>
        </w:rPr>
      </w:pPr>
    </w:p>
    <w:p>
      <w:pPr>
        <w:spacing w:after="0" w:line="360" w:lineRule="auto"/>
        <w:jc w:val="both"/>
        <w:rPr>
          <w:rFonts w:ascii="Book Antiqua" w:hAnsi="Book Antiqua"/>
          <w:sz w:val="24"/>
          <w:szCs w:val="24"/>
          <w:highlight w:val="none"/>
          <w:lang w:val="en-US" w:eastAsia="en-US"/>
        </w:rPr>
      </w:pPr>
      <w:r>
        <w:rPr>
          <w:rFonts w:ascii="Book Antiqua" w:hAnsi="Book Antiqua" w:eastAsia="Book Antiqua" w:cs="Book Antiqua"/>
          <w:b/>
          <w:color w:val="000000"/>
          <w:sz w:val="24"/>
          <w:szCs w:val="24"/>
          <w:highlight w:val="none"/>
          <w:lang w:val="en-US" w:eastAsia="en-US"/>
        </w:rPr>
        <w:t xml:space="preserve">Liver involvement in inflammatory bowel disease: </w:t>
      </w:r>
      <w:r>
        <w:rPr>
          <w:rFonts w:ascii="Book Antiqua" w:hAnsi="Book Antiqua" w:cs="Book Antiqua"/>
          <w:b/>
          <w:color w:val="000000"/>
          <w:sz w:val="24"/>
          <w:szCs w:val="24"/>
          <w:highlight w:val="none"/>
          <w:lang w:val="en-US" w:eastAsia="zh-CN"/>
        </w:rPr>
        <w:t>W</w:t>
      </w:r>
      <w:r>
        <w:rPr>
          <w:rFonts w:ascii="Book Antiqua" w:hAnsi="Book Antiqua" w:eastAsia="Book Antiqua" w:cs="Book Antiqua"/>
          <w:b/>
          <w:color w:val="000000"/>
          <w:sz w:val="24"/>
          <w:szCs w:val="24"/>
          <w:highlight w:val="none"/>
          <w:lang w:val="en-US" w:eastAsia="en-US"/>
        </w:rPr>
        <w:t>hat should the clinician know?</w:t>
      </w:r>
    </w:p>
    <w:p>
      <w:pPr>
        <w:spacing w:after="0" w:line="360" w:lineRule="auto"/>
        <w:jc w:val="both"/>
        <w:rPr>
          <w:rFonts w:ascii="Book Antiqua" w:hAnsi="Book Antiqua"/>
          <w:sz w:val="24"/>
          <w:szCs w:val="24"/>
          <w:highlight w:val="none"/>
          <w:lang w:val="en-US" w:eastAsia="en-US"/>
        </w:rPr>
      </w:pPr>
    </w:p>
    <w:p>
      <w:pPr>
        <w:spacing w:after="0" w:line="360" w:lineRule="auto"/>
        <w:jc w:val="both"/>
        <w:rPr>
          <w:rFonts w:ascii="Book Antiqua" w:hAnsi="Book Antiqua"/>
          <w:sz w:val="24"/>
          <w:szCs w:val="24"/>
          <w:highlight w:val="none"/>
          <w:lang w:val="en-US" w:eastAsia="en-US"/>
        </w:rPr>
      </w:pPr>
      <w:r>
        <w:rPr>
          <w:rFonts w:ascii="Book Antiqua" w:hAnsi="Book Antiqua" w:eastAsia="Book Antiqua" w:cs="Book Antiqua"/>
          <w:color w:val="000000"/>
          <w:sz w:val="24"/>
          <w:szCs w:val="24"/>
          <w:highlight w:val="none"/>
          <w:lang w:val="en-US" w:eastAsia="en-US"/>
        </w:rPr>
        <w:t xml:space="preserve">Losurdo </w:t>
      </w:r>
      <w:r>
        <w:rPr>
          <w:rFonts w:ascii="Book Antiqua" w:hAnsi="Book Antiqua" w:cs="Book Antiqua"/>
          <w:color w:val="000000"/>
          <w:sz w:val="24"/>
          <w:szCs w:val="24"/>
          <w:highlight w:val="none"/>
          <w:lang w:val="en-US" w:eastAsia="zh-CN"/>
        </w:rPr>
        <w:t xml:space="preserve">G </w:t>
      </w:r>
      <w:r>
        <w:rPr>
          <w:rFonts w:ascii="Book Antiqua" w:hAnsi="Book Antiqua" w:cs="Book Antiqua"/>
          <w:i/>
          <w:color w:val="000000"/>
          <w:sz w:val="24"/>
          <w:szCs w:val="24"/>
          <w:highlight w:val="none"/>
          <w:lang w:val="en-US" w:eastAsia="zh-CN"/>
        </w:rPr>
        <w:t>et al</w:t>
      </w:r>
      <w:r>
        <w:rPr>
          <w:rFonts w:ascii="Book Antiqua" w:hAnsi="Book Antiqua" w:cs="Book Antiqua"/>
          <w:color w:val="000000"/>
          <w:sz w:val="24"/>
          <w:szCs w:val="24"/>
          <w:highlight w:val="none"/>
          <w:lang w:val="en-US" w:eastAsia="zh-CN"/>
        </w:rPr>
        <w:t xml:space="preserve">. </w:t>
      </w:r>
      <w:r>
        <w:rPr>
          <w:rFonts w:ascii="Book Antiqua" w:hAnsi="Book Antiqua" w:eastAsia="Book Antiqua" w:cs="Book Antiqua"/>
          <w:color w:val="000000"/>
          <w:sz w:val="24"/>
          <w:szCs w:val="24"/>
          <w:highlight w:val="none"/>
          <w:lang w:val="en-US" w:eastAsia="en-US"/>
        </w:rPr>
        <w:t>IBD and the liver</w:t>
      </w:r>
    </w:p>
    <w:p>
      <w:pPr>
        <w:spacing w:after="0" w:line="360" w:lineRule="auto"/>
        <w:jc w:val="both"/>
        <w:rPr>
          <w:rFonts w:ascii="Book Antiqua" w:hAnsi="Book Antiqua"/>
          <w:sz w:val="24"/>
          <w:szCs w:val="24"/>
          <w:highlight w:val="none"/>
          <w:lang w:val="en-US" w:eastAsia="en-US"/>
        </w:rPr>
      </w:pPr>
    </w:p>
    <w:p>
      <w:pPr>
        <w:spacing w:after="0" w:line="360" w:lineRule="auto"/>
        <w:jc w:val="both"/>
        <w:rPr>
          <w:rFonts w:ascii="Book Antiqua" w:hAnsi="Book Antiqua"/>
          <w:sz w:val="24"/>
          <w:szCs w:val="24"/>
          <w:highlight w:val="none"/>
          <w:lang w:eastAsia="en-US"/>
        </w:rPr>
      </w:pPr>
      <w:r>
        <w:rPr>
          <w:rFonts w:ascii="Book Antiqua" w:hAnsi="Book Antiqua" w:eastAsia="Book Antiqua" w:cs="Book Antiqua"/>
          <w:color w:val="000000"/>
          <w:sz w:val="24"/>
          <w:szCs w:val="24"/>
          <w:highlight w:val="none"/>
          <w:lang w:eastAsia="en-US"/>
        </w:rPr>
        <w:t>Giuseppe Losurdo, Irene Vita Brescia, Chiara Lillo, Martino Mezzapesa, Michele Barone, Mariabeatrice Principi, Enzo Ierardi, Alfredo Di Leo, Maria Rendina</w:t>
      </w:r>
    </w:p>
    <w:p>
      <w:pPr>
        <w:spacing w:after="0" w:line="360" w:lineRule="auto"/>
        <w:jc w:val="both"/>
        <w:rPr>
          <w:rFonts w:ascii="Book Antiqua" w:hAnsi="Book Antiqua"/>
          <w:sz w:val="24"/>
          <w:szCs w:val="24"/>
          <w:highlight w:val="none"/>
          <w:lang w:eastAsia="en-US"/>
        </w:rPr>
      </w:pPr>
    </w:p>
    <w:p>
      <w:pPr>
        <w:spacing w:after="0" w:line="360" w:lineRule="auto"/>
        <w:jc w:val="both"/>
        <w:rPr>
          <w:rFonts w:ascii="Book Antiqua" w:hAnsi="Book Antiqua"/>
          <w:sz w:val="24"/>
          <w:szCs w:val="24"/>
          <w:highlight w:val="none"/>
          <w:lang w:eastAsia="en-US"/>
        </w:rPr>
      </w:pPr>
      <w:r>
        <w:rPr>
          <w:rFonts w:ascii="Book Antiqua" w:hAnsi="Book Antiqua" w:eastAsia="Book Antiqua" w:cs="Book Antiqua"/>
          <w:b/>
          <w:bCs/>
          <w:color w:val="000000"/>
          <w:sz w:val="24"/>
          <w:szCs w:val="24"/>
          <w:highlight w:val="none"/>
          <w:lang w:eastAsia="en-US"/>
        </w:rPr>
        <w:t>Giuseppe Losurdo, Irene Vita Brescia, Chiara Lillo, Martino Mezzapesa, Michele Barone, Mariabeatrice Principi, Enzo Ierardi, Alfredo Di Leo, Maria Rendina</w:t>
      </w:r>
      <w:r>
        <w:rPr>
          <w:rFonts w:ascii="Book Antiqua" w:hAnsi="Book Antiqua" w:cs="Book Antiqua"/>
          <w:b/>
          <w:bCs/>
          <w:color w:val="000000"/>
          <w:sz w:val="24"/>
          <w:szCs w:val="24"/>
          <w:highlight w:val="none"/>
          <w:lang w:eastAsia="zh-CN"/>
        </w:rPr>
        <w:t>,</w:t>
      </w:r>
      <w:r>
        <w:rPr>
          <w:rFonts w:ascii="Book Antiqua" w:hAnsi="Book Antiqua" w:eastAsia="Book Antiqua" w:cs="Book Antiqua"/>
          <w:b/>
          <w:bCs/>
          <w:color w:val="000000"/>
          <w:sz w:val="24"/>
          <w:szCs w:val="24"/>
          <w:highlight w:val="none"/>
          <w:lang w:eastAsia="en-US"/>
        </w:rPr>
        <w:t xml:space="preserve"> </w:t>
      </w:r>
      <w:r>
        <w:rPr>
          <w:rFonts w:ascii="Book Antiqua" w:hAnsi="Book Antiqua" w:eastAsia="Book Antiqua" w:cs="Book Antiqua"/>
          <w:color w:val="000000"/>
          <w:sz w:val="24"/>
          <w:szCs w:val="24"/>
          <w:highlight w:val="none"/>
          <w:lang w:eastAsia="en-US"/>
        </w:rPr>
        <w:t>Section of Gastroenterology, Department of Emergency and Organ Transplantation, University of Bari, Bari 70124, Italy</w:t>
      </w:r>
    </w:p>
    <w:p>
      <w:pPr>
        <w:spacing w:after="0" w:line="360" w:lineRule="auto"/>
        <w:jc w:val="both"/>
        <w:rPr>
          <w:rFonts w:ascii="Book Antiqua" w:hAnsi="Book Antiqua"/>
          <w:sz w:val="24"/>
          <w:szCs w:val="24"/>
          <w:highlight w:val="none"/>
          <w:lang w:eastAsia="en-US"/>
        </w:rPr>
      </w:pPr>
    </w:p>
    <w:p>
      <w:pPr>
        <w:spacing w:after="0" w:line="360" w:lineRule="auto"/>
        <w:jc w:val="both"/>
        <w:rPr>
          <w:rFonts w:ascii="Book Antiqua" w:hAnsi="Book Antiqua"/>
          <w:sz w:val="24"/>
          <w:szCs w:val="24"/>
          <w:highlight w:val="none"/>
          <w:lang w:val="en-US" w:eastAsia="en-US"/>
        </w:rPr>
      </w:pPr>
      <w:r>
        <w:rPr>
          <w:rFonts w:ascii="Book Antiqua" w:hAnsi="Book Antiqua" w:eastAsia="Book Antiqua" w:cs="Book Antiqua"/>
          <w:b/>
          <w:bCs/>
          <w:color w:val="000000"/>
          <w:sz w:val="24"/>
          <w:szCs w:val="24"/>
          <w:highlight w:val="none"/>
          <w:lang w:val="en-US" w:eastAsia="en-US"/>
        </w:rPr>
        <w:t xml:space="preserve">Author contributions: </w:t>
      </w:r>
      <w:r>
        <w:rPr>
          <w:rFonts w:ascii="Book Antiqua" w:hAnsi="Book Antiqua" w:eastAsia="Book Antiqua" w:cs="Book Antiqua"/>
          <w:color w:val="000000"/>
          <w:sz w:val="24"/>
          <w:highlight w:val="none"/>
          <w:lang w:val="en-US" w:eastAsia="en-US"/>
        </w:rPr>
        <w:t>Losurdo G, Di Leo A and Rendina M planned the study</w:t>
      </w:r>
      <w:r>
        <w:rPr>
          <w:rFonts w:ascii="Book Antiqua" w:hAnsi="Book Antiqua" w:cs="Book Antiqua"/>
          <w:color w:val="000000"/>
          <w:sz w:val="24"/>
          <w:highlight w:val="none"/>
          <w:lang w:val="en-US" w:eastAsia="zh-CN"/>
        </w:rPr>
        <w:t>;</w:t>
      </w:r>
      <w:r>
        <w:rPr>
          <w:rFonts w:ascii="Book Antiqua" w:hAnsi="Book Antiqua" w:eastAsia="Book Antiqua" w:cs="Book Antiqua"/>
          <w:color w:val="000000"/>
          <w:sz w:val="24"/>
          <w:highlight w:val="none"/>
          <w:lang w:val="en-US" w:eastAsia="en-US"/>
        </w:rPr>
        <w:t xml:space="preserve"> Brescia IV, Losurdo G, Lillo C and Mezzapesa M wrote the text</w:t>
      </w:r>
      <w:r>
        <w:rPr>
          <w:rFonts w:ascii="Book Antiqua" w:hAnsi="Book Antiqua" w:cs="Book Antiqua"/>
          <w:color w:val="000000"/>
          <w:sz w:val="24"/>
          <w:highlight w:val="none"/>
          <w:lang w:val="en-US" w:eastAsia="zh-CN"/>
        </w:rPr>
        <w:t>;</w:t>
      </w:r>
      <w:r>
        <w:rPr>
          <w:rFonts w:ascii="Book Antiqua" w:hAnsi="Book Antiqua" w:eastAsia="Book Antiqua" w:cs="Book Antiqua"/>
          <w:color w:val="000000"/>
          <w:sz w:val="24"/>
          <w:highlight w:val="none"/>
          <w:lang w:val="en-US" w:eastAsia="en-US"/>
        </w:rPr>
        <w:t xml:space="preserve"> Principi M, Barone M and Rendina M critically revised the article</w:t>
      </w:r>
      <w:r>
        <w:rPr>
          <w:rFonts w:ascii="Book Antiqua" w:hAnsi="Book Antiqua" w:cs="Book Antiqua"/>
          <w:color w:val="000000"/>
          <w:sz w:val="24"/>
          <w:highlight w:val="none"/>
          <w:lang w:val="en-US" w:eastAsia="zh-CN"/>
        </w:rPr>
        <w:t>; a</w:t>
      </w:r>
      <w:r>
        <w:rPr>
          <w:rFonts w:ascii="Book Antiqua" w:hAnsi="Book Antiqua" w:eastAsia="Book Antiqua" w:cs="Book Antiqua"/>
          <w:color w:val="000000"/>
          <w:sz w:val="24"/>
          <w:highlight w:val="none"/>
          <w:lang w:val="en-US" w:eastAsia="en-US"/>
        </w:rPr>
        <w:t>ll the authors read and approved the final version of the manuscript.</w:t>
      </w:r>
    </w:p>
    <w:p>
      <w:pPr>
        <w:spacing w:after="0" w:line="360" w:lineRule="auto"/>
        <w:jc w:val="both"/>
        <w:rPr>
          <w:rFonts w:ascii="Book Antiqua" w:hAnsi="Book Antiqua"/>
          <w:sz w:val="24"/>
          <w:szCs w:val="24"/>
          <w:highlight w:val="none"/>
          <w:lang w:val="en-US" w:eastAsia="en-US"/>
        </w:rPr>
      </w:pPr>
    </w:p>
    <w:p>
      <w:pPr>
        <w:spacing w:after="0" w:line="360" w:lineRule="auto"/>
        <w:jc w:val="both"/>
        <w:rPr>
          <w:rFonts w:ascii="Book Antiqua" w:hAnsi="Book Antiqua"/>
          <w:sz w:val="24"/>
          <w:szCs w:val="24"/>
          <w:highlight w:val="none"/>
          <w:lang w:val="en-US" w:eastAsia="en-US"/>
        </w:rPr>
      </w:pPr>
      <w:r>
        <w:rPr>
          <w:rFonts w:ascii="Book Antiqua" w:hAnsi="Book Antiqua" w:eastAsia="Book Antiqua" w:cs="Book Antiqua"/>
          <w:b/>
          <w:bCs/>
          <w:color w:val="000000"/>
          <w:sz w:val="24"/>
          <w:szCs w:val="24"/>
          <w:highlight w:val="none"/>
          <w:lang w:val="en-US" w:eastAsia="en-US"/>
        </w:rPr>
        <w:t xml:space="preserve">Corresponding author: Giuseppe Losurdo, MD, Doctor, </w:t>
      </w:r>
      <w:r>
        <w:rPr>
          <w:rFonts w:ascii="Book Antiqua" w:hAnsi="Book Antiqua" w:eastAsia="Book Antiqua" w:cs="Book Antiqua"/>
          <w:color w:val="000000"/>
          <w:sz w:val="24"/>
          <w:szCs w:val="24"/>
          <w:highlight w:val="none"/>
          <w:lang w:val="en-US" w:eastAsia="en-US"/>
        </w:rPr>
        <w:t>Section of Gastroenterology, Department of Emergency and Organ Transplantation, University of Bari, Pzza Giulio Cesare, Bari 70124, Italy. giuseppelos@alice.it</w:t>
      </w:r>
    </w:p>
    <w:p>
      <w:pPr>
        <w:spacing w:after="0" w:line="360" w:lineRule="auto"/>
        <w:jc w:val="both"/>
        <w:rPr>
          <w:rFonts w:ascii="Book Antiqua" w:hAnsi="Book Antiqua"/>
          <w:sz w:val="24"/>
          <w:szCs w:val="24"/>
          <w:highlight w:val="none"/>
          <w:lang w:val="en-US" w:eastAsia="en-US"/>
        </w:rPr>
      </w:pPr>
    </w:p>
    <w:p>
      <w:pPr>
        <w:spacing w:after="0" w:line="360" w:lineRule="auto"/>
        <w:jc w:val="both"/>
        <w:rPr>
          <w:rFonts w:ascii="Book Antiqua" w:hAnsi="Book Antiqua"/>
          <w:sz w:val="24"/>
          <w:szCs w:val="24"/>
          <w:highlight w:val="none"/>
          <w:lang w:val="en-US" w:eastAsia="en-US"/>
        </w:rPr>
      </w:pPr>
      <w:r>
        <w:rPr>
          <w:rFonts w:ascii="Book Antiqua" w:hAnsi="Book Antiqua" w:eastAsia="Book Antiqua" w:cs="Book Antiqua"/>
          <w:b/>
          <w:bCs/>
          <w:color w:val="000000"/>
          <w:sz w:val="24"/>
          <w:szCs w:val="24"/>
          <w:highlight w:val="none"/>
          <w:lang w:val="en-US" w:eastAsia="en-US"/>
        </w:rPr>
        <w:t xml:space="preserve">Received: </w:t>
      </w:r>
      <w:r>
        <w:rPr>
          <w:rFonts w:ascii="Book Antiqua" w:hAnsi="Book Antiqua" w:eastAsia="Book Antiqua" w:cs="Book Antiqua"/>
          <w:color w:val="000000"/>
          <w:sz w:val="24"/>
          <w:szCs w:val="24"/>
          <w:highlight w:val="none"/>
          <w:lang w:val="en-US" w:eastAsia="en-US"/>
        </w:rPr>
        <w:t>February 25, 2021</w:t>
      </w:r>
    </w:p>
    <w:p>
      <w:pPr>
        <w:spacing w:after="0" w:line="360" w:lineRule="auto"/>
        <w:jc w:val="both"/>
        <w:rPr>
          <w:rFonts w:ascii="Book Antiqua" w:hAnsi="Book Antiqua"/>
          <w:sz w:val="24"/>
          <w:szCs w:val="24"/>
          <w:highlight w:val="none"/>
          <w:lang w:val="en-US" w:eastAsia="en-US"/>
        </w:rPr>
      </w:pPr>
      <w:r>
        <w:rPr>
          <w:rFonts w:ascii="Book Antiqua" w:hAnsi="Book Antiqua" w:eastAsia="Book Antiqua" w:cs="Book Antiqua"/>
          <w:b/>
          <w:bCs/>
          <w:color w:val="000000"/>
          <w:sz w:val="24"/>
          <w:szCs w:val="24"/>
          <w:highlight w:val="none"/>
          <w:lang w:val="en-US" w:eastAsia="en-US"/>
        </w:rPr>
        <w:t xml:space="preserve">Revised: </w:t>
      </w:r>
      <w:r>
        <w:rPr>
          <w:rFonts w:ascii="Book Antiqua" w:hAnsi="Book Antiqua" w:eastAsia="Book Antiqua" w:cs="Book Antiqua"/>
          <w:color w:val="000000"/>
          <w:sz w:val="24"/>
          <w:szCs w:val="24"/>
          <w:highlight w:val="none"/>
          <w:lang w:val="en-US" w:eastAsia="en-US"/>
        </w:rPr>
        <w:t>May 6, 2021</w:t>
      </w:r>
    </w:p>
    <w:p>
      <w:pPr>
        <w:spacing w:after="0" w:line="360" w:lineRule="auto"/>
        <w:jc w:val="both"/>
        <w:rPr>
          <w:rFonts w:ascii="Book Antiqua" w:hAnsi="Book Antiqua" w:eastAsiaTheme="minorEastAsia"/>
          <w:sz w:val="24"/>
          <w:szCs w:val="24"/>
          <w:highlight w:val="none"/>
          <w:lang w:val="en-US" w:eastAsia="zh-CN"/>
        </w:rPr>
      </w:pPr>
      <w:r>
        <w:rPr>
          <w:rFonts w:ascii="Book Antiqua" w:hAnsi="Book Antiqua" w:eastAsia="Book Antiqua" w:cs="Book Antiqua"/>
          <w:b/>
          <w:bCs/>
          <w:color w:val="000000"/>
          <w:sz w:val="24"/>
          <w:szCs w:val="24"/>
          <w:highlight w:val="none"/>
          <w:lang w:val="en-US" w:eastAsia="en-US"/>
        </w:rPr>
        <w:t>Accepted:</w:t>
      </w:r>
      <w:r>
        <w:rPr>
          <w:rFonts w:ascii="Book Antiqua" w:hAnsi="Book Antiqua" w:eastAsia="Book Antiqua" w:cs="Book Antiqua"/>
          <w:bCs/>
          <w:color w:val="000000"/>
          <w:sz w:val="24"/>
          <w:szCs w:val="24"/>
          <w:highlight w:val="none"/>
          <w:lang w:val="en-US" w:eastAsia="en-US"/>
        </w:rPr>
        <w:t xml:space="preserve"> October 11, 2021</w:t>
      </w:r>
    </w:p>
    <w:p>
      <w:pPr>
        <w:spacing w:after="0" w:line="360" w:lineRule="auto"/>
        <w:jc w:val="both"/>
        <w:rPr>
          <w:rFonts w:ascii="Book Antiqua" w:hAnsi="Book Antiqua" w:cs="Book Antiqua" w:eastAsiaTheme="minorEastAsia"/>
          <w:b/>
          <w:bCs/>
          <w:color w:val="000000"/>
          <w:sz w:val="24"/>
          <w:szCs w:val="24"/>
          <w:highlight w:val="none"/>
          <w:lang w:val="en-US" w:eastAsia="zh-CN"/>
        </w:rPr>
      </w:pPr>
      <w:r>
        <w:rPr>
          <w:rFonts w:ascii="Book Antiqua" w:hAnsi="Book Antiqua" w:eastAsia="Book Antiqua" w:cs="Book Antiqua"/>
          <w:b/>
          <w:bCs/>
          <w:color w:val="000000"/>
          <w:sz w:val="24"/>
          <w:szCs w:val="24"/>
          <w:highlight w:val="none"/>
          <w:lang w:val="en-US" w:eastAsia="en-US"/>
        </w:rPr>
        <w:t>Published online:</w:t>
      </w:r>
      <w:r>
        <w:rPr>
          <w:rFonts w:hint="eastAsia" w:ascii="Book Antiqua" w:hAnsi="Book Antiqua" w:cs="Book Antiqua" w:eastAsiaTheme="minorEastAsia"/>
          <w:b/>
          <w:bCs/>
          <w:color w:val="000000"/>
          <w:sz w:val="24"/>
          <w:szCs w:val="24"/>
          <w:highlight w:val="none"/>
          <w:lang w:val="en-US" w:eastAsia="zh-CN"/>
        </w:rPr>
        <w:t xml:space="preserve"> </w:t>
      </w:r>
      <w:r>
        <w:rPr>
          <w:rFonts w:ascii="Book Antiqua" w:hAnsi="Book Antiqua" w:eastAsia="Book Antiqua" w:cs="Book Antiqua"/>
          <w:b w:val="0"/>
          <w:bCs w:val="0"/>
          <w:color w:val="000000" w:themeColor="text1"/>
          <w:sz w:val="24"/>
          <w:szCs w:val="24"/>
          <w:highlight w:val="none"/>
          <w14:textFill>
            <w14:solidFill>
              <w14:schemeClr w14:val="tx1"/>
            </w14:solidFill>
          </w14:textFill>
        </w:rPr>
        <w:t>November 27</w:t>
      </w:r>
      <w:r>
        <w:rPr>
          <w:rFonts w:hint="eastAsia" w:ascii="Book Antiqua" w:hAnsi="Book Antiqua" w:eastAsia="宋体" w:cs="Book Antiqua"/>
          <w:b w:val="0"/>
          <w:bCs w:val="0"/>
          <w:color w:val="000000" w:themeColor="text1"/>
          <w:sz w:val="24"/>
          <w:szCs w:val="24"/>
          <w:highlight w:val="none"/>
          <w:lang w:val="en-US" w:eastAsia="zh-CN"/>
          <w14:textFill>
            <w14:solidFill>
              <w14:schemeClr w14:val="tx1"/>
            </w14:solidFill>
          </w14:textFill>
        </w:rPr>
        <w:t>, 2021</w:t>
      </w:r>
    </w:p>
    <w:p>
      <w:pPr>
        <w:spacing w:after="0" w:line="360" w:lineRule="auto"/>
        <w:jc w:val="both"/>
        <w:rPr>
          <w:rFonts w:ascii="Book Antiqua" w:hAnsi="Book Antiqua"/>
          <w:b/>
          <w:color w:val="000000"/>
          <w:sz w:val="24"/>
          <w:szCs w:val="24"/>
          <w:highlight w:val="none"/>
          <w:lang w:val="en-US"/>
        </w:rPr>
      </w:pPr>
      <w:r>
        <w:rPr>
          <w:rFonts w:ascii="Book Antiqua" w:hAnsi="Book Antiqua"/>
          <w:color w:val="000000"/>
          <w:sz w:val="24"/>
          <w:szCs w:val="24"/>
          <w:highlight w:val="none"/>
          <w:lang w:val="en-US"/>
        </w:rPr>
        <w:br w:type="page"/>
      </w:r>
      <w:r>
        <w:rPr>
          <w:rFonts w:ascii="Book Antiqua" w:hAnsi="Book Antiqua"/>
          <w:b/>
          <w:color w:val="000000"/>
          <w:sz w:val="24"/>
          <w:szCs w:val="24"/>
          <w:highlight w:val="none"/>
          <w:lang w:val="en-US"/>
        </w:rPr>
        <w:t>Abstract</w:t>
      </w:r>
    </w:p>
    <w:p>
      <w:pPr>
        <w:spacing w:after="0" w:line="360" w:lineRule="auto"/>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Inflammatory bowel disease (IBD) may show a wide range of extraintestinal manifestations. In this context, liver involvement is a focal point for both an adequate management of the disease and its prognosis, due to possible serious comorbidity. The association between IBD and primary sclerosing cholangitis</w:t>
      </w:r>
      <w:r>
        <w:rPr>
          <w:rFonts w:hint="eastAsia" w:ascii="Book Antiqua" w:hAnsi="Book Antiqua"/>
          <w:color w:val="000000"/>
          <w:sz w:val="24"/>
          <w:szCs w:val="24"/>
          <w:highlight w:val="none"/>
          <w:lang w:val="en-US" w:eastAsia="zh-CN"/>
        </w:rPr>
        <w:t xml:space="preserve"> </w:t>
      </w:r>
      <w:r>
        <w:rPr>
          <w:rFonts w:ascii="Book Antiqua" w:hAnsi="Book Antiqua"/>
          <w:color w:val="000000"/>
          <w:sz w:val="24"/>
          <w:szCs w:val="24"/>
          <w:highlight w:val="none"/>
          <w:lang w:val="en-US"/>
        </w:rPr>
        <w:t>is the most known example. This association is relevant because it implies an increased risk of both colorectal cancer and cholangiocarcinoma. Additionally, drugs such as thiopurines or biologic agents can cause drug-induced liver damage; therefore, this event should be considered when planning IBD treatment. Additionally, particular consideration should be given to the evidence that IBD patients may have concomitant chronic viral hepatitis, such as hepatitis B</w:t>
      </w:r>
      <w:r>
        <w:rPr>
          <w:rFonts w:hint="eastAsia" w:ascii="Book Antiqua" w:hAnsi="Book Antiqua"/>
          <w:color w:val="000000"/>
          <w:sz w:val="24"/>
          <w:szCs w:val="24"/>
          <w:highlight w:val="none"/>
          <w:lang w:val="en-US" w:eastAsia="zh-CN"/>
        </w:rPr>
        <w:t xml:space="preserve"> </w:t>
      </w:r>
      <w:r>
        <w:rPr>
          <w:rFonts w:ascii="Book Antiqua" w:hAnsi="Book Antiqua"/>
          <w:color w:val="000000"/>
          <w:sz w:val="24"/>
          <w:szCs w:val="24"/>
          <w:highlight w:val="none"/>
          <w:lang w:val="en-US"/>
        </w:rPr>
        <w:t>and hepatitis C. Chronic immunosuppressive regimens may cause a hepatitis flare or reactivation of a healthy carrier state, therefore careful monitoring of these patients is necessary. Finally, the spread of obesity has involved even IBD patients, thus increasing the risk of non-alcoholic fatty liver disease, which has already proven to be more common in IBD patients than in the non-IBD population. This phenomenon is considered an emerging issue, as it will become the leading cause of liver cirrhosis.</w:t>
      </w:r>
    </w:p>
    <w:p>
      <w:pPr>
        <w:spacing w:after="0" w:line="360" w:lineRule="auto"/>
        <w:jc w:val="both"/>
        <w:rPr>
          <w:rFonts w:ascii="Book Antiqua" w:hAnsi="Book Antiqua"/>
          <w:color w:val="000000"/>
          <w:sz w:val="24"/>
          <w:szCs w:val="24"/>
          <w:highlight w:val="none"/>
          <w:lang w:val="en-US"/>
        </w:rPr>
      </w:pPr>
    </w:p>
    <w:p>
      <w:pPr>
        <w:spacing w:after="0" w:line="360" w:lineRule="auto"/>
        <w:jc w:val="both"/>
        <w:rPr>
          <w:rFonts w:ascii="Book Antiqua" w:hAnsi="Book Antiqua"/>
          <w:color w:val="000000"/>
          <w:sz w:val="24"/>
          <w:szCs w:val="24"/>
          <w:highlight w:val="none"/>
          <w:lang w:val="en-US" w:eastAsia="zh-CN"/>
        </w:rPr>
      </w:pPr>
      <w:r>
        <w:rPr>
          <w:rFonts w:ascii="Book Antiqua" w:hAnsi="Book Antiqua"/>
          <w:b/>
          <w:color w:val="000000"/>
          <w:sz w:val="24"/>
          <w:szCs w:val="24"/>
          <w:highlight w:val="none"/>
          <w:lang w:val="en-US"/>
        </w:rPr>
        <w:t>Key Words</w:t>
      </w:r>
      <w:r>
        <w:rPr>
          <w:rFonts w:ascii="Book Antiqua" w:hAnsi="Book Antiqua"/>
          <w:color w:val="000000"/>
          <w:sz w:val="24"/>
          <w:szCs w:val="24"/>
          <w:highlight w:val="none"/>
          <w:lang w:val="en-US"/>
        </w:rPr>
        <w:t>: Inflammatory bowel disease; Liver; Primary sclerosing cholangitis; Viral hepatitis; Immunosuppression; Non-alcoholic fatty liver disease</w:t>
      </w:r>
    </w:p>
    <w:p>
      <w:pPr>
        <w:spacing w:after="0" w:line="360" w:lineRule="auto"/>
        <w:jc w:val="both"/>
        <w:rPr>
          <w:rFonts w:ascii="Book Antiqua" w:hAnsi="Book Antiqua"/>
          <w:color w:val="000000"/>
          <w:sz w:val="24"/>
          <w:szCs w:val="24"/>
          <w:highlight w:val="none"/>
          <w:lang w:val="en-US"/>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after="0" w:line="360" w:lineRule="auto"/>
        <w:jc w:val="both"/>
        <w:rPr>
          <w:rFonts w:ascii="Book Antiqua" w:hAnsi="Book Antiqua"/>
          <w:color w:val="000000"/>
          <w:sz w:val="24"/>
          <w:szCs w:val="24"/>
          <w:highlight w:val="none"/>
          <w:lang w:val="en-US"/>
        </w:rPr>
      </w:pPr>
    </w:p>
    <w:p>
      <w:pPr>
        <w:spacing w:after="0" w:line="360" w:lineRule="auto"/>
        <w:jc w:val="both"/>
        <w:rPr>
          <w:rFonts w:hint="eastAsia" w:ascii="Book Antiqua" w:hAnsi="Book Antiqua"/>
          <w:color w:val="000000"/>
          <w:sz w:val="24"/>
          <w:szCs w:val="24"/>
          <w:highlight w:val="none"/>
          <w:lang w:val="en-US"/>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color w:val="000000"/>
          <w:sz w:val="24"/>
          <w:szCs w:val="24"/>
          <w:highlight w:val="none"/>
          <w:lang w:val="en-US"/>
        </w:rPr>
        <w:t xml:space="preserve">Losurdo G, Brescia IV, Lillo C, Mezzapesa M, Barone M, Principi M, Ierardi E, Di Leo A, Rendina M. Liver involvement in inflammatory bowel disease: What should the clinician know? </w:t>
      </w:r>
      <w:r>
        <w:rPr>
          <w:rFonts w:ascii="Book Antiqua" w:hAnsi="Book Antiqua"/>
          <w:i/>
          <w:iCs/>
          <w:color w:val="000000"/>
          <w:sz w:val="24"/>
          <w:szCs w:val="24"/>
          <w:highlight w:val="none"/>
          <w:lang w:val="en-US"/>
        </w:rPr>
        <w:t>World J Hepatol</w:t>
      </w:r>
      <w:r>
        <w:rPr>
          <w:rFonts w:ascii="Book Antiqua" w:hAnsi="Book Antiqua"/>
          <w:color w:val="000000"/>
          <w:sz w:val="24"/>
          <w:szCs w:val="24"/>
          <w:highlight w:val="none"/>
          <w:lang w:val="en-US"/>
        </w:rPr>
        <w:t xml:space="preserve"> 2021; </w:t>
      </w:r>
      <w:r>
        <w:rPr>
          <w:rFonts w:hint="eastAsia" w:ascii="Book Antiqua" w:hAnsi="Book Antiqua"/>
          <w:color w:val="000000"/>
          <w:sz w:val="24"/>
          <w:szCs w:val="24"/>
          <w:highlight w:val="none"/>
          <w:lang w:val="en-US"/>
        </w:rPr>
        <w:t>13(1</w:t>
      </w:r>
      <w:r>
        <w:rPr>
          <w:rFonts w:hint="eastAsia" w:ascii="Book Antiqua" w:hAnsi="Book Antiqua"/>
          <w:color w:val="000000"/>
          <w:sz w:val="24"/>
          <w:szCs w:val="24"/>
          <w:highlight w:val="none"/>
          <w:lang w:val="en-US" w:eastAsia="zh-CN"/>
        </w:rPr>
        <w:t>1</w:t>
      </w:r>
      <w:r>
        <w:rPr>
          <w:rFonts w:hint="eastAsia" w:ascii="Book Antiqua" w:hAnsi="Book Antiqua"/>
          <w:color w:val="000000"/>
          <w:sz w:val="24"/>
          <w:szCs w:val="24"/>
          <w:highlight w:val="none"/>
          <w:lang w:val="en-US"/>
        </w:rPr>
        <w:t xml:space="preserve">): </w:t>
      </w:r>
      <w:r>
        <w:rPr>
          <w:rFonts w:hint="default" w:ascii="Book Antiqua" w:hAnsi="Book Antiqua" w:eastAsia="Book Antiqua" w:cs="Book Antiqua"/>
          <w:i w:val="0"/>
          <w:iCs w:val="0"/>
          <w:color w:val="000000"/>
          <w:kern w:val="0"/>
          <w:sz w:val="24"/>
          <w:szCs w:val="24"/>
          <w:u w:val="none"/>
          <w:lang w:val="en-US" w:eastAsia="zh-CN" w:bidi="ar"/>
        </w:rPr>
        <w:t>1534-1551</w:t>
      </w:r>
    </w:p>
    <w:p>
      <w:pPr>
        <w:spacing w:after="0" w:line="360" w:lineRule="auto"/>
        <w:jc w:val="both"/>
        <w:rPr>
          <w:rFonts w:hint="eastAsia" w:ascii="Book Antiqua" w:hAnsi="Book Antiqua"/>
          <w:color w:val="000000"/>
          <w:sz w:val="24"/>
          <w:szCs w:val="24"/>
          <w:highlight w:val="none"/>
          <w:lang w:val="en-US"/>
        </w:rPr>
      </w:pPr>
      <w:r>
        <w:rPr>
          <w:rFonts w:hint="eastAsia" w:ascii="Book Antiqua" w:hAnsi="Book Antiqua"/>
          <w:b/>
          <w:bCs/>
          <w:color w:val="000000"/>
          <w:sz w:val="24"/>
          <w:szCs w:val="24"/>
          <w:highlight w:val="none"/>
          <w:lang w:val="en-US"/>
        </w:rPr>
        <w:t>URL:</w:t>
      </w:r>
      <w:r>
        <w:rPr>
          <w:rFonts w:hint="eastAsia" w:ascii="Book Antiqua" w:hAnsi="Book Antiqua"/>
          <w:color w:val="000000"/>
          <w:sz w:val="24"/>
          <w:szCs w:val="24"/>
          <w:highlight w:val="none"/>
          <w:lang w:val="en-US"/>
        </w:rPr>
        <w:t xml:space="preserve"> https://www.wjgnet.com/1948-5182/full/v13/i1</w:t>
      </w:r>
      <w:r>
        <w:rPr>
          <w:rFonts w:hint="eastAsia" w:ascii="Book Antiqua" w:hAnsi="Book Antiqua"/>
          <w:color w:val="000000"/>
          <w:sz w:val="24"/>
          <w:szCs w:val="24"/>
          <w:highlight w:val="none"/>
          <w:lang w:val="en-US" w:eastAsia="zh-CN"/>
        </w:rPr>
        <w:t>1</w:t>
      </w:r>
      <w:r>
        <w:rPr>
          <w:rFonts w:hint="eastAsia" w:ascii="Book Antiqua" w:hAnsi="Book Antiqua"/>
          <w:color w:val="000000"/>
          <w:sz w:val="24"/>
          <w:szCs w:val="24"/>
          <w:highlight w:val="none"/>
          <w:lang w:val="en-US"/>
        </w:rPr>
        <w:t>/</w:t>
      </w:r>
      <w:r>
        <w:rPr>
          <w:rFonts w:hint="default" w:ascii="Book Antiqua" w:hAnsi="Book Antiqua" w:eastAsia="Book Antiqua" w:cs="Book Antiqua"/>
          <w:i w:val="0"/>
          <w:iCs w:val="0"/>
          <w:color w:val="000000"/>
          <w:kern w:val="0"/>
          <w:sz w:val="24"/>
          <w:szCs w:val="24"/>
          <w:u w:val="none"/>
          <w:lang w:val="en-US" w:eastAsia="zh-CN" w:bidi="ar"/>
        </w:rPr>
        <w:t>1534</w:t>
      </w:r>
      <w:r>
        <w:rPr>
          <w:rFonts w:hint="eastAsia" w:ascii="Book Antiqua" w:hAnsi="Book Antiqua"/>
          <w:color w:val="000000"/>
          <w:sz w:val="24"/>
          <w:szCs w:val="24"/>
          <w:highlight w:val="none"/>
          <w:lang w:val="en-US"/>
        </w:rPr>
        <w:t xml:space="preserve">.htm </w:t>
      </w:r>
    </w:p>
    <w:p>
      <w:pPr>
        <w:spacing w:after="0" w:line="360" w:lineRule="auto"/>
        <w:jc w:val="both"/>
        <w:rPr>
          <w:rFonts w:ascii="Book Antiqua" w:hAnsi="Book Antiqua"/>
          <w:color w:val="000000"/>
          <w:sz w:val="24"/>
          <w:szCs w:val="24"/>
          <w:highlight w:val="none"/>
          <w:lang w:val="en-US"/>
        </w:rPr>
      </w:pPr>
      <w:r>
        <w:rPr>
          <w:rFonts w:hint="eastAsia" w:ascii="Book Antiqua" w:hAnsi="Book Antiqua"/>
          <w:b/>
          <w:bCs/>
          <w:color w:val="000000"/>
          <w:sz w:val="24"/>
          <w:szCs w:val="24"/>
          <w:highlight w:val="none"/>
          <w:lang w:val="en-US"/>
        </w:rPr>
        <w:t>DOI:</w:t>
      </w:r>
      <w:r>
        <w:rPr>
          <w:rFonts w:hint="eastAsia" w:ascii="Book Antiqua" w:hAnsi="Book Antiqua"/>
          <w:color w:val="000000"/>
          <w:sz w:val="24"/>
          <w:szCs w:val="24"/>
          <w:highlight w:val="none"/>
          <w:lang w:val="en-US"/>
        </w:rPr>
        <w:t xml:space="preserve"> https://dx.doi.org/10.4254/wjh.v13.i1</w:t>
      </w:r>
      <w:r>
        <w:rPr>
          <w:rFonts w:hint="eastAsia" w:ascii="Book Antiqua" w:hAnsi="Book Antiqua"/>
          <w:color w:val="000000"/>
          <w:sz w:val="24"/>
          <w:szCs w:val="24"/>
          <w:highlight w:val="none"/>
          <w:lang w:val="en-US" w:eastAsia="zh-CN"/>
        </w:rPr>
        <w:t>1</w:t>
      </w:r>
      <w:r>
        <w:rPr>
          <w:rFonts w:hint="eastAsia" w:ascii="Book Antiqua" w:hAnsi="Book Antiqua"/>
          <w:color w:val="000000"/>
          <w:sz w:val="24"/>
          <w:szCs w:val="24"/>
          <w:highlight w:val="none"/>
          <w:lang w:val="en-US"/>
        </w:rPr>
        <w:t>.</w:t>
      </w:r>
      <w:r>
        <w:rPr>
          <w:rFonts w:hint="default" w:ascii="Book Antiqua" w:hAnsi="Book Antiqua" w:eastAsia="Book Antiqua" w:cs="Book Antiqua"/>
          <w:i w:val="0"/>
          <w:iCs w:val="0"/>
          <w:color w:val="000000"/>
          <w:kern w:val="0"/>
          <w:sz w:val="24"/>
          <w:szCs w:val="24"/>
          <w:u w:val="none"/>
          <w:lang w:val="en-US" w:eastAsia="zh-CN" w:bidi="ar"/>
        </w:rPr>
        <w:t>1534</w:t>
      </w:r>
    </w:p>
    <w:p>
      <w:pPr>
        <w:spacing w:after="0" w:line="360" w:lineRule="auto"/>
        <w:jc w:val="both"/>
        <w:rPr>
          <w:rFonts w:ascii="Book Antiqua" w:hAnsi="Book Antiqua"/>
          <w:color w:val="000000"/>
          <w:sz w:val="24"/>
          <w:szCs w:val="24"/>
          <w:highlight w:val="none"/>
          <w:lang w:val="en-US"/>
        </w:rPr>
      </w:pPr>
    </w:p>
    <w:p>
      <w:pPr>
        <w:spacing w:after="0" w:line="360" w:lineRule="auto"/>
        <w:jc w:val="both"/>
        <w:rPr>
          <w:rFonts w:ascii="Book Antiqua" w:hAnsi="Book Antiqua"/>
          <w:color w:val="000000"/>
          <w:sz w:val="24"/>
          <w:szCs w:val="24"/>
          <w:highlight w:val="none"/>
          <w:lang w:val="en-US"/>
        </w:rPr>
      </w:pPr>
      <w:r>
        <w:rPr>
          <w:rFonts w:ascii="Book Antiqua" w:hAnsi="Book Antiqua"/>
          <w:b/>
          <w:color w:val="000000"/>
          <w:sz w:val="24"/>
          <w:szCs w:val="24"/>
          <w:highlight w:val="none"/>
          <w:lang w:val="en-US"/>
        </w:rPr>
        <w:t xml:space="preserve">Core </w:t>
      </w:r>
      <w:r>
        <w:rPr>
          <w:rFonts w:hint="eastAsia" w:ascii="Book Antiqua" w:hAnsi="Book Antiqua"/>
          <w:b/>
          <w:color w:val="000000"/>
          <w:sz w:val="24"/>
          <w:szCs w:val="24"/>
          <w:highlight w:val="none"/>
          <w:lang w:val="en-US" w:eastAsia="zh-CN"/>
        </w:rPr>
        <w:t>T</w:t>
      </w:r>
      <w:r>
        <w:rPr>
          <w:rFonts w:ascii="Book Antiqua" w:hAnsi="Book Antiqua"/>
          <w:b/>
          <w:color w:val="000000"/>
          <w:sz w:val="24"/>
          <w:szCs w:val="24"/>
          <w:highlight w:val="none"/>
          <w:lang w:val="en-US"/>
        </w:rPr>
        <w:t xml:space="preserve">ip: </w:t>
      </w:r>
      <w:r>
        <w:rPr>
          <w:rFonts w:ascii="Book Antiqua" w:hAnsi="Book Antiqua"/>
          <w:color w:val="000000"/>
          <w:sz w:val="24"/>
          <w:szCs w:val="24"/>
          <w:highlight w:val="none"/>
          <w:lang w:val="en-US"/>
        </w:rPr>
        <w:t>In the present article, several aspects of liver involvement of inflammatory bowel disease (IBD) have been highlighted. Co-occurrence of primary sclerosing cholangitis is one of the most well-known comorbidities and deserves more attention by the clinician. Liver damage due to drugs used to cure IBD is also a relevant issue. Finally, some emerging topics such as the spread of liver steatosis or the implications of chronic viral hepatitis have been analyzed.</w:t>
      </w:r>
    </w:p>
    <w:p>
      <w:pPr>
        <w:spacing w:after="0" w:line="360" w:lineRule="auto"/>
        <w:jc w:val="both"/>
        <w:rPr>
          <w:rFonts w:ascii="Book Antiqua" w:hAnsi="Book Antiqua"/>
          <w:b/>
          <w:color w:val="000000"/>
          <w:sz w:val="24"/>
          <w:szCs w:val="24"/>
          <w:highlight w:val="none"/>
          <w:u w:val="single"/>
          <w:lang w:val="en-US"/>
        </w:rPr>
      </w:pPr>
      <w:r>
        <w:rPr>
          <w:rFonts w:ascii="Book Antiqua" w:hAnsi="Book Antiqua"/>
          <w:color w:val="000000"/>
          <w:sz w:val="24"/>
          <w:szCs w:val="24"/>
          <w:highlight w:val="none"/>
          <w:lang w:val="en-US"/>
        </w:rPr>
        <w:br w:type="page"/>
      </w:r>
      <w:r>
        <w:rPr>
          <w:rFonts w:ascii="Book Antiqua" w:hAnsi="Book Antiqua"/>
          <w:b/>
          <w:color w:val="000000"/>
          <w:sz w:val="24"/>
          <w:szCs w:val="24"/>
          <w:highlight w:val="none"/>
          <w:u w:val="single"/>
          <w:lang w:val="en-US"/>
        </w:rPr>
        <w:t>INTRODUCTION</w:t>
      </w:r>
    </w:p>
    <w:p>
      <w:pPr>
        <w:spacing w:after="0" w:line="360" w:lineRule="auto"/>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Inflammatory bowel disease (IBD) consists of two separate disease entities, ulcerative colitis (UC) and Crohn’s disease (CD), affecting the gastrointestinal tract</w:t>
      </w:r>
      <w:r>
        <w:rPr>
          <w:rFonts w:ascii="Book Antiqua" w:hAnsi="Book Antiqua"/>
          <w:color w:val="000000"/>
          <w:sz w:val="24"/>
          <w:szCs w:val="24"/>
          <w:highlight w:val="none"/>
          <w:vertAlign w:val="superscript"/>
          <w:lang w:val="en-US"/>
        </w:rPr>
        <w:t>[1].</w:t>
      </w:r>
      <w:r>
        <w:rPr>
          <w:rFonts w:ascii="Book Antiqua" w:hAnsi="Book Antiqua"/>
          <w:color w:val="000000"/>
          <w:sz w:val="24"/>
          <w:szCs w:val="24"/>
          <w:highlight w:val="none"/>
          <w:lang w:val="en-US"/>
        </w:rPr>
        <w:t xml:space="preserve"> However, IBD does not exclusively affect the gut. The gut-liver axis refers to the bidirectional relationship between the gut and its microbiota, and the liver, resulting from the integration of signals generated by dietary, genetic and environmental factors</w:t>
      </w:r>
      <w:r>
        <w:rPr>
          <w:rFonts w:ascii="Book Antiqua" w:hAnsi="Book Antiqua"/>
          <w:color w:val="000000"/>
          <w:sz w:val="24"/>
          <w:szCs w:val="24"/>
          <w:highlight w:val="none"/>
          <w:vertAlign w:val="superscript"/>
          <w:lang w:val="en-US"/>
        </w:rPr>
        <w:t>[2]</w:t>
      </w:r>
      <w:r>
        <w:rPr>
          <w:rFonts w:ascii="Book Antiqua" w:hAnsi="Book Antiqua"/>
          <w:color w:val="000000"/>
          <w:sz w:val="24"/>
          <w:szCs w:val="24"/>
          <w:highlight w:val="none"/>
          <w:lang w:val="en-US"/>
        </w:rPr>
        <w:t>. Therefore, a perturbation of this axis may mirror pathologic conditions both in the gut and the liver. Based on this consideration, the relationships between IBD and liver disorders are noteworthy and should always be considered by the clinician. The association between IBD and primary sclerosing cholangitis (PSC) is the most known and studied model, as it has several implications, the most important ones are the increased risk of both colorectal cancer and cholangiocarcinoma. Additionally, hepatotoxicity due to drugs such as thiopurines or biologic drugs is a relevant issue that should also be taken into account when planning IBD treatment</w:t>
      </w:r>
      <w:r>
        <w:rPr>
          <w:rFonts w:ascii="Book Antiqua" w:hAnsi="Book Antiqua"/>
          <w:color w:val="000000"/>
          <w:sz w:val="24"/>
          <w:szCs w:val="24"/>
          <w:highlight w:val="none"/>
          <w:vertAlign w:val="superscript"/>
          <w:lang w:val="en-US"/>
        </w:rPr>
        <w:t>[3]</w:t>
      </w:r>
      <w:r>
        <w:rPr>
          <w:rFonts w:ascii="Book Antiqua" w:hAnsi="Book Antiqua"/>
          <w:color w:val="000000"/>
          <w:sz w:val="24"/>
          <w:szCs w:val="24"/>
          <w:highlight w:val="none"/>
          <w:lang w:val="en-US"/>
        </w:rPr>
        <w:t>. It should not be forgotten that IBD patients may have concomitant chronic viral hepatitis, such as hepatitis B (HBV) and hepatitis C (HCV)</w:t>
      </w:r>
      <w:r>
        <w:rPr>
          <w:rFonts w:ascii="Book Antiqua" w:hAnsi="Book Antiqua"/>
          <w:color w:val="000000"/>
          <w:sz w:val="24"/>
          <w:szCs w:val="24"/>
          <w:highlight w:val="none"/>
          <w:vertAlign w:val="superscript"/>
          <w:lang w:val="en-US"/>
        </w:rPr>
        <w:t>[3]</w:t>
      </w:r>
      <w:r>
        <w:rPr>
          <w:rFonts w:ascii="Book Antiqua" w:hAnsi="Book Antiqua"/>
          <w:color w:val="000000"/>
          <w:sz w:val="24"/>
          <w:szCs w:val="24"/>
          <w:highlight w:val="none"/>
          <w:lang w:val="en-US"/>
        </w:rPr>
        <w:t>. Chronic immunosuppressive regimens may cause a hepatitis flare or reactivation of a healthy carrier state; therefore, careful monitoring of these patients is necessary. Finally, the obesity epidemic has involved even IBD patients, thus increasing the risk of non-alcoholic fatty liver disease (NAFLD), which has already proven to be higher than the control population in IBD patients</w:t>
      </w:r>
      <w:r>
        <w:rPr>
          <w:rFonts w:ascii="Book Antiqua" w:hAnsi="Book Antiqua"/>
          <w:color w:val="000000"/>
          <w:sz w:val="24"/>
          <w:szCs w:val="24"/>
          <w:highlight w:val="none"/>
          <w:vertAlign w:val="superscript"/>
          <w:lang w:val="en-US"/>
        </w:rPr>
        <w:t>[3]</w:t>
      </w:r>
      <w:r>
        <w:rPr>
          <w:rFonts w:ascii="Book Antiqua" w:hAnsi="Book Antiqua"/>
          <w:color w:val="000000"/>
          <w:sz w:val="24"/>
          <w:szCs w:val="24"/>
          <w:highlight w:val="none"/>
          <w:lang w:val="en-US"/>
        </w:rPr>
        <w:t>. This phenomenon is considered an emerging issue, as it will become the leading cause of liver cirrhosis.</w:t>
      </w:r>
    </w:p>
    <w:p>
      <w:pPr>
        <w:spacing w:after="0" w:line="360" w:lineRule="auto"/>
        <w:ind w:firstLine="480" w:firstLineChars="200"/>
        <w:jc w:val="both"/>
        <w:rPr>
          <w:rFonts w:ascii="Book Antiqua" w:hAnsi="Book Antiqua"/>
          <w:color w:val="000000"/>
          <w:sz w:val="24"/>
          <w:szCs w:val="24"/>
          <w:highlight w:val="none"/>
          <w:lang w:val="en-US" w:eastAsia="zh-CN"/>
        </w:rPr>
      </w:pPr>
      <w:r>
        <w:rPr>
          <w:rFonts w:ascii="Book Antiqua" w:hAnsi="Book Antiqua"/>
          <w:color w:val="000000"/>
          <w:sz w:val="24"/>
          <w:szCs w:val="24"/>
          <w:highlight w:val="none"/>
          <w:lang w:val="en-US"/>
        </w:rPr>
        <w:t>Therefore, we aimed to perform a narrative review describing the main interactions between IBD and corresponding liver involvement, with a particular focus on PSC and other autoimmune liver disorders, drug-induced hepatitis, HBV, HCV and NAFLD (Table 1).</w:t>
      </w:r>
    </w:p>
    <w:p>
      <w:pPr>
        <w:spacing w:after="0" w:line="360" w:lineRule="auto"/>
        <w:jc w:val="both"/>
        <w:rPr>
          <w:rFonts w:ascii="Book Antiqua" w:hAnsi="Book Antiqua"/>
          <w:color w:val="000000"/>
          <w:sz w:val="24"/>
          <w:szCs w:val="24"/>
          <w:highlight w:val="none"/>
          <w:lang w:val="en-US" w:eastAsia="zh-CN"/>
        </w:rPr>
      </w:pPr>
    </w:p>
    <w:p>
      <w:pPr>
        <w:spacing w:after="0" w:line="360" w:lineRule="auto"/>
        <w:jc w:val="both"/>
        <w:rPr>
          <w:rFonts w:ascii="Book Antiqua" w:hAnsi="Book Antiqua"/>
          <w:b/>
          <w:bCs/>
          <w:color w:val="000000"/>
          <w:sz w:val="24"/>
          <w:szCs w:val="24"/>
          <w:highlight w:val="none"/>
          <w:u w:val="single"/>
          <w:lang w:val="en-US"/>
        </w:rPr>
      </w:pPr>
      <w:r>
        <w:rPr>
          <w:rFonts w:ascii="Book Antiqua" w:hAnsi="Book Antiqua"/>
          <w:b/>
          <w:bCs/>
          <w:color w:val="000000"/>
          <w:sz w:val="24"/>
          <w:szCs w:val="24"/>
          <w:highlight w:val="none"/>
          <w:u w:val="single"/>
          <w:lang w:val="en-US"/>
        </w:rPr>
        <w:t>IBD AND PRIMARY SCLEROSING CHOLANGITIS</w:t>
      </w:r>
    </w:p>
    <w:p>
      <w:pPr>
        <w:spacing w:after="0" w:line="360" w:lineRule="auto"/>
        <w:jc w:val="both"/>
        <w:rPr>
          <w:rFonts w:ascii="Book Antiqua" w:hAnsi="Book Antiqua"/>
          <w:color w:val="000000"/>
          <w:sz w:val="24"/>
          <w:szCs w:val="24"/>
          <w:highlight w:val="none"/>
          <w:lang w:val="en-US" w:eastAsia="zh-CN"/>
        </w:rPr>
      </w:pPr>
      <w:r>
        <w:rPr>
          <w:rFonts w:ascii="Book Antiqua" w:hAnsi="Book Antiqua"/>
          <w:color w:val="000000"/>
          <w:sz w:val="24"/>
          <w:szCs w:val="24"/>
          <w:highlight w:val="none"/>
          <w:lang w:val="en-US"/>
        </w:rPr>
        <w:t>IBD and PSC are two pathologic entities that can occur alone or in combination. In this case they create a phenotypically different disease known as PSC-IBD. PSC-IBD prevalence is uncertain and differs in several studies, but it is agreed that it is very low (0.024%-0.041%)</w:t>
      </w:r>
      <w:r>
        <w:rPr>
          <w:rFonts w:ascii="Book Antiqua" w:hAnsi="Book Antiqua"/>
          <w:color w:val="000000"/>
          <w:sz w:val="24"/>
          <w:szCs w:val="24"/>
          <w:highlight w:val="none"/>
          <w:vertAlign w:val="superscript"/>
          <w:lang w:val="en-US"/>
        </w:rPr>
        <w:t>[4-6]</w:t>
      </w:r>
      <w:r>
        <w:rPr>
          <w:rFonts w:ascii="Book Antiqua" w:hAnsi="Book Antiqua"/>
          <w:color w:val="000000"/>
          <w:sz w:val="24"/>
          <w:szCs w:val="24"/>
          <w:highlight w:val="none"/>
          <w:lang w:val="en-US"/>
        </w:rPr>
        <w:t>. PSC and IBD may occur simultaneously or sequentially. Indeed, PSC patients develop IBD in 20%-70% of cases, with a stronger association with UC (80%) than with CD (10%) and indeterminate colitis (IC) (10%)</w:t>
      </w:r>
      <w:r>
        <w:rPr>
          <w:rFonts w:ascii="Book Antiqua" w:hAnsi="Book Antiqua"/>
          <w:color w:val="000000"/>
          <w:sz w:val="24"/>
          <w:szCs w:val="24"/>
          <w:highlight w:val="none"/>
          <w:vertAlign w:val="superscript"/>
          <w:lang w:val="en-US"/>
        </w:rPr>
        <w:t>[7]</w:t>
      </w:r>
      <w:r>
        <w:rPr>
          <w:rFonts w:ascii="Book Antiqua" w:hAnsi="Book Antiqua"/>
          <w:color w:val="000000"/>
          <w:sz w:val="24"/>
          <w:szCs w:val="24"/>
          <w:highlight w:val="none"/>
          <w:lang w:val="en-US"/>
        </w:rPr>
        <w:t>. Conversely only 5% of patients with UC show concomitant PSC.</w:t>
      </w:r>
    </w:p>
    <w:p>
      <w:pPr>
        <w:spacing w:after="0" w:line="360" w:lineRule="auto"/>
        <w:jc w:val="both"/>
        <w:rPr>
          <w:rFonts w:ascii="Book Antiqua" w:hAnsi="Book Antiqua"/>
          <w:color w:val="000000"/>
          <w:sz w:val="24"/>
          <w:szCs w:val="24"/>
          <w:highlight w:val="none"/>
          <w:lang w:val="en-US" w:eastAsia="zh-CN"/>
        </w:rPr>
      </w:pPr>
    </w:p>
    <w:p>
      <w:pPr>
        <w:spacing w:after="0" w:line="360" w:lineRule="auto"/>
        <w:jc w:val="both"/>
        <w:rPr>
          <w:rFonts w:ascii="Book Antiqua" w:hAnsi="Book Antiqua"/>
          <w:b/>
          <w:i/>
          <w:iCs/>
          <w:color w:val="000000"/>
          <w:sz w:val="24"/>
          <w:szCs w:val="24"/>
          <w:highlight w:val="none"/>
          <w:lang w:val="en-US"/>
        </w:rPr>
      </w:pPr>
      <w:r>
        <w:rPr>
          <w:rFonts w:ascii="Book Antiqua" w:hAnsi="Book Antiqua"/>
          <w:b/>
          <w:i/>
          <w:iCs/>
          <w:color w:val="000000"/>
          <w:sz w:val="24"/>
          <w:szCs w:val="24"/>
          <w:highlight w:val="none"/>
          <w:lang w:val="en-US"/>
        </w:rPr>
        <w:t>Primary Sclerosing Cholangitis and Ulcerative Colitis</w:t>
      </w:r>
    </w:p>
    <w:p>
      <w:pPr>
        <w:spacing w:after="0" w:line="360" w:lineRule="auto"/>
        <w:jc w:val="both"/>
        <w:rPr>
          <w:rFonts w:ascii="Book Antiqua" w:hAnsi="Book Antiqua"/>
          <w:color w:val="000000"/>
          <w:sz w:val="24"/>
          <w:szCs w:val="24"/>
          <w:highlight w:val="none"/>
          <w:lang w:val="en-US" w:eastAsia="zh-CN"/>
        </w:rPr>
      </w:pPr>
      <w:r>
        <w:rPr>
          <w:rFonts w:ascii="Book Antiqua" w:hAnsi="Book Antiqua"/>
          <w:color w:val="000000"/>
          <w:sz w:val="24"/>
          <w:szCs w:val="24"/>
          <w:highlight w:val="none"/>
          <w:lang w:val="en-US"/>
        </w:rPr>
        <w:t>UC represents the underlying IBD in most cases of PSC-IBD. In patients with PSC and UC (PSC-UC), UC characteristically tends to be mild, quiescent and may even appear endoscopically normal (in this case, the diagnosis is based simply on histological analysis)</w:t>
      </w:r>
      <w:r>
        <w:rPr>
          <w:rFonts w:ascii="Book Antiqua" w:hAnsi="Book Antiqua"/>
          <w:color w:val="000000"/>
          <w:sz w:val="24"/>
          <w:szCs w:val="24"/>
          <w:highlight w:val="none"/>
          <w:vertAlign w:val="superscript"/>
          <w:lang w:val="en-US"/>
        </w:rPr>
        <w:t>[8]</w:t>
      </w:r>
      <w:r>
        <w:rPr>
          <w:rFonts w:ascii="Book Antiqua" w:hAnsi="Book Antiqua"/>
          <w:color w:val="000000"/>
          <w:sz w:val="24"/>
          <w:szCs w:val="24"/>
          <w:highlight w:val="none"/>
          <w:lang w:val="en-US"/>
        </w:rPr>
        <w:t>. Therefore, random biopsies during the first colonoscopy should always be performed to reveal an underlying UC in patients with PSC. Similarly, PSC may be underdiagnosed in patients with UC, as it can be asymptomatic. Thus, liver function tests, including cholestatic and hepatocellular damage markers, should always be recommended in the follow-up of UC. If a patient with UC is found to have hepatocellular injury or a cholestatic pattern, magnetic resonance cholangiopancreatography (MRCP) should be performed to confirm the diagnosis</w:t>
      </w:r>
      <w:r>
        <w:rPr>
          <w:rFonts w:ascii="Book Antiqua" w:hAnsi="Book Antiqua"/>
          <w:color w:val="000000"/>
          <w:sz w:val="24"/>
          <w:szCs w:val="24"/>
          <w:highlight w:val="none"/>
          <w:vertAlign w:val="superscript"/>
          <w:lang w:val="en-US"/>
        </w:rPr>
        <w:t>[9]</w:t>
      </w:r>
      <w:r>
        <w:rPr>
          <w:rFonts w:ascii="Book Antiqua" w:hAnsi="Book Antiqua"/>
          <w:color w:val="000000"/>
          <w:sz w:val="24"/>
          <w:szCs w:val="24"/>
          <w:highlight w:val="none"/>
          <w:lang w:val="en-US"/>
        </w:rPr>
        <w:t>. The onset of the two disorders may vary. Typically, UC occurs first, with a median time interval of 10 years</w:t>
      </w:r>
      <w:r>
        <w:rPr>
          <w:rFonts w:ascii="Book Antiqua" w:hAnsi="Book Antiqua"/>
          <w:color w:val="000000"/>
          <w:sz w:val="24"/>
          <w:szCs w:val="24"/>
          <w:highlight w:val="none"/>
          <w:vertAlign w:val="superscript"/>
          <w:lang w:val="en-US"/>
        </w:rPr>
        <w:t>[10]</w:t>
      </w:r>
      <w:r>
        <w:rPr>
          <w:rFonts w:ascii="Book Antiqua" w:hAnsi="Book Antiqua"/>
          <w:color w:val="000000"/>
          <w:sz w:val="24"/>
          <w:szCs w:val="24"/>
          <w:highlight w:val="none"/>
          <w:lang w:val="en-US"/>
        </w:rPr>
        <w:t>. Nevertheless, in a minority of cases, UC may appear some years after the diagnosis of PSC, even after orthotopic liver transplantation</w:t>
      </w:r>
      <w:r>
        <w:rPr>
          <w:rFonts w:ascii="Book Antiqua" w:hAnsi="Book Antiqua"/>
          <w:color w:val="000000"/>
          <w:sz w:val="24"/>
          <w:szCs w:val="24"/>
          <w:highlight w:val="none"/>
          <w:vertAlign w:val="superscript"/>
          <w:lang w:val="en-US"/>
        </w:rPr>
        <w:t>[11]</w:t>
      </w:r>
      <w:r>
        <w:rPr>
          <w:rFonts w:ascii="Book Antiqua" w:hAnsi="Book Antiqua"/>
          <w:color w:val="000000"/>
          <w:sz w:val="24"/>
          <w:szCs w:val="24"/>
          <w:highlight w:val="none"/>
          <w:lang w:val="en-US"/>
        </w:rPr>
        <w:t>. The degree and the extension of colorectal inflammation in PSC-UC differ from UC alone. Indeed, the incidence of pancolitis appears increased in PSC-UC patients when compared with UC-only patients, as shown by Boonstra</w:t>
      </w:r>
      <w:r>
        <w:rPr>
          <w:rFonts w:ascii="Book Antiqua" w:hAnsi="Book Antiqua"/>
          <w:i/>
          <w:color w:val="000000"/>
          <w:sz w:val="24"/>
          <w:szCs w:val="24"/>
          <w:highlight w:val="none"/>
          <w:lang w:val="en-US"/>
        </w:rPr>
        <w:t xml:space="preserve"> et al</w:t>
      </w:r>
      <w:r>
        <w:rPr>
          <w:rFonts w:ascii="Book Antiqua" w:hAnsi="Book Antiqua"/>
          <w:color w:val="000000"/>
          <w:sz w:val="24"/>
          <w:szCs w:val="24"/>
          <w:highlight w:val="none"/>
          <w:vertAlign w:val="superscript"/>
          <w:lang w:val="en-US"/>
        </w:rPr>
        <w:t>[12]</w:t>
      </w:r>
      <w:r>
        <w:rPr>
          <w:rFonts w:ascii="Book Antiqua" w:hAnsi="Book Antiqua"/>
          <w:color w:val="000000"/>
          <w:sz w:val="24"/>
          <w:szCs w:val="24"/>
          <w:highlight w:val="none"/>
          <w:lang w:val="en-US"/>
        </w:rPr>
        <w:t xml:space="preserve"> In their series, PSC-UC patients were affected by pancolitis in 94% of cases, while pancolitis was demonstrated only in 62% of patients affected by UC alone. Patients with PSC-UC usually have a greater prevalence of backwash ileitis and rectal sparing (51% and 52%, respectively) than controls with UC alone (7% and 6%, respectively)</w:t>
      </w:r>
      <w:r>
        <w:rPr>
          <w:rFonts w:ascii="Book Antiqua" w:hAnsi="Book Antiqua"/>
          <w:color w:val="000000"/>
          <w:sz w:val="24"/>
          <w:szCs w:val="24"/>
          <w:highlight w:val="none"/>
          <w:vertAlign w:val="superscript"/>
          <w:lang w:val="en-US"/>
        </w:rPr>
        <w:t>[13]</w:t>
      </w:r>
      <w:r>
        <w:rPr>
          <w:rFonts w:ascii="Book Antiqua" w:hAnsi="Book Antiqua"/>
          <w:color w:val="000000"/>
          <w:sz w:val="24"/>
          <w:szCs w:val="24"/>
          <w:highlight w:val="none"/>
          <w:lang w:val="en-US"/>
        </w:rPr>
        <w:t>. However, the mild degree of colitis and the low rate of endoscopically visible inflammation may overestimate rectal sparing, when random biopsies are not performed</w:t>
      </w:r>
      <w:r>
        <w:rPr>
          <w:rFonts w:ascii="Book Antiqua" w:hAnsi="Book Antiqua"/>
          <w:color w:val="000000"/>
          <w:sz w:val="24"/>
          <w:szCs w:val="24"/>
          <w:highlight w:val="none"/>
          <w:vertAlign w:val="superscript"/>
          <w:lang w:val="en-US"/>
        </w:rPr>
        <w:t>[12,14]</w:t>
      </w:r>
      <w:r>
        <w:rPr>
          <w:rFonts w:ascii="Book Antiqua" w:hAnsi="Book Antiqua"/>
          <w:color w:val="000000"/>
          <w:sz w:val="24"/>
          <w:szCs w:val="24"/>
          <w:highlight w:val="none"/>
          <w:lang w:val="en-US"/>
        </w:rPr>
        <w:t xml:space="preserve">. Even though, the extension of </w:t>
      </w:r>
      <w:bookmarkStart w:id="0" w:name="_Hlk64449075"/>
      <w:r>
        <w:rPr>
          <w:rFonts w:ascii="Book Antiqua" w:hAnsi="Book Antiqua"/>
          <w:color w:val="000000"/>
          <w:sz w:val="24"/>
          <w:szCs w:val="24"/>
          <w:highlight w:val="none"/>
          <w:lang w:val="en-US"/>
        </w:rPr>
        <w:t>colitis tends to be more diffuse, and in PSC-UC the severity of the mucosal inflammation seems less pronounced. Patients with PSC-UC have less significant bowel symptoms, a lower need for steroids and undergo fewer hospitalizations than patients with UC alone</w:t>
      </w:r>
      <w:r>
        <w:rPr>
          <w:rFonts w:ascii="Book Antiqua" w:hAnsi="Book Antiqua"/>
          <w:color w:val="000000"/>
          <w:sz w:val="24"/>
          <w:szCs w:val="24"/>
          <w:highlight w:val="none"/>
          <w:vertAlign w:val="superscript"/>
          <w:lang w:val="en-US"/>
        </w:rPr>
        <w:t>[15]</w:t>
      </w:r>
      <w:r>
        <w:rPr>
          <w:rFonts w:ascii="Book Antiqua" w:hAnsi="Book Antiqua"/>
          <w:color w:val="000000"/>
          <w:sz w:val="24"/>
          <w:szCs w:val="24"/>
          <w:highlight w:val="none"/>
          <w:lang w:val="en-US"/>
        </w:rPr>
        <w:t>.</w:t>
      </w:r>
      <w:bookmarkEnd w:id="0"/>
    </w:p>
    <w:p>
      <w:pPr>
        <w:spacing w:after="0" w:line="360" w:lineRule="auto"/>
        <w:jc w:val="both"/>
        <w:rPr>
          <w:rFonts w:ascii="Book Antiqua" w:hAnsi="Book Antiqua"/>
          <w:color w:val="000000"/>
          <w:sz w:val="24"/>
          <w:szCs w:val="24"/>
          <w:highlight w:val="none"/>
          <w:lang w:val="en-US" w:eastAsia="zh-CN"/>
        </w:rPr>
      </w:pPr>
    </w:p>
    <w:p>
      <w:pPr>
        <w:spacing w:after="0" w:line="360" w:lineRule="auto"/>
        <w:jc w:val="both"/>
        <w:rPr>
          <w:rFonts w:ascii="Book Antiqua" w:hAnsi="Book Antiqua"/>
          <w:b/>
          <w:i/>
          <w:iCs/>
          <w:color w:val="000000"/>
          <w:sz w:val="24"/>
          <w:szCs w:val="24"/>
          <w:highlight w:val="none"/>
          <w:lang w:val="en-US"/>
        </w:rPr>
      </w:pPr>
      <w:r>
        <w:rPr>
          <w:rFonts w:ascii="Book Antiqua" w:hAnsi="Book Antiqua"/>
          <w:b/>
          <w:i/>
          <w:iCs/>
          <w:color w:val="000000"/>
          <w:sz w:val="24"/>
          <w:szCs w:val="24"/>
          <w:highlight w:val="none"/>
          <w:lang w:val="en-US"/>
        </w:rPr>
        <w:t>Primary Sclerosing Cholangitis and Crohn’s Disease</w:t>
      </w:r>
    </w:p>
    <w:p>
      <w:pPr>
        <w:spacing w:after="0" w:line="360" w:lineRule="auto"/>
        <w:jc w:val="both"/>
        <w:rPr>
          <w:rFonts w:ascii="Book Antiqua" w:hAnsi="Book Antiqua"/>
          <w:color w:val="000000"/>
          <w:sz w:val="24"/>
          <w:szCs w:val="24"/>
          <w:highlight w:val="none"/>
          <w:lang w:val="en-US" w:eastAsia="zh-CN"/>
        </w:rPr>
      </w:pPr>
      <w:r>
        <w:rPr>
          <w:rFonts w:ascii="Book Antiqua" w:hAnsi="Book Antiqua"/>
          <w:color w:val="000000"/>
          <w:sz w:val="24"/>
          <w:szCs w:val="24"/>
          <w:highlight w:val="none"/>
          <w:lang w:val="en-US"/>
        </w:rPr>
        <w:t>Similar to patients affected by PSC-UC, patients with PSC and CD (PSC-CD) have a phenotypical and clinical pattern that sharply differs from patients with CD alone. Indeed, isolated ileal involvement, which occurs in about 30% of patients affected with CD, is rare in patients with PSC-CD (2%-5%)</w:t>
      </w:r>
      <w:r>
        <w:rPr>
          <w:rFonts w:ascii="Book Antiqua" w:hAnsi="Book Antiqua"/>
          <w:color w:val="000000"/>
          <w:sz w:val="24"/>
          <w:szCs w:val="24"/>
          <w:highlight w:val="none"/>
          <w:vertAlign w:val="superscript"/>
          <w:lang w:val="en-US"/>
        </w:rPr>
        <w:t>[12,16]</w:t>
      </w:r>
      <w:r>
        <w:rPr>
          <w:rFonts w:ascii="Book Antiqua" w:hAnsi="Book Antiqua"/>
          <w:color w:val="000000"/>
          <w:sz w:val="24"/>
          <w:szCs w:val="24"/>
          <w:highlight w:val="none"/>
          <w:lang w:val="en-US"/>
        </w:rPr>
        <w:t>. As shown with PSC-UC, the degree of endoscopically visible inflammation is milder in patient with PSC-CD than in those affected by UC. Likewise, the incidence of CD complications seems low in PSC-CD</w:t>
      </w:r>
      <w:r>
        <w:rPr>
          <w:rFonts w:ascii="Book Antiqua" w:hAnsi="Book Antiqua"/>
          <w:color w:val="000000"/>
          <w:sz w:val="24"/>
          <w:szCs w:val="24"/>
          <w:highlight w:val="none"/>
          <w:vertAlign w:val="superscript"/>
          <w:lang w:val="en-US"/>
        </w:rPr>
        <w:t>[12,16,17]</w:t>
      </w:r>
      <w:r>
        <w:rPr>
          <w:rFonts w:ascii="Book Antiqua" w:hAnsi="Book Antiqua"/>
          <w:color w:val="000000"/>
          <w:sz w:val="24"/>
          <w:szCs w:val="24"/>
          <w:highlight w:val="none"/>
          <w:lang w:val="en-US"/>
        </w:rPr>
        <w:t xml:space="preserve">. </w:t>
      </w:r>
    </w:p>
    <w:p>
      <w:pPr>
        <w:spacing w:after="0" w:line="360" w:lineRule="auto"/>
        <w:jc w:val="both"/>
        <w:rPr>
          <w:rFonts w:ascii="Book Antiqua" w:hAnsi="Book Antiqua"/>
          <w:color w:val="000000"/>
          <w:sz w:val="24"/>
          <w:szCs w:val="24"/>
          <w:highlight w:val="none"/>
          <w:lang w:val="en-US" w:eastAsia="zh-CN"/>
        </w:rPr>
      </w:pPr>
    </w:p>
    <w:p>
      <w:pPr>
        <w:spacing w:after="0" w:line="360" w:lineRule="auto"/>
        <w:jc w:val="both"/>
        <w:rPr>
          <w:rFonts w:ascii="Book Antiqua" w:hAnsi="Book Antiqua"/>
          <w:b/>
          <w:i/>
          <w:iCs/>
          <w:color w:val="000000"/>
          <w:sz w:val="24"/>
          <w:szCs w:val="24"/>
          <w:highlight w:val="none"/>
          <w:lang w:val="en-US"/>
        </w:rPr>
      </w:pPr>
      <w:r>
        <w:rPr>
          <w:rFonts w:ascii="Book Antiqua" w:hAnsi="Book Antiqua"/>
          <w:b/>
          <w:i/>
          <w:iCs/>
          <w:color w:val="000000"/>
          <w:sz w:val="24"/>
          <w:szCs w:val="24"/>
          <w:highlight w:val="none"/>
          <w:lang w:val="en-US"/>
        </w:rPr>
        <w:t>Main characteristics of PSC in IBD</w:t>
      </w:r>
    </w:p>
    <w:p>
      <w:pPr>
        <w:spacing w:after="0" w:line="360" w:lineRule="auto"/>
        <w:jc w:val="both"/>
        <w:rPr>
          <w:rFonts w:ascii="Book Antiqua" w:hAnsi="Book Antiqua"/>
          <w:color w:val="000000"/>
          <w:sz w:val="24"/>
          <w:szCs w:val="24"/>
          <w:highlight w:val="none"/>
          <w:lang w:val="en-US" w:eastAsia="zh-CN"/>
        </w:rPr>
      </w:pPr>
      <w:r>
        <w:rPr>
          <w:rFonts w:ascii="Book Antiqua" w:hAnsi="Book Antiqua"/>
          <w:color w:val="000000"/>
          <w:sz w:val="24"/>
          <w:szCs w:val="24"/>
          <w:highlight w:val="none"/>
          <w:lang w:val="en-US"/>
        </w:rPr>
        <w:t>While IBD in PSC-IBD has specific phenotypical patterns as listed above, PSC does not show significant differences in terms of histologic findings such as periductal fibrosis, inflammation and portal edema or fibrosis</w:t>
      </w:r>
      <w:r>
        <w:rPr>
          <w:rFonts w:ascii="Book Antiqua" w:hAnsi="Book Antiqua"/>
          <w:color w:val="000000"/>
          <w:sz w:val="24"/>
          <w:szCs w:val="24"/>
          <w:highlight w:val="none"/>
          <w:vertAlign w:val="superscript"/>
          <w:lang w:val="en-US"/>
        </w:rPr>
        <w:t>[18]</w:t>
      </w:r>
      <w:r>
        <w:rPr>
          <w:rFonts w:ascii="Book Antiqua" w:hAnsi="Book Antiqua"/>
          <w:color w:val="000000"/>
          <w:sz w:val="24"/>
          <w:szCs w:val="24"/>
          <w:highlight w:val="none"/>
          <w:lang w:val="en-US"/>
        </w:rPr>
        <w:t>. From a clinical point of view, according to Yanai</w:t>
      </w:r>
      <w:r>
        <w:rPr>
          <w:rFonts w:ascii="Book Antiqua" w:hAnsi="Book Antiqua"/>
          <w:i/>
          <w:color w:val="000000"/>
          <w:sz w:val="24"/>
          <w:szCs w:val="24"/>
          <w:highlight w:val="none"/>
          <w:lang w:val="en-US"/>
        </w:rPr>
        <w:t xml:space="preserve"> et al</w:t>
      </w:r>
      <w:r>
        <w:rPr>
          <w:rFonts w:ascii="Book Antiqua" w:hAnsi="Book Antiqua"/>
          <w:color w:val="000000"/>
          <w:sz w:val="24"/>
          <w:szCs w:val="24"/>
          <w:highlight w:val="none"/>
          <w:vertAlign w:val="superscript"/>
          <w:lang w:val="en-US"/>
        </w:rPr>
        <w:t xml:space="preserve">[19] </w:t>
      </w:r>
      <w:r>
        <w:rPr>
          <w:rFonts w:ascii="Book Antiqua" w:hAnsi="Book Antiqua"/>
          <w:color w:val="000000"/>
          <w:sz w:val="24"/>
          <w:szCs w:val="24"/>
          <w:highlight w:val="none"/>
          <w:lang w:val="en-US"/>
        </w:rPr>
        <w:t>PSC outcomes, including cirrhosis incidence and transplant-free survival, did not differ in PSC-IBD compared with PSC alone patients. Conversely, Fevery</w:t>
      </w:r>
      <w:r>
        <w:rPr>
          <w:rFonts w:ascii="Book Antiqua" w:hAnsi="Book Antiqua"/>
          <w:i/>
          <w:color w:val="000000"/>
          <w:sz w:val="24"/>
          <w:szCs w:val="24"/>
          <w:highlight w:val="none"/>
          <w:lang w:val="en-US"/>
        </w:rPr>
        <w:t xml:space="preserve"> et al</w:t>
      </w:r>
      <w:r>
        <w:rPr>
          <w:rFonts w:ascii="Book Antiqua" w:hAnsi="Book Antiqua"/>
          <w:color w:val="000000"/>
          <w:sz w:val="24"/>
          <w:szCs w:val="24"/>
          <w:highlight w:val="none"/>
          <w:vertAlign w:val="superscript"/>
          <w:lang w:val="en-US"/>
        </w:rPr>
        <w:t>[20]</w:t>
      </w:r>
      <w:r>
        <w:rPr>
          <w:rFonts w:ascii="Book Antiqua" w:hAnsi="Book Antiqua"/>
          <w:color w:val="000000"/>
          <w:sz w:val="24"/>
          <w:szCs w:val="24"/>
          <w:highlight w:val="none"/>
          <w:lang w:val="en-US"/>
        </w:rPr>
        <w:t xml:space="preserve"> reported higher rates of liver-related death and malignancies in patients with PSC-UC when compared to patients with PSC-CD. Interestingly, Nordenvall</w:t>
      </w:r>
      <w:bookmarkStart w:id="1" w:name="_Hlk64457986"/>
      <w:r>
        <w:rPr>
          <w:rFonts w:ascii="Book Antiqua" w:hAnsi="Book Antiqua"/>
          <w:i/>
          <w:color w:val="000000"/>
          <w:sz w:val="24"/>
          <w:szCs w:val="24"/>
          <w:highlight w:val="none"/>
          <w:lang w:val="en-US"/>
        </w:rPr>
        <w:t xml:space="preserve"> et al</w:t>
      </w:r>
      <w:r>
        <w:rPr>
          <w:rFonts w:ascii="Book Antiqua" w:hAnsi="Book Antiqua"/>
          <w:color w:val="000000"/>
          <w:sz w:val="24"/>
          <w:szCs w:val="24"/>
          <w:highlight w:val="none"/>
          <w:vertAlign w:val="superscript"/>
          <w:lang w:val="en-US"/>
        </w:rPr>
        <w:t xml:space="preserve">[21] </w:t>
      </w:r>
      <w:r>
        <w:rPr>
          <w:rFonts w:ascii="Book Antiqua" w:hAnsi="Book Antiqua"/>
          <w:color w:val="000000"/>
          <w:sz w:val="24"/>
          <w:szCs w:val="24"/>
          <w:highlight w:val="none"/>
          <w:lang w:val="en-US"/>
        </w:rPr>
        <w:t xml:space="preserve">found that patients with PSC-UC who underwent colectomy, seemed to have a lower risk of mortality, morbidity and the need for liver transplantation. </w:t>
      </w:r>
      <w:bookmarkEnd w:id="1"/>
    </w:p>
    <w:p>
      <w:pPr>
        <w:spacing w:after="0" w:line="360" w:lineRule="auto"/>
        <w:jc w:val="both"/>
        <w:rPr>
          <w:rFonts w:ascii="Book Antiqua" w:hAnsi="Book Antiqua"/>
          <w:color w:val="000000"/>
          <w:sz w:val="24"/>
          <w:szCs w:val="24"/>
          <w:highlight w:val="none"/>
          <w:lang w:val="en-US" w:eastAsia="zh-CN"/>
        </w:rPr>
      </w:pPr>
    </w:p>
    <w:p>
      <w:pPr>
        <w:spacing w:after="0" w:line="360" w:lineRule="auto"/>
        <w:jc w:val="both"/>
        <w:rPr>
          <w:rFonts w:ascii="Book Antiqua" w:hAnsi="Book Antiqua"/>
          <w:b/>
          <w:i/>
          <w:iCs/>
          <w:color w:val="000000"/>
          <w:sz w:val="24"/>
          <w:szCs w:val="24"/>
          <w:highlight w:val="none"/>
          <w:u w:val="single"/>
          <w:lang w:val="en-US"/>
        </w:rPr>
      </w:pPr>
      <w:r>
        <w:rPr>
          <w:rFonts w:ascii="Book Antiqua" w:hAnsi="Book Antiqua"/>
          <w:b/>
          <w:i/>
          <w:iCs/>
          <w:color w:val="000000"/>
          <w:sz w:val="24"/>
          <w:szCs w:val="24"/>
          <w:highlight w:val="none"/>
          <w:lang w:val="en-US"/>
        </w:rPr>
        <w:t>Risk of colorectal cancer (CRC) and hepatobiliary carcinomas in PSC-IBD</w:t>
      </w:r>
    </w:p>
    <w:p>
      <w:pPr>
        <w:spacing w:after="0" w:line="360" w:lineRule="auto"/>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Although both PSC and IBD patients do not have a general higher risk of malignancies than the general population, patients with PSC-IBD show a significantly more marked risk of developing colorectal carcinoma (CRC) and cholangiocarcinoma (CCA), and hepatocellular carcinoma (HCC). In a meta-analysis, Zengh</w:t>
      </w:r>
      <w:r>
        <w:rPr>
          <w:rFonts w:ascii="Book Antiqua" w:hAnsi="Book Antiqua"/>
          <w:i/>
          <w:color w:val="000000"/>
          <w:sz w:val="24"/>
          <w:szCs w:val="24"/>
          <w:highlight w:val="none"/>
          <w:lang w:val="en-US"/>
        </w:rPr>
        <w:t xml:space="preserve"> et al</w:t>
      </w:r>
      <w:r>
        <w:rPr>
          <w:rFonts w:ascii="Book Antiqua" w:hAnsi="Book Antiqua"/>
          <w:color w:val="000000"/>
          <w:sz w:val="24"/>
          <w:szCs w:val="24"/>
          <w:highlight w:val="none"/>
          <w:vertAlign w:val="superscript"/>
          <w:lang w:val="en-US"/>
        </w:rPr>
        <w:t xml:space="preserve">[22] </w:t>
      </w:r>
      <w:r>
        <w:rPr>
          <w:rFonts w:ascii="Book Antiqua" w:hAnsi="Book Antiqua"/>
          <w:color w:val="000000"/>
          <w:sz w:val="24"/>
          <w:szCs w:val="24"/>
          <w:highlight w:val="none"/>
          <w:lang w:val="en-US"/>
        </w:rPr>
        <w:t>found that patients with PSC-IBD have a strikingly higher risk for the development of CRC than patients with IBD alone. In detail, the stratification by IBD type showed a three-fold increased risk for the development of CRC and colorectal dysplasia in patients with PSC-UC compared to those with UC alone. A non-significant increase in the risk of neoplasia was shown in patients with PSC-CD, in contrast to that found in patients with CD alone. For these reasons, patients with PSC-IBD (especially those with PSC-UC) require close colorectal neoplasia endoscopic surveillance. Major American and European Societies recommend that annual CRC screening should be started at the time of PSC-IBD diagnosis. In PSC-IBD patients an increased risk of hepatobiliary malignancies such as CCA, gallbladder carcinoma (GBC), and HCC has been demonstrated. Gulamhusein</w:t>
      </w:r>
      <w:r>
        <w:rPr>
          <w:rFonts w:ascii="Book Antiqua" w:hAnsi="Book Antiqua"/>
          <w:i/>
          <w:color w:val="000000"/>
          <w:sz w:val="24"/>
          <w:szCs w:val="24"/>
          <w:highlight w:val="none"/>
          <w:lang w:val="en-US"/>
        </w:rPr>
        <w:t xml:space="preserve"> et al</w:t>
      </w:r>
      <w:r>
        <w:rPr>
          <w:rFonts w:ascii="Book Antiqua" w:hAnsi="Book Antiqua"/>
          <w:color w:val="000000"/>
          <w:sz w:val="24"/>
          <w:szCs w:val="24"/>
          <w:highlight w:val="none"/>
          <w:vertAlign w:val="superscript"/>
          <w:lang w:val="en-US"/>
        </w:rPr>
        <w:t>[23]</w:t>
      </w:r>
      <w:r>
        <w:rPr>
          <w:rFonts w:ascii="Book Antiqua" w:hAnsi="Book Antiqua"/>
          <w:color w:val="000000"/>
          <w:sz w:val="24"/>
          <w:szCs w:val="24"/>
          <w:highlight w:val="none"/>
          <w:lang w:val="en-US"/>
        </w:rPr>
        <w:t xml:space="preserve"> demonstrated that prolonged duration of IBD is associated with an increased risk of CCA in patients with PSC-IBD. They also observed that the risk of CCA was not modified after colectomy, thus suggesting that colonic resection itself does not reduce the risk of CCA. European and American Societies recommend that CA 19-9 and biliary imaging should be completed every year for these patients</w:t>
      </w:r>
      <w:r>
        <w:rPr>
          <w:rFonts w:ascii="Book Antiqua" w:hAnsi="Book Antiqua"/>
          <w:color w:val="000000"/>
          <w:sz w:val="24"/>
          <w:szCs w:val="24"/>
          <w:highlight w:val="none"/>
          <w:vertAlign w:val="superscript"/>
          <w:lang w:val="en-US"/>
        </w:rPr>
        <w:t>[24,25]</w:t>
      </w:r>
      <w:r>
        <w:rPr>
          <w:rFonts w:ascii="Book Antiqua" w:hAnsi="Book Antiqua"/>
          <w:color w:val="000000"/>
          <w:sz w:val="24"/>
          <w:szCs w:val="24"/>
          <w:highlight w:val="none"/>
          <w:lang w:val="en-US"/>
        </w:rPr>
        <w:t>. IBD could be an additional risk factor that further increases the hazard of CCA in PSC. In particular, a long duration of IBD is associated with CCA with a hazard ratio of 1.37</w:t>
      </w:r>
      <w:r>
        <w:rPr>
          <w:rFonts w:ascii="Book Antiqua" w:hAnsi="Book Antiqua"/>
          <w:color w:val="000000"/>
          <w:sz w:val="24"/>
          <w:szCs w:val="24"/>
          <w:highlight w:val="none"/>
          <w:vertAlign w:val="superscript"/>
          <w:lang w:val="en-US"/>
        </w:rPr>
        <w:t>[23]</w:t>
      </w:r>
      <w:r>
        <w:rPr>
          <w:rFonts w:ascii="Book Antiqua" w:hAnsi="Book Antiqua"/>
          <w:color w:val="000000"/>
          <w:sz w:val="24"/>
          <w:szCs w:val="24"/>
          <w:highlight w:val="none"/>
          <w:lang w:val="en-US"/>
        </w:rPr>
        <w:t>.</w:t>
      </w:r>
    </w:p>
    <w:p>
      <w:pPr>
        <w:spacing w:after="0" w:line="360" w:lineRule="auto"/>
        <w:ind w:firstLine="240" w:firstLineChars="100"/>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There are no studies demonstrating an increased risk of GBC in PSC-IBD patients, even if that risk is demonstrated in PSC-alone patients</w:t>
      </w:r>
      <w:r>
        <w:rPr>
          <w:rFonts w:ascii="Book Antiqua" w:hAnsi="Book Antiqua"/>
          <w:color w:val="000000"/>
          <w:sz w:val="24"/>
          <w:szCs w:val="24"/>
          <w:highlight w:val="none"/>
          <w:vertAlign w:val="superscript"/>
          <w:lang w:val="en-US"/>
        </w:rPr>
        <w:t>[26]</w:t>
      </w:r>
      <w:r>
        <w:rPr>
          <w:rFonts w:ascii="Book Antiqua" w:hAnsi="Book Antiqua"/>
          <w:color w:val="000000"/>
          <w:sz w:val="24"/>
          <w:szCs w:val="24"/>
          <w:highlight w:val="none"/>
          <w:lang w:val="en-US"/>
        </w:rPr>
        <w:t>. Said</w:t>
      </w:r>
      <w:r>
        <w:rPr>
          <w:rFonts w:ascii="Book Antiqua" w:hAnsi="Book Antiqua"/>
          <w:i/>
          <w:color w:val="000000"/>
          <w:sz w:val="24"/>
          <w:szCs w:val="24"/>
          <w:highlight w:val="none"/>
          <w:lang w:val="en-US"/>
        </w:rPr>
        <w:t xml:space="preserve"> et al</w:t>
      </w:r>
      <w:r>
        <w:rPr>
          <w:rFonts w:ascii="Book Antiqua" w:hAnsi="Book Antiqua"/>
          <w:color w:val="000000"/>
          <w:sz w:val="24"/>
          <w:szCs w:val="24"/>
          <w:highlight w:val="none"/>
          <w:vertAlign w:val="superscript"/>
          <w:lang w:val="en-US"/>
        </w:rPr>
        <w:t>[27]</w:t>
      </w:r>
      <w:r>
        <w:rPr>
          <w:rFonts w:ascii="Book Antiqua" w:hAnsi="Book Antiqua"/>
          <w:color w:val="000000"/>
          <w:sz w:val="24"/>
          <w:szCs w:val="24"/>
          <w:highlight w:val="none"/>
          <w:lang w:val="en-US"/>
        </w:rPr>
        <w:t xml:space="preserve"> found in their cohort of patients affected with PSC, that 6% had gallbladder masses, of which 56% were malignant. The American Association for the Study of Liver Disease (AASLD) guidelines support cholecystectomy for polyps of any size in these patients, given the high likelihood of malignancy</w:t>
      </w:r>
      <w:r>
        <w:rPr>
          <w:rFonts w:ascii="Book Antiqua" w:hAnsi="Book Antiqua"/>
          <w:color w:val="000000"/>
          <w:sz w:val="24"/>
          <w:szCs w:val="24"/>
          <w:highlight w:val="none"/>
          <w:vertAlign w:val="superscript"/>
          <w:lang w:val="en-US"/>
        </w:rPr>
        <w:t>[28]</w:t>
      </w:r>
      <w:r>
        <w:rPr>
          <w:rFonts w:ascii="Book Antiqua" w:hAnsi="Book Antiqua"/>
          <w:color w:val="000000"/>
          <w:sz w:val="24"/>
          <w:szCs w:val="24"/>
          <w:highlight w:val="none"/>
          <w:lang w:val="en-US"/>
        </w:rPr>
        <w:t>. HCC seems to be a rare malignancy in PSC-IBD. Zanouzi</w:t>
      </w:r>
      <w:r>
        <w:rPr>
          <w:rFonts w:ascii="Book Antiqua" w:hAnsi="Book Antiqua"/>
          <w:i/>
          <w:color w:val="000000"/>
          <w:sz w:val="24"/>
          <w:szCs w:val="24"/>
          <w:highlight w:val="none"/>
          <w:lang w:val="en-US"/>
        </w:rPr>
        <w:t xml:space="preserve"> et al</w:t>
      </w:r>
      <w:r>
        <w:rPr>
          <w:rFonts w:ascii="Book Antiqua" w:hAnsi="Book Antiqua"/>
          <w:color w:val="000000"/>
          <w:sz w:val="24"/>
          <w:szCs w:val="24"/>
          <w:highlight w:val="none"/>
          <w:vertAlign w:val="superscript"/>
          <w:lang w:val="en-US"/>
        </w:rPr>
        <w:t>[29]</w:t>
      </w:r>
      <w:r>
        <w:rPr>
          <w:rFonts w:ascii="Book Antiqua" w:hAnsi="Book Antiqua"/>
          <w:color w:val="000000"/>
          <w:sz w:val="24"/>
          <w:szCs w:val="24"/>
          <w:highlight w:val="none"/>
          <w:lang w:val="en-US"/>
        </w:rPr>
        <w:t xml:space="preserve"> analyzed a cohort of PSC-cirrhosis patients and found no cases of HCC. However, in the same cohort of patients, IBD was found in 65%.</w:t>
      </w:r>
    </w:p>
    <w:p>
      <w:pPr>
        <w:spacing w:after="0" w:line="360" w:lineRule="auto"/>
        <w:ind w:firstLine="240" w:firstLineChars="100"/>
        <w:jc w:val="both"/>
        <w:rPr>
          <w:rFonts w:ascii="Book Antiqua" w:hAnsi="Book Antiqua"/>
          <w:color w:val="000000"/>
          <w:sz w:val="24"/>
          <w:szCs w:val="24"/>
          <w:highlight w:val="none"/>
          <w:lang w:val="en-US" w:eastAsia="zh-CN"/>
        </w:rPr>
      </w:pPr>
      <w:r>
        <w:rPr>
          <w:rFonts w:ascii="Book Antiqua" w:hAnsi="Book Antiqua"/>
          <w:color w:val="000000"/>
          <w:sz w:val="24"/>
          <w:szCs w:val="24"/>
          <w:highlight w:val="none"/>
          <w:lang w:val="en-US"/>
        </w:rPr>
        <w:t>As both CCA and CRC are likely to occur in PSC-IBD patients, a chemopreventive strategy could be proposed. A meta-analysis</w:t>
      </w:r>
      <w:r>
        <w:rPr>
          <w:rFonts w:ascii="Book Antiqua" w:hAnsi="Book Antiqua"/>
          <w:color w:val="000000"/>
          <w:sz w:val="24"/>
          <w:szCs w:val="24"/>
          <w:highlight w:val="none"/>
          <w:vertAlign w:val="superscript"/>
          <w:lang w:val="en-US"/>
        </w:rPr>
        <w:t>[30]</w:t>
      </w:r>
      <w:r>
        <w:rPr>
          <w:rFonts w:ascii="Book Antiqua" w:hAnsi="Book Antiqua"/>
          <w:color w:val="000000"/>
          <w:sz w:val="24"/>
          <w:szCs w:val="24"/>
          <w:highlight w:val="none"/>
          <w:lang w:val="en-US"/>
        </w:rPr>
        <w:t xml:space="preserve"> showed that low dose ursodeoxycholic acid may have a protective effect on both CRC and colonic dysplastic lesions, with an odds ratio of 0.19. However, the studies were performed on small populations in tertiary centers, and were often retrospective, therefore the strength of evidence is not high</w:t>
      </w:r>
      <w:r>
        <w:rPr>
          <w:rFonts w:ascii="Book Antiqua" w:hAnsi="Book Antiqua"/>
          <w:color w:val="000000"/>
          <w:sz w:val="24"/>
          <w:szCs w:val="24"/>
          <w:highlight w:val="none"/>
          <w:vertAlign w:val="superscript"/>
          <w:lang w:val="en-US"/>
        </w:rPr>
        <w:t>[31]</w:t>
      </w:r>
      <w:r>
        <w:rPr>
          <w:rFonts w:ascii="Book Antiqua" w:hAnsi="Book Antiqua"/>
          <w:color w:val="000000"/>
          <w:sz w:val="24"/>
          <w:szCs w:val="24"/>
          <w:highlight w:val="none"/>
          <w:lang w:val="en-US"/>
        </w:rPr>
        <w:t xml:space="preserve">. Even mesalazine has demonstrated, </w:t>
      </w:r>
      <w:r>
        <w:rPr>
          <w:rFonts w:ascii="Book Antiqua" w:hAnsi="Book Antiqua"/>
          <w:i/>
          <w:color w:val="000000"/>
          <w:sz w:val="24"/>
          <w:szCs w:val="24"/>
          <w:highlight w:val="none"/>
          <w:lang w:val="en-US"/>
        </w:rPr>
        <w:t>in vitro</w:t>
      </w:r>
      <w:r>
        <w:rPr>
          <w:rFonts w:ascii="Book Antiqua" w:hAnsi="Book Antiqua"/>
          <w:color w:val="000000"/>
          <w:sz w:val="24"/>
          <w:szCs w:val="24"/>
          <w:highlight w:val="none"/>
          <w:lang w:val="en-US"/>
        </w:rPr>
        <w:t xml:space="preserve"> and in animal models, an anti-proliferative effect as well as the ability to inhibit the Wnt/β-Catenin pathway and epithelial growth factor receptor activation; therefore, it may be a promising agent for CRC prevention, despite the chemopreventive effect of mesalazine only being documented for patients with UC alone so far</w:t>
      </w:r>
      <w:r>
        <w:rPr>
          <w:rFonts w:ascii="Book Antiqua" w:hAnsi="Book Antiqua"/>
          <w:color w:val="000000"/>
          <w:sz w:val="24"/>
          <w:szCs w:val="24"/>
          <w:highlight w:val="none"/>
          <w:vertAlign w:val="superscript"/>
          <w:lang w:val="en-US"/>
        </w:rPr>
        <w:t>[32]</w:t>
      </w:r>
      <w:r>
        <w:rPr>
          <w:rFonts w:ascii="Book Antiqua" w:hAnsi="Book Antiqua"/>
          <w:color w:val="000000"/>
          <w:sz w:val="24"/>
          <w:szCs w:val="24"/>
          <w:highlight w:val="none"/>
          <w:lang w:val="en-US"/>
        </w:rPr>
        <w:t>. Unfortunately, no effective approach for CCA chemoprevention has emerged, therefore surveillance remains the mainstay for early CCA detection in PSC patients.</w:t>
      </w:r>
    </w:p>
    <w:p>
      <w:pPr>
        <w:spacing w:after="0" w:line="360" w:lineRule="auto"/>
        <w:jc w:val="both"/>
        <w:rPr>
          <w:rFonts w:ascii="Book Antiqua" w:hAnsi="Book Antiqua"/>
          <w:color w:val="000000"/>
          <w:sz w:val="24"/>
          <w:szCs w:val="24"/>
          <w:highlight w:val="none"/>
          <w:lang w:val="en-US" w:eastAsia="zh-CN"/>
        </w:rPr>
      </w:pPr>
    </w:p>
    <w:p>
      <w:pPr>
        <w:spacing w:after="0" w:line="360" w:lineRule="auto"/>
        <w:jc w:val="both"/>
        <w:rPr>
          <w:rFonts w:ascii="Book Antiqua" w:hAnsi="Book Antiqua"/>
          <w:b/>
          <w:i/>
          <w:iCs/>
          <w:color w:val="000000"/>
          <w:sz w:val="24"/>
          <w:szCs w:val="24"/>
          <w:highlight w:val="none"/>
          <w:lang w:val="en-US"/>
        </w:rPr>
      </w:pPr>
      <w:r>
        <w:rPr>
          <w:rFonts w:ascii="Book Antiqua" w:hAnsi="Book Antiqua"/>
          <w:b/>
          <w:i/>
          <w:iCs/>
          <w:color w:val="000000"/>
          <w:sz w:val="24"/>
          <w:szCs w:val="24"/>
          <w:highlight w:val="none"/>
          <w:lang w:val="en-US"/>
        </w:rPr>
        <w:t>Therapeutic perspectives</w:t>
      </w:r>
    </w:p>
    <w:p>
      <w:pPr>
        <w:spacing w:after="0" w:line="360" w:lineRule="auto"/>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The pathogenetic mechanisms underlying PSC-IBD remain unknown, even though many hypotheses have been proposed. Understanding the basis of the disease could lead to the identification of a new targeted therapy. One of the most interesting assumptions suggests that intestinal mucosal lymphocytes may migrate to the liver following activation in the bowel of IBD patients, thus promoting liver inflammation</w:t>
      </w:r>
      <w:r>
        <w:rPr>
          <w:rFonts w:ascii="Book Antiqua" w:hAnsi="Book Antiqua"/>
          <w:color w:val="000000"/>
          <w:sz w:val="24"/>
          <w:szCs w:val="24"/>
          <w:highlight w:val="none"/>
          <w:vertAlign w:val="superscript"/>
          <w:lang w:val="en-US"/>
        </w:rPr>
        <w:t>[33]</w:t>
      </w:r>
      <w:r>
        <w:rPr>
          <w:rFonts w:ascii="Book Antiqua" w:hAnsi="Book Antiqua"/>
          <w:color w:val="000000"/>
          <w:sz w:val="24"/>
          <w:szCs w:val="24"/>
          <w:highlight w:val="none"/>
          <w:lang w:val="en-US"/>
        </w:rPr>
        <w:t xml:space="preserve">. It has been shown that adhesion molecules and chemokine receptors normally expressed only in the gut can be aberrantly expressed within the liver to promote the homing of gut-associated lymphocytes. One of these adhesion molecules is </w:t>
      </w:r>
      <w:r>
        <w:rPr>
          <w:rFonts w:ascii="Book Antiqua" w:hAnsi="Book Antiqua"/>
          <w:color w:val="000000"/>
          <w:sz w:val="24"/>
          <w:szCs w:val="24"/>
          <w:highlight w:val="none"/>
        </w:rPr>
        <w:t>α</w:t>
      </w:r>
      <w:r>
        <w:rPr>
          <w:rFonts w:ascii="Book Antiqua" w:hAnsi="Book Antiqua"/>
          <w:color w:val="000000"/>
          <w:sz w:val="24"/>
          <w:szCs w:val="24"/>
          <w:highlight w:val="none"/>
          <w:lang w:val="en-US"/>
        </w:rPr>
        <w:t>4</w:t>
      </w:r>
      <w:r>
        <w:rPr>
          <w:rFonts w:ascii="Book Antiqua" w:hAnsi="Book Antiqua"/>
          <w:color w:val="000000"/>
          <w:sz w:val="24"/>
          <w:szCs w:val="24"/>
          <w:highlight w:val="none"/>
        </w:rPr>
        <w:t>β</w:t>
      </w:r>
      <w:r>
        <w:rPr>
          <w:rFonts w:ascii="Book Antiqua" w:hAnsi="Book Antiqua"/>
          <w:color w:val="000000"/>
          <w:sz w:val="24"/>
          <w:szCs w:val="24"/>
          <w:highlight w:val="none"/>
          <w:lang w:val="en-US"/>
        </w:rPr>
        <w:t xml:space="preserve">7 integrin. A monoclonal antibody directed against </w:t>
      </w:r>
      <w:r>
        <w:rPr>
          <w:rFonts w:ascii="Book Antiqua" w:hAnsi="Book Antiqua"/>
          <w:color w:val="000000"/>
          <w:sz w:val="24"/>
          <w:szCs w:val="24"/>
          <w:highlight w:val="none"/>
        </w:rPr>
        <w:t>α</w:t>
      </w:r>
      <w:r>
        <w:rPr>
          <w:rFonts w:ascii="Book Antiqua" w:hAnsi="Book Antiqua"/>
          <w:color w:val="000000"/>
          <w:sz w:val="24"/>
          <w:szCs w:val="24"/>
          <w:highlight w:val="none"/>
          <w:lang w:val="en-US"/>
        </w:rPr>
        <w:t>4</w:t>
      </w:r>
      <w:r>
        <w:rPr>
          <w:rFonts w:ascii="Book Antiqua" w:hAnsi="Book Antiqua"/>
          <w:color w:val="000000"/>
          <w:sz w:val="24"/>
          <w:szCs w:val="24"/>
          <w:highlight w:val="none"/>
        </w:rPr>
        <w:t>β</w:t>
      </w:r>
      <w:r>
        <w:rPr>
          <w:rFonts w:ascii="Book Antiqua" w:hAnsi="Book Antiqua"/>
          <w:color w:val="000000"/>
          <w:sz w:val="24"/>
          <w:szCs w:val="24"/>
          <w:highlight w:val="none"/>
          <w:lang w:val="en-US"/>
        </w:rPr>
        <w:t>7, vedolizumab, has been approved for the treatment of IBD. It was hypothesized that vedolizumab could provide hepatic anti-inflammatory benefits. Nevertheless, Christensen</w:t>
      </w:r>
      <w:r>
        <w:rPr>
          <w:rFonts w:ascii="Book Antiqua" w:hAnsi="Book Antiqua"/>
          <w:i/>
          <w:color w:val="000000"/>
          <w:sz w:val="24"/>
          <w:szCs w:val="24"/>
          <w:highlight w:val="none"/>
          <w:lang w:val="en-US"/>
        </w:rPr>
        <w:t xml:space="preserve"> et al</w:t>
      </w:r>
      <w:r>
        <w:rPr>
          <w:rFonts w:ascii="Book Antiqua" w:hAnsi="Book Antiqua"/>
          <w:color w:val="000000"/>
          <w:sz w:val="24"/>
          <w:szCs w:val="24"/>
          <w:highlight w:val="none"/>
          <w:lang w:val="en-US"/>
        </w:rPr>
        <w:t xml:space="preserve"> found that, after treatment with vedolizumab, symptoms and intestinal clinical activity were significantly decreased, but the Mayo PSC Risk Score and liver damage biomarkers were only slightly improved</w:t>
      </w:r>
      <w:r>
        <w:rPr>
          <w:rFonts w:ascii="Book Antiqua" w:hAnsi="Book Antiqua"/>
          <w:color w:val="000000"/>
          <w:sz w:val="24"/>
          <w:szCs w:val="24"/>
          <w:highlight w:val="none"/>
          <w:vertAlign w:val="superscript"/>
          <w:lang w:val="en-US"/>
        </w:rPr>
        <w:t>[34]</w:t>
      </w:r>
      <w:r>
        <w:rPr>
          <w:rFonts w:ascii="Book Antiqua" w:hAnsi="Book Antiqua"/>
          <w:color w:val="000000"/>
          <w:sz w:val="24"/>
          <w:szCs w:val="24"/>
          <w:highlight w:val="none"/>
          <w:lang w:val="en-US"/>
        </w:rPr>
        <w:t xml:space="preserve">. </w:t>
      </w:r>
    </w:p>
    <w:p>
      <w:pPr>
        <w:spacing w:after="0" w:line="360" w:lineRule="auto"/>
        <w:ind w:firstLine="240" w:firstLineChars="100"/>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Aberrant microbiota epitope recognition and gut dysbiosis seem to have a role in the pathogenesis of PSC-IBD, while genetics, gut mucosal permeability and autoimmune mechanisms have a controversial role</w:t>
      </w:r>
      <w:r>
        <w:rPr>
          <w:rFonts w:ascii="Book Antiqua" w:hAnsi="Book Antiqua"/>
          <w:color w:val="000000"/>
          <w:sz w:val="24"/>
          <w:szCs w:val="24"/>
          <w:highlight w:val="none"/>
          <w:vertAlign w:val="superscript"/>
          <w:lang w:val="en-US"/>
        </w:rPr>
        <w:t>[35]</w:t>
      </w:r>
      <w:r>
        <w:rPr>
          <w:rFonts w:ascii="Book Antiqua" w:hAnsi="Book Antiqua"/>
          <w:color w:val="000000"/>
          <w:sz w:val="24"/>
          <w:szCs w:val="24"/>
          <w:highlight w:val="none"/>
          <w:lang w:val="en-US"/>
        </w:rPr>
        <w:t xml:space="preserve">. Further studies are needed to improve our knowledge on the pathogenesis of PSC-IBD in order to provide new and efficient therapeutic strategies. </w:t>
      </w:r>
    </w:p>
    <w:p>
      <w:pPr>
        <w:spacing w:after="0" w:line="360" w:lineRule="auto"/>
        <w:ind w:firstLine="240" w:firstLineChars="100"/>
        <w:jc w:val="both"/>
        <w:rPr>
          <w:rFonts w:ascii="Book Antiqua" w:hAnsi="Book Antiqua"/>
          <w:color w:val="000000"/>
          <w:sz w:val="24"/>
          <w:szCs w:val="24"/>
          <w:highlight w:val="none"/>
          <w:lang w:val="en-US" w:eastAsia="zh-CN"/>
        </w:rPr>
      </w:pPr>
      <w:r>
        <w:rPr>
          <w:rFonts w:ascii="Book Antiqua" w:hAnsi="Book Antiqua"/>
          <w:color w:val="000000"/>
          <w:sz w:val="24"/>
          <w:szCs w:val="24"/>
          <w:highlight w:val="none"/>
          <w:lang w:val="en-US"/>
        </w:rPr>
        <w:t>When PSC causes end-stage liver disease, liver transplantation is the only curative treatment. Regarding this point, some studies found that IBD does not worsen survival in patients who undergo liver transplantation for PSC. Only exposure to azathioprine seems to increase post-transplant mortality, while IBD per se increases the risk of cytomegalovirus infection</w:t>
      </w:r>
      <w:r>
        <w:rPr>
          <w:rFonts w:ascii="Book Antiqua" w:hAnsi="Book Antiqua"/>
          <w:color w:val="000000"/>
          <w:sz w:val="24"/>
          <w:szCs w:val="24"/>
          <w:highlight w:val="none"/>
          <w:vertAlign w:val="superscript"/>
          <w:lang w:val="en-US"/>
        </w:rPr>
        <w:t>[36]</w:t>
      </w:r>
      <w:r>
        <w:rPr>
          <w:rFonts w:ascii="Book Antiqua" w:hAnsi="Book Antiqua"/>
          <w:color w:val="000000"/>
          <w:sz w:val="24"/>
          <w:szCs w:val="24"/>
          <w:highlight w:val="none"/>
          <w:lang w:val="en-US"/>
        </w:rPr>
        <w:t xml:space="preserve">. </w:t>
      </w:r>
    </w:p>
    <w:p>
      <w:pPr>
        <w:spacing w:after="0" w:line="360" w:lineRule="auto"/>
        <w:jc w:val="both"/>
        <w:rPr>
          <w:rFonts w:ascii="Book Antiqua" w:hAnsi="Book Antiqua"/>
          <w:color w:val="000000"/>
          <w:sz w:val="24"/>
          <w:szCs w:val="24"/>
          <w:highlight w:val="none"/>
          <w:lang w:val="en-US" w:eastAsia="zh-CN"/>
        </w:rPr>
      </w:pPr>
    </w:p>
    <w:p>
      <w:pPr>
        <w:spacing w:after="0" w:line="360" w:lineRule="auto"/>
        <w:jc w:val="both"/>
        <w:rPr>
          <w:rFonts w:ascii="Book Antiqua" w:hAnsi="Book Antiqua"/>
          <w:b/>
          <w:bCs/>
          <w:color w:val="000000"/>
          <w:sz w:val="24"/>
          <w:szCs w:val="24"/>
          <w:highlight w:val="none"/>
          <w:u w:val="single"/>
          <w:lang w:val="en-US"/>
        </w:rPr>
      </w:pPr>
      <w:r>
        <w:rPr>
          <w:rFonts w:ascii="Book Antiqua" w:hAnsi="Book Antiqua"/>
          <w:b/>
          <w:bCs/>
          <w:color w:val="000000"/>
          <w:sz w:val="24"/>
          <w:szCs w:val="24"/>
          <w:highlight w:val="none"/>
          <w:u w:val="single"/>
          <w:lang w:val="en-US"/>
        </w:rPr>
        <w:t>PRIMARY BILIARY CHOLANGITIS AND AUTOIMMUNE HEPATITIS IN IBD</w:t>
      </w:r>
    </w:p>
    <w:p>
      <w:pPr>
        <w:spacing w:after="0" w:line="360" w:lineRule="auto"/>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PBC is an autoimmune liver disease characterized by inflammatory cell infiltration of intralobular biliary ducts, with consequent biliary duct damage, which can progress towards fibrosis. Currently, there is no solid link between IBD and PBC, as only a few case reports have been published. The most consistent case series involving six PBC patients in a cohort of IBD subjects during the period 2006-2016 (3 CD and 3 UC), who were diagnosed with PBC by liver biopsy responded to ursodeoxycholic acid therapy</w:t>
      </w:r>
      <w:r>
        <w:rPr>
          <w:rFonts w:ascii="Book Antiqua" w:hAnsi="Book Antiqua"/>
          <w:color w:val="000000"/>
          <w:sz w:val="24"/>
          <w:szCs w:val="24"/>
          <w:highlight w:val="none"/>
          <w:vertAlign w:val="superscript"/>
          <w:lang w:val="en-US"/>
        </w:rPr>
        <w:t>[37]</w:t>
      </w:r>
      <w:r>
        <w:rPr>
          <w:rFonts w:ascii="Book Antiqua" w:hAnsi="Book Antiqua"/>
          <w:color w:val="000000"/>
          <w:sz w:val="24"/>
          <w:szCs w:val="24"/>
          <w:highlight w:val="none"/>
          <w:lang w:val="en-US"/>
        </w:rPr>
        <w:t>. In a genetic association study, it was found that TNFSF15 and ICOSLG-CXCR5 might be a shared pathogenic pathway in the development of PBC and CD</w:t>
      </w:r>
      <w:r>
        <w:rPr>
          <w:rFonts w:ascii="Book Antiqua" w:hAnsi="Book Antiqua"/>
          <w:color w:val="000000"/>
          <w:sz w:val="24"/>
          <w:szCs w:val="24"/>
          <w:highlight w:val="none"/>
          <w:vertAlign w:val="superscript"/>
          <w:lang w:val="en-US"/>
        </w:rPr>
        <w:t>[38]</w:t>
      </w:r>
      <w:r>
        <w:rPr>
          <w:rFonts w:ascii="Book Antiqua" w:hAnsi="Book Antiqua"/>
          <w:color w:val="000000"/>
          <w:sz w:val="24"/>
          <w:szCs w:val="24"/>
          <w:highlight w:val="none"/>
          <w:lang w:val="en-US"/>
        </w:rPr>
        <w:t>.</w:t>
      </w:r>
    </w:p>
    <w:p>
      <w:pPr>
        <w:spacing w:after="0" w:line="360" w:lineRule="auto"/>
        <w:ind w:firstLine="240" w:firstLineChars="100"/>
        <w:jc w:val="both"/>
        <w:rPr>
          <w:rFonts w:ascii="Book Antiqua" w:hAnsi="Book Antiqua"/>
          <w:color w:val="000000"/>
          <w:sz w:val="24"/>
          <w:szCs w:val="24"/>
          <w:highlight w:val="none"/>
          <w:lang w:val="en-US" w:eastAsia="zh-CN"/>
        </w:rPr>
      </w:pPr>
      <w:r>
        <w:rPr>
          <w:rFonts w:ascii="Book Antiqua" w:hAnsi="Book Antiqua"/>
          <w:color w:val="000000"/>
          <w:sz w:val="24"/>
          <w:szCs w:val="24"/>
          <w:highlight w:val="none"/>
          <w:lang w:val="en-US"/>
        </w:rPr>
        <w:t>Similarly, only some case reports on the association between IBD and autoimmune hepatitis (AIH) have been published. A systematic review found approximately 109 cases, which were mostly overlap syndrome with PBC. The authors reported that jaundice was the most common onset sign and that response to steroids was good, with a low mortality rate</w:t>
      </w:r>
      <w:r>
        <w:rPr>
          <w:rFonts w:ascii="Book Antiqua" w:hAnsi="Book Antiqua"/>
          <w:color w:val="000000"/>
          <w:sz w:val="24"/>
          <w:szCs w:val="24"/>
          <w:highlight w:val="none"/>
          <w:vertAlign w:val="superscript"/>
          <w:lang w:val="en-US"/>
        </w:rPr>
        <w:t>[39]</w:t>
      </w:r>
      <w:r>
        <w:rPr>
          <w:rFonts w:ascii="Book Antiqua" w:hAnsi="Book Antiqua"/>
          <w:color w:val="000000"/>
          <w:sz w:val="24"/>
          <w:szCs w:val="24"/>
          <w:highlight w:val="none"/>
          <w:lang w:val="en-US"/>
        </w:rPr>
        <w:t>. Interestingly, a case report of AIH onset after starting adalimumab has been described, which underlines the possibility that an immunogenic drug may alter an equilibrium in the immune system</w:t>
      </w:r>
      <w:r>
        <w:rPr>
          <w:rFonts w:ascii="Book Antiqua" w:hAnsi="Book Antiqua"/>
          <w:color w:val="000000"/>
          <w:sz w:val="24"/>
          <w:szCs w:val="24"/>
          <w:highlight w:val="none"/>
          <w:vertAlign w:val="superscript"/>
          <w:lang w:val="en-US"/>
        </w:rPr>
        <w:t>[40]</w:t>
      </w:r>
      <w:r>
        <w:rPr>
          <w:rFonts w:ascii="Book Antiqua" w:hAnsi="Book Antiqua"/>
          <w:color w:val="000000"/>
          <w:sz w:val="24"/>
          <w:szCs w:val="24"/>
          <w:highlight w:val="none"/>
          <w:lang w:val="en-US"/>
        </w:rPr>
        <w:t>.</w:t>
      </w:r>
    </w:p>
    <w:p>
      <w:pPr>
        <w:spacing w:after="0" w:line="360" w:lineRule="auto"/>
        <w:jc w:val="both"/>
        <w:rPr>
          <w:rFonts w:ascii="Book Antiqua" w:hAnsi="Book Antiqua"/>
          <w:color w:val="000000"/>
          <w:sz w:val="24"/>
          <w:szCs w:val="24"/>
          <w:highlight w:val="none"/>
          <w:lang w:val="en-US" w:eastAsia="zh-CN"/>
        </w:rPr>
      </w:pPr>
    </w:p>
    <w:p>
      <w:pPr>
        <w:spacing w:after="0" w:line="360" w:lineRule="auto"/>
        <w:jc w:val="both"/>
        <w:rPr>
          <w:rFonts w:ascii="Book Antiqua" w:hAnsi="Book Antiqua"/>
          <w:b/>
          <w:bCs/>
          <w:color w:val="000000"/>
          <w:sz w:val="24"/>
          <w:szCs w:val="24"/>
          <w:highlight w:val="none"/>
          <w:u w:val="single"/>
          <w:lang w:val="en-GB"/>
        </w:rPr>
      </w:pPr>
      <w:r>
        <w:rPr>
          <w:rFonts w:ascii="Book Antiqua" w:hAnsi="Book Antiqua"/>
          <w:b/>
          <w:bCs/>
          <w:color w:val="000000"/>
          <w:sz w:val="24"/>
          <w:szCs w:val="24"/>
          <w:highlight w:val="none"/>
          <w:u w:val="single"/>
          <w:lang w:val="en-GB"/>
        </w:rPr>
        <w:t>HEPATIC STEATOSIS IN IBD</w:t>
      </w:r>
    </w:p>
    <w:p>
      <w:pPr>
        <w:spacing w:after="0" w:line="360" w:lineRule="auto"/>
        <w:jc w:val="both"/>
        <w:rPr>
          <w:rFonts w:ascii="Book Antiqua" w:hAnsi="Book Antiqua"/>
          <w:color w:val="000000"/>
          <w:sz w:val="24"/>
          <w:szCs w:val="24"/>
          <w:highlight w:val="none"/>
          <w:shd w:val="clear" w:color="auto" w:fill="FFFFFF"/>
          <w:lang w:val="en-GB"/>
        </w:rPr>
      </w:pPr>
      <w:r>
        <w:rPr>
          <w:rFonts w:ascii="Book Antiqua" w:hAnsi="Book Antiqua"/>
          <w:color w:val="000000"/>
          <w:sz w:val="24"/>
          <w:szCs w:val="24"/>
          <w:highlight w:val="none"/>
          <w:shd w:val="clear" w:color="auto" w:fill="FFFFFF"/>
          <w:lang w:val="en-GB"/>
        </w:rPr>
        <w:t xml:space="preserve">Hepatic steatosis is defined as intrahepatic fat accumulation of at least 5% of liver weight. Prolonged hepatic lipid storage may lead to liver metabolic dysfunction, inflammation, and advanced forms of </w:t>
      </w:r>
      <w:r>
        <w:rPr>
          <w:rFonts w:ascii="Book Antiqua" w:hAnsi="Book Antiqua"/>
          <w:color w:val="000000"/>
          <w:sz w:val="24"/>
          <w:szCs w:val="24"/>
          <w:highlight w:val="none"/>
          <w:lang w:val="en-US"/>
        </w:rPr>
        <w:t>NAFLD</w:t>
      </w:r>
      <w:r>
        <w:rPr>
          <w:rFonts w:ascii="Book Antiqua" w:hAnsi="Book Antiqua"/>
          <w:color w:val="000000"/>
          <w:sz w:val="24"/>
          <w:szCs w:val="24"/>
          <w:highlight w:val="none"/>
          <w:shd w:val="clear" w:color="auto" w:fill="FFFFFF"/>
          <w:lang w:val="en-GB"/>
        </w:rPr>
        <w:t xml:space="preserve">. Non-alcoholic hepatic steatosis is associated with obesity, type 2 diabetes and dyslipidemia. Several mechanisms are involved in the accumulation of intrahepatic fat, including increased flux of fatty acids to the liver, increased </w:t>
      </w:r>
      <w:r>
        <w:rPr>
          <w:rFonts w:ascii="Book Antiqua" w:hAnsi="Book Antiqua"/>
          <w:i/>
          <w:color w:val="000000"/>
          <w:sz w:val="24"/>
          <w:szCs w:val="24"/>
          <w:highlight w:val="none"/>
          <w:shd w:val="clear" w:color="auto" w:fill="FFFFFF"/>
          <w:lang w:val="en-GB"/>
        </w:rPr>
        <w:t>de novo</w:t>
      </w:r>
      <w:r>
        <w:rPr>
          <w:rFonts w:ascii="Book Antiqua" w:hAnsi="Book Antiqua"/>
          <w:color w:val="000000"/>
          <w:sz w:val="24"/>
          <w:szCs w:val="24"/>
          <w:highlight w:val="none"/>
          <w:shd w:val="clear" w:color="auto" w:fill="FFFFFF"/>
          <w:lang w:val="en-GB"/>
        </w:rPr>
        <w:t xml:space="preserve"> lipogenesis, and/or reduced clearance through </w:t>
      </w:r>
      <w:r>
        <w:rPr>
          <w:rFonts w:ascii="Book Antiqua" w:hAnsi="Book Antiqua"/>
          <w:color w:val="000000"/>
          <w:sz w:val="24"/>
          <w:szCs w:val="24"/>
          <w:highlight w:val="none"/>
          <w:shd w:val="clear" w:color="auto" w:fill="FFFFFF"/>
        </w:rPr>
        <w:t>β</w:t>
      </w:r>
      <w:r>
        <w:rPr>
          <w:rFonts w:ascii="Book Antiqua" w:hAnsi="Book Antiqua"/>
          <w:color w:val="000000"/>
          <w:sz w:val="24"/>
          <w:szCs w:val="24"/>
          <w:highlight w:val="none"/>
          <w:shd w:val="clear" w:color="auto" w:fill="FFFFFF"/>
          <w:lang w:val="en-GB"/>
        </w:rPr>
        <w:t>-oxidation or very-low-density lipoprotein secretion</w:t>
      </w:r>
      <w:r>
        <w:rPr>
          <w:rFonts w:ascii="Book Antiqua" w:hAnsi="Book Antiqua"/>
          <w:color w:val="000000"/>
          <w:sz w:val="24"/>
          <w:szCs w:val="24"/>
          <w:highlight w:val="none"/>
          <w:shd w:val="clear" w:color="auto" w:fill="FFFFFF"/>
          <w:vertAlign w:val="superscript"/>
          <w:lang w:val="en-GB"/>
        </w:rPr>
        <w:t>[41,42]</w:t>
      </w:r>
      <w:r>
        <w:rPr>
          <w:rFonts w:ascii="Book Antiqua" w:hAnsi="Book Antiqua"/>
          <w:color w:val="000000"/>
          <w:sz w:val="24"/>
          <w:szCs w:val="24"/>
          <w:highlight w:val="none"/>
          <w:shd w:val="clear" w:color="auto" w:fill="FFFFFF"/>
          <w:lang w:val="en-GB"/>
        </w:rPr>
        <w:t xml:space="preserve"> in the absence of secondary causes of lipid overload such as significant alcohol intake.</w:t>
      </w:r>
    </w:p>
    <w:p>
      <w:pPr>
        <w:spacing w:after="0" w:line="360" w:lineRule="auto"/>
        <w:ind w:firstLine="240" w:firstLineChars="100"/>
        <w:jc w:val="both"/>
        <w:rPr>
          <w:rFonts w:ascii="Book Antiqua" w:hAnsi="Book Antiqua"/>
          <w:color w:val="000000"/>
          <w:sz w:val="24"/>
          <w:szCs w:val="24"/>
          <w:highlight w:val="none"/>
          <w:shd w:val="clear" w:color="auto" w:fill="FFFFFF"/>
          <w:lang w:val="en-GB"/>
        </w:rPr>
      </w:pPr>
      <w:r>
        <w:rPr>
          <w:rFonts w:ascii="Book Antiqua" w:hAnsi="Book Antiqua"/>
          <w:color w:val="000000"/>
          <w:sz w:val="24"/>
          <w:szCs w:val="24"/>
          <w:highlight w:val="none"/>
          <w:shd w:val="clear" w:color="auto" w:fill="FFFFFF"/>
          <w:lang w:val="en-GB"/>
        </w:rPr>
        <w:t>A link between hepatic steatosis and IBD has been studied since 1873, when Thomas</w:t>
      </w:r>
      <w:r>
        <w:rPr>
          <w:rFonts w:ascii="Book Antiqua" w:hAnsi="Book Antiqua"/>
          <w:color w:val="000000"/>
          <w:sz w:val="24"/>
          <w:szCs w:val="24"/>
          <w:highlight w:val="none"/>
          <w:shd w:val="clear" w:color="auto" w:fill="FFFFFF"/>
          <w:vertAlign w:val="superscript"/>
          <w:lang w:val="en-GB"/>
        </w:rPr>
        <w:t>[43]</w:t>
      </w:r>
      <w:r>
        <w:rPr>
          <w:rFonts w:ascii="Book Antiqua" w:hAnsi="Book Antiqua"/>
          <w:color w:val="000000"/>
          <w:sz w:val="24"/>
          <w:szCs w:val="24"/>
          <w:highlight w:val="none"/>
          <w:shd w:val="clear" w:color="auto" w:fill="FFFFFF"/>
          <w:lang w:val="en-GB"/>
        </w:rPr>
        <w:t xml:space="preserve"> described for the first time the association between “ulceration of the colon” and a “much enlarged fatty liver”. In recent years, due to the spread of obesity in the context of IBD</w:t>
      </w:r>
      <w:r>
        <w:rPr>
          <w:rFonts w:ascii="Book Antiqua" w:hAnsi="Book Antiqua"/>
          <w:color w:val="000000"/>
          <w:sz w:val="24"/>
          <w:szCs w:val="24"/>
          <w:highlight w:val="none"/>
          <w:shd w:val="clear" w:color="auto" w:fill="FFFFFF"/>
          <w:vertAlign w:val="superscript"/>
          <w:lang w:val="en-GB"/>
        </w:rPr>
        <w:t>[44]</w:t>
      </w:r>
      <w:r>
        <w:rPr>
          <w:rFonts w:ascii="Book Antiqua" w:hAnsi="Book Antiqua"/>
          <w:color w:val="000000"/>
          <w:sz w:val="24"/>
          <w:szCs w:val="24"/>
          <w:highlight w:val="none"/>
          <w:shd w:val="clear" w:color="auto" w:fill="FFFFFF"/>
          <w:lang w:val="en-GB"/>
        </w:rPr>
        <w:t>, fatty liver disease has been increasingly recognized in IBD. The intestinal inflammatory state and gut barrier perturbation secondary to IBD might increase toxin and bacterial constituents translocation from the gut to the portal vein; this event has been recognized as a possible pathophysiologic mechanism underlying NAFLD</w:t>
      </w:r>
      <w:r>
        <w:rPr>
          <w:rFonts w:ascii="Book Antiqua" w:hAnsi="Book Antiqua"/>
          <w:color w:val="000000"/>
          <w:sz w:val="24"/>
          <w:szCs w:val="24"/>
          <w:highlight w:val="none"/>
          <w:shd w:val="clear" w:color="auto" w:fill="FFFFFF"/>
          <w:vertAlign w:val="superscript"/>
          <w:lang w:val="en-GB"/>
        </w:rPr>
        <w:t>[45]</w:t>
      </w:r>
      <w:r>
        <w:rPr>
          <w:rFonts w:ascii="Book Antiqua" w:hAnsi="Book Antiqua"/>
          <w:color w:val="000000"/>
          <w:sz w:val="24"/>
          <w:szCs w:val="24"/>
          <w:highlight w:val="none"/>
          <w:shd w:val="clear" w:color="auto" w:fill="FFFFFF"/>
          <w:lang w:val="en-GB"/>
        </w:rPr>
        <w:t xml:space="preserve">. Moreover, diets poor in </w:t>
      </w:r>
      <w:r>
        <w:rPr>
          <w:rFonts w:ascii="Book Antiqua" w:hAnsi="Book Antiqua"/>
          <w:color w:val="000000"/>
          <w:sz w:val="24"/>
          <w:szCs w:val="24"/>
          <w:highlight w:val="none"/>
          <w:lang w:val="en-GB"/>
        </w:rPr>
        <w:t xml:space="preserve">high fiber foods, such as fruits and vegetables, frequently consumed by IBD subjects to avoid </w:t>
      </w:r>
      <w:r>
        <w:rPr>
          <w:rFonts w:ascii="Book Antiqua" w:hAnsi="Book Antiqua"/>
          <w:color w:val="000000"/>
          <w:sz w:val="24"/>
          <w:szCs w:val="24"/>
          <w:highlight w:val="none"/>
          <w:shd w:val="clear" w:color="auto" w:fill="FFFFFF"/>
          <w:lang w:val="en-GB"/>
        </w:rPr>
        <w:t>intestinal symptoms, could lead to a great prevalence of NAFLD</w:t>
      </w:r>
      <w:r>
        <w:rPr>
          <w:rFonts w:ascii="Book Antiqua" w:hAnsi="Book Antiqua"/>
          <w:color w:val="000000"/>
          <w:sz w:val="24"/>
          <w:szCs w:val="24"/>
          <w:highlight w:val="none"/>
          <w:shd w:val="clear" w:color="auto" w:fill="FFFFFF"/>
          <w:vertAlign w:val="superscript"/>
          <w:lang w:val="en-GB"/>
        </w:rPr>
        <w:t>[46]</w:t>
      </w:r>
      <w:r>
        <w:rPr>
          <w:rFonts w:ascii="Book Antiqua" w:hAnsi="Book Antiqua"/>
          <w:color w:val="000000"/>
          <w:sz w:val="24"/>
          <w:szCs w:val="24"/>
          <w:highlight w:val="none"/>
          <w:shd w:val="clear" w:color="auto" w:fill="FFFFFF"/>
          <w:lang w:val="en-GB"/>
        </w:rPr>
        <w:t>. Moreover, food components and alimentary habits with high proteins and fats, excessive sugar intake and less vegetables and fiber can influence the composition of the intestinal microbiome, and play a role in driving IBD pathogenesis and fat metabolism leading tog NAFLD onset</w:t>
      </w:r>
      <w:r>
        <w:rPr>
          <w:rFonts w:ascii="Book Antiqua" w:hAnsi="Book Antiqua"/>
          <w:color w:val="000000"/>
          <w:sz w:val="24"/>
          <w:szCs w:val="24"/>
          <w:highlight w:val="none"/>
          <w:shd w:val="clear" w:color="auto" w:fill="FFFFFF"/>
          <w:vertAlign w:val="superscript"/>
          <w:lang w:val="en-GB"/>
        </w:rPr>
        <w:t>[47]</w:t>
      </w:r>
      <w:r>
        <w:rPr>
          <w:rFonts w:ascii="Book Antiqua" w:hAnsi="Book Antiqua"/>
          <w:color w:val="000000"/>
          <w:sz w:val="24"/>
          <w:szCs w:val="24"/>
          <w:highlight w:val="none"/>
          <w:shd w:val="clear" w:color="auto" w:fill="FFFFFF"/>
          <w:lang w:val="en-GB"/>
        </w:rPr>
        <w:t>.</w:t>
      </w:r>
    </w:p>
    <w:p>
      <w:pPr>
        <w:spacing w:after="0" w:line="360" w:lineRule="auto"/>
        <w:ind w:firstLine="240" w:firstLineChars="100"/>
        <w:jc w:val="both"/>
        <w:rPr>
          <w:rFonts w:ascii="Book Antiqua" w:hAnsi="Book Antiqua"/>
          <w:color w:val="000000"/>
          <w:sz w:val="24"/>
          <w:szCs w:val="24"/>
          <w:highlight w:val="none"/>
          <w:shd w:val="clear" w:color="auto" w:fill="FFFFFF"/>
          <w:lang w:val="en-GB"/>
        </w:rPr>
      </w:pPr>
      <w:r>
        <w:rPr>
          <w:rFonts w:ascii="Book Antiqua" w:hAnsi="Book Antiqua"/>
          <w:color w:val="000000"/>
          <w:sz w:val="24"/>
          <w:szCs w:val="24"/>
          <w:highlight w:val="none"/>
          <w:shd w:val="clear" w:color="auto" w:fill="FFFFFF"/>
          <w:lang w:val="en-GB"/>
        </w:rPr>
        <w:t>A recent meta-analysis showed that the overall pooled prevalence of NAFLD in IBD patients was 27.5%</w:t>
      </w:r>
      <w:r>
        <w:rPr>
          <w:rFonts w:ascii="Book Antiqua" w:hAnsi="Book Antiqua"/>
          <w:color w:val="000000"/>
          <w:sz w:val="24"/>
          <w:szCs w:val="24"/>
          <w:highlight w:val="none"/>
          <w:shd w:val="clear" w:color="auto" w:fill="FFFFFF"/>
          <w:vertAlign w:val="superscript"/>
          <w:lang w:val="en-GB"/>
        </w:rPr>
        <w:t>[48]</w:t>
      </w:r>
      <w:r>
        <w:rPr>
          <w:rFonts w:ascii="Book Antiqua" w:hAnsi="Book Antiqua"/>
          <w:color w:val="000000"/>
          <w:sz w:val="24"/>
          <w:szCs w:val="24"/>
          <w:highlight w:val="none"/>
          <w:shd w:val="clear" w:color="auto" w:fill="FFFFFF"/>
          <w:lang w:val="en-GB"/>
        </w:rPr>
        <w:t xml:space="preserve">. NAFLD, in particular, was more common among patients with features of severe IBD, such as longer disease duration or a history of abdominal surgery. </w:t>
      </w:r>
    </w:p>
    <w:p>
      <w:pPr>
        <w:spacing w:after="0" w:line="360" w:lineRule="auto"/>
        <w:jc w:val="both"/>
        <w:rPr>
          <w:rFonts w:ascii="Book Antiqua" w:hAnsi="Book Antiqua"/>
          <w:color w:val="000000"/>
          <w:sz w:val="24"/>
          <w:szCs w:val="24"/>
          <w:highlight w:val="none"/>
          <w:shd w:val="clear" w:color="auto" w:fill="FFFFFF"/>
          <w:lang w:val="en-GB"/>
        </w:rPr>
      </w:pPr>
      <w:r>
        <w:rPr>
          <w:rFonts w:ascii="Book Antiqua" w:hAnsi="Book Antiqua"/>
          <w:color w:val="000000"/>
          <w:sz w:val="24"/>
          <w:szCs w:val="24"/>
          <w:highlight w:val="none"/>
          <w:shd w:val="clear" w:color="auto" w:fill="FFFFFF"/>
          <w:lang w:val="en-GB"/>
        </w:rPr>
        <w:t>Another study by Bessisow</w:t>
      </w:r>
      <w:r>
        <w:rPr>
          <w:rFonts w:ascii="Book Antiqua" w:hAnsi="Book Antiqua"/>
          <w:i/>
          <w:color w:val="000000"/>
          <w:sz w:val="24"/>
          <w:szCs w:val="24"/>
          <w:highlight w:val="none"/>
          <w:shd w:val="clear" w:color="auto" w:fill="FFFFFF"/>
          <w:lang w:val="en-GB"/>
        </w:rPr>
        <w:t xml:space="preserve"> et al</w:t>
      </w:r>
      <w:r>
        <w:rPr>
          <w:rFonts w:ascii="Book Antiqua" w:hAnsi="Book Antiqua"/>
          <w:color w:val="000000"/>
          <w:sz w:val="24"/>
          <w:szCs w:val="24"/>
          <w:highlight w:val="none"/>
          <w:shd w:val="clear" w:color="auto" w:fill="FFFFFF"/>
          <w:vertAlign w:val="superscript"/>
          <w:lang w:val="en-GB"/>
        </w:rPr>
        <w:t>[49]</w:t>
      </w:r>
      <w:r>
        <w:rPr>
          <w:rFonts w:ascii="Book Antiqua" w:hAnsi="Book Antiqua"/>
          <w:color w:val="000000"/>
          <w:sz w:val="24"/>
          <w:szCs w:val="24"/>
          <w:highlight w:val="none"/>
          <w:shd w:val="clear" w:color="auto" w:fill="FFFFFF"/>
          <w:lang w:val="en-GB"/>
        </w:rPr>
        <w:t xml:space="preserve"> showed a frequency of NAFLD in IBD of 33.6% and demonstrated that disease activity, duration of IBD and prior surgery were predictors of NAFLD development.</w:t>
      </w:r>
    </w:p>
    <w:p>
      <w:pPr>
        <w:spacing w:after="0" w:line="360" w:lineRule="auto"/>
        <w:ind w:firstLine="240" w:firstLineChars="100"/>
        <w:jc w:val="both"/>
        <w:rPr>
          <w:rFonts w:ascii="Book Antiqua" w:hAnsi="Book Antiqua"/>
          <w:color w:val="000000"/>
          <w:sz w:val="24"/>
          <w:szCs w:val="24"/>
          <w:highlight w:val="none"/>
          <w:shd w:val="clear" w:color="auto" w:fill="FFFFFF"/>
          <w:lang w:val="en-GB"/>
        </w:rPr>
      </w:pPr>
      <w:r>
        <w:rPr>
          <w:rFonts w:ascii="Book Antiqua" w:hAnsi="Book Antiqua"/>
          <w:color w:val="000000"/>
          <w:sz w:val="24"/>
          <w:szCs w:val="24"/>
          <w:highlight w:val="none"/>
          <w:shd w:val="clear" w:color="auto" w:fill="FFFFFF"/>
          <w:lang w:val="en-GB"/>
        </w:rPr>
        <w:t>Conversely, in a Japanese study</w:t>
      </w:r>
      <w:r>
        <w:rPr>
          <w:rFonts w:ascii="Book Antiqua" w:hAnsi="Book Antiqua"/>
          <w:color w:val="000000"/>
          <w:sz w:val="24"/>
          <w:szCs w:val="24"/>
          <w:highlight w:val="none"/>
          <w:shd w:val="clear" w:color="auto" w:fill="FFFFFF"/>
          <w:vertAlign w:val="superscript"/>
          <w:lang w:val="en-GB"/>
        </w:rPr>
        <w:t>[50]</w:t>
      </w:r>
      <w:r>
        <w:rPr>
          <w:rFonts w:ascii="Book Antiqua" w:hAnsi="Book Antiqua"/>
          <w:color w:val="000000"/>
          <w:sz w:val="24"/>
          <w:szCs w:val="24"/>
          <w:highlight w:val="none"/>
          <w:shd w:val="clear" w:color="auto" w:fill="FFFFFF"/>
          <w:lang w:val="en-GB"/>
        </w:rPr>
        <w:t xml:space="preserve">, the ultrasonographic prevalence of NAFLD in CD was 21.8% and this was the only study in which NAFLD was identified as an independent predictor of a negative C-reactive protein level and higher rate of remission, so NAFLD might offer a protective effect in patients with CD. </w:t>
      </w:r>
    </w:p>
    <w:p>
      <w:pPr>
        <w:spacing w:after="0" w:line="360" w:lineRule="auto"/>
        <w:ind w:firstLine="240" w:firstLineChars="100"/>
        <w:jc w:val="both"/>
        <w:rPr>
          <w:rFonts w:ascii="Book Antiqua" w:hAnsi="Book Antiqua"/>
          <w:color w:val="000000"/>
          <w:sz w:val="24"/>
          <w:szCs w:val="24"/>
          <w:highlight w:val="none"/>
          <w:shd w:val="clear" w:color="auto" w:fill="FFFFFF"/>
          <w:lang w:val="en-GB"/>
        </w:rPr>
      </w:pPr>
      <w:r>
        <w:rPr>
          <w:rFonts w:ascii="Book Antiqua" w:hAnsi="Book Antiqua"/>
          <w:color w:val="000000"/>
          <w:sz w:val="24"/>
          <w:szCs w:val="24"/>
          <w:highlight w:val="none"/>
          <w:shd w:val="clear" w:color="auto" w:fill="FFFFFF"/>
          <w:lang w:val="en-GB"/>
        </w:rPr>
        <w:t xml:space="preserve">Nevertheless, most studies did not include non-IBD patients as a control group. </w:t>
      </w:r>
    </w:p>
    <w:p>
      <w:pPr>
        <w:spacing w:after="0" w:line="360" w:lineRule="auto"/>
        <w:ind w:firstLine="240" w:firstLineChars="100"/>
        <w:jc w:val="both"/>
        <w:rPr>
          <w:rFonts w:ascii="Book Antiqua" w:hAnsi="Book Antiqua"/>
          <w:color w:val="000000"/>
          <w:sz w:val="24"/>
          <w:szCs w:val="24"/>
          <w:highlight w:val="none"/>
          <w:shd w:val="clear" w:color="auto" w:fill="FFFFFF"/>
          <w:lang w:val="en-GB"/>
        </w:rPr>
      </w:pPr>
      <w:r>
        <w:rPr>
          <w:rFonts w:ascii="Book Antiqua" w:hAnsi="Book Antiqua"/>
          <w:color w:val="000000"/>
          <w:sz w:val="24"/>
          <w:szCs w:val="24"/>
          <w:highlight w:val="none"/>
          <w:shd w:val="clear" w:color="auto" w:fill="FFFFFF"/>
          <w:lang w:val="en-GB"/>
        </w:rPr>
        <w:t>Glassner</w:t>
      </w:r>
      <w:r>
        <w:rPr>
          <w:rFonts w:ascii="Book Antiqua" w:hAnsi="Book Antiqua"/>
          <w:i/>
          <w:color w:val="000000"/>
          <w:sz w:val="24"/>
          <w:szCs w:val="24"/>
          <w:highlight w:val="none"/>
          <w:shd w:val="clear" w:color="auto" w:fill="FFFFFF"/>
          <w:lang w:val="en-GB"/>
        </w:rPr>
        <w:t xml:space="preserve"> et al</w:t>
      </w:r>
      <w:r>
        <w:rPr>
          <w:rFonts w:ascii="Book Antiqua" w:hAnsi="Book Antiqua"/>
          <w:color w:val="000000"/>
          <w:sz w:val="24"/>
          <w:szCs w:val="24"/>
          <w:highlight w:val="none"/>
          <w:shd w:val="clear" w:color="auto" w:fill="FFFFFF"/>
          <w:vertAlign w:val="superscript"/>
          <w:lang w:val="en-GB"/>
        </w:rPr>
        <w:t>[51]</w:t>
      </w:r>
      <w:r>
        <w:rPr>
          <w:rFonts w:ascii="Book Antiqua" w:hAnsi="Book Antiqua"/>
          <w:color w:val="000000"/>
          <w:sz w:val="24"/>
          <w:szCs w:val="24"/>
          <w:highlight w:val="none"/>
          <w:shd w:val="clear" w:color="auto" w:fill="FFFFFF"/>
          <w:lang w:val="en-GB"/>
        </w:rPr>
        <w:t xml:space="preserve"> examined 3 groups of patients: IBD + NAFLD, IBD alone, and NAFLD alone. A total of 168 patients were evaluated, 56 patients in each group. They found an overall NAFLD prevalence of 13.3% in IBD patients. IBD patients with NAFLD had longer IBD disease duration and developed NAFLD even in the absence of metabolic risk factors when compared to patients with NAFLD alone. </w:t>
      </w:r>
    </w:p>
    <w:p>
      <w:pPr>
        <w:spacing w:after="0" w:line="360" w:lineRule="auto"/>
        <w:ind w:firstLine="240" w:firstLineChars="100"/>
        <w:jc w:val="both"/>
        <w:rPr>
          <w:rFonts w:ascii="Book Antiqua" w:hAnsi="Book Antiqua"/>
          <w:color w:val="000000"/>
          <w:sz w:val="24"/>
          <w:szCs w:val="24"/>
          <w:highlight w:val="none"/>
          <w:shd w:val="clear" w:color="auto" w:fill="FFFFFF"/>
          <w:lang w:val="en-GB"/>
        </w:rPr>
      </w:pPr>
      <w:r>
        <w:rPr>
          <w:rFonts w:ascii="Book Antiqua" w:hAnsi="Book Antiqua"/>
          <w:color w:val="000000"/>
          <w:sz w:val="24"/>
          <w:szCs w:val="24"/>
          <w:highlight w:val="none"/>
          <w:shd w:val="clear" w:color="auto" w:fill="FFFFFF"/>
          <w:lang w:val="en-GB"/>
        </w:rPr>
        <w:t>A study performed in 2018 by Principi</w:t>
      </w:r>
      <w:r>
        <w:rPr>
          <w:rFonts w:ascii="Book Antiqua" w:hAnsi="Book Antiqua"/>
          <w:i/>
          <w:color w:val="000000"/>
          <w:sz w:val="24"/>
          <w:szCs w:val="24"/>
          <w:highlight w:val="none"/>
          <w:shd w:val="clear" w:color="auto" w:fill="FFFFFF"/>
          <w:lang w:val="en-GB"/>
        </w:rPr>
        <w:t xml:space="preserve"> et al</w:t>
      </w:r>
      <w:r>
        <w:rPr>
          <w:rFonts w:ascii="Book Antiqua" w:hAnsi="Book Antiqua"/>
          <w:color w:val="000000"/>
          <w:sz w:val="24"/>
          <w:szCs w:val="24"/>
          <w:highlight w:val="none"/>
          <w:shd w:val="clear" w:color="auto" w:fill="FFFFFF"/>
          <w:vertAlign w:val="superscript"/>
          <w:lang w:val="en-GB"/>
        </w:rPr>
        <w:t>[52]</w:t>
      </w:r>
      <w:r>
        <w:rPr>
          <w:rFonts w:ascii="Book Antiqua" w:hAnsi="Book Antiqua"/>
          <w:color w:val="000000"/>
          <w:sz w:val="24"/>
          <w:szCs w:val="24"/>
          <w:highlight w:val="none"/>
          <w:shd w:val="clear" w:color="auto" w:fill="FFFFFF"/>
          <w:lang w:val="en-GB"/>
        </w:rPr>
        <w:t xml:space="preserve"> included 465 IBD patients and 223 non-IBD patients. The prevalence of NAFLD was higher in IBD than in non-IBD patients (28.0%</w:t>
      </w:r>
      <w:r>
        <w:rPr>
          <w:rFonts w:ascii="Book Antiqua" w:hAnsi="Book Antiqua"/>
          <w:i/>
          <w:color w:val="000000"/>
          <w:sz w:val="24"/>
          <w:szCs w:val="24"/>
          <w:highlight w:val="none"/>
          <w:shd w:val="clear" w:color="auto" w:fill="FFFFFF"/>
          <w:lang w:val="en-GB"/>
        </w:rPr>
        <w:t xml:space="preserve"> vs </w:t>
      </w:r>
      <w:r>
        <w:rPr>
          <w:rFonts w:ascii="Book Antiqua" w:hAnsi="Book Antiqua"/>
          <w:color w:val="000000"/>
          <w:sz w:val="24"/>
          <w:szCs w:val="24"/>
          <w:highlight w:val="none"/>
          <w:shd w:val="clear" w:color="auto" w:fill="FFFFFF"/>
          <w:lang w:val="en-GB"/>
        </w:rPr>
        <w:t>20.1% respectively,</w:t>
      </w:r>
      <w:r>
        <w:rPr>
          <w:rFonts w:ascii="Book Antiqua" w:hAnsi="Book Antiqua"/>
          <w:i/>
          <w:color w:val="000000"/>
          <w:sz w:val="24"/>
          <w:szCs w:val="24"/>
          <w:highlight w:val="none"/>
          <w:shd w:val="clear" w:color="auto" w:fill="FFFFFF"/>
          <w:lang w:val="en-GB"/>
        </w:rPr>
        <w:t xml:space="preserve"> P = </w:t>
      </w:r>
      <w:r>
        <w:rPr>
          <w:rFonts w:ascii="Book Antiqua" w:hAnsi="Book Antiqua"/>
          <w:color w:val="000000"/>
          <w:sz w:val="24"/>
          <w:szCs w:val="24"/>
          <w:highlight w:val="none"/>
          <w:shd w:val="clear" w:color="auto" w:fill="FFFFFF"/>
          <w:lang w:val="en-GB"/>
        </w:rPr>
        <w:t>0.04); furthermore, younger age was observed in NAFLD-IBD than in non-IBD individuals, whereas no other differences were found between these two subgroups. Regarding risk factors, diabetes and fasting blood glucose were associated with development of NAFLD in IBD, without any difference in the populations without IBD, with only a higher waist circumference in IBD compared to non-IBD patients. No IBD-related variable was associated with NAFLD.</w:t>
      </w:r>
    </w:p>
    <w:p>
      <w:pPr>
        <w:spacing w:after="0" w:line="360" w:lineRule="auto"/>
        <w:ind w:firstLine="240" w:firstLineChars="100"/>
        <w:jc w:val="both"/>
        <w:rPr>
          <w:rFonts w:ascii="Book Antiqua" w:hAnsi="Book Antiqua"/>
          <w:color w:val="000000"/>
          <w:sz w:val="24"/>
          <w:szCs w:val="24"/>
          <w:highlight w:val="none"/>
          <w:shd w:val="clear" w:color="auto" w:fill="FFFFFF"/>
          <w:lang w:val="en-GB"/>
        </w:rPr>
      </w:pPr>
      <w:r>
        <w:rPr>
          <w:rFonts w:ascii="Book Antiqua" w:hAnsi="Book Antiqua"/>
          <w:color w:val="000000"/>
          <w:sz w:val="24"/>
          <w:szCs w:val="24"/>
          <w:highlight w:val="none"/>
          <w:shd w:val="clear" w:color="auto" w:fill="FFFFFF"/>
          <w:lang w:val="en-GB"/>
        </w:rPr>
        <w:t>There are no studies on the progression of NASH in IBD. However, since IBD may induce gut barrier perturbation and an increase in toxin and bacterial translocation, it is possible that in patients with NAFLD, the coexistence of IBD can trigger the progression from simple steatosis to NASH. A single study, on the other hand, has shown that progression of fibrosis, estimated by the NAFLD fibrosis score, is quite rare in IBD</w:t>
      </w:r>
      <w:r>
        <w:rPr>
          <w:rFonts w:ascii="Book Antiqua" w:hAnsi="Book Antiqua"/>
          <w:color w:val="000000"/>
          <w:sz w:val="24"/>
          <w:szCs w:val="24"/>
          <w:highlight w:val="none"/>
          <w:shd w:val="clear" w:color="auto" w:fill="FFFFFF"/>
          <w:vertAlign w:val="superscript"/>
          <w:lang w:val="en-GB"/>
        </w:rPr>
        <w:t>[53]</w:t>
      </w:r>
      <w:r>
        <w:rPr>
          <w:rFonts w:ascii="Book Antiqua" w:hAnsi="Book Antiqua"/>
          <w:color w:val="000000"/>
          <w:sz w:val="24"/>
          <w:szCs w:val="24"/>
          <w:highlight w:val="none"/>
          <w:shd w:val="clear" w:color="auto" w:fill="FFFFFF"/>
          <w:lang w:val="en-GB"/>
        </w:rPr>
        <w:t>.</w:t>
      </w:r>
    </w:p>
    <w:p>
      <w:pPr>
        <w:spacing w:after="0" w:line="360" w:lineRule="auto"/>
        <w:ind w:firstLine="240" w:firstLineChars="100"/>
        <w:jc w:val="both"/>
        <w:rPr>
          <w:rFonts w:ascii="Book Antiqua" w:hAnsi="Book Antiqua"/>
          <w:color w:val="000000"/>
          <w:sz w:val="24"/>
          <w:szCs w:val="24"/>
          <w:highlight w:val="none"/>
          <w:shd w:val="clear" w:color="auto" w:fill="FFFFFF"/>
          <w:lang w:val="en-GB" w:eastAsia="zh-CN"/>
        </w:rPr>
      </w:pPr>
      <w:r>
        <w:rPr>
          <w:rFonts w:ascii="Book Antiqua" w:hAnsi="Book Antiqua"/>
          <w:color w:val="000000"/>
          <w:sz w:val="24"/>
          <w:szCs w:val="24"/>
          <w:highlight w:val="none"/>
          <w:shd w:val="clear" w:color="auto" w:fill="FFFFFF"/>
          <w:lang w:val="en-GB"/>
        </w:rPr>
        <w:t>In conclusion, NAFLD is common in patients with IBD. Screening, prevention, and early treatment of NAFLD might be recommended in IBD patients. However, a better understanding of the underlying mechanism of the coexistence of IBD and NAFLD is necessary to improve management. The treatment of NAFLD in IBD does not differ from other cases. In particular,</w:t>
      </w:r>
      <w:r>
        <w:rPr>
          <w:rFonts w:ascii="Book Antiqua" w:hAnsi="Book Antiqua"/>
          <w:color w:val="000000"/>
          <w:sz w:val="24"/>
          <w:szCs w:val="24"/>
          <w:highlight w:val="none"/>
          <w:lang w:val="en-GB"/>
        </w:rPr>
        <w:t xml:space="preserve"> </w:t>
      </w:r>
      <w:r>
        <w:rPr>
          <w:rFonts w:ascii="Book Antiqua" w:hAnsi="Book Antiqua"/>
          <w:color w:val="000000"/>
          <w:sz w:val="24"/>
          <w:szCs w:val="24"/>
          <w:highlight w:val="none"/>
          <w:shd w:val="clear" w:color="auto" w:fill="FFFFFF"/>
          <w:lang w:val="en-GB"/>
        </w:rPr>
        <w:t>so far only diet and physical exercise have been proved to be effective</w:t>
      </w:r>
      <w:r>
        <w:rPr>
          <w:rFonts w:ascii="Book Antiqua" w:hAnsi="Book Antiqua"/>
          <w:color w:val="000000"/>
          <w:sz w:val="24"/>
          <w:szCs w:val="24"/>
          <w:highlight w:val="none"/>
          <w:shd w:val="clear" w:color="auto" w:fill="FFFFFF"/>
          <w:vertAlign w:val="superscript"/>
          <w:lang w:val="en-GB"/>
        </w:rPr>
        <w:t>[54]</w:t>
      </w:r>
      <w:r>
        <w:rPr>
          <w:rFonts w:ascii="Book Antiqua" w:hAnsi="Book Antiqua"/>
          <w:color w:val="000000"/>
          <w:sz w:val="24"/>
          <w:szCs w:val="24"/>
          <w:highlight w:val="none"/>
          <w:shd w:val="clear" w:color="auto" w:fill="FFFFFF"/>
          <w:lang w:val="en-GB"/>
        </w:rPr>
        <w:t>.</w:t>
      </w:r>
    </w:p>
    <w:p>
      <w:pPr>
        <w:spacing w:after="0" w:line="360" w:lineRule="auto"/>
        <w:jc w:val="both"/>
        <w:rPr>
          <w:rFonts w:ascii="Book Antiqua" w:hAnsi="Book Antiqua"/>
          <w:color w:val="000000"/>
          <w:sz w:val="24"/>
          <w:szCs w:val="24"/>
          <w:highlight w:val="none"/>
          <w:shd w:val="clear" w:color="auto" w:fill="FFFFFF"/>
          <w:lang w:val="en-GB" w:eastAsia="zh-CN"/>
        </w:rPr>
      </w:pPr>
    </w:p>
    <w:p>
      <w:pPr>
        <w:spacing w:after="0" w:line="360" w:lineRule="auto"/>
        <w:jc w:val="both"/>
        <w:rPr>
          <w:rFonts w:ascii="Book Antiqua" w:hAnsi="Book Antiqua"/>
          <w:b/>
          <w:bCs/>
          <w:color w:val="000000"/>
          <w:sz w:val="24"/>
          <w:szCs w:val="24"/>
          <w:highlight w:val="none"/>
          <w:u w:val="single"/>
          <w:shd w:val="clear" w:color="auto" w:fill="FFFFFF"/>
          <w:lang w:val="en-GB"/>
        </w:rPr>
      </w:pPr>
      <w:r>
        <w:rPr>
          <w:rFonts w:ascii="Book Antiqua" w:hAnsi="Book Antiqua"/>
          <w:b/>
          <w:bCs/>
          <w:color w:val="000000"/>
          <w:sz w:val="24"/>
          <w:szCs w:val="24"/>
          <w:highlight w:val="none"/>
          <w:u w:val="single"/>
          <w:shd w:val="clear" w:color="auto" w:fill="FFFFFF"/>
          <w:lang w:val="en-GB"/>
        </w:rPr>
        <w:t>CHRONIC VIRAL HEPATITIS IN IBD</w:t>
      </w:r>
    </w:p>
    <w:p>
      <w:pPr>
        <w:spacing w:after="0" w:line="360" w:lineRule="auto"/>
        <w:jc w:val="both"/>
        <w:rPr>
          <w:rFonts w:ascii="Book Antiqua" w:hAnsi="Book Antiqua"/>
          <w:color w:val="000000"/>
          <w:sz w:val="24"/>
          <w:szCs w:val="24"/>
          <w:highlight w:val="none"/>
          <w:shd w:val="clear" w:color="auto" w:fill="FFFFFF"/>
          <w:lang w:val="en-GB"/>
        </w:rPr>
      </w:pPr>
      <w:r>
        <w:rPr>
          <w:rFonts w:ascii="Book Antiqua" w:hAnsi="Book Antiqua"/>
          <w:color w:val="000000"/>
          <w:sz w:val="24"/>
          <w:szCs w:val="24"/>
          <w:highlight w:val="none"/>
          <w:shd w:val="clear" w:color="auto" w:fill="FFFFFF"/>
          <w:lang w:val="en-GB"/>
        </w:rPr>
        <w:t>Chronic viral hepatitis, in particular HBV and HCV-related, is a very common infection and a worldwide health issue. It is estimated that over 350 million people in the world have chronic HBV infection and over 250 million people have chronic HCV infection, with a mean prevalence of 5% and 2% for HBV and HCV, respectively</w:t>
      </w:r>
      <w:r>
        <w:rPr>
          <w:rFonts w:ascii="Book Antiqua" w:hAnsi="Book Antiqua"/>
          <w:color w:val="000000"/>
          <w:sz w:val="24"/>
          <w:szCs w:val="24"/>
          <w:highlight w:val="none"/>
          <w:shd w:val="clear" w:color="auto" w:fill="FFFFFF"/>
          <w:vertAlign w:val="superscript"/>
          <w:lang w:val="en-GB"/>
        </w:rPr>
        <w:t>[55,56]</w:t>
      </w:r>
      <w:r>
        <w:rPr>
          <w:rFonts w:ascii="Book Antiqua" w:hAnsi="Book Antiqua"/>
          <w:color w:val="000000"/>
          <w:sz w:val="24"/>
          <w:szCs w:val="24"/>
          <w:highlight w:val="none"/>
          <w:shd w:val="clear" w:color="auto" w:fill="FFFFFF"/>
          <w:lang w:val="en-GB"/>
        </w:rPr>
        <w:t xml:space="preserve">. </w:t>
      </w:r>
    </w:p>
    <w:p>
      <w:pPr>
        <w:spacing w:after="0" w:line="360" w:lineRule="auto"/>
        <w:ind w:firstLine="240" w:firstLineChars="100"/>
        <w:jc w:val="both"/>
        <w:rPr>
          <w:rFonts w:ascii="Book Antiqua" w:hAnsi="Book Antiqua"/>
          <w:color w:val="000000"/>
          <w:sz w:val="24"/>
          <w:szCs w:val="24"/>
          <w:highlight w:val="none"/>
          <w:lang w:val="en-GB"/>
        </w:rPr>
      </w:pPr>
      <w:r>
        <w:rPr>
          <w:rFonts w:ascii="Book Antiqua" w:hAnsi="Book Antiqua"/>
          <w:color w:val="000000"/>
          <w:sz w:val="24"/>
          <w:szCs w:val="24"/>
          <w:highlight w:val="none"/>
          <w:shd w:val="clear" w:color="auto" w:fill="FFFFFF"/>
          <w:lang w:val="en-GB"/>
        </w:rPr>
        <w:t xml:space="preserve">With regard to the prevalence of </w:t>
      </w:r>
      <w:r>
        <w:rPr>
          <w:rFonts w:ascii="Book Antiqua" w:hAnsi="Book Antiqua"/>
          <w:color w:val="000000"/>
          <w:sz w:val="24"/>
          <w:szCs w:val="24"/>
          <w:highlight w:val="none"/>
          <w:lang w:val="en-GB"/>
        </w:rPr>
        <w:t>chronic hepatitis B (CHB) and chronic hepatitis C (CHC) in IBD, recent evidence</w:t>
      </w:r>
      <w:r>
        <w:rPr>
          <w:rFonts w:ascii="Book Antiqua" w:hAnsi="Book Antiqua"/>
          <w:color w:val="000000"/>
          <w:sz w:val="24"/>
          <w:szCs w:val="24"/>
          <w:highlight w:val="none"/>
          <w:vertAlign w:val="superscript"/>
          <w:lang w:val="en-GB"/>
        </w:rPr>
        <w:t>[57-61]</w:t>
      </w:r>
      <w:r>
        <w:rPr>
          <w:rFonts w:ascii="Book Antiqua" w:hAnsi="Book Antiqua"/>
          <w:color w:val="000000"/>
          <w:sz w:val="24"/>
          <w:szCs w:val="24"/>
          <w:highlight w:val="none"/>
          <w:lang w:val="en-GB"/>
        </w:rPr>
        <w:t xml:space="preserve"> shows that it was comparable to a control population, ranging from 1% to 9%. A recent Italian study by Losurdo</w:t>
      </w:r>
      <w:r>
        <w:rPr>
          <w:rFonts w:ascii="Book Antiqua" w:hAnsi="Book Antiqua"/>
          <w:i/>
          <w:color w:val="000000"/>
          <w:sz w:val="24"/>
          <w:szCs w:val="24"/>
          <w:highlight w:val="none"/>
          <w:lang w:val="en-GB"/>
        </w:rPr>
        <w:t xml:space="preserve"> et al</w:t>
      </w:r>
      <w:r>
        <w:rPr>
          <w:rFonts w:ascii="Book Antiqua" w:hAnsi="Book Antiqua"/>
          <w:color w:val="000000"/>
          <w:sz w:val="24"/>
          <w:szCs w:val="24"/>
          <w:highlight w:val="none"/>
          <w:vertAlign w:val="superscript"/>
          <w:lang w:val="en-GB"/>
        </w:rPr>
        <w:t>[62]</w:t>
      </w:r>
      <w:r>
        <w:rPr>
          <w:rFonts w:ascii="Book Antiqua" w:hAnsi="Book Antiqua"/>
          <w:color w:val="000000"/>
          <w:sz w:val="24"/>
          <w:szCs w:val="24"/>
          <w:highlight w:val="none"/>
          <w:lang w:val="en-GB"/>
        </w:rPr>
        <w:t xml:space="preserve"> on 807 IBD patients and 189 controls, found a prevalence of 3.4% for CHC and 0.9% for CHB, a result which agrees with recent literature reports</w:t>
      </w:r>
      <w:r>
        <w:rPr>
          <w:rFonts w:ascii="Book Antiqua" w:hAnsi="Book Antiqua"/>
          <w:color w:val="000000"/>
          <w:sz w:val="24"/>
          <w:szCs w:val="24"/>
          <w:highlight w:val="none"/>
          <w:vertAlign w:val="superscript"/>
          <w:lang w:val="en-GB"/>
        </w:rPr>
        <w:t>[57,58,61]</w:t>
      </w:r>
      <w:r>
        <w:rPr>
          <w:rFonts w:ascii="Book Antiqua" w:hAnsi="Book Antiqua"/>
          <w:color w:val="000000"/>
          <w:sz w:val="24"/>
          <w:szCs w:val="24"/>
          <w:highlight w:val="none"/>
          <w:lang w:val="en-GB"/>
        </w:rPr>
        <w:t xml:space="preserve">. </w:t>
      </w:r>
      <w:r>
        <w:rPr>
          <w:rFonts w:ascii="Book Antiqua" w:hAnsi="Book Antiqua"/>
          <w:color w:val="000000"/>
          <w:sz w:val="24"/>
          <w:szCs w:val="24"/>
          <w:highlight w:val="none"/>
          <w:lang w:val="en-US"/>
        </w:rPr>
        <w:t>This analysis demonstrated that advanced age was independently associated with increased risk of CHB/CHC. It is possible that surgery performed before the diffusion of presurgical hepatitis screening could explain this result, also taking into account that CHC was more common in patients operated before 1990. Indeed, the introduction of the HBV vaccine and HCV routine detection led to an improvement in the prevention measures against viral hepatitis transmission during surgery or blood donation, thus reducing the risk of infection in young generations</w:t>
      </w:r>
      <w:r>
        <w:rPr>
          <w:rFonts w:ascii="Book Antiqua" w:hAnsi="Book Antiqua"/>
          <w:color w:val="000000"/>
          <w:sz w:val="24"/>
          <w:szCs w:val="24"/>
          <w:highlight w:val="none"/>
          <w:vertAlign w:val="superscript"/>
          <w:lang w:val="en-US"/>
        </w:rPr>
        <w:t>[62]</w:t>
      </w:r>
      <w:r>
        <w:rPr>
          <w:rFonts w:ascii="Book Antiqua" w:hAnsi="Book Antiqua"/>
          <w:color w:val="000000"/>
          <w:sz w:val="24"/>
          <w:szCs w:val="24"/>
          <w:highlight w:val="none"/>
          <w:lang w:val="en-US"/>
        </w:rPr>
        <w:t>.</w:t>
      </w:r>
    </w:p>
    <w:p>
      <w:pPr>
        <w:spacing w:after="0" w:line="360" w:lineRule="auto"/>
        <w:ind w:firstLine="240" w:firstLineChars="100"/>
        <w:jc w:val="both"/>
        <w:rPr>
          <w:rFonts w:ascii="Book Antiqua" w:hAnsi="Book Antiqua"/>
          <w:color w:val="000000"/>
          <w:sz w:val="24"/>
          <w:szCs w:val="24"/>
          <w:highlight w:val="none"/>
          <w:lang w:val="en-GB"/>
        </w:rPr>
      </w:pPr>
      <w:r>
        <w:rPr>
          <w:rFonts w:ascii="Book Antiqua" w:hAnsi="Book Antiqua"/>
          <w:color w:val="000000"/>
          <w:sz w:val="24"/>
          <w:szCs w:val="24"/>
          <w:highlight w:val="none"/>
          <w:lang w:val="en-GB"/>
        </w:rPr>
        <w:t>As the treatment of IBD is based in selected cases on immunosuppressive agents (thiopurines and biologic drugs such as monoclonal antibodies), an accurate clinical and laboratory assessment is preliminarily required to look for chronic infections that may have a severe flare under biologic drugs</w:t>
      </w:r>
      <w:r>
        <w:rPr>
          <w:rFonts w:ascii="Book Antiqua" w:hAnsi="Book Antiqua"/>
          <w:color w:val="000000"/>
          <w:sz w:val="24"/>
          <w:szCs w:val="24"/>
          <w:highlight w:val="none"/>
          <w:vertAlign w:val="superscript"/>
          <w:lang w:val="en-GB"/>
        </w:rPr>
        <w:t>[57,63]</w:t>
      </w:r>
      <w:r>
        <w:rPr>
          <w:rFonts w:ascii="Book Antiqua" w:hAnsi="Book Antiqua"/>
          <w:color w:val="000000"/>
          <w:sz w:val="24"/>
          <w:szCs w:val="24"/>
          <w:highlight w:val="none"/>
          <w:lang w:val="en-GB"/>
        </w:rPr>
        <w:t>. Among these, chronic viral hepatitis and in particular CHB and CHC, are advised to be investigated by the guidelines before starting immunosuppressive treatment</w:t>
      </w:r>
      <w:r>
        <w:rPr>
          <w:rFonts w:ascii="Book Antiqua" w:hAnsi="Book Antiqua"/>
          <w:color w:val="000000"/>
          <w:sz w:val="24"/>
          <w:szCs w:val="24"/>
          <w:highlight w:val="none"/>
          <w:vertAlign w:val="superscript"/>
          <w:lang w:val="en-GB"/>
        </w:rPr>
        <w:t>[64]</w:t>
      </w:r>
      <w:r>
        <w:rPr>
          <w:rFonts w:ascii="Book Antiqua" w:hAnsi="Book Antiqua"/>
          <w:color w:val="000000"/>
          <w:sz w:val="24"/>
          <w:szCs w:val="24"/>
          <w:highlight w:val="none"/>
          <w:lang w:val="en-GB"/>
        </w:rPr>
        <w:t xml:space="preserve">. </w:t>
      </w:r>
    </w:p>
    <w:p>
      <w:pPr>
        <w:spacing w:after="0" w:line="360" w:lineRule="auto"/>
        <w:ind w:firstLine="240" w:firstLineChars="100"/>
        <w:jc w:val="both"/>
        <w:rPr>
          <w:rFonts w:ascii="Book Antiqua" w:hAnsi="Book Antiqua"/>
          <w:color w:val="000000"/>
          <w:sz w:val="24"/>
          <w:szCs w:val="24"/>
          <w:highlight w:val="none"/>
          <w:lang w:val="en-GB"/>
        </w:rPr>
      </w:pPr>
      <w:r>
        <w:rPr>
          <w:rFonts w:ascii="Book Antiqua" w:hAnsi="Book Antiqua"/>
          <w:color w:val="000000"/>
          <w:sz w:val="24"/>
          <w:szCs w:val="24"/>
          <w:highlight w:val="none"/>
          <w:lang w:val="en-GB"/>
        </w:rPr>
        <w:t xml:space="preserve">According to the guidelines, all </w:t>
      </w:r>
      <w:r>
        <w:rPr>
          <w:rFonts w:ascii="Book Antiqua" w:hAnsi="Book Antiqua"/>
          <w:color w:val="000000"/>
          <w:sz w:val="24"/>
          <w:szCs w:val="24"/>
          <w:highlight w:val="none"/>
          <w:shd w:val="clear" w:color="auto" w:fill="FCFCFC"/>
          <w:lang w:val="en-GB"/>
        </w:rPr>
        <w:t>IBD patients should be tested for HBV (HBsAg, anti-HBs, anti-HBc) at diagnosis of IBD to determine HBV status. In patients with positive HBsAg, viremia (HBV-DNA) should also be quantified. Moreover, HBV vaccination is recommended in all HBV anti-HBc seronegative patients with IBD. All HBsAg positive subjects should start anti-viral agents before undergoing biologic treatment to prevent potentially serious hepatitis B flares</w:t>
      </w:r>
      <w:r>
        <w:rPr>
          <w:rFonts w:ascii="Book Antiqua" w:hAnsi="Book Antiqua"/>
          <w:color w:val="000000"/>
          <w:sz w:val="24"/>
          <w:szCs w:val="24"/>
          <w:highlight w:val="none"/>
          <w:shd w:val="clear" w:color="auto" w:fill="FCFCFC"/>
          <w:vertAlign w:val="superscript"/>
          <w:lang w:val="en-GB"/>
        </w:rPr>
        <w:t>[64,65]</w:t>
      </w:r>
      <w:r>
        <w:rPr>
          <w:rFonts w:ascii="Book Antiqua" w:hAnsi="Book Antiqua"/>
          <w:color w:val="000000"/>
          <w:sz w:val="24"/>
          <w:szCs w:val="24"/>
          <w:highlight w:val="none"/>
          <w:shd w:val="clear" w:color="auto" w:fill="FCFCFC"/>
          <w:lang w:val="en-GB"/>
        </w:rPr>
        <w:t xml:space="preserve">. </w:t>
      </w:r>
      <w:r>
        <w:rPr>
          <w:rFonts w:ascii="Book Antiqua" w:hAnsi="Book Antiqua"/>
          <w:color w:val="000000"/>
          <w:sz w:val="24"/>
          <w:szCs w:val="24"/>
          <w:highlight w:val="none"/>
          <w:shd w:val="clear" w:color="auto" w:fill="FFFFFF"/>
          <w:lang w:val="en-GB"/>
        </w:rPr>
        <w:t>A number of case series and study cohorts suggest that nucleotide/nucleoside analogues are safe and effective in IBD patients on immunomodulator treatment</w:t>
      </w:r>
      <w:r>
        <w:rPr>
          <w:rFonts w:ascii="Book Antiqua" w:hAnsi="Book Antiqua"/>
          <w:color w:val="000000"/>
          <w:sz w:val="24"/>
          <w:szCs w:val="24"/>
          <w:highlight w:val="none"/>
          <w:shd w:val="clear" w:color="auto" w:fill="FFFFFF"/>
          <w:vertAlign w:val="superscript"/>
          <w:lang w:val="en-GB"/>
        </w:rPr>
        <w:t>[66]</w:t>
      </w:r>
      <w:r>
        <w:rPr>
          <w:rFonts w:ascii="Book Antiqua" w:hAnsi="Book Antiqua"/>
          <w:color w:val="000000"/>
          <w:sz w:val="24"/>
          <w:szCs w:val="24"/>
          <w:highlight w:val="none"/>
          <w:shd w:val="clear" w:color="auto" w:fill="FFFFFF"/>
          <w:lang w:val="en-GB"/>
        </w:rPr>
        <w:t xml:space="preserve">. Entecavir and tenofovir are preferred for IBD patients due to their rapid onset of action, high anti-viral potency and low incidence of resistance. On the other hand, </w:t>
      </w:r>
      <w:r>
        <w:rPr>
          <w:rFonts w:ascii="Book Antiqua" w:hAnsi="Book Antiqua"/>
          <w:color w:val="000000"/>
          <w:sz w:val="24"/>
          <w:szCs w:val="24"/>
          <w:highlight w:val="none"/>
          <w:shd w:val="clear" w:color="auto" w:fill="FCFCFC"/>
          <w:lang w:val="en-US"/>
        </w:rPr>
        <w:t>patients with HBsAg positive (chronic HBV infection) should receive anti-viral agents before, during and for at least 12 mo after immunomodulator treatment has ceased</w:t>
      </w:r>
      <w:r>
        <w:rPr>
          <w:rFonts w:ascii="Book Antiqua" w:hAnsi="Book Antiqua"/>
          <w:color w:val="000000"/>
          <w:sz w:val="24"/>
          <w:szCs w:val="24"/>
          <w:highlight w:val="none"/>
          <w:shd w:val="clear" w:color="auto" w:fill="FFFFFF"/>
          <w:vertAlign w:val="superscript"/>
          <w:lang w:val="en-GB"/>
        </w:rPr>
        <w:t>[64]</w:t>
      </w:r>
      <w:r>
        <w:rPr>
          <w:rFonts w:ascii="Book Antiqua" w:hAnsi="Book Antiqua"/>
          <w:color w:val="000000"/>
          <w:sz w:val="24"/>
          <w:szCs w:val="24"/>
          <w:highlight w:val="none"/>
          <w:shd w:val="clear" w:color="auto" w:fill="FFFFFF"/>
          <w:lang w:val="en-GB"/>
        </w:rPr>
        <w:t>. Additionally, HBV vaccination is strongly advised by the guidelines, possibly before starting any immunosuppressive treatment and preferably at the moment of diagnosis, if anti-HBs level is not protective. This approach should be followed in any region, irrespective of HBV prevalence.</w:t>
      </w:r>
    </w:p>
    <w:p>
      <w:pPr>
        <w:spacing w:after="0" w:line="360" w:lineRule="auto"/>
        <w:ind w:firstLine="240" w:firstLineChars="100"/>
        <w:jc w:val="both"/>
        <w:rPr>
          <w:rFonts w:ascii="Book Antiqua" w:hAnsi="Book Antiqua"/>
          <w:color w:val="000000"/>
          <w:sz w:val="24"/>
          <w:szCs w:val="24"/>
          <w:highlight w:val="none"/>
          <w:shd w:val="clear" w:color="auto" w:fill="FFFFFF"/>
          <w:lang w:val="en-US" w:eastAsia="zh-CN"/>
        </w:rPr>
      </w:pPr>
      <w:r>
        <w:rPr>
          <w:rFonts w:ascii="Book Antiqua" w:hAnsi="Book Antiqua"/>
          <w:color w:val="000000"/>
          <w:sz w:val="24"/>
          <w:szCs w:val="24"/>
          <w:highlight w:val="none"/>
          <w:shd w:val="clear" w:color="auto" w:fill="FFFFFF"/>
          <w:lang w:val="en-GB"/>
        </w:rPr>
        <w:t>With regard to CHC, present knowledge shows in some cases mild liver dysfunction and an amplified detrimental effect by the simultaneous presence of other viruses (HBV/HIV) in relation to immunomodulator assumption</w:t>
      </w:r>
      <w:r>
        <w:rPr>
          <w:rFonts w:ascii="Book Antiqua" w:hAnsi="Book Antiqua"/>
          <w:color w:val="000000"/>
          <w:sz w:val="24"/>
          <w:szCs w:val="24"/>
          <w:highlight w:val="none"/>
          <w:shd w:val="clear" w:color="auto" w:fill="FFFFFF"/>
          <w:vertAlign w:val="superscript"/>
          <w:lang w:val="en-GB"/>
        </w:rPr>
        <w:t>[67,68]</w:t>
      </w:r>
      <w:r>
        <w:rPr>
          <w:rFonts w:ascii="Book Antiqua" w:hAnsi="Book Antiqua"/>
          <w:color w:val="000000"/>
          <w:sz w:val="24"/>
          <w:szCs w:val="24"/>
          <w:highlight w:val="none"/>
          <w:shd w:val="clear" w:color="auto" w:fill="FFFFFF"/>
          <w:lang w:val="en-GB"/>
        </w:rPr>
        <w:t>; therefore, HCV antibody testing and HCV-RNA should be investigated. I</w:t>
      </w:r>
      <w:r>
        <w:rPr>
          <w:rFonts w:ascii="Book Antiqua" w:hAnsi="Book Antiqua"/>
          <w:color w:val="000000"/>
          <w:sz w:val="24"/>
          <w:szCs w:val="24"/>
          <w:highlight w:val="none"/>
          <w:shd w:val="clear" w:color="auto" w:fill="FCFCFC"/>
          <w:lang w:val="en-GB"/>
        </w:rPr>
        <w:t xml:space="preserve">mmunomodulators are not contraindicated but should be used with caution. The decision depends on the severity of IBD and the stage of liver disease. In the past years, </w:t>
      </w:r>
      <w:r>
        <w:rPr>
          <w:rFonts w:ascii="Book Antiqua" w:hAnsi="Book Antiqua"/>
          <w:color w:val="000000"/>
          <w:sz w:val="24"/>
          <w:szCs w:val="24"/>
          <w:highlight w:val="none"/>
          <w:shd w:val="clear" w:color="auto" w:fill="FFFFFF"/>
          <w:lang w:val="en-GB"/>
        </w:rPr>
        <w:t>an interferon-based treatment for HCV infection in CD has generally not been recommended, as it could worsened the intestinal disorder; however, this aspect remains controversial</w:t>
      </w:r>
      <w:r>
        <w:rPr>
          <w:rFonts w:ascii="Book Antiqua" w:hAnsi="Book Antiqua"/>
          <w:color w:val="000000"/>
          <w:sz w:val="24"/>
          <w:szCs w:val="24"/>
          <w:highlight w:val="none"/>
          <w:shd w:val="clear" w:color="auto" w:fill="FFFFFF"/>
          <w:vertAlign w:val="superscript"/>
          <w:lang w:val="en-GB"/>
        </w:rPr>
        <w:t>[69]</w:t>
      </w:r>
      <w:r>
        <w:rPr>
          <w:rFonts w:ascii="Book Antiqua" w:hAnsi="Book Antiqua"/>
          <w:color w:val="000000"/>
          <w:sz w:val="24"/>
          <w:szCs w:val="24"/>
          <w:highlight w:val="none"/>
          <w:shd w:val="clear" w:color="auto" w:fill="FFFFFF"/>
          <w:lang w:val="en-GB"/>
        </w:rPr>
        <w:t>. Conversely, in UC, interferon therapy did not appear to have an adverse effect</w:t>
      </w:r>
      <w:r>
        <w:rPr>
          <w:rFonts w:ascii="Book Antiqua" w:hAnsi="Book Antiqua"/>
          <w:color w:val="000000"/>
          <w:sz w:val="24"/>
          <w:szCs w:val="24"/>
          <w:highlight w:val="none"/>
          <w:shd w:val="clear" w:color="auto" w:fill="FFFFFF"/>
          <w:vertAlign w:val="superscript"/>
          <w:lang w:val="en-GB"/>
        </w:rPr>
        <w:t>[70]</w:t>
      </w:r>
      <w:r>
        <w:rPr>
          <w:rFonts w:ascii="Book Antiqua" w:hAnsi="Book Antiqua"/>
          <w:color w:val="000000"/>
          <w:sz w:val="24"/>
          <w:szCs w:val="24"/>
          <w:highlight w:val="none"/>
          <w:shd w:val="clear" w:color="auto" w:fill="FFFFFF"/>
          <w:lang w:val="en-GB"/>
        </w:rPr>
        <w:t>. In addition, the administration of ribavirin plus interferon or triple anti-viral therapy (interferon, ribavirin and protease inhibitors) could have increased the toxicity of drugs used for IBD maintenance (for example azathioprine, methotrexate)</w:t>
      </w:r>
      <w:r>
        <w:rPr>
          <w:rFonts w:ascii="Book Antiqua" w:hAnsi="Book Antiqua"/>
          <w:color w:val="000000"/>
          <w:sz w:val="24"/>
          <w:szCs w:val="24"/>
          <w:highlight w:val="none"/>
          <w:shd w:val="clear" w:color="auto" w:fill="FFFFFF"/>
          <w:vertAlign w:val="superscript"/>
          <w:lang w:val="en-GB"/>
        </w:rPr>
        <w:t>[64]</w:t>
      </w:r>
      <w:r>
        <w:rPr>
          <w:rFonts w:ascii="Book Antiqua" w:hAnsi="Book Antiqua"/>
          <w:color w:val="000000"/>
          <w:sz w:val="24"/>
          <w:szCs w:val="24"/>
          <w:highlight w:val="none"/>
          <w:shd w:val="clear" w:color="auto" w:fill="FFFFFF"/>
          <w:lang w:val="en-GB"/>
        </w:rPr>
        <w:t>. Therefore, t</w:t>
      </w:r>
      <w:r>
        <w:rPr>
          <w:rFonts w:ascii="Book Antiqua" w:hAnsi="Book Antiqua"/>
          <w:color w:val="000000"/>
          <w:sz w:val="24"/>
          <w:szCs w:val="24"/>
          <w:highlight w:val="none"/>
          <w:shd w:val="clear" w:color="auto" w:fill="FCFCFC"/>
          <w:lang w:val="en-GB"/>
        </w:rPr>
        <w:t>he risk that anti-viral therapy or drug interactions with IBD therapy might exacerbate IBD should assessed cautiously when considering the need for HCV treatment</w:t>
      </w:r>
      <w:r>
        <w:rPr>
          <w:rFonts w:ascii="Book Antiqua" w:hAnsi="Book Antiqua"/>
          <w:color w:val="000000"/>
          <w:sz w:val="24"/>
          <w:szCs w:val="24"/>
          <w:highlight w:val="none"/>
          <w:shd w:val="clear" w:color="auto" w:fill="FCFCFC"/>
          <w:vertAlign w:val="superscript"/>
          <w:lang w:val="en-GB"/>
        </w:rPr>
        <w:t>[64]</w:t>
      </w:r>
      <w:r>
        <w:rPr>
          <w:rFonts w:ascii="Book Antiqua" w:hAnsi="Book Antiqua"/>
          <w:color w:val="000000"/>
          <w:sz w:val="24"/>
          <w:szCs w:val="24"/>
          <w:highlight w:val="none"/>
          <w:shd w:val="clear" w:color="auto" w:fill="FCFCFC"/>
          <w:lang w:val="en-GB"/>
        </w:rPr>
        <w:t>. However, over</w:t>
      </w:r>
      <w:r>
        <w:rPr>
          <w:rFonts w:ascii="Book Antiqua" w:hAnsi="Book Antiqua"/>
          <w:color w:val="000000"/>
          <w:sz w:val="24"/>
          <w:szCs w:val="24"/>
          <w:highlight w:val="none"/>
          <w:shd w:val="clear" w:color="auto" w:fill="FFFFFF"/>
          <w:lang w:val="en-US"/>
        </w:rPr>
        <w:t xml:space="preserve"> the last years, concomitant IBD and HCV infection management has completely changed due to the recent introduction of </w:t>
      </w:r>
      <w:r>
        <w:rPr>
          <w:rFonts w:ascii="Book Antiqua" w:hAnsi="Book Antiqua"/>
          <w:color w:val="000000"/>
          <w:sz w:val="24"/>
          <w:szCs w:val="24"/>
          <w:highlight w:val="none"/>
          <w:shd w:val="clear" w:color="auto" w:fill="FCFCFC"/>
          <w:lang w:val="en-GB"/>
        </w:rPr>
        <w:t xml:space="preserve">direct-acting anti-virals (DAAs). </w:t>
      </w:r>
      <w:r>
        <w:rPr>
          <w:rFonts w:ascii="Book Antiqua" w:hAnsi="Book Antiqua"/>
          <w:color w:val="000000"/>
          <w:sz w:val="24"/>
          <w:szCs w:val="24"/>
          <w:highlight w:val="none"/>
          <w:shd w:val="clear" w:color="auto" w:fill="FCFCFC"/>
          <w:lang w:val="en-US"/>
        </w:rPr>
        <w:t>Recently published data on DAAs are very encouraging also in IBD patients</w:t>
      </w:r>
      <w:r>
        <w:rPr>
          <w:rFonts w:ascii="Book Antiqua" w:hAnsi="Book Antiqua"/>
          <w:color w:val="000000"/>
          <w:sz w:val="24"/>
          <w:szCs w:val="24"/>
          <w:highlight w:val="none"/>
          <w:shd w:val="clear" w:color="auto" w:fill="FCFCFC"/>
          <w:vertAlign w:val="superscript"/>
          <w:lang w:val="en-US"/>
        </w:rPr>
        <w:t>[71]</w:t>
      </w:r>
      <w:r>
        <w:rPr>
          <w:rFonts w:ascii="Book Antiqua" w:hAnsi="Book Antiqua"/>
          <w:color w:val="000000"/>
          <w:sz w:val="24"/>
          <w:szCs w:val="24"/>
          <w:highlight w:val="none"/>
          <w:shd w:val="clear" w:color="auto" w:fill="FCFCFC"/>
          <w:lang w:val="en-US"/>
        </w:rPr>
        <w:t xml:space="preserve">. </w:t>
      </w:r>
      <w:r>
        <w:rPr>
          <w:rFonts w:ascii="Book Antiqua" w:hAnsi="Book Antiqua"/>
          <w:color w:val="000000"/>
          <w:sz w:val="24"/>
          <w:szCs w:val="24"/>
          <w:highlight w:val="none"/>
          <w:shd w:val="clear" w:color="auto" w:fill="FCFCFC"/>
          <w:lang w:val="en-GB"/>
        </w:rPr>
        <w:t xml:space="preserve">There are three possible timing strategies for administration in patients requiring biological therapies: </w:t>
      </w:r>
      <w:r>
        <w:rPr>
          <w:rFonts w:ascii="Book Antiqua" w:hAnsi="Book Antiqua"/>
          <w:color w:val="000000"/>
          <w:sz w:val="24"/>
          <w:szCs w:val="24"/>
          <w:highlight w:val="none"/>
          <w:shd w:val="clear" w:color="auto" w:fill="FFFFFF"/>
          <w:lang w:val="en-US"/>
        </w:rPr>
        <w:t xml:space="preserve">(1) </w:t>
      </w:r>
      <w:r>
        <w:rPr>
          <w:rFonts w:hint="eastAsia" w:ascii="Book Antiqua" w:hAnsi="Book Antiqua"/>
          <w:color w:val="000000"/>
          <w:sz w:val="24"/>
          <w:szCs w:val="24"/>
          <w:highlight w:val="none"/>
          <w:shd w:val="clear" w:color="auto" w:fill="FFFFFF"/>
          <w:lang w:val="en-US" w:eastAsia="zh-CN"/>
        </w:rPr>
        <w:t>S</w:t>
      </w:r>
      <w:r>
        <w:rPr>
          <w:rFonts w:ascii="Book Antiqua" w:hAnsi="Book Antiqua"/>
          <w:color w:val="000000"/>
          <w:sz w:val="24"/>
          <w:szCs w:val="24"/>
          <w:highlight w:val="none"/>
          <w:shd w:val="clear" w:color="auto" w:fill="FFFFFF"/>
          <w:lang w:val="en-US"/>
        </w:rPr>
        <w:t xml:space="preserve">equential strategy, meaning the choice of treating firstly the active IBD with biologics and then, once the acute phase has been controlled, treating the HCV infection; (2) </w:t>
      </w:r>
      <w:r>
        <w:rPr>
          <w:rFonts w:hint="eastAsia" w:ascii="Book Antiqua" w:hAnsi="Book Antiqua"/>
          <w:color w:val="000000"/>
          <w:sz w:val="24"/>
          <w:szCs w:val="24"/>
          <w:highlight w:val="none"/>
          <w:shd w:val="clear" w:color="auto" w:fill="FFFFFF"/>
          <w:lang w:val="en-US" w:eastAsia="zh-CN"/>
        </w:rPr>
        <w:t>C</w:t>
      </w:r>
      <w:r>
        <w:rPr>
          <w:rFonts w:ascii="Book Antiqua" w:hAnsi="Book Antiqua"/>
          <w:color w:val="000000"/>
          <w:sz w:val="24"/>
          <w:szCs w:val="24"/>
          <w:highlight w:val="none"/>
          <w:shd w:val="clear" w:color="auto" w:fill="FFFFFF"/>
          <w:lang w:val="en-US"/>
        </w:rPr>
        <w:t xml:space="preserve">oncomitant strategy, that is the contemporaneous initiation of DAAs and biologic drug administration; </w:t>
      </w:r>
      <w:r>
        <w:rPr>
          <w:rFonts w:hint="eastAsia" w:ascii="Book Antiqua" w:hAnsi="Book Antiqua"/>
          <w:color w:val="000000"/>
          <w:sz w:val="24"/>
          <w:szCs w:val="24"/>
          <w:highlight w:val="none"/>
          <w:shd w:val="clear" w:color="auto" w:fill="FFFFFF"/>
          <w:lang w:val="en-US" w:eastAsia="zh-CN"/>
        </w:rPr>
        <w:t xml:space="preserve">and </w:t>
      </w:r>
      <w:r>
        <w:rPr>
          <w:rFonts w:ascii="Book Antiqua" w:hAnsi="Book Antiqua"/>
          <w:color w:val="000000"/>
          <w:sz w:val="24"/>
          <w:szCs w:val="24"/>
          <w:highlight w:val="none"/>
          <w:shd w:val="clear" w:color="auto" w:fill="FFFFFF"/>
          <w:lang w:val="en-US"/>
        </w:rPr>
        <w:t xml:space="preserve">(3) </w:t>
      </w:r>
      <w:r>
        <w:rPr>
          <w:rFonts w:hint="eastAsia" w:ascii="Book Antiqua" w:hAnsi="Book Antiqua"/>
          <w:color w:val="000000"/>
          <w:sz w:val="24"/>
          <w:szCs w:val="24"/>
          <w:highlight w:val="none"/>
          <w:shd w:val="clear" w:color="auto" w:fill="FFFFFF"/>
          <w:lang w:val="en-US" w:eastAsia="zh-CN"/>
        </w:rPr>
        <w:t>I</w:t>
      </w:r>
      <w:r>
        <w:rPr>
          <w:rFonts w:ascii="Book Antiqua" w:hAnsi="Book Antiqua"/>
          <w:color w:val="000000"/>
          <w:sz w:val="24"/>
          <w:szCs w:val="24"/>
          <w:highlight w:val="none"/>
          <w:shd w:val="clear" w:color="auto" w:fill="FFFFFF"/>
          <w:lang w:val="en-US"/>
        </w:rPr>
        <w:t>nverted sequential strategy,</w:t>
      </w:r>
      <w:r>
        <w:rPr>
          <w:rFonts w:ascii="Book Antiqua" w:hAnsi="Book Antiqua"/>
          <w:i/>
          <w:color w:val="000000"/>
          <w:sz w:val="24"/>
          <w:szCs w:val="24"/>
          <w:highlight w:val="none"/>
          <w:shd w:val="clear" w:color="auto" w:fill="FFFFFF"/>
          <w:lang w:val="en-US"/>
        </w:rPr>
        <w:t xml:space="preserve"> i.e., </w:t>
      </w:r>
      <w:r>
        <w:rPr>
          <w:rFonts w:ascii="Book Antiqua" w:hAnsi="Book Antiqua"/>
          <w:color w:val="000000"/>
          <w:sz w:val="24"/>
          <w:szCs w:val="24"/>
          <w:highlight w:val="none"/>
          <w:shd w:val="clear" w:color="auto" w:fill="FFFFFF"/>
          <w:lang w:val="en-US"/>
        </w:rPr>
        <w:t>the administration of anti-viral therapy before biologics. The timing strategy could depend on several factors, including IBD activity and patient comorbidity. This means that a case-by-case decision could be the best choice</w:t>
      </w:r>
      <w:r>
        <w:rPr>
          <w:rFonts w:ascii="Book Antiqua" w:hAnsi="Book Antiqua"/>
          <w:color w:val="000000"/>
          <w:sz w:val="24"/>
          <w:szCs w:val="24"/>
          <w:highlight w:val="none"/>
          <w:shd w:val="clear" w:color="auto" w:fill="FFFFFF"/>
          <w:vertAlign w:val="superscript"/>
          <w:lang w:val="en-US"/>
        </w:rPr>
        <w:t>[72]</w:t>
      </w:r>
      <w:r>
        <w:rPr>
          <w:rFonts w:ascii="Book Antiqua" w:hAnsi="Book Antiqua"/>
          <w:color w:val="000000"/>
          <w:sz w:val="24"/>
          <w:szCs w:val="24"/>
          <w:highlight w:val="none"/>
          <w:shd w:val="clear" w:color="auto" w:fill="FFFFFF"/>
          <w:lang w:val="en-US"/>
        </w:rPr>
        <w:t>. The opportunity to eradicate HCV should always be taken into account, as it has demonstrated that a sustained viral response may reduce liver stiffness in these patients</w:t>
      </w:r>
      <w:r>
        <w:rPr>
          <w:rFonts w:ascii="Book Antiqua" w:hAnsi="Book Antiqua"/>
          <w:color w:val="000000"/>
          <w:sz w:val="24"/>
          <w:szCs w:val="24"/>
          <w:highlight w:val="none"/>
          <w:shd w:val="clear" w:color="auto" w:fill="FFFFFF"/>
          <w:vertAlign w:val="superscript"/>
          <w:lang w:val="en-US"/>
        </w:rPr>
        <w:t>[73]</w:t>
      </w:r>
      <w:r>
        <w:rPr>
          <w:rFonts w:ascii="Book Antiqua" w:hAnsi="Book Antiqua"/>
          <w:color w:val="000000"/>
          <w:sz w:val="24"/>
          <w:szCs w:val="24"/>
          <w:highlight w:val="none"/>
          <w:shd w:val="clear" w:color="auto" w:fill="FFFFFF"/>
          <w:lang w:val="en-US"/>
        </w:rPr>
        <w:t>.</w:t>
      </w:r>
    </w:p>
    <w:p>
      <w:pPr>
        <w:spacing w:after="0" w:line="360" w:lineRule="auto"/>
        <w:jc w:val="both"/>
        <w:rPr>
          <w:rFonts w:ascii="Book Antiqua" w:hAnsi="Book Antiqua"/>
          <w:color w:val="000000"/>
          <w:sz w:val="24"/>
          <w:szCs w:val="24"/>
          <w:highlight w:val="none"/>
          <w:shd w:val="clear" w:color="auto" w:fill="FFFFFF"/>
          <w:lang w:val="en-US" w:eastAsia="zh-CN"/>
        </w:rPr>
      </w:pPr>
    </w:p>
    <w:p>
      <w:pPr>
        <w:spacing w:after="0" w:line="360" w:lineRule="auto"/>
        <w:jc w:val="both"/>
        <w:rPr>
          <w:rFonts w:ascii="Book Antiqua" w:hAnsi="Book Antiqua"/>
          <w:b/>
          <w:color w:val="000000"/>
          <w:sz w:val="24"/>
          <w:szCs w:val="24"/>
          <w:highlight w:val="none"/>
          <w:u w:val="single"/>
          <w:lang w:val="en-US"/>
        </w:rPr>
      </w:pPr>
      <w:r>
        <w:rPr>
          <w:rFonts w:ascii="Book Antiqua" w:hAnsi="Book Antiqua"/>
          <w:b/>
          <w:color w:val="000000"/>
          <w:sz w:val="24"/>
          <w:szCs w:val="24"/>
          <w:highlight w:val="none"/>
          <w:u w:val="single"/>
          <w:lang w:val="en-US"/>
        </w:rPr>
        <w:t>IBD AND DRUG-INDUCED LIVER INJURY</w:t>
      </w:r>
    </w:p>
    <w:p>
      <w:pPr>
        <w:spacing w:after="0" w:line="360" w:lineRule="auto"/>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 xml:space="preserve">In the last decade, treatment options for IBD have included new molecules acting at different target levels. Usually, as new drugs are introduced, their side effects should also be considered, and liver toxicity is one of the most meaningful among these. </w:t>
      </w:r>
    </w:p>
    <w:p>
      <w:pPr>
        <w:spacing w:after="0" w:line="360" w:lineRule="auto"/>
        <w:ind w:firstLine="240" w:firstLineChars="100"/>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Drug-induced liver injury (DILI) caused by these drugs can be classified into three forms: hepatocellular, cholestatic or a mixed pattern. Moreover, some forms of drug-induced AIH should also be considered. This issue leads to a schedule of specific screening before starting therapy for IBD, and a follow-up to monitor liver enzymes is necessary</w:t>
      </w:r>
      <w:r>
        <w:rPr>
          <w:rFonts w:ascii="Book Antiqua" w:hAnsi="Book Antiqua"/>
          <w:color w:val="000000"/>
          <w:sz w:val="24"/>
          <w:szCs w:val="24"/>
          <w:highlight w:val="none"/>
          <w:vertAlign w:val="superscript"/>
          <w:lang w:val="en-US"/>
        </w:rPr>
        <w:t>[74,75]</w:t>
      </w:r>
      <w:r>
        <w:rPr>
          <w:rFonts w:ascii="Book Antiqua" w:hAnsi="Book Antiqua"/>
          <w:color w:val="000000"/>
          <w:sz w:val="24"/>
          <w:szCs w:val="24"/>
          <w:highlight w:val="none"/>
          <w:lang w:val="en-US"/>
        </w:rPr>
        <w:t xml:space="preserve">. </w:t>
      </w:r>
    </w:p>
    <w:p>
      <w:pPr>
        <w:spacing w:after="0" w:line="360" w:lineRule="auto"/>
        <w:ind w:firstLine="240" w:firstLineChars="100"/>
        <w:jc w:val="both"/>
        <w:rPr>
          <w:rFonts w:ascii="Book Antiqua" w:hAnsi="Book Antiqua"/>
          <w:color w:val="000000"/>
          <w:sz w:val="24"/>
          <w:szCs w:val="24"/>
          <w:highlight w:val="none"/>
          <w:lang w:val="en-US" w:eastAsia="zh-CN"/>
        </w:rPr>
      </w:pPr>
      <w:r>
        <w:rPr>
          <w:rFonts w:ascii="Book Antiqua" w:hAnsi="Book Antiqua"/>
          <w:color w:val="000000"/>
          <w:sz w:val="24"/>
          <w:szCs w:val="24"/>
          <w:highlight w:val="none"/>
          <w:lang w:val="en-US"/>
        </w:rPr>
        <w:t>In Table 2, we summarize the main knowledge on DILI in IBD patients.</w:t>
      </w:r>
    </w:p>
    <w:p>
      <w:pPr>
        <w:spacing w:after="0" w:line="360" w:lineRule="auto"/>
        <w:jc w:val="both"/>
        <w:rPr>
          <w:rFonts w:ascii="Book Antiqua" w:hAnsi="Book Antiqua"/>
          <w:color w:val="000000"/>
          <w:sz w:val="24"/>
          <w:szCs w:val="24"/>
          <w:highlight w:val="none"/>
          <w:lang w:val="en-US" w:eastAsia="zh-CN"/>
        </w:rPr>
      </w:pPr>
    </w:p>
    <w:p>
      <w:pPr>
        <w:spacing w:after="0" w:line="360" w:lineRule="auto"/>
        <w:jc w:val="both"/>
        <w:rPr>
          <w:rFonts w:ascii="Book Antiqua" w:hAnsi="Book Antiqua"/>
          <w:b/>
          <w:i/>
          <w:iCs/>
          <w:color w:val="000000"/>
          <w:sz w:val="24"/>
          <w:szCs w:val="24"/>
          <w:highlight w:val="none"/>
          <w:lang w:val="en-US"/>
        </w:rPr>
      </w:pPr>
      <w:r>
        <w:rPr>
          <w:rFonts w:ascii="Book Antiqua" w:hAnsi="Book Antiqua"/>
          <w:b/>
          <w:i/>
          <w:iCs/>
          <w:color w:val="000000"/>
          <w:sz w:val="24"/>
          <w:szCs w:val="24"/>
          <w:highlight w:val="none"/>
          <w:lang w:val="en-US"/>
        </w:rPr>
        <w:t xml:space="preserve">Thiopurines </w:t>
      </w:r>
    </w:p>
    <w:p>
      <w:pPr>
        <w:spacing w:after="0" w:line="360" w:lineRule="auto"/>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Thiopurines, in particular azathioprine (AZA) and 6-mercaptopurine (6-MP) are used for induction and maintenance of remission in IBD. Studies have shown that AZA/6-MP as add-on to infliximab can reduce the development of antibodies against infliximab. Thiopurines act as DNA synthesis inhibitors by incorporating purine analogues into DNA with cytotoxic and immunosuppressive effects. AZA is metabolized in the liver to 6-MP, which is metabolized by three enzymes, including thiopurine S-methyltransferase (TMPT) to 6-methylmercaptopurine (6-MMP). AZA and 6-MP are prodrugs of 6-thioguanine (6-TGN), the real effective metabolite. Some studies have suggested that some TMPT polymorphisms could cause a rise in 6-MMP level, thereby amplifying hepatotoxicity. In a cohort study of 270 patients treated with 6-MP, 47 patients showed evidence of altered liver function tests (LFT) in the first 20 weeks of treatment and &gt; 80% of these patients had elevated levels of 6-MMP in the first week</w:t>
      </w:r>
      <w:r>
        <w:rPr>
          <w:rFonts w:ascii="Book Antiqua" w:hAnsi="Book Antiqua"/>
          <w:color w:val="000000"/>
          <w:sz w:val="24"/>
          <w:szCs w:val="24"/>
          <w:highlight w:val="none"/>
          <w:vertAlign w:val="superscript"/>
          <w:lang w:val="en-US"/>
        </w:rPr>
        <w:t>[76]</w:t>
      </w:r>
      <w:r>
        <w:rPr>
          <w:rFonts w:ascii="Book Antiqua" w:hAnsi="Book Antiqua"/>
          <w:color w:val="000000"/>
          <w:sz w:val="24"/>
          <w:szCs w:val="24"/>
          <w:highlight w:val="none"/>
          <w:lang w:val="en-US"/>
        </w:rPr>
        <w:t>. Another study proved that patients with high concentrations of 6-MMP had not only a strong risk of side effects but also a reduction in therapeutic response</w:t>
      </w:r>
      <w:r>
        <w:rPr>
          <w:rFonts w:ascii="Book Antiqua" w:hAnsi="Book Antiqua"/>
          <w:color w:val="000000"/>
          <w:sz w:val="24"/>
          <w:szCs w:val="24"/>
          <w:highlight w:val="none"/>
          <w:vertAlign w:val="superscript"/>
          <w:lang w:val="en-US"/>
        </w:rPr>
        <w:t>[77]</w:t>
      </w:r>
      <w:r>
        <w:rPr>
          <w:rFonts w:ascii="Book Antiqua" w:hAnsi="Book Antiqua"/>
          <w:color w:val="000000"/>
          <w:sz w:val="24"/>
          <w:szCs w:val="24"/>
          <w:highlight w:val="none"/>
          <w:lang w:val="en-US"/>
        </w:rPr>
        <w:t>. Conversely, Dong</w:t>
      </w:r>
      <w:r>
        <w:rPr>
          <w:rFonts w:ascii="Book Antiqua" w:hAnsi="Book Antiqua"/>
          <w:i/>
          <w:color w:val="000000"/>
          <w:sz w:val="24"/>
          <w:szCs w:val="24"/>
          <w:highlight w:val="none"/>
          <w:lang w:val="en-US"/>
        </w:rPr>
        <w:t xml:space="preserve"> et al</w:t>
      </w:r>
      <w:r>
        <w:rPr>
          <w:rFonts w:ascii="Book Antiqua" w:hAnsi="Book Antiqua"/>
          <w:color w:val="000000"/>
          <w:sz w:val="24"/>
          <w:szCs w:val="24"/>
          <w:highlight w:val="none"/>
          <w:vertAlign w:val="superscript"/>
          <w:lang w:val="en-US"/>
        </w:rPr>
        <w:t xml:space="preserve">[78] </w:t>
      </w:r>
      <w:r>
        <w:rPr>
          <w:rFonts w:ascii="Book Antiqua" w:hAnsi="Book Antiqua"/>
          <w:color w:val="000000"/>
          <w:sz w:val="24"/>
          <w:szCs w:val="24"/>
          <w:highlight w:val="none"/>
          <w:lang w:val="en-US"/>
        </w:rPr>
        <w:t xml:space="preserve">found that the presence of TMPT polymorphisms increased bone marrow toxicity but not hepatotoxicity. A recent meta-analysis of 10 studies (recruiting 1875 patients) proved that TMPT polymorphisms were not linked with liver injury. The physiopathology of liver injury due to thiopurine is still unclear. </w:t>
      </w:r>
    </w:p>
    <w:p>
      <w:pPr>
        <w:spacing w:after="0" w:line="360" w:lineRule="auto"/>
        <w:ind w:firstLine="240" w:firstLineChars="100"/>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The prevalence of thiopurine-induced liver toxicity can vary between 0% and 17%. In a systematic review of 34 studies with 3485 patients, the prevalence of hepatotoxicity induced by AZA/6-MP was 3.4% with no differences between the two drugs</w:t>
      </w:r>
      <w:r>
        <w:rPr>
          <w:rFonts w:ascii="Book Antiqua" w:hAnsi="Book Antiqua"/>
          <w:color w:val="000000"/>
          <w:sz w:val="24"/>
          <w:szCs w:val="24"/>
          <w:highlight w:val="none"/>
          <w:vertAlign w:val="superscript"/>
          <w:lang w:val="en-US"/>
        </w:rPr>
        <w:t>[79]</w:t>
      </w:r>
      <w:r>
        <w:rPr>
          <w:rFonts w:ascii="Book Antiqua" w:hAnsi="Book Antiqua"/>
          <w:color w:val="000000"/>
          <w:sz w:val="24"/>
          <w:szCs w:val="24"/>
          <w:highlight w:val="none"/>
          <w:lang w:val="en-US"/>
        </w:rPr>
        <w:t>. Additionally, Chaparro</w:t>
      </w:r>
      <w:r>
        <w:rPr>
          <w:rFonts w:ascii="Book Antiqua" w:hAnsi="Book Antiqua"/>
          <w:i/>
          <w:color w:val="000000"/>
          <w:sz w:val="24"/>
          <w:szCs w:val="24"/>
          <w:highlight w:val="none"/>
          <w:lang w:val="en-US"/>
        </w:rPr>
        <w:t xml:space="preserve"> et al</w:t>
      </w:r>
      <w:r>
        <w:rPr>
          <w:rFonts w:ascii="Book Antiqua" w:hAnsi="Book Antiqua"/>
          <w:color w:val="000000"/>
          <w:sz w:val="24"/>
          <w:szCs w:val="24"/>
          <w:highlight w:val="none"/>
          <w:vertAlign w:val="superscript"/>
          <w:lang w:val="en-US"/>
        </w:rPr>
        <w:t xml:space="preserve">[80] </w:t>
      </w:r>
      <w:r>
        <w:rPr>
          <w:rFonts w:ascii="Book Antiqua" w:hAnsi="Book Antiqua"/>
          <w:color w:val="000000"/>
          <w:sz w:val="24"/>
          <w:szCs w:val="24"/>
          <w:highlight w:val="none"/>
          <w:lang w:val="en-US"/>
        </w:rPr>
        <w:t>in a study of 3931 patients with IBD treated with thiopurine reported that hepatotoxicity was one of the most common side effects, with a prevalence of 4%. CD, smoking and preexisting NAFLD seemed to be risk factors, while the prevalence was lower in females. In a study by Shroder, who analyzed 259 patients undergoing immunosuppressive treatment with AZA, 6MP and MTX, liver steatosis was found in 28.2% of them, and patients with steatosis also had a higher risk of having elevated alanine transaminase (ALT) blood levels</w:t>
      </w:r>
      <w:r>
        <w:rPr>
          <w:rFonts w:ascii="Book Antiqua" w:hAnsi="Book Antiqua"/>
          <w:color w:val="000000"/>
          <w:sz w:val="24"/>
          <w:szCs w:val="24"/>
          <w:highlight w:val="none"/>
          <w:vertAlign w:val="superscript"/>
          <w:lang w:val="en-US"/>
        </w:rPr>
        <w:t>[81]</w:t>
      </w:r>
      <w:r>
        <w:rPr>
          <w:rFonts w:ascii="Book Antiqua" w:hAnsi="Book Antiqua"/>
          <w:color w:val="000000"/>
          <w:sz w:val="24"/>
          <w:szCs w:val="24"/>
          <w:highlight w:val="none"/>
          <w:lang w:val="en-US"/>
        </w:rPr>
        <w:t>.</w:t>
      </w:r>
    </w:p>
    <w:p>
      <w:pPr>
        <w:spacing w:after="0" w:line="360" w:lineRule="auto"/>
        <w:ind w:firstLine="240" w:firstLineChars="100"/>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 xml:space="preserve">On the other hand, dose independent, idiosyncratic liver reactions have been described for thiopurines. Acute dose-independent toxicity is caused by an idiosyncratic cholestatic reaction accompanied by fever, rash, lymphadenopathy and hepatomegaly with increased alkaline phosphatase level. The median onset time of hepatotoxicity is 110 days, and in most cases is self-limiting with a good prognosis. </w:t>
      </w:r>
    </w:p>
    <w:p>
      <w:pPr>
        <w:spacing w:after="0" w:line="360" w:lineRule="auto"/>
        <w:ind w:firstLine="240" w:firstLineChars="100"/>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Another atypical, long-term liver injury caused by thiopurines is characterized by vascular endothelial lesions. Nodular regenerative hyperplasia (NRH), is the most frequent of these lesions, while peliosis hepatis and sinusoidal obstruction syndrome (SOS) are less common. NRH is frequently asymptomatic. The mechanism underlying NRH is still unknown, it is possible that hepatocyte atrophy and portal venules destruction could be involved; risk factors seem to be male sex, CD with stricturing behavior and previous small bowel resection. In a large French study, NRH was found in 37 cases, with a cumulative risk of 0.5% at five years and a median onset time of 48 mo</w:t>
      </w:r>
      <w:r>
        <w:rPr>
          <w:rFonts w:ascii="Book Antiqua" w:hAnsi="Book Antiqua"/>
          <w:color w:val="000000"/>
          <w:sz w:val="24"/>
          <w:szCs w:val="24"/>
          <w:highlight w:val="none"/>
          <w:vertAlign w:val="superscript"/>
          <w:lang w:val="en-US"/>
        </w:rPr>
        <w:t>[82]</w:t>
      </w:r>
      <w:r>
        <w:rPr>
          <w:rFonts w:ascii="Book Antiqua" w:hAnsi="Book Antiqua"/>
          <w:color w:val="000000"/>
          <w:sz w:val="24"/>
          <w:szCs w:val="24"/>
          <w:highlight w:val="none"/>
          <w:lang w:val="en-US"/>
        </w:rPr>
        <w:t>. A recent study observed a similar prevalence of NRH between patients treated with thiopurines and patients thiopurine-naïve</w:t>
      </w:r>
      <w:r>
        <w:rPr>
          <w:rFonts w:ascii="Book Antiqua" w:hAnsi="Book Antiqua"/>
          <w:color w:val="000000"/>
          <w:sz w:val="24"/>
          <w:szCs w:val="24"/>
          <w:highlight w:val="none"/>
          <w:vertAlign w:val="superscript"/>
          <w:lang w:val="en-US"/>
        </w:rPr>
        <w:t>[83]</w:t>
      </w:r>
      <w:r>
        <w:rPr>
          <w:rFonts w:ascii="Book Antiqua" w:hAnsi="Book Antiqua"/>
          <w:color w:val="000000"/>
          <w:sz w:val="24"/>
          <w:szCs w:val="24"/>
          <w:highlight w:val="none"/>
          <w:lang w:val="en-US"/>
        </w:rPr>
        <w:t>. On the other hand, it was found that thiopurines are associated with NRH when the dose is high (tioguanine &gt; 40 mg/day) or in male patients with small bowel resection &gt; 50 cm</w:t>
      </w:r>
      <w:r>
        <w:rPr>
          <w:rFonts w:ascii="Book Antiqua" w:hAnsi="Book Antiqua"/>
          <w:color w:val="000000"/>
          <w:sz w:val="24"/>
          <w:szCs w:val="24"/>
          <w:highlight w:val="none"/>
          <w:vertAlign w:val="superscript"/>
          <w:lang w:val="en-US"/>
        </w:rPr>
        <w:t>[84,85]</w:t>
      </w:r>
      <w:r>
        <w:rPr>
          <w:rFonts w:ascii="Book Antiqua" w:hAnsi="Book Antiqua"/>
          <w:color w:val="000000"/>
          <w:sz w:val="24"/>
          <w:szCs w:val="24"/>
          <w:highlight w:val="none"/>
          <w:lang w:val="en-US"/>
        </w:rPr>
        <w:t xml:space="preserve">. The evolution of NRH after stopping thiopurine therapy is still unclear. </w:t>
      </w:r>
    </w:p>
    <w:p>
      <w:pPr>
        <w:spacing w:after="0" w:line="360" w:lineRule="auto"/>
        <w:ind w:firstLine="240" w:firstLineChars="100"/>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There is no agreement on thiopurine toxicity management. In a large study with a long-term follow-up only 3.6% of patients needed to discontinue therapy</w:t>
      </w:r>
      <w:r>
        <w:rPr>
          <w:rFonts w:ascii="Book Antiqua" w:hAnsi="Book Antiqua"/>
          <w:color w:val="000000"/>
          <w:sz w:val="24"/>
          <w:szCs w:val="24"/>
          <w:highlight w:val="none"/>
          <w:vertAlign w:val="superscript"/>
          <w:lang w:val="en-US"/>
        </w:rPr>
        <w:t>[86]</w:t>
      </w:r>
      <w:r>
        <w:rPr>
          <w:rFonts w:ascii="Book Antiqua" w:hAnsi="Book Antiqua"/>
          <w:color w:val="000000"/>
          <w:sz w:val="24"/>
          <w:szCs w:val="24"/>
          <w:highlight w:val="none"/>
          <w:lang w:val="en-US"/>
        </w:rPr>
        <w:t>. In another study, 90% of patients had normalization of LFT by reducing thiopurine doses</w:t>
      </w:r>
      <w:r>
        <w:rPr>
          <w:rFonts w:ascii="Book Antiqua" w:hAnsi="Book Antiqua"/>
          <w:color w:val="000000"/>
          <w:sz w:val="24"/>
          <w:szCs w:val="24"/>
          <w:highlight w:val="none"/>
          <w:vertAlign w:val="superscript"/>
          <w:lang w:val="en-US"/>
        </w:rPr>
        <w:t>[87]</w:t>
      </w:r>
      <w:r>
        <w:rPr>
          <w:rFonts w:ascii="Book Antiqua" w:hAnsi="Book Antiqua"/>
          <w:color w:val="000000"/>
          <w:sz w:val="24"/>
          <w:szCs w:val="24"/>
          <w:highlight w:val="none"/>
          <w:lang w:val="en-US"/>
        </w:rPr>
        <w:t>. It is unclear whether the frequency of hepatotoxicity is the same for AZA and 6-MP treatment: a study of 135 patients reported that 6-MP was well tolerated in 71% patients who had shown liver toxicity with AZA</w:t>
      </w:r>
      <w:r>
        <w:rPr>
          <w:rFonts w:ascii="Book Antiqua" w:hAnsi="Book Antiqua"/>
          <w:color w:val="000000"/>
          <w:sz w:val="24"/>
          <w:szCs w:val="24"/>
          <w:highlight w:val="none"/>
          <w:vertAlign w:val="superscript"/>
          <w:lang w:val="en-US"/>
        </w:rPr>
        <w:t>[88]</w:t>
      </w:r>
      <w:r>
        <w:rPr>
          <w:rFonts w:ascii="Book Antiqua" w:hAnsi="Book Antiqua"/>
          <w:color w:val="000000"/>
          <w:sz w:val="24"/>
          <w:szCs w:val="24"/>
          <w:highlight w:val="none"/>
          <w:lang w:val="en-US"/>
        </w:rPr>
        <w:t>. Coadministration of allopurinol (a xanthine-oxidase inhibitor) seems to reduce 6-MMP levels as it leads to a higher concentration of 6-MP converted to 6-TGN. However, since allopurinol is a xanthine-oxidase inhibitor, the AZA dose should be reduced. A retrospective cohort study of 105 patients reported that coadministration of allopurinol allowed long-lasting therapy and transaminase normalization</w:t>
      </w:r>
      <w:r>
        <w:rPr>
          <w:rFonts w:ascii="Book Antiqua" w:hAnsi="Book Antiqua"/>
          <w:color w:val="000000"/>
          <w:sz w:val="24"/>
          <w:szCs w:val="24"/>
          <w:highlight w:val="none"/>
          <w:vertAlign w:val="superscript"/>
          <w:lang w:val="en-US"/>
        </w:rPr>
        <w:t>[89]</w:t>
      </w:r>
      <w:r>
        <w:rPr>
          <w:rFonts w:ascii="Book Antiqua" w:hAnsi="Book Antiqua"/>
          <w:color w:val="000000"/>
          <w:sz w:val="24"/>
          <w:szCs w:val="24"/>
          <w:highlight w:val="none"/>
          <w:lang w:val="en-US"/>
        </w:rPr>
        <w:t>. Also, in another study by Krejineof, among 211 patients with liver toxicity, 86% experienced an improvement by lowering the dose of thiopurines in association with allopurinol</w:t>
      </w:r>
      <w:r>
        <w:rPr>
          <w:rFonts w:ascii="Book Antiqua" w:hAnsi="Book Antiqua"/>
          <w:color w:val="000000"/>
          <w:sz w:val="24"/>
          <w:szCs w:val="24"/>
          <w:highlight w:val="none"/>
          <w:vertAlign w:val="superscript"/>
          <w:lang w:val="en-US"/>
        </w:rPr>
        <w:t>[90]</w:t>
      </w:r>
      <w:r>
        <w:rPr>
          <w:rFonts w:ascii="Book Antiqua" w:hAnsi="Book Antiqua"/>
          <w:color w:val="000000"/>
          <w:sz w:val="24"/>
          <w:szCs w:val="24"/>
          <w:highlight w:val="none"/>
          <w:lang w:val="en-US"/>
        </w:rPr>
        <w:t>. A larger study by Vasuvedan analyzed 767 patients on thiopurine therapy and demonstrated that allopurinol should be started to reduce side effects, as 94% of patients who had hepatotoxicity achieved resolution by changing to co-therapy</w:t>
      </w:r>
      <w:r>
        <w:rPr>
          <w:rFonts w:ascii="Book Antiqua" w:hAnsi="Book Antiqua"/>
          <w:color w:val="000000"/>
          <w:sz w:val="24"/>
          <w:szCs w:val="24"/>
          <w:highlight w:val="none"/>
          <w:vertAlign w:val="superscript"/>
          <w:lang w:val="en-US"/>
        </w:rPr>
        <w:t>[91]</w:t>
      </w:r>
      <w:r>
        <w:rPr>
          <w:rFonts w:ascii="Book Antiqua" w:hAnsi="Book Antiqua"/>
          <w:color w:val="000000"/>
          <w:sz w:val="24"/>
          <w:szCs w:val="24"/>
          <w:highlight w:val="none"/>
          <w:lang w:val="en-US"/>
        </w:rPr>
        <w:t>. As TMPT polymorphisms are likely to be involved in hepatotoxicity, some authors have proposed that these polymorphisms should be identified before starting therapy, but a review by the American Gastroenterological Association Institute stated that the benefits of these tests were low</w:t>
      </w:r>
      <w:r>
        <w:rPr>
          <w:rFonts w:ascii="Book Antiqua" w:hAnsi="Book Antiqua"/>
          <w:color w:val="000000"/>
          <w:sz w:val="24"/>
          <w:szCs w:val="24"/>
          <w:highlight w:val="none"/>
          <w:vertAlign w:val="superscript"/>
          <w:lang w:val="en-US"/>
        </w:rPr>
        <w:t>[92]</w:t>
      </w:r>
      <w:r>
        <w:rPr>
          <w:rFonts w:ascii="Book Antiqua" w:hAnsi="Book Antiqua"/>
          <w:color w:val="000000"/>
          <w:sz w:val="24"/>
          <w:szCs w:val="24"/>
          <w:highlight w:val="none"/>
          <w:lang w:val="en-US"/>
        </w:rPr>
        <w:t>. On the contrary, a consensus guideline by the British Society of Gastroenterology focused on TMPT activity and recommended the administration of a half-dose of thiopurines to patients with low TMPT activity</w:t>
      </w:r>
      <w:r>
        <w:rPr>
          <w:rFonts w:ascii="Book Antiqua" w:hAnsi="Book Antiqua"/>
          <w:color w:val="000000"/>
          <w:sz w:val="24"/>
          <w:szCs w:val="24"/>
          <w:highlight w:val="none"/>
          <w:vertAlign w:val="superscript"/>
          <w:lang w:val="en-US"/>
        </w:rPr>
        <w:t>[93]</w:t>
      </w:r>
      <w:r>
        <w:rPr>
          <w:rFonts w:ascii="Book Antiqua" w:hAnsi="Book Antiqua"/>
          <w:color w:val="000000"/>
          <w:sz w:val="24"/>
          <w:szCs w:val="24"/>
          <w:highlight w:val="none"/>
          <w:lang w:val="en-US"/>
        </w:rPr>
        <w:t>.</w:t>
      </w:r>
    </w:p>
    <w:p>
      <w:pPr>
        <w:spacing w:after="0" w:line="360" w:lineRule="auto"/>
        <w:ind w:firstLine="240" w:firstLineChars="100"/>
        <w:jc w:val="both"/>
        <w:rPr>
          <w:rFonts w:ascii="Book Antiqua" w:hAnsi="Book Antiqua"/>
          <w:color w:val="000000"/>
          <w:sz w:val="24"/>
          <w:szCs w:val="24"/>
          <w:highlight w:val="none"/>
          <w:lang w:val="en-US" w:eastAsia="zh-CN"/>
        </w:rPr>
      </w:pPr>
      <w:r>
        <w:rPr>
          <w:rFonts w:ascii="Book Antiqua" w:hAnsi="Book Antiqua"/>
          <w:color w:val="000000"/>
          <w:sz w:val="24"/>
          <w:szCs w:val="24"/>
          <w:highlight w:val="none"/>
          <w:lang w:val="en-US"/>
        </w:rPr>
        <w:t>LFT should be monitored routinely, but there is no agreement on their timing. Mottet</w:t>
      </w:r>
      <w:r>
        <w:rPr>
          <w:rFonts w:ascii="Book Antiqua" w:hAnsi="Book Antiqua"/>
          <w:i/>
          <w:color w:val="000000"/>
          <w:sz w:val="24"/>
          <w:szCs w:val="24"/>
          <w:highlight w:val="none"/>
          <w:lang w:val="en-US"/>
        </w:rPr>
        <w:t xml:space="preserve"> et al</w:t>
      </w:r>
      <w:r>
        <w:rPr>
          <w:rFonts w:ascii="Book Antiqua" w:hAnsi="Book Antiqua"/>
          <w:color w:val="000000"/>
          <w:sz w:val="24"/>
          <w:szCs w:val="24"/>
          <w:highlight w:val="none"/>
          <w:vertAlign w:val="superscript"/>
          <w:lang w:val="en-US"/>
        </w:rPr>
        <w:t>[93]</w:t>
      </w:r>
      <w:r>
        <w:rPr>
          <w:rFonts w:ascii="Book Antiqua" w:hAnsi="Book Antiqua"/>
          <w:color w:val="000000"/>
          <w:sz w:val="24"/>
          <w:szCs w:val="24"/>
          <w:highlight w:val="none"/>
          <w:lang w:val="en-US"/>
        </w:rPr>
        <w:t xml:space="preserve"> recommended LTF every wk for the first mo, then twice a mo during the second mo and then once every 3 mo.</w:t>
      </w:r>
    </w:p>
    <w:p>
      <w:pPr>
        <w:spacing w:after="0" w:line="360" w:lineRule="auto"/>
        <w:jc w:val="both"/>
        <w:rPr>
          <w:rFonts w:ascii="Book Antiqua" w:hAnsi="Book Antiqua"/>
          <w:color w:val="000000"/>
          <w:sz w:val="24"/>
          <w:szCs w:val="24"/>
          <w:highlight w:val="none"/>
          <w:lang w:val="en-US" w:eastAsia="zh-CN"/>
        </w:rPr>
      </w:pPr>
    </w:p>
    <w:p>
      <w:pPr>
        <w:spacing w:after="0" w:line="360" w:lineRule="auto"/>
        <w:jc w:val="both"/>
        <w:rPr>
          <w:rFonts w:ascii="Book Antiqua" w:hAnsi="Book Antiqua"/>
          <w:b/>
          <w:i/>
          <w:iCs/>
          <w:color w:val="000000"/>
          <w:sz w:val="24"/>
          <w:szCs w:val="24"/>
          <w:highlight w:val="none"/>
          <w:lang w:val="en-US"/>
        </w:rPr>
      </w:pPr>
      <w:r>
        <w:rPr>
          <w:rFonts w:ascii="Book Antiqua" w:hAnsi="Book Antiqua"/>
          <w:b/>
          <w:i/>
          <w:iCs/>
          <w:color w:val="000000"/>
          <w:sz w:val="24"/>
          <w:szCs w:val="24"/>
          <w:highlight w:val="none"/>
          <w:lang w:val="en-US"/>
        </w:rPr>
        <w:t xml:space="preserve">Sulfasalazine and </w:t>
      </w:r>
      <w:r>
        <w:rPr>
          <w:rFonts w:hint="eastAsia" w:ascii="Book Antiqua" w:hAnsi="Book Antiqua"/>
          <w:b/>
          <w:i/>
          <w:iCs/>
          <w:color w:val="000000"/>
          <w:sz w:val="24"/>
          <w:szCs w:val="24"/>
          <w:highlight w:val="none"/>
          <w:lang w:val="en-US" w:eastAsia="zh-CN"/>
        </w:rPr>
        <w:t>m</w:t>
      </w:r>
      <w:r>
        <w:rPr>
          <w:rFonts w:ascii="Book Antiqua" w:hAnsi="Book Antiqua"/>
          <w:b/>
          <w:i/>
          <w:iCs/>
          <w:color w:val="000000"/>
          <w:sz w:val="24"/>
          <w:szCs w:val="24"/>
          <w:highlight w:val="none"/>
          <w:lang w:val="en-US"/>
        </w:rPr>
        <w:t>esalamine</w:t>
      </w:r>
    </w:p>
    <w:p>
      <w:pPr>
        <w:spacing w:after="0" w:line="360" w:lineRule="auto"/>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Sulfasalazine is used for mild UC. It has been associated with acute hepatitis, cholestatic hepatitis, granulomatous hepatitis and rarely with acute liver failure</w:t>
      </w:r>
      <w:r>
        <w:rPr>
          <w:rFonts w:ascii="Book Antiqua" w:hAnsi="Book Antiqua"/>
          <w:color w:val="000000"/>
          <w:sz w:val="24"/>
          <w:szCs w:val="24"/>
          <w:highlight w:val="none"/>
          <w:vertAlign w:val="superscript"/>
          <w:lang w:val="en-US"/>
        </w:rPr>
        <w:t>[94]</w:t>
      </w:r>
      <w:r>
        <w:rPr>
          <w:rFonts w:ascii="Book Antiqua" w:hAnsi="Book Antiqua"/>
          <w:color w:val="000000"/>
          <w:sz w:val="24"/>
          <w:szCs w:val="24"/>
          <w:highlight w:val="none"/>
          <w:lang w:val="en-US"/>
        </w:rPr>
        <w:t xml:space="preserve">. The incidence of hepatotoxicity is low: </w:t>
      </w:r>
      <w:r>
        <w:rPr>
          <w:rFonts w:hint="eastAsia" w:ascii="Book Antiqua" w:hAnsi="Book Antiqua"/>
          <w:color w:val="000000"/>
          <w:sz w:val="24"/>
          <w:szCs w:val="24"/>
          <w:highlight w:val="none"/>
          <w:lang w:val="en-US" w:eastAsia="zh-CN"/>
        </w:rPr>
        <w:t>A</w:t>
      </w:r>
      <w:r>
        <w:rPr>
          <w:rFonts w:ascii="Book Antiqua" w:hAnsi="Book Antiqua"/>
          <w:color w:val="000000"/>
          <w:sz w:val="24"/>
          <w:szCs w:val="24"/>
          <w:highlight w:val="none"/>
          <w:lang w:val="en-US"/>
        </w:rPr>
        <w:t xml:space="preserve"> review by Ransford</w:t>
      </w:r>
      <w:r>
        <w:rPr>
          <w:rFonts w:ascii="Book Antiqua" w:hAnsi="Book Antiqua"/>
          <w:i/>
          <w:color w:val="000000"/>
          <w:sz w:val="24"/>
          <w:szCs w:val="24"/>
          <w:highlight w:val="none"/>
          <w:lang w:val="en-US"/>
        </w:rPr>
        <w:t xml:space="preserve"> et al</w:t>
      </w:r>
      <w:r>
        <w:rPr>
          <w:rFonts w:ascii="Book Antiqua" w:hAnsi="Book Antiqua"/>
          <w:color w:val="000000"/>
          <w:sz w:val="24"/>
          <w:szCs w:val="24"/>
          <w:highlight w:val="none"/>
          <w:lang w:val="en-US"/>
        </w:rPr>
        <w:t xml:space="preserve"> who analyzed 4.7 million prescriptions in the period from 1991 and 1998, reported only 9 cases of hepatitis caused by sulfasalazine</w:t>
      </w:r>
      <w:r>
        <w:rPr>
          <w:rFonts w:ascii="Book Antiqua" w:hAnsi="Book Antiqua"/>
          <w:color w:val="000000"/>
          <w:sz w:val="24"/>
          <w:szCs w:val="24"/>
          <w:highlight w:val="none"/>
          <w:vertAlign w:val="superscript"/>
          <w:lang w:val="en-US"/>
        </w:rPr>
        <w:t>[95]</w:t>
      </w:r>
      <w:r>
        <w:rPr>
          <w:rFonts w:ascii="Book Antiqua" w:hAnsi="Book Antiqua"/>
          <w:color w:val="000000"/>
          <w:sz w:val="24"/>
          <w:szCs w:val="24"/>
          <w:highlight w:val="none"/>
          <w:lang w:val="en-US"/>
        </w:rPr>
        <w:t>.</w:t>
      </w:r>
    </w:p>
    <w:p>
      <w:pPr>
        <w:spacing w:after="0" w:line="360" w:lineRule="auto"/>
        <w:ind w:firstLine="240" w:firstLineChars="100"/>
        <w:jc w:val="both"/>
        <w:rPr>
          <w:rFonts w:ascii="Book Antiqua" w:hAnsi="Book Antiqua"/>
          <w:color w:val="000000"/>
          <w:sz w:val="24"/>
          <w:szCs w:val="24"/>
          <w:highlight w:val="none"/>
          <w:lang w:val="en-US" w:eastAsia="zh-CN"/>
        </w:rPr>
      </w:pPr>
      <w:r>
        <w:rPr>
          <w:rFonts w:ascii="Book Antiqua" w:hAnsi="Book Antiqua"/>
          <w:color w:val="000000"/>
          <w:sz w:val="24"/>
          <w:szCs w:val="24"/>
          <w:highlight w:val="none"/>
          <w:lang w:val="en-US"/>
        </w:rPr>
        <w:t>Mesalamine (oral and rectal) is approved for mild UC. Authors in the last three years have demonstrated that the prevalence of liver toxicity caused by mesalamine is low, between 0% and 4%. The use of mesalamine may be associated with asymptomatic elevations in LFT, hepatitis and cholestatic hepatitis</w:t>
      </w:r>
      <w:r>
        <w:rPr>
          <w:rFonts w:ascii="Book Antiqua" w:hAnsi="Book Antiqua"/>
          <w:color w:val="000000"/>
          <w:sz w:val="24"/>
          <w:szCs w:val="24"/>
          <w:highlight w:val="none"/>
          <w:vertAlign w:val="superscript"/>
          <w:lang w:val="en-US"/>
        </w:rPr>
        <w:t>[96]</w:t>
      </w:r>
      <w:r>
        <w:rPr>
          <w:rFonts w:ascii="Book Antiqua" w:hAnsi="Book Antiqua"/>
          <w:color w:val="000000"/>
          <w:sz w:val="24"/>
          <w:szCs w:val="24"/>
          <w:highlight w:val="none"/>
          <w:lang w:val="en-US"/>
        </w:rPr>
        <w:t>. A recent review reported that LTF should be monitored every year and therapy should be stopped in the case of abnormal increases, while treatment with corticosteroids should be considered if fever, rash, or eosinophilia are observed. The same review demonstrated that most cases of hepatotoxicity quickly reversed with drug withdrawal</w:t>
      </w:r>
      <w:r>
        <w:rPr>
          <w:rFonts w:ascii="Book Antiqua" w:hAnsi="Book Antiqua"/>
          <w:color w:val="000000"/>
          <w:sz w:val="24"/>
          <w:szCs w:val="24"/>
          <w:highlight w:val="none"/>
          <w:vertAlign w:val="superscript"/>
          <w:lang w:val="en-US"/>
        </w:rPr>
        <w:t>[97]</w:t>
      </w:r>
      <w:r>
        <w:rPr>
          <w:rFonts w:ascii="Book Antiqua" w:hAnsi="Book Antiqua"/>
          <w:color w:val="000000"/>
          <w:sz w:val="24"/>
          <w:szCs w:val="24"/>
          <w:highlight w:val="none"/>
          <w:lang w:val="en-US"/>
        </w:rPr>
        <w:t xml:space="preserve">. </w:t>
      </w:r>
    </w:p>
    <w:p>
      <w:pPr>
        <w:spacing w:after="0" w:line="360" w:lineRule="auto"/>
        <w:jc w:val="both"/>
        <w:rPr>
          <w:rFonts w:ascii="Book Antiqua" w:hAnsi="Book Antiqua"/>
          <w:color w:val="000000"/>
          <w:sz w:val="24"/>
          <w:szCs w:val="24"/>
          <w:highlight w:val="none"/>
          <w:lang w:val="en-US" w:eastAsia="zh-CN"/>
        </w:rPr>
      </w:pPr>
    </w:p>
    <w:p>
      <w:pPr>
        <w:spacing w:after="0" w:line="360" w:lineRule="auto"/>
        <w:jc w:val="both"/>
        <w:rPr>
          <w:rFonts w:ascii="Book Antiqua" w:hAnsi="Book Antiqua"/>
          <w:b/>
          <w:i/>
          <w:iCs/>
          <w:color w:val="000000"/>
          <w:sz w:val="24"/>
          <w:szCs w:val="24"/>
          <w:highlight w:val="none"/>
          <w:lang w:val="en-US"/>
        </w:rPr>
      </w:pPr>
      <w:r>
        <w:rPr>
          <w:rFonts w:ascii="Book Antiqua" w:hAnsi="Book Antiqua"/>
          <w:b/>
          <w:i/>
          <w:iCs/>
          <w:color w:val="000000"/>
          <w:sz w:val="24"/>
          <w:szCs w:val="24"/>
          <w:highlight w:val="none"/>
          <w:lang w:val="en-US"/>
        </w:rPr>
        <w:t xml:space="preserve">Methotrexate </w:t>
      </w:r>
    </w:p>
    <w:p>
      <w:pPr>
        <w:spacing w:after="0" w:line="360" w:lineRule="auto"/>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Low doses of methotrexate (MTX) are used for mild CD, and it is widely used for rheumatologic disease; therefore, in this field its hepatotoxicity has been more extensively studied. The underlying mechanism is still not clear; several polymorphisms of enzymes involved in folic acid metabolism are thought to be involved. Two systematic reviews on this topic reported opposite results: the first review found an association between MTX hepatotoxicity and C677T polymorphism of methylenetetrahydrofolate reductase (MTHFR) gene, while the second review did not confirm this result</w:t>
      </w:r>
      <w:r>
        <w:rPr>
          <w:rFonts w:ascii="Book Antiqua" w:hAnsi="Book Antiqua"/>
          <w:color w:val="000000"/>
          <w:sz w:val="24"/>
          <w:szCs w:val="24"/>
          <w:highlight w:val="none"/>
          <w:vertAlign w:val="superscript"/>
          <w:lang w:val="en-US"/>
        </w:rPr>
        <w:t>[98,99]</w:t>
      </w:r>
      <w:r>
        <w:rPr>
          <w:rFonts w:ascii="Book Antiqua" w:hAnsi="Book Antiqua"/>
          <w:color w:val="000000"/>
          <w:sz w:val="24"/>
          <w:szCs w:val="24"/>
          <w:highlight w:val="none"/>
          <w:lang w:val="en-US"/>
        </w:rPr>
        <w:t xml:space="preserve">. MTX can cause different histological liver findings according to the Roenigk’s classification including: </w:t>
      </w:r>
      <w:r>
        <w:rPr>
          <w:rFonts w:hint="eastAsia" w:ascii="Book Antiqua" w:hAnsi="Book Antiqua"/>
          <w:color w:val="000000"/>
          <w:sz w:val="24"/>
          <w:szCs w:val="24"/>
          <w:highlight w:val="none"/>
          <w:lang w:val="en-US" w:eastAsia="zh-CN"/>
        </w:rPr>
        <w:t>(</w:t>
      </w:r>
      <w:r>
        <w:rPr>
          <w:rFonts w:ascii="Book Antiqua" w:hAnsi="Book Antiqua"/>
          <w:color w:val="000000"/>
          <w:sz w:val="24"/>
          <w:szCs w:val="24"/>
          <w:highlight w:val="none"/>
          <w:lang w:val="en-US"/>
        </w:rPr>
        <w:t>1) Normal</w:t>
      </w:r>
      <w:r>
        <w:rPr>
          <w:rFonts w:hint="eastAsia" w:ascii="Book Antiqua" w:hAnsi="Book Antiqua"/>
          <w:color w:val="000000"/>
          <w:sz w:val="24"/>
          <w:szCs w:val="24"/>
          <w:highlight w:val="none"/>
          <w:lang w:val="en-US" w:eastAsia="zh-CN"/>
        </w:rPr>
        <w:t>;</w:t>
      </w:r>
      <w:r>
        <w:rPr>
          <w:rFonts w:ascii="Book Antiqua" w:hAnsi="Book Antiqua"/>
          <w:color w:val="000000"/>
          <w:sz w:val="24"/>
          <w:szCs w:val="24"/>
          <w:highlight w:val="none"/>
          <w:lang w:val="en-US"/>
        </w:rPr>
        <w:t xml:space="preserve"> </w:t>
      </w:r>
      <w:r>
        <w:rPr>
          <w:rFonts w:hint="eastAsia" w:ascii="Book Antiqua" w:hAnsi="Book Antiqua"/>
          <w:color w:val="000000"/>
          <w:sz w:val="24"/>
          <w:szCs w:val="24"/>
          <w:highlight w:val="none"/>
          <w:lang w:val="en-US" w:eastAsia="zh-CN"/>
        </w:rPr>
        <w:t>(</w:t>
      </w:r>
      <w:r>
        <w:rPr>
          <w:rFonts w:ascii="Book Antiqua" w:hAnsi="Book Antiqua"/>
          <w:color w:val="000000"/>
          <w:sz w:val="24"/>
          <w:szCs w:val="24"/>
          <w:highlight w:val="none"/>
          <w:lang w:val="en-US"/>
        </w:rPr>
        <w:t xml:space="preserve">2) </w:t>
      </w:r>
      <w:r>
        <w:rPr>
          <w:rFonts w:hint="eastAsia" w:ascii="Book Antiqua" w:hAnsi="Book Antiqua"/>
          <w:color w:val="000000"/>
          <w:sz w:val="24"/>
          <w:szCs w:val="24"/>
          <w:highlight w:val="none"/>
          <w:lang w:val="en-US" w:eastAsia="zh-CN"/>
        </w:rPr>
        <w:t>M</w:t>
      </w:r>
      <w:r>
        <w:rPr>
          <w:rFonts w:ascii="Book Antiqua" w:hAnsi="Book Antiqua"/>
          <w:color w:val="000000"/>
          <w:sz w:val="24"/>
          <w:szCs w:val="24"/>
          <w:highlight w:val="none"/>
          <w:lang w:val="en-US"/>
        </w:rPr>
        <w:t xml:space="preserve">ild fatty infiltration, nuclear alterations or portal inflammation; </w:t>
      </w:r>
      <w:r>
        <w:rPr>
          <w:rFonts w:hint="eastAsia" w:ascii="Book Antiqua" w:hAnsi="Book Antiqua"/>
          <w:color w:val="000000"/>
          <w:sz w:val="24"/>
          <w:szCs w:val="24"/>
          <w:highlight w:val="none"/>
          <w:lang w:val="en-US" w:eastAsia="zh-CN"/>
        </w:rPr>
        <w:t>(</w:t>
      </w:r>
      <w:r>
        <w:rPr>
          <w:rFonts w:ascii="Book Antiqua" w:hAnsi="Book Antiqua"/>
          <w:color w:val="000000"/>
          <w:sz w:val="24"/>
          <w:szCs w:val="24"/>
          <w:highlight w:val="none"/>
          <w:lang w:val="en-US"/>
        </w:rPr>
        <w:t xml:space="preserve">3) </w:t>
      </w:r>
      <w:r>
        <w:rPr>
          <w:rFonts w:hint="eastAsia" w:ascii="Book Antiqua" w:hAnsi="Book Antiqua"/>
          <w:color w:val="000000"/>
          <w:sz w:val="24"/>
          <w:szCs w:val="24"/>
          <w:highlight w:val="none"/>
          <w:lang w:val="en-US" w:eastAsia="zh-CN"/>
        </w:rPr>
        <w:t>M</w:t>
      </w:r>
      <w:r>
        <w:rPr>
          <w:rFonts w:ascii="Book Antiqua" w:hAnsi="Book Antiqua"/>
          <w:color w:val="000000"/>
          <w:sz w:val="24"/>
          <w:szCs w:val="24"/>
          <w:highlight w:val="none"/>
          <w:lang w:val="en-US"/>
        </w:rPr>
        <w:t xml:space="preserve">oderate to severe fatty infiltration, nuclear alterations, or portal infiltration and mild fibrosis; </w:t>
      </w:r>
      <w:r>
        <w:rPr>
          <w:rFonts w:hint="eastAsia" w:ascii="Book Antiqua" w:hAnsi="Book Antiqua"/>
          <w:color w:val="000000"/>
          <w:sz w:val="24"/>
          <w:szCs w:val="24"/>
          <w:highlight w:val="none"/>
          <w:lang w:val="en-US" w:eastAsia="zh-CN"/>
        </w:rPr>
        <w:t>(</w:t>
      </w:r>
      <w:r>
        <w:rPr>
          <w:rFonts w:ascii="Book Antiqua" w:hAnsi="Book Antiqua"/>
          <w:color w:val="000000"/>
          <w:sz w:val="24"/>
          <w:szCs w:val="24"/>
          <w:highlight w:val="none"/>
          <w:lang w:val="en-US"/>
        </w:rPr>
        <w:t xml:space="preserve">4) </w:t>
      </w:r>
      <w:r>
        <w:rPr>
          <w:rFonts w:hint="eastAsia" w:ascii="Book Antiqua" w:hAnsi="Book Antiqua"/>
          <w:color w:val="000000"/>
          <w:sz w:val="24"/>
          <w:szCs w:val="24"/>
          <w:highlight w:val="none"/>
          <w:lang w:val="en-US" w:eastAsia="zh-CN"/>
        </w:rPr>
        <w:t>M</w:t>
      </w:r>
      <w:r>
        <w:rPr>
          <w:rFonts w:ascii="Book Antiqua" w:hAnsi="Book Antiqua"/>
          <w:color w:val="000000"/>
          <w:sz w:val="24"/>
          <w:szCs w:val="24"/>
          <w:highlight w:val="none"/>
          <w:lang w:val="en-US"/>
        </w:rPr>
        <w:t xml:space="preserve">oderate to severe fibrosis; </w:t>
      </w:r>
      <w:r>
        <w:rPr>
          <w:rFonts w:hint="eastAsia" w:ascii="Book Antiqua" w:hAnsi="Book Antiqua"/>
          <w:color w:val="000000"/>
          <w:sz w:val="24"/>
          <w:szCs w:val="24"/>
          <w:highlight w:val="none"/>
          <w:lang w:val="en-US" w:eastAsia="zh-CN"/>
        </w:rPr>
        <w:t>and (</w:t>
      </w:r>
      <w:r>
        <w:rPr>
          <w:rFonts w:ascii="Book Antiqua" w:hAnsi="Book Antiqua"/>
          <w:color w:val="000000"/>
          <w:sz w:val="24"/>
          <w:szCs w:val="24"/>
          <w:highlight w:val="none"/>
          <w:lang w:val="en-US"/>
        </w:rPr>
        <w:t>5) cirrhosis</w:t>
      </w:r>
      <w:r>
        <w:rPr>
          <w:rFonts w:ascii="Book Antiqua" w:hAnsi="Book Antiqua"/>
          <w:color w:val="000000"/>
          <w:sz w:val="24"/>
          <w:szCs w:val="24"/>
          <w:highlight w:val="none"/>
          <w:vertAlign w:val="superscript"/>
          <w:lang w:val="en-US"/>
        </w:rPr>
        <w:t>[100]</w:t>
      </w:r>
      <w:r>
        <w:rPr>
          <w:rFonts w:ascii="Book Antiqua" w:hAnsi="Book Antiqua"/>
          <w:color w:val="000000"/>
          <w:sz w:val="24"/>
          <w:szCs w:val="24"/>
          <w:highlight w:val="none"/>
          <w:lang w:val="en-US"/>
        </w:rPr>
        <w:t xml:space="preserve">. </w:t>
      </w:r>
    </w:p>
    <w:p>
      <w:pPr>
        <w:spacing w:after="0" w:line="360" w:lineRule="auto"/>
        <w:ind w:firstLine="240" w:firstLineChars="100"/>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Some studies reported that the prevalence of abnormal LTF in these patients ranged from 15 to 50%, while most recent evidence demonstrated a lower prevalence. A meta-analysis of patients with IBD treated with MTX reported a rate of abnormal LTF (defined as ALT higher than normal values but less than x2 upper normal limit (ULN)) of 1.4 per 100 person-month and a rate of hepatotoxicity (defined as ALT higher than two times normal values) of 0.9 per 100 person-month</w:t>
      </w:r>
      <w:r>
        <w:rPr>
          <w:rFonts w:ascii="Book Antiqua" w:hAnsi="Book Antiqua"/>
          <w:color w:val="000000"/>
          <w:sz w:val="24"/>
          <w:szCs w:val="24"/>
          <w:highlight w:val="none"/>
          <w:vertAlign w:val="superscript"/>
          <w:lang w:val="en-US"/>
        </w:rPr>
        <w:t>[101]</w:t>
      </w:r>
      <w:r>
        <w:rPr>
          <w:rFonts w:ascii="Book Antiqua" w:hAnsi="Book Antiqua"/>
          <w:color w:val="000000"/>
          <w:sz w:val="24"/>
          <w:szCs w:val="24"/>
          <w:highlight w:val="none"/>
          <w:lang w:val="en-US"/>
        </w:rPr>
        <w:t xml:space="preserve">. It should be noted that, in CD, methotrexate is given </w:t>
      </w:r>
      <w:r>
        <w:rPr>
          <w:rFonts w:ascii="Book Antiqua" w:hAnsi="Book Antiqua"/>
          <w:i/>
          <w:color w:val="000000"/>
          <w:sz w:val="24"/>
          <w:szCs w:val="24"/>
          <w:highlight w:val="none"/>
          <w:lang w:val="en-US"/>
        </w:rPr>
        <w:t>i.m.</w:t>
      </w:r>
      <w:r>
        <w:rPr>
          <w:rFonts w:hint="eastAsia" w:ascii="Book Antiqua" w:hAnsi="Book Antiqua"/>
          <w:i/>
          <w:color w:val="000000"/>
          <w:sz w:val="24"/>
          <w:szCs w:val="24"/>
          <w:highlight w:val="none"/>
          <w:lang w:val="en-US" w:eastAsia="zh-CN"/>
        </w:rPr>
        <w:t>,</w:t>
      </w:r>
      <w:r>
        <w:rPr>
          <w:rFonts w:ascii="Book Antiqua" w:hAnsi="Book Antiqua"/>
          <w:color w:val="000000"/>
          <w:sz w:val="24"/>
          <w:szCs w:val="24"/>
          <w:highlight w:val="none"/>
          <w:lang w:val="en-US"/>
        </w:rPr>
        <w:t xml:space="preserve"> with a dose of 25 mg/wk at induction and 15 mg/wk for maintaining remission. Considering that this dose is higher than in rheumatologic patients, this could explain the more frequent liver adverse events.</w:t>
      </w:r>
    </w:p>
    <w:p>
      <w:pPr>
        <w:spacing w:after="0" w:line="360" w:lineRule="auto"/>
        <w:ind w:firstLine="480" w:firstLineChars="200"/>
        <w:jc w:val="both"/>
        <w:rPr>
          <w:rFonts w:ascii="Book Antiqua" w:hAnsi="Book Antiqua"/>
          <w:color w:val="000000"/>
          <w:sz w:val="24"/>
          <w:szCs w:val="24"/>
          <w:highlight w:val="none"/>
          <w:lang w:val="en-US" w:eastAsia="zh-CN"/>
        </w:rPr>
      </w:pPr>
      <w:r>
        <w:rPr>
          <w:rFonts w:ascii="Book Antiqua" w:hAnsi="Book Antiqua"/>
          <w:color w:val="000000"/>
          <w:sz w:val="24"/>
          <w:szCs w:val="24"/>
          <w:highlight w:val="none"/>
          <w:lang w:val="en-US"/>
        </w:rPr>
        <w:t>Before starting MTX treatment, patients should be screened for preexisting medical conditions, such as alcohol intake, viral hepatitis, steatosis and family history of liver disease. Rheumatological consensus guidelines recommend monitoring LFT every two wk for the first 2 mo, then every 2 or 3 mo</w:t>
      </w:r>
      <w:r>
        <w:rPr>
          <w:rFonts w:ascii="Book Antiqua" w:hAnsi="Book Antiqua"/>
          <w:color w:val="000000"/>
          <w:sz w:val="24"/>
          <w:szCs w:val="24"/>
          <w:highlight w:val="none"/>
          <w:vertAlign w:val="superscript"/>
          <w:lang w:val="en-US"/>
        </w:rPr>
        <w:t>[102]</w:t>
      </w:r>
      <w:r>
        <w:rPr>
          <w:rFonts w:ascii="Book Antiqua" w:hAnsi="Book Antiqua"/>
          <w:color w:val="000000"/>
          <w:sz w:val="24"/>
          <w:szCs w:val="24"/>
          <w:highlight w:val="none"/>
          <w:lang w:val="en-US"/>
        </w:rPr>
        <w:t>. Liver biopsy should be considered in some cases, such as when liver laboratory tests remain abnormal despite dose reduction or when there are high blood levels of drug in patients with known risk factors for hepatotoxicity. Treatment should be stopped in the case of severe fibrosis or cirrhosis and daily doses should be reduced in the case of LFT elevation. Co-administration with folic acid or folinic acid seems to reduce the frequency of serum transaminase elevation</w:t>
      </w:r>
      <w:r>
        <w:rPr>
          <w:rFonts w:ascii="Book Antiqua" w:hAnsi="Book Antiqua"/>
          <w:color w:val="000000"/>
          <w:sz w:val="24"/>
          <w:szCs w:val="24"/>
          <w:highlight w:val="none"/>
          <w:vertAlign w:val="superscript"/>
          <w:lang w:val="en-US"/>
        </w:rPr>
        <w:t>[103]</w:t>
      </w:r>
      <w:r>
        <w:rPr>
          <w:rFonts w:ascii="Book Antiqua" w:hAnsi="Book Antiqua"/>
          <w:color w:val="000000"/>
          <w:sz w:val="24"/>
          <w:szCs w:val="24"/>
          <w:highlight w:val="none"/>
          <w:lang w:val="en-US"/>
        </w:rPr>
        <w:t xml:space="preserve">. Elastography (Fibroscan) and laboratory tests are emerging tools to diagnose fibrosis as reported by </w:t>
      </w:r>
      <w:r>
        <w:rPr>
          <w:rFonts w:ascii="Book Antiqua" w:hAnsi="Book Antiqua"/>
          <w:i/>
          <w:iCs/>
          <w:color w:val="000000"/>
          <w:sz w:val="24"/>
          <w:szCs w:val="24"/>
          <w:highlight w:val="none"/>
          <w:lang w:val="en-US"/>
        </w:rPr>
        <w:t>Labadie et al</w:t>
      </w:r>
      <w:r>
        <w:rPr>
          <w:rFonts w:ascii="Book Antiqua" w:hAnsi="Book Antiqua"/>
          <w:color w:val="000000"/>
          <w:sz w:val="24"/>
          <w:szCs w:val="24"/>
          <w:highlight w:val="none"/>
          <w:vertAlign w:val="superscript"/>
          <w:lang w:val="en-US"/>
        </w:rPr>
        <w:t>[104]</w:t>
      </w:r>
      <w:r>
        <w:rPr>
          <w:rFonts w:ascii="Book Antiqua" w:hAnsi="Book Antiqua"/>
          <w:color w:val="000000"/>
          <w:sz w:val="24"/>
          <w:szCs w:val="24"/>
          <w:highlight w:val="none"/>
          <w:lang w:val="en-US"/>
        </w:rPr>
        <w:t xml:space="preserve">. Furthermore, in a case control study of 518 patients treated with MTX, 8.5% showed Fibroscan and FibroTest abnormalities, </w:t>
      </w:r>
      <w:r>
        <w:rPr>
          <w:rFonts w:ascii="Book Antiqua" w:hAnsi="Book Antiqua"/>
          <w:i/>
          <w:color w:val="000000"/>
          <w:sz w:val="24"/>
          <w:szCs w:val="24"/>
          <w:highlight w:val="none"/>
          <w:lang w:val="en-US"/>
        </w:rPr>
        <w:t>i.e.</w:t>
      </w:r>
      <w:r>
        <w:rPr>
          <w:rFonts w:hint="eastAsia" w:ascii="Book Antiqua" w:hAnsi="Book Antiqua"/>
          <w:i/>
          <w:color w:val="000000"/>
          <w:sz w:val="24"/>
          <w:szCs w:val="24"/>
          <w:highlight w:val="none"/>
          <w:lang w:val="en-US" w:eastAsia="zh-CN"/>
        </w:rPr>
        <w:t>,</w:t>
      </w:r>
      <w:r>
        <w:rPr>
          <w:rFonts w:ascii="Book Antiqua" w:hAnsi="Book Antiqua"/>
          <w:color w:val="000000"/>
          <w:sz w:val="24"/>
          <w:szCs w:val="24"/>
          <w:highlight w:val="none"/>
          <w:lang w:val="en-US"/>
        </w:rPr>
        <w:t xml:space="preserve"> severe fibrosis</w:t>
      </w:r>
      <w:r>
        <w:rPr>
          <w:rFonts w:ascii="Book Antiqua" w:hAnsi="Book Antiqua"/>
          <w:color w:val="000000"/>
          <w:sz w:val="24"/>
          <w:szCs w:val="24"/>
          <w:highlight w:val="none"/>
          <w:vertAlign w:val="superscript"/>
          <w:lang w:val="en-US"/>
        </w:rPr>
        <w:t>[105]</w:t>
      </w:r>
      <w:r>
        <w:rPr>
          <w:rFonts w:ascii="Book Antiqua" w:hAnsi="Book Antiqua"/>
          <w:color w:val="000000"/>
          <w:sz w:val="24"/>
          <w:szCs w:val="24"/>
          <w:highlight w:val="none"/>
          <w:lang w:val="en-US"/>
        </w:rPr>
        <w:t>. A multivariate analysis reported that elastography should be used mainly in patients with an alcohol habit or obesity, or affected by NAFLD. Similar results were reported in a study by Herfath</w:t>
      </w:r>
      <w:r>
        <w:rPr>
          <w:rFonts w:ascii="Book Antiqua" w:hAnsi="Book Antiqua"/>
          <w:i/>
          <w:color w:val="000000"/>
          <w:sz w:val="24"/>
          <w:szCs w:val="24"/>
          <w:highlight w:val="none"/>
          <w:lang w:val="en-US"/>
        </w:rPr>
        <w:t xml:space="preserve"> et al</w:t>
      </w:r>
      <w:r>
        <w:rPr>
          <w:rFonts w:ascii="Book Antiqua" w:hAnsi="Book Antiqua"/>
          <w:color w:val="000000"/>
          <w:sz w:val="24"/>
          <w:szCs w:val="24"/>
          <w:highlight w:val="none"/>
          <w:vertAlign w:val="superscript"/>
          <w:lang w:val="en-US"/>
        </w:rPr>
        <w:t>[106]</w:t>
      </w:r>
      <w:r>
        <w:rPr>
          <w:rFonts w:hint="eastAsia" w:ascii="Book Antiqua" w:hAnsi="Book Antiqua"/>
          <w:color w:val="000000"/>
          <w:sz w:val="24"/>
          <w:szCs w:val="24"/>
          <w:highlight w:val="none"/>
          <w:lang w:val="en-US" w:eastAsia="zh-CN"/>
        </w:rPr>
        <w:t>.</w:t>
      </w:r>
    </w:p>
    <w:p>
      <w:pPr>
        <w:spacing w:after="0" w:line="360" w:lineRule="auto"/>
        <w:jc w:val="both"/>
        <w:rPr>
          <w:rFonts w:ascii="Book Antiqua" w:hAnsi="Book Antiqua"/>
          <w:color w:val="000000"/>
          <w:sz w:val="24"/>
          <w:szCs w:val="24"/>
          <w:highlight w:val="none"/>
          <w:lang w:val="en-US" w:eastAsia="zh-CN"/>
        </w:rPr>
      </w:pPr>
    </w:p>
    <w:p>
      <w:pPr>
        <w:spacing w:after="0" w:line="360" w:lineRule="auto"/>
        <w:jc w:val="both"/>
        <w:rPr>
          <w:rFonts w:ascii="Book Antiqua" w:hAnsi="Book Antiqua"/>
          <w:i/>
          <w:iCs/>
          <w:color w:val="000000"/>
          <w:sz w:val="24"/>
          <w:szCs w:val="24"/>
          <w:highlight w:val="none"/>
          <w:lang w:val="en-US"/>
        </w:rPr>
      </w:pPr>
      <w:r>
        <w:rPr>
          <w:rFonts w:ascii="Book Antiqua" w:hAnsi="Book Antiqua"/>
          <w:b/>
          <w:i/>
          <w:iCs/>
          <w:color w:val="000000"/>
          <w:sz w:val="24"/>
          <w:szCs w:val="24"/>
          <w:highlight w:val="none"/>
          <w:lang w:val="en-US"/>
        </w:rPr>
        <w:t>Tumor necrosis factor</w:t>
      </w:r>
      <w:r>
        <w:rPr>
          <w:rFonts w:hint="eastAsia" w:ascii="Book Antiqua" w:hAnsi="Book Antiqua"/>
          <w:b/>
          <w:i/>
          <w:iCs/>
          <w:color w:val="000000"/>
          <w:sz w:val="24"/>
          <w:szCs w:val="24"/>
          <w:highlight w:val="none"/>
          <w:lang w:val="en-US" w:eastAsia="zh-CN"/>
        </w:rPr>
        <w:t xml:space="preserve"> </w:t>
      </w:r>
      <w:r>
        <w:rPr>
          <w:rFonts w:ascii="Book Antiqua" w:hAnsi="Book Antiqua"/>
          <w:b/>
          <w:i/>
          <w:iCs/>
          <w:color w:val="000000"/>
          <w:sz w:val="24"/>
          <w:szCs w:val="24"/>
          <w:highlight w:val="none"/>
          <w:lang w:val="en-US"/>
        </w:rPr>
        <w:t xml:space="preserve">alpha inhibiting agents </w:t>
      </w:r>
    </w:p>
    <w:p>
      <w:pPr>
        <w:spacing w:after="0" w:line="360" w:lineRule="auto"/>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 xml:space="preserve">Currently several molecules belonging to this class have been approved to treat IBD: infliximab (IFX), adalimumab (ADA), golimumab and certolizumab pegol. Few data are available on the hepatotoxicity of golimumab and certolizumab, while most of the literature reports DILI by IFX and ADA. </w:t>
      </w:r>
    </w:p>
    <w:p>
      <w:pPr>
        <w:spacing w:after="0" w:line="360" w:lineRule="auto"/>
        <w:ind w:firstLine="240" w:firstLineChars="100"/>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The Food and Drug Administration (FDA) in 2004 after 130 cases of liver injury in patients treated with IFX and etanercept (which has no indication in IBD), issued an alarm statement of severe hepatic adverse reactions, including acute liver failure, autoimmune hepatitis (AIH) and cholestatic hepatitis during IFX therapy</w:t>
      </w:r>
      <w:r>
        <w:rPr>
          <w:rFonts w:ascii="Book Antiqua" w:hAnsi="Book Antiqua"/>
          <w:color w:val="000000"/>
          <w:sz w:val="24"/>
          <w:szCs w:val="24"/>
          <w:highlight w:val="none"/>
          <w:vertAlign w:val="superscript"/>
          <w:lang w:val="en-US"/>
        </w:rPr>
        <w:t>[107]</w:t>
      </w:r>
      <w:r>
        <w:rPr>
          <w:rFonts w:ascii="Book Antiqua" w:hAnsi="Book Antiqua"/>
          <w:color w:val="000000"/>
          <w:sz w:val="24"/>
          <w:szCs w:val="24"/>
          <w:highlight w:val="none"/>
          <w:lang w:val="en-US"/>
        </w:rPr>
        <w:t>. In an Icelandic study by Bjornsson that included patients with IBD, rheumatological and dermatological disorders, the occurrence of DILI in patients treated with IFX or ADA was 1:120 and 1:270, respectively</w:t>
      </w:r>
      <w:r>
        <w:rPr>
          <w:rFonts w:ascii="Book Antiqua" w:hAnsi="Book Antiqua"/>
          <w:color w:val="000000"/>
          <w:sz w:val="24"/>
          <w:szCs w:val="24"/>
          <w:highlight w:val="none"/>
          <w:vertAlign w:val="superscript"/>
          <w:lang w:val="en-US"/>
        </w:rPr>
        <w:t>[108]</w:t>
      </w:r>
      <w:r>
        <w:rPr>
          <w:rFonts w:ascii="Book Antiqua" w:hAnsi="Book Antiqua"/>
          <w:color w:val="000000"/>
          <w:sz w:val="24"/>
          <w:szCs w:val="24"/>
          <w:highlight w:val="none"/>
          <w:lang w:val="en-US"/>
        </w:rPr>
        <w:t>. Shelton</w:t>
      </w:r>
      <w:r>
        <w:rPr>
          <w:rFonts w:ascii="Book Antiqua" w:hAnsi="Book Antiqua"/>
          <w:i/>
          <w:color w:val="000000"/>
          <w:sz w:val="24"/>
          <w:szCs w:val="24"/>
          <w:highlight w:val="none"/>
          <w:lang w:val="en-US"/>
        </w:rPr>
        <w:t xml:space="preserve"> et al</w:t>
      </w:r>
      <w:r>
        <w:rPr>
          <w:rFonts w:ascii="Book Antiqua" w:hAnsi="Book Antiqua"/>
          <w:color w:val="000000"/>
          <w:sz w:val="24"/>
          <w:szCs w:val="24"/>
          <w:highlight w:val="none"/>
          <w:vertAlign w:val="superscript"/>
          <w:lang w:val="en-US"/>
        </w:rPr>
        <w:t>[109]</w:t>
      </w:r>
      <w:r>
        <w:rPr>
          <w:rFonts w:ascii="Book Antiqua" w:hAnsi="Book Antiqua"/>
          <w:color w:val="000000"/>
          <w:sz w:val="24"/>
          <w:szCs w:val="24"/>
          <w:highlight w:val="none"/>
          <w:lang w:val="en-US"/>
        </w:rPr>
        <w:t xml:space="preserve"> in a retrospective study analyzed 1753 patients under anti-TNF therapy (1170 IFX, 575 ADA, 8 certolizumab), and found that 102 patients had high blood levels of ALT, but in 54 of these patients, additional risk factors for liver injury were found and, of the remaining 48 patients (45 IFX, 3 ADA), only 4 were considered to be affected by anti-TNF induced liver injury. Koller</w:t>
      </w:r>
      <w:r>
        <w:rPr>
          <w:rFonts w:ascii="Book Antiqua" w:hAnsi="Book Antiqua"/>
          <w:i/>
          <w:color w:val="000000"/>
          <w:sz w:val="24"/>
          <w:szCs w:val="24"/>
          <w:highlight w:val="none"/>
          <w:lang w:val="en-US"/>
        </w:rPr>
        <w:t xml:space="preserve"> et al</w:t>
      </w:r>
      <w:r>
        <w:rPr>
          <w:rFonts w:ascii="Book Antiqua" w:hAnsi="Book Antiqua"/>
          <w:color w:val="000000"/>
          <w:sz w:val="24"/>
          <w:szCs w:val="24"/>
          <w:highlight w:val="none"/>
          <w:vertAlign w:val="superscript"/>
          <w:lang w:val="en-US"/>
        </w:rPr>
        <w:t>[1</w:t>
      </w:r>
      <w:r>
        <w:rPr>
          <w:rFonts w:hint="eastAsia" w:ascii="Book Antiqua" w:hAnsi="Book Antiqua"/>
          <w:color w:val="000000"/>
          <w:sz w:val="24"/>
          <w:szCs w:val="24"/>
          <w:highlight w:val="none"/>
          <w:vertAlign w:val="superscript"/>
          <w:lang w:val="en-US" w:eastAsia="zh-CN"/>
        </w:rPr>
        <w:t>10</w:t>
      </w:r>
      <w:r>
        <w:rPr>
          <w:rFonts w:ascii="Book Antiqua" w:hAnsi="Book Antiqua"/>
          <w:color w:val="000000"/>
          <w:sz w:val="24"/>
          <w:szCs w:val="24"/>
          <w:highlight w:val="none"/>
          <w:vertAlign w:val="superscript"/>
          <w:lang w:val="en-US"/>
        </w:rPr>
        <w:t>]</w:t>
      </w:r>
      <w:r>
        <w:rPr>
          <w:rFonts w:ascii="Book Antiqua" w:hAnsi="Book Antiqua"/>
          <w:color w:val="000000"/>
          <w:sz w:val="24"/>
          <w:szCs w:val="24"/>
          <w:highlight w:val="none"/>
          <w:lang w:val="en-US"/>
        </w:rPr>
        <w:t xml:space="preserve"> in a recent observational study of 251 patients with IBD, monitored liver injury in 163 receiving IFX. Twenty-six patients (16%) showed a grade 1 liver injury (ALT</w:t>
      </w:r>
      <w:r>
        <w:rPr>
          <w:rFonts w:hint="eastAsia" w:ascii="Book Antiqua" w:hAnsi="Book Antiqua"/>
          <w:color w:val="000000"/>
          <w:sz w:val="24"/>
          <w:szCs w:val="24"/>
          <w:highlight w:val="none"/>
          <w:lang w:val="en-US" w:eastAsia="zh-CN"/>
        </w:rPr>
        <w:t xml:space="preserve"> </w:t>
      </w:r>
      <w:r>
        <w:rPr>
          <w:rFonts w:ascii="Book Antiqua" w:hAnsi="Book Antiqua"/>
          <w:color w:val="000000"/>
          <w:sz w:val="24"/>
          <w:szCs w:val="24"/>
          <w:highlight w:val="none"/>
          <w:lang w:val="en-US"/>
        </w:rPr>
        <w:t>&lt; x3 ULN), 4 patients (2.5%) a grade 2 (ALT</w:t>
      </w:r>
      <w:r>
        <w:rPr>
          <w:rFonts w:hint="eastAsia" w:ascii="Book Antiqua" w:hAnsi="Book Antiqua"/>
          <w:color w:val="000000"/>
          <w:sz w:val="24"/>
          <w:szCs w:val="24"/>
          <w:highlight w:val="none"/>
          <w:lang w:val="en-US" w:eastAsia="zh-CN"/>
        </w:rPr>
        <w:t xml:space="preserve"> </w:t>
      </w:r>
      <w:r>
        <w:rPr>
          <w:rFonts w:ascii="Book Antiqua" w:hAnsi="Book Antiqua"/>
          <w:color w:val="000000"/>
          <w:sz w:val="24"/>
          <w:szCs w:val="24"/>
          <w:highlight w:val="none"/>
          <w:lang w:val="en-US"/>
        </w:rPr>
        <w:t>&gt; x3 ULN); grade 1 alkaline phosphatase elevation was seen in 11 patients (6.7%) and grade 2 alkaline phosphatase elevation (&gt; x2.5 ULN) in none. Liver injury in these patients was associated with high BMI, hepatic steatosis and longer duration of IBD</w:t>
      </w:r>
      <w:r>
        <w:rPr>
          <w:rFonts w:ascii="Book Antiqua" w:hAnsi="Book Antiqua"/>
          <w:color w:val="000000"/>
          <w:sz w:val="24"/>
          <w:szCs w:val="24"/>
          <w:highlight w:val="none"/>
          <w:vertAlign w:val="superscript"/>
          <w:lang w:val="en-US"/>
        </w:rPr>
        <w:t>[110]</w:t>
      </w:r>
      <w:r>
        <w:rPr>
          <w:rFonts w:ascii="Book Antiqua" w:hAnsi="Book Antiqua"/>
          <w:color w:val="000000"/>
          <w:sz w:val="24"/>
          <w:szCs w:val="24"/>
          <w:highlight w:val="none"/>
          <w:lang w:val="en-US"/>
        </w:rPr>
        <w:t>. In an Australian retrospective cohort study of adult patients with IBD treated with IFX (IDLE STUDY), out of 175 patients (149 with CD and 26 with UC), 57 showed abnormal liver laboratory tests. In this study, the authors used the Roussel Uclaf Causality Assessment Method (RUCAM) score to predict the risk of hepatic injury caused by drugs. A score of 0 rules out DILI, 1-2 means unlikely DILI, 3-5 possible DILI, 6-8 probable DILI, and &gt; 8 highly probable DILI. Eleven patients had a RUCAM score &gt; 3, but just one patient had a score &gt; 8. Usually, liver injury due to IFX occurs after multiple infusions and a mean latency of 14-18 w</w:t>
      </w:r>
      <w:r>
        <w:rPr>
          <w:rFonts w:hint="eastAsia" w:ascii="Book Antiqua" w:hAnsi="Book Antiqua"/>
          <w:color w:val="000000"/>
          <w:sz w:val="24"/>
          <w:szCs w:val="24"/>
          <w:highlight w:val="none"/>
          <w:lang w:val="en-US" w:eastAsia="zh-CN"/>
        </w:rPr>
        <w:t>k</w:t>
      </w:r>
      <w:r>
        <w:rPr>
          <w:rFonts w:ascii="Book Antiqua" w:hAnsi="Book Antiqua"/>
          <w:color w:val="000000"/>
          <w:sz w:val="24"/>
          <w:szCs w:val="24"/>
          <w:highlight w:val="none"/>
          <w:lang w:val="en-US"/>
        </w:rPr>
        <w:t xml:space="preserve"> from induction. In this context, the RUCAM score is not a diagnostic test, but it is useful to predict DILI relying on LFT, timing of drug initiation and cessation, and on liver biopsy, when performed</w:t>
      </w:r>
      <w:r>
        <w:rPr>
          <w:rFonts w:ascii="Book Antiqua" w:hAnsi="Book Antiqua"/>
          <w:color w:val="000000"/>
          <w:sz w:val="24"/>
          <w:szCs w:val="24"/>
          <w:highlight w:val="none"/>
          <w:vertAlign w:val="superscript"/>
          <w:lang w:val="en-US"/>
        </w:rPr>
        <w:t>[111]</w:t>
      </w:r>
      <w:r>
        <w:rPr>
          <w:rFonts w:ascii="Book Antiqua" w:hAnsi="Book Antiqua"/>
          <w:color w:val="000000"/>
          <w:sz w:val="24"/>
          <w:szCs w:val="24"/>
          <w:highlight w:val="none"/>
          <w:lang w:val="en-US"/>
        </w:rPr>
        <w:t>.</w:t>
      </w:r>
    </w:p>
    <w:p>
      <w:pPr>
        <w:spacing w:after="0" w:line="360" w:lineRule="auto"/>
        <w:ind w:firstLine="240" w:firstLineChars="100"/>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 xml:space="preserve">Although IFX, ADA and etanercept are anti-TNF drugs, they are structurally different. This explains the different responses to these agents and the different capacity to induce liver injury. Some authors have described how patients tolerate </w:t>
      </w:r>
      <w:r>
        <w:rPr>
          <w:rFonts w:ascii="Book Antiqua" w:hAnsi="Book Antiqua"/>
          <w:color w:val="000000"/>
          <w:sz w:val="24"/>
          <w:szCs w:val="24"/>
          <w:highlight w:val="none"/>
          <w:lang w:val="en-GB"/>
        </w:rPr>
        <w:t>successful</w:t>
      </w:r>
      <w:r>
        <w:rPr>
          <w:rFonts w:ascii="Book Antiqua" w:hAnsi="Book Antiqua"/>
          <w:color w:val="000000"/>
          <w:sz w:val="24"/>
          <w:szCs w:val="24"/>
          <w:highlight w:val="none"/>
          <w:lang w:val="en-US"/>
        </w:rPr>
        <w:t xml:space="preserve"> treatment with another molecule after a prior DILI episode induced by an anti-TNF agent. This suggests a lack of cross-toxicity within this class of drugs. </w:t>
      </w:r>
    </w:p>
    <w:p>
      <w:pPr>
        <w:spacing w:after="0" w:line="360" w:lineRule="auto"/>
        <w:ind w:firstLine="240" w:firstLineChars="100"/>
        <w:jc w:val="both"/>
        <w:rPr>
          <w:rFonts w:ascii="Book Antiqua" w:hAnsi="Book Antiqua" w:cs="Calibri"/>
          <w:color w:val="000000"/>
          <w:sz w:val="24"/>
          <w:szCs w:val="24"/>
          <w:highlight w:val="none"/>
          <w:lang w:val="en-US"/>
        </w:rPr>
      </w:pPr>
      <w:r>
        <w:rPr>
          <w:rFonts w:ascii="Book Antiqua" w:hAnsi="Book Antiqua"/>
          <w:color w:val="000000"/>
          <w:sz w:val="24"/>
          <w:szCs w:val="24"/>
          <w:highlight w:val="none"/>
          <w:lang w:val="en-US"/>
        </w:rPr>
        <w:t>The pathogenetic mechanism underlying anti-TNF hepatotoxicity is still unknown. As liver injury can occur after a singular infusion it seems more an idiosyncratic injury rather than a dose-dependent one</w:t>
      </w:r>
      <w:r>
        <w:rPr>
          <w:rFonts w:ascii="Book Antiqua" w:hAnsi="Book Antiqua"/>
          <w:color w:val="000000"/>
          <w:sz w:val="24"/>
          <w:szCs w:val="24"/>
          <w:highlight w:val="none"/>
          <w:vertAlign w:val="superscript"/>
          <w:lang w:val="en-US"/>
        </w:rPr>
        <w:t>[107]</w:t>
      </w:r>
      <w:r>
        <w:rPr>
          <w:rFonts w:ascii="Book Antiqua" w:hAnsi="Book Antiqua"/>
          <w:color w:val="000000"/>
          <w:sz w:val="24"/>
          <w:szCs w:val="24"/>
          <w:highlight w:val="none"/>
          <w:lang w:val="en-US"/>
        </w:rPr>
        <w:t>. A genetic predisposition may be considered. Another hypothesis is that anti-TNF agents may trigger a pre-existing autoimmune disorder or generate autoantibodies: the binding of IFX to the transmembrane TNF-</w:t>
      </w:r>
      <w:r>
        <w:rPr>
          <w:rFonts w:ascii="Book Antiqua" w:hAnsi="Book Antiqua" w:cs="Calibri"/>
          <w:color w:val="000000"/>
          <w:sz w:val="24"/>
          <w:szCs w:val="24"/>
          <w:highlight w:val="none"/>
          <w:lang w:val="en-US"/>
        </w:rPr>
        <w:t>alpha can lead to apoptosis of monocytes and T-lymphocytes with exposure of nucleosomal autoantigens and the production of autoantibodies</w:t>
      </w:r>
      <w:r>
        <w:rPr>
          <w:rFonts w:ascii="Book Antiqua" w:hAnsi="Book Antiqua" w:cs="Calibri"/>
          <w:color w:val="000000"/>
          <w:sz w:val="24"/>
          <w:szCs w:val="24"/>
          <w:highlight w:val="none"/>
          <w:vertAlign w:val="superscript"/>
          <w:lang w:val="en-US"/>
        </w:rPr>
        <w:t>[112,114]</w:t>
      </w:r>
      <w:r>
        <w:rPr>
          <w:rFonts w:ascii="Book Antiqua" w:hAnsi="Book Antiqua" w:cs="Calibri"/>
          <w:color w:val="000000"/>
          <w:sz w:val="24"/>
          <w:szCs w:val="24"/>
          <w:highlight w:val="none"/>
          <w:lang w:val="en-US"/>
        </w:rPr>
        <w:t>. Another possibility is that anti-TNF drugs inhibit T-lymphocytes activity, thus suppressing auto-reactive B cells; this may lead to increased humoral autoimmunity</w:t>
      </w:r>
      <w:r>
        <w:rPr>
          <w:rFonts w:ascii="Book Antiqua" w:hAnsi="Book Antiqua" w:cs="Calibri"/>
          <w:color w:val="000000"/>
          <w:sz w:val="24"/>
          <w:szCs w:val="24"/>
          <w:highlight w:val="none"/>
          <w:vertAlign w:val="superscript"/>
          <w:lang w:val="en-US"/>
        </w:rPr>
        <w:t>[114]</w:t>
      </w:r>
      <w:r>
        <w:rPr>
          <w:rFonts w:ascii="Book Antiqua" w:hAnsi="Book Antiqua" w:cs="Calibri"/>
          <w:color w:val="000000"/>
          <w:sz w:val="24"/>
          <w:szCs w:val="24"/>
          <w:highlight w:val="none"/>
          <w:lang w:val="en-US"/>
        </w:rPr>
        <w:t xml:space="preserve">. However, there are several cases without evidence of autoimmunity, in which direct liver injury is involved. </w:t>
      </w:r>
    </w:p>
    <w:p>
      <w:pPr>
        <w:spacing w:after="0" w:line="360" w:lineRule="auto"/>
        <w:ind w:firstLine="240" w:firstLineChars="100"/>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 xml:space="preserve">DILI caused by anti-TNF agents can show different patterns: </w:t>
      </w:r>
      <w:r>
        <w:rPr>
          <w:rFonts w:hint="eastAsia" w:ascii="Book Antiqua" w:hAnsi="Book Antiqua"/>
          <w:color w:val="000000"/>
          <w:sz w:val="24"/>
          <w:szCs w:val="24"/>
          <w:highlight w:val="none"/>
          <w:lang w:val="en-US" w:eastAsia="zh-CN"/>
        </w:rPr>
        <w:t>H</w:t>
      </w:r>
      <w:r>
        <w:rPr>
          <w:rFonts w:ascii="Book Antiqua" w:hAnsi="Book Antiqua"/>
          <w:color w:val="000000"/>
          <w:sz w:val="24"/>
          <w:szCs w:val="24"/>
          <w:highlight w:val="none"/>
          <w:lang w:val="en-US"/>
        </w:rPr>
        <w:t>epatocellular injury in 75% cases, but also a mixed pattern, most rarely with cholestasis, while few cases of acute liver failure have been described. Colina</w:t>
      </w:r>
      <w:r>
        <w:rPr>
          <w:rFonts w:ascii="Book Antiqua" w:hAnsi="Book Antiqua"/>
          <w:i/>
          <w:color w:val="000000"/>
          <w:sz w:val="24"/>
          <w:szCs w:val="24"/>
          <w:highlight w:val="none"/>
          <w:lang w:val="en-US"/>
        </w:rPr>
        <w:t xml:space="preserve"> et al</w:t>
      </w:r>
      <w:r>
        <w:rPr>
          <w:rFonts w:ascii="Book Antiqua" w:hAnsi="Book Antiqua"/>
          <w:color w:val="000000"/>
          <w:sz w:val="24"/>
          <w:szCs w:val="24"/>
          <w:highlight w:val="none"/>
          <w:vertAlign w:val="superscript"/>
          <w:lang w:val="en-US"/>
        </w:rPr>
        <w:t xml:space="preserve"> [115]</w:t>
      </w:r>
      <w:r>
        <w:rPr>
          <w:rFonts w:ascii="Book Antiqua" w:hAnsi="Book Antiqua"/>
          <w:color w:val="000000"/>
          <w:sz w:val="24"/>
          <w:szCs w:val="24"/>
          <w:highlight w:val="none"/>
          <w:lang w:val="en-US"/>
        </w:rPr>
        <w:t xml:space="preserve"> reported histological necroinflammation caused by IFX, with bridging and massive necrosis in the most severe cases and some features of autoimmune injury with piecemeal necrosis in the periportal interface and prominent plasma cells infiltration. Liver injury caused by anti-TNF drugs is associated with the presence of autoimmunity markers in some patients: anti-nucleus, anti-DsDNA and anti-smooth muscle actin positivity and/or histologic features of AIH are described for IFX, ADA and etanercept. In a study analyzing 34 patients undergoing anti-TNF treatment with DILI, 22 were positive for such antibodies and showed higher levels of ALT than seronegative patients. Fifteen out of 22 subjects underwent liver biopsy that revealed clear features of autoimmunity</w:t>
      </w:r>
      <w:r>
        <w:rPr>
          <w:rFonts w:ascii="Book Antiqua" w:hAnsi="Book Antiqua"/>
          <w:color w:val="000000"/>
          <w:sz w:val="24"/>
          <w:szCs w:val="24"/>
          <w:highlight w:val="none"/>
          <w:vertAlign w:val="superscript"/>
          <w:lang w:val="en-US"/>
        </w:rPr>
        <w:t>[116]</w:t>
      </w:r>
      <w:r>
        <w:rPr>
          <w:rFonts w:ascii="Book Antiqua" w:hAnsi="Book Antiqua"/>
          <w:color w:val="000000"/>
          <w:sz w:val="24"/>
          <w:szCs w:val="24"/>
          <w:highlight w:val="none"/>
          <w:lang w:val="en-US"/>
        </w:rPr>
        <w:t>. Indeed, it is difficult to distinguish between AIH and drug-induced AIH, since these conditions may have similar clinical, biochemical, serological and histological features. Actually, IFX-induced AIH is rare in IBD patients and is described more often in rheumatology patients. In several studies, autoimmunity features were treated with corticosteroids, achieving in some cases a reduction or disappearance of autoantibodies titer; this suggests an immune-mediated DILI rather than an anti-TNF induced AIH. Ierardi</w:t>
      </w:r>
      <w:r>
        <w:rPr>
          <w:rFonts w:ascii="Book Antiqua" w:hAnsi="Book Antiqua"/>
          <w:i/>
          <w:color w:val="000000"/>
          <w:sz w:val="24"/>
          <w:szCs w:val="24"/>
          <w:highlight w:val="none"/>
          <w:lang w:val="en-US"/>
        </w:rPr>
        <w:t xml:space="preserve"> et al</w:t>
      </w:r>
      <w:r>
        <w:rPr>
          <w:rFonts w:ascii="Book Antiqua" w:hAnsi="Book Antiqua"/>
          <w:color w:val="000000"/>
          <w:sz w:val="24"/>
          <w:szCs w:val="24"/>
          <w:highlight w:val="none"/>
          <w:vertAlign w:val="superscript"/>
          <w:lang w:val="en-US"/>
        </w:rPr>
        <w:t xml:space="preserve">[117] </w:t>
      </w:r>
      <w:r>
        <w:rPr>
          <w:rFonts w:ascii="Book Antiqua" w:hAnsi="Book Antiqua"/>
          <w:color w:val="000000"/>
          <w:sz w:val="24"/>
          <w:szCs w:val="24"/>
          <w:highlight w:val="none"/>
          <w:lang w:val="en-US"/>
        </w:rPr>
        <w:t>reported a case of acute liver injury after a single IFX administration. Analogously, Adar</w:t>
      </w:r>
      <w:r>
        <w:rPr>
          <w:rFonts w:ascii="Book Antiqua" w:hAnsi="Book Antiqua"/>
          <w:i/>
          <w:color w:val="000000"/>
          <w:sz w:val="24"/>
          <w:szCs w:val="24"/>
          <w:highlight w:val="none"/>
          <w:lang w:val="en-US"/>
        </w:rPr>
        <w:t xml:space="preserve"> et al</w:t>
      </w:r>
      <w:r>
        <w:rPr>
          <w:rFonts w:ascii="Book Antiqua" w:hAnsi="Book Antiqua"/>
          <w:color w:val="000000"/>
          <w:sz w:val="24"/>
          <w:szCs w:val="24"/>
          <w:highlight w:val="none"/>
          <w:vertAlign w:val="superscript"/>
          <w:lang w:val="en-US"/>
        </w:rPr>
        <w:t xml:space="preserve">[118] </w:t>
      </w:r>
      <w:r>
        <w:rPr>
          <w:rFonts w:ascii="Book Antiqua" w:hAnsi="Book Antiqua"/>
          <w:color w:val="000000"/>
          <w:sz w:val="24"/>
          <w:szCs w:val="24"/>
          <w:highlight w:val="none"/>
          <w:lang w:val="en-US"/>
        </w:rPr>
        <w:t xml:space="preserve">described the first case of AIH caused by ADA that resolved after treatment cessation and corticosteroid therapy. </w:t>
      </w:r>
    </w:p>
    <w:p>
      <w:pPr>
        <w:spacing w:after="0" w:line="360" w:lineRule="auto"/>
        <w:ind w:firstLine="240" w:firstLineChars="100"/>
        <w:jc w:val="both"/>
        <w:rPr>
          <w:rFonts w:ascii="Book Antiqua" w:hAnsi="Book Antiqua"/>
          <w:color w:val="000000"/>
          <w:sz w:val="24"/>
          <w:szCs w:val="24"/>
          <w:highlight w:val="none"/>
          <w:lang w:val="en-US" w:eastAsia="zh-CN"/>
        </w:rPr>
      </w:pPr>
      <w:r>
        <w:rPr>
          <w:rFonts w:ascii="Book Antiqua" w:hAnsi="Book Antiqua"/>
          <w:color w:val="000000"/>
          <w:sz w:val="24"/>
          <w:szCs w:val="24"/>
          <w:highlight w:val="none"/>
          <w:lang w:val="en-US"/>
        </w:rPr>
        <w:t>There is still a lack of consensus on the management of DILI induced by anti-TNF agents. The prognosis is usually favorable with normalization of LFT without cessation of anti-TNF therapy. Liver enzymes should be monitored before starting treatment and then monitored periodically, especially during the first 3 mo. If ALT remains &lt; x3 ULN, anti-TNF can be continued until resolution; if ALT is persistently elevated &gt; x3 ULN or in the case of jaundice, corticosteroids and liver biopsy should be considered. If a DILI is documented, anti-TNF withdrawal is still controversial. Also, the necessity to obtain an autoimmune panel before starting anti-TNF treatment is debated: several studies demonstrated that this practice does not predict the risk of developing drug-induced AIH and that anti-TNF therapy could be continued in the presence of asymptomatic anti-nucleus positivity</w:t>
      </w:r>
      <w:r>
        <w:rPr>
          <w:rFonts w:ascii="Book Antiqua" w:hAnsi="Book Antiqua"/>
          <w:color w:val="000000"/>
          <w:sz w:val="24"/>
          <w:szCs w:val="24"/>
          <w:highlight w:val="none"/>
          <w:vertAlign w:val="superscript"/>
          <w:lang w:val="en-US"/>
        </w:rPr>
        <w:t>[102]</w:t>
      </w:r>
      <w:r>
        <w:rPr>
          <w:rFonts w:ascii="Book Antiqua" w:hAnsi="Book Antiqua"/>
          <w:color w:val="000000"/>
          <w:sz w:val="24"/>
          <w:szCs w:val="24"/>
          <w:highlight w:val="none"/>
          <w:lang w:val="en-US"/>
        </w:rPr>
        <w:t xml:space="preserve">. </w:t>
      </w:r>
    </w:p>
    <w:p>
      <w:pPr>
        <w:spacing w:after="0" w:line="360" w:lineRule="auto"/>
        <w:jc w:val="both"/>
        <w:rPr>
          <w:rFonts w:ascii="Book Antiqua" w:hAnsi="Book Antiqua"/>
          <w:color w:val="000000"/>
          <w:sz w:val="24"/>
          <w:szCs w:val="24"/>
          <w:highlight w:val="none"/>
          <w:lang w:val="en-US" w:eastAsia="zh-CN"/>
        </w:rPr>
      </w:pPr>
    </w:p>
    <w:p>
      <w:pPr>
        <w:spacing w:after="0" w:line="360" w:lineRule="auto"/>
        <w:jc w:val="both"/>
        <w:rPr>
          <w:rFonts w:ascii="Book Antiqua" w:hAnsi="Book Antiqua"/>
          <w:b/>
          <w:i/>
          <w:iCs/>
          <w:color w:val="000000"/>
          <w:sz w:val="24"/>
          <w:szCs w:val="24"/>
          <w:highlight w:val="none"/>
          <w:lang w:val="en-US"/>
        </w:rPr>
      </w:pPr>
      <w:r>
        <w:rPr>
          <w:rFonts w:ascii="Book Antiqua" w:hAnsi="Book Antiqua"/>
          <w:b/>
          <w:i/>
          <w:iCs/>
          <w:color w:val="000000"/>
          <w:sz w:val="24"/>
          <w:szCs w:val="24"/>
          <w:highlight w:val="none"/>
          <w:lang w:val="en-US"/>
        </w:rPr>
        <w:t>Anti-Integrins</w:t>
      </w:r>
    </w:p>
    <w:p>
      <w:pPr>
        <w:spacing w:after="0" w:line="360" w:lineRule="auto"/>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Natalizumab and vedolizumab were approved some years ago for the treatment of IBD. Both drugs have shown a good safety profile, but in the post-marketing phase, 6 cases of significant DILI associated with natalizumab were reported to the FDA</w:t>
      </w:r>
      <w:r>
        <w:rPr>
          <w:rFonts w:ascii="Book Antiqua" w:hAnsi="Book Antiqua"/>
          <w:color w:val="000000"/>
          <w:sz w:val="24"/>
          <w:szCs w:val="24"/>
          <w:highlight w:val="none"/>
          <w:vertAlign w:val="superscript"/>
          <w:lang w:val="en-US"/>
        </w:rPr>
        <w:t>[119]</w:t>
      </w:r>
      <w:r>
        <w:rPr>
          <w:rFonts w:ascii="Book Antiqua" w:hAnsi="Book Antiqua"/>
          <w:color w:val="000000"/>
          <w:sz w:val="24"/>
          <w:szCs w:val="24"/>
          <w:highlight w:val="none"/>
          <w:lang w:val="en-US"/>
        </w:rPr>
        <w:t xml:space="preserve">. </w:t>
      </w:r>
    </w:p>
    <w:p>
      <w:pPr>
        <w:spacing w:after="0" w:line="360" w:lineRule="auto"/>
        <w:ind w:firstLine="240" w:firstLineChars="100"/>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Liver injury caused by natalizumab is rare with a 5% rate of asymptomatic liver enzymes elevation and it can manifest with both the hepatocellular and cholestatic pattern and can be associated with jaundice. Some cases with autoimmune features (autoantibodies positive) have also been described</w:t>
      </w:r>
      <w:r>
        <w:rPr>
          <w:rFonts w:ascii="Book Antiqua" w:hAnsi="Book Antiqua"/>
          <w:color w:val="000000"/>
          <w:sz w:val="24"/>
          <w:szCs w:val="24"/>
          <w:highlight w:val="none"/>
          <w:vertAlign w:val="superscript"/>
          <w:lang w:val="en-US"/>
        </w:rPr>
        <w:t>[120]</w:t>
      </w:r>
      <w:r>
        <w:rPr>
          <w:rFonts w:ascii="Book Antiqua" w:hAnsi="Book Antiqua"/>
          <w:color w:val="000000"/>
          <w:sz w:val="24"/>
          <w:szCs w:val="24"/>
          <w:highlight w:val="none"/>
          <w:lang w:val="en-US"/>
        </w:rPr>
        <w:t>. The guidelines recommend monitoring LFT before starting the treatment and then every 3 or 6 mo</w:t>
      </w:r>
      <w:r>
        <w:rPr>
          <w:rFonts w:ascii="Book Antiqua" w:hAnsi="Book Antiqua"/>
          <w:color w:val="000000"/>
          <w:sz w:val="24"/>
          <w:szCs w:val="24"/>
          <w:highlight w:val="none"/>
          <w:vertAlign w:val="superscript"/>
          <w:lang w:val="en-US"/>
        </w:rPr>
        <w:t>[121]</w:t>
      </w:r>
      <w:r>
        <w:rPr>
          <w:rFonts w:ascii="Book Antiqua" w:hAnsi="Book Antiqua"/>
          <w:color w:val="000000"/>
          <w:sz w:val="24"/>
          <w:szCs w:val="24"/>
          <w:highlight w:val="none"/>
          <w:lang w:val="en-US"/>
        </w:rPr>
        <w:t>. Nevertheless, the use of natalizumab is quite rare in IBD due to possible severe neurologic complications such as progressive multifocal leukoencephalopathy</w:t>
      </w:r>
      <w:r>
        <w:rPr>
          <w:rFonts w:ascii="Book Antiqua" w:hAnsi="Book Antiqua"/>
          <w:color w:val="000000"/>
          <w:sz w:val="24"/>
          <w:szCs w:val="24"/>
          <w:highlight w:val="none"/>
          <w:vertAlign w:val="superscript"/>
          <w:lang w:val="en-US"/>
        </w:rPr>
        <w:t>[122]</w:t>
      </w:r>
      <w:r>
        <w:rPr>
          <w:rFonts w:ascii="Book Antiqua" w:hAnsi="Book Antiqua"/>
          <w:color w:val="000000"/>
          <w:sz w:val="24"/>
          <w:szCs w:val="24"/>
          <w:highlight w:val="none"/>
          <w:lang w:val="en-US"/>
        </w:rPr>
        <w:t>.</w:t>
      </w:r>
    </w:p>
    <w:p>
      <w:pPr>
        <w:spacing w:after="0" w:line="360" w:lineRule="auto"/>
        <w:ind w:firstLine="240" w:firstLineChars="100"/>
        <w:jc w:val="both"/>
        <w:rPr>
          <w:rFonts w:ascii="Book Antiqua" w:hAnsi="Book Antiqua"/>
          <w:color w:val="000000"/>
          <w:sz w:val="24"/>
          <w:szCs w:val="24"/>
          <w:highlight w:val="none"/>
          <w:lang w:val="en-US" w:eastAsia="zh-CN"/>
        </w:rPr>
      </w:pPr>
      <w:r>
        <w:rPr>
          <w:rFonts w:ascii="Book Antiqua" w:hAnsi="Book Antiqua"/>
          <w:color w:val="000000"/>
          <w:sz w:val="24"/>
          <w:szCs w:val="24"/>
          <w:highlight w:val="none"/>
          <w:lang w:val="en-US"/>
        </w:rPr>
        <w:t>Similar to natalizumab, liver injury associated with vedolizumab is rare, less than 2% in clinical trials, with both the hepatocellular or cholestatic pattern</w:t>
      </w:r>
      <w:r>
        <w:rPr>
          <w:rFonts w:ascii="Book Antiqua" w:hAnsi="Book Antiqua"/>
          <w:color w:val="000000"/>
          <w:sz w:val="24"/>
          <w:szCs w:val="24"/>
          <w:highlight w:val="none"/>
          <w:vertAlign w:val="superscript"/>
          <w:lang w:val="en-US"/>
        </w:rPr>
        <w:t>[123]</w:t>
      </w:r>
      <w:r>
        <w:rPr>
          <w:rFonts w:ascii="Book Antiqua" w:hAnsi="Book Antiqua"/>
          <w:color w:val="000000"/>
          <w:sz w:val="24"/>
          <w:szCs w:val="24"/>
          <w:highlight w:val="none"/>
          <w:lang w:val="en-US"/>
        </w:rPr>
        <w:t>. Similar to natalizumab, the guidelines recommend monitoring liver enzymes every 3-6 mo.</w:t>
      </w:r>
    </w:p>
    <w:p>
      <w:pPr>
        <w:spacing w:after="0" w:line="360" w:lineRule="auto"/>
        <w:jc w:val="both"/>
        <w:rPr>
          <w:rFonts w:ascii="Book Antiqua" w:hAnsi="Book Antiqua"/>
          <w:color w:val="000000"/>
          <w:sz w:val="24"/>
          <w:szCs w:val="24"/>
          <w:highlight w:val="none"/>
          <w:lang w:val="en-US" w:eastAsia="zh-CN"/>
        </w:rPr>
      </w:pPr>
    </w:p>
    <w:p>
      <w:pPr>
        <w:spacing w:after="0" w:line="360" w:lineRule="auto"/>
        <w:jc w:val="both"/>
        <w:rPr>
          <w:rFonts w:ascii="Book Antiqua" w:hAnsi="Book Antiqua"/>
          <w:b/>
          <w:i/>
          <w:iCs/>
          <w:color w:val="000000"/>
          <w:sz w:val="24"/>
          <w:szCs w:val="24"/>
          <w:highlight w:val="none"/>
          <w:lang w:val="en-US"/>
        </w:rPr>
      </w:pPr>
      <w:r>
        <w:rPr>
          <w:rFonts w:ascii="Book Antiqua" w:hAnsi="Book Antiqua"/>
          <w:b/>
          <w:i/>
          <w:iCs/>
          <w:color w:val="000000"/>
          <w:sz w:val="24"/>
          <w:szCs w:val="24"/>
          <w:highlight w:val="none"/>
          <w:lang w:val="en-US"/>
        </w:rPr>
        <w:t>Anti IL12/23</w:t>
      </w:r>
    </w:p>
    <w:p>
      <w:pPr>
        <w:spacing w:after="0" w:line="360" w:lineRule="auto"/>
        <w:jc w:val="both"/>
        <w:rPr>
          <w:rFonts w:ascii="Book Antiqua" w:hAnsi="Book Antiqua"/>
          <w:color w:val="000000"/>
          <w:sz w:val="24"/>
          <w:szCs w:val="24"/>
          <w:highlight w:val="none"/>
          <w:lang w:val="en-US" w:eastAsia="zh-CN"/>
        </w:rPr>
      </w:pPr>
      <w:r>
        <w:rPr>
          <w:rFonts w:ascii="Book Antiqua" w:hAnsi="Book Antiqua"/>
          <w:color w:val="000000"/>
          <w:sz w:val="24"/>
          <w:szCs w:val="24"/>
          <w:highlight w:val="none"/>
          <w:lang w:val="en-US"/>
        </w:rPr>
        <w:t>Ustekimumab was approved for CD treatment in 2016 and UC treatment in 2019. Most of the data regarding hepatotoxicity induced by ustekimumab comes from dermatologic studies. In PHOENIX 1 and 2, both studies evaluated the efficacy and safety of ustekimumab in patients with psoriasis, and the rate of liver enzymes abnormalities was low (between 0.5</w:t>
      </w:r>
      <w:r>
        <w:rPr>
          <w:rFonts w:hint="eastAsia" w:ascii="Book Antiqua" w:hAnsi="Book Antiqua"/>
          <w:color w:val="000000"/>
          <w:sz w:val="24"/>
          <w:szCs w:val="24"/>
          <w:highlight w:val="none"/>
          <w:lang w:val="en-US" w:eastAsia="zh-CN"/>
        </w:rPr>
        <w:t>%</w:t>
      </w:r>
      <w:r>
        <w:rPr>
          <w:rFonts w:ascii="Book Antiqua" w:hAnsi="Book Antiqua"/>
          <w:color w:val="000000"/>
          <w:sz w:val="24"/>
          <w:szCs w:val="24"/>
          <w:highlight w:val="none"/>
          <w:lang w:val="en-US"/>
        </w:rPr>
        <w:t xml:space="preserve"> and 2%) and similar between the case and control group</w:t>
      </w:r>
      <w:r>
        <w:rPr>
          <w:rFonts w:ascii="Book Antiqua" w:hAnsi="Book Antiqua"/>
          <w:color w:val="000000"/>
          <w:sz w:val="24"/>
          <w:szCs w:val="24"/>
          <w:highlight w:val="none"/>
          <w:vertAlign w:val="superscript"/>
          <w:lang w:val="en-US"/>
        </w:rPr>
        <w:t>[124,125]</w:t>
      </w:r>
      <w:r>
        <w:rPr>
          <w:rFonts w:ascii="Book Antiqua" w:hAnsi="Book Antiqua"/>
          <w:color w:val="000000"/>
          <w:sz w:val="24"/>
          <w:szCs w:val="24"/>
          <w:highlight w:val="none"/>
          <w:lang w:val="en-US"/>
        </w:rPr>
        <w:t>. A small retrospective study including 44 patients with psoriasis treated with ustekimumab described cases of mild elevation of liver enzymes and no cases of severe DILI</w:t>
      </w:r>
      <w:r>
        <w:rPr>
          <w:rFonts w:ascii="Book Antiqua" w:hAnsi="Book Antiqua"/>
          <w:color w:val="000000"/>
          <w:sz w:val="24"/>
          <w:szCs w:val="24"/>
          <w:highlight w:val="none"/>
          <w:vertAlign w:val="superscript"/>
          <w:lang w:val="en-US"/>
        </w:rPr>
        <w:t>[12</w:t>
      </w:r>
      <w:r>
        <w:rPr>
          <w:rFonts w:hint="eastAsia" w:ascii="Book Antiqua" w:hAnsi="Book Antiqua"/>
          <w:color w:val="000000"/>
          <w:sz w:val="24"/>
          <w:szCs w:val="24"/>
          <w:highlight w:val="none"/>
          <w:vertAlign w:val="superscript"/>
          <w:lang w:val="en-US" w:eastAsia="zh-CN"/>
        </w:rPr>
        <w:t>6</w:t>
      </w:r>
      <w:r>
        <w:rPr>
          <w:rFonts w:ascii="Book Antiqua" w:hAnsi="Book Antiqua"/>
          <w:color w:val="000000"/>
          <w:sz w:val="24"/>
          <w:szCs w:val="24"/>
          <w:highlight w:val="none"/>
          <w:vertAlign w:val="superscript"/>
          <w:lang w:val="en-US"/>
        </w:rPr>
        <w:t>]</w:t>
      </w:r>
      <w:r>
        <w:rPr>
          <w:rFonts w:ascii="Book Antiqua" w:hAnsi="Book Antiqua"/>
          <w:color w:val="000000"/>
          <w:sz w:val="24"/>
          <w:szCs w:val="24"/>
          <w:highlight w:val="none"/>
          <w:lang w:val="en-US"/>
        </w:rPr>
        <w:t>. Some case reports described spontaneous regression of liver injury after ustekinumab withdrawal</w:t>
      </w:r>
      <w:r>
        <w:rPr>
          <w:rFonts w:ascii="Book Antiqua" w:hAnsi="Book Antiqua"/>
          <w:color w:val="000000"/>
          <w:sz w:val="24"/>
          <w:szCs w:val="24"/>
          <w:highlight w:val="none"/>
          <w:vertAlign w:val="superscript"/>
          <w:lang w:val="en-US"/>
        </w:rPr>
        <w:t>[127]</w:t>
      </w:r>
      <w:r>
        <w:rPr>
          <w:rFonts w:ascii="Book Antiqua" w:hAnsi="Book Antiqua"/>
          <w:color w:val="000000"/>
          <w:sz w:val="24"/>
          <w:szCs w:val="24"/>
          <w:highlight w:val="none"/>
          <w:lang w:val="en-US"/>
        </w:rPr>
        <w:t>.</w:t>
      </w:r>
    </w:p>
    <w:p>
      <w:pPr>
        <w:spacing w:after="0" w:line="360" w:lineRule="auto"/>
        <w:jc w:val="both"/>
        <w:rPr>
          <w:rFonts w:ascii="Book Antiqua" w:hAnsi="Book Antiqua"/>
          <w:color w:val="000000"/>
          <w:sz w:val="24"/>
          <w:szCs w:val="24"/>
          <w:highlight w:val="none"/>
          <w:lang w:val="en-US" w:eastAsia="zh-CN"/>
        </w:rPr>
      </w:pPr>
    </w:p>
    <w:p>
      <w:pPr>
        <w:spacing w:after="0" w:line="360" w:lineRule="auto"/>
        <w:jc w:val="both"/>
        <w:rPr>
          <w:rFonts w:ascii="Book Antiqua" w:hAnsi="Book Antiqua"/>
          <w:b/>
          <w:i/>
          <w:iCs/>
          <w:color w:val="000000"/>
          <w:sz w:val="24"/>
          <w:szCs w:val="24"/>
          <w:highlight w:val="none"/>
          <w:lang w:val="en-US"/>
        </w:rPr>
      </w:pPr>
      <w:r>
        <w:rPr>
          <w:rFonts w:ascii="Book Antiqua" w:hAnsi="Book Antiqua"/>
          <w:b/>
          <w:i/>
          <w:iCs/>
          <w:color w:val="000000"/>
          <w:sz w:val="24"/>
          <w:szCs w:val="24"/>
          <w:highlight w:val="none"/>
          <w:lang w:val="en-US"/>
        </w:rPr>
        <w:t>Small molecules</w:t>
      </w:r>
    </w:p>
    <w:p>
      <w:pPr>
        <w:spacing w:after="0" w:line="360" w:lineRule="auto"/>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Tofacitinib was approved for UC treatment in 2018. Liver enzymes elevation with a hepatocellular pattern has been rarely described</w:t>
      </w:r>
      <w:r>
        <w:rPr>
          <w:rFonts w:ascii="Book Antiqua" w:hAnsi="Book Antiqua"/>
          <w:color w:val="000000"/>
          <w:sz w:val="24"/>
          <w:szCs w:val="24"/>
          <w:highlight w:val="none"/>
          <w:vertAlign w:val="superscript"/>
          <w:lang w:val="en-US"/>
        </w:rPr>
        <w:t>[128]</w:t>
      </w:r>
      <w:r>
        <w:rPr>
          <w:rFonts w:ascii="Book Antiqua" w:hAnsi="Book Antiqua"/>
          <w:color w:val="000000"/>
          <w:sz w:val="24"/>
          <w:szCs w:val="24"/>
          <w:highlight w:val="none"/>
          <w:lang w:val="en-US"/>
        </w:rPr>
        <w:t>. One case of possible AIH was reported, but liver injury due to other drugs could not be excluded</w:t>
      </w:r>
      <w:r>
        <w:rPr>
          <w:rFonts w:ascii="Book Antiqua" w:hAnsi="Book Antiqua"/>
          <w:color w:val="000000"/>
          <w:sz w:val="24"/>
          <w:szCs w:val="24"/>
          <w:highlight w:val="none"/>
          <w:vertAlign w:val="superscript"/>
          <w:lang w:val="en-US"/>
        </w:rPr>
        <w:t>[129]</w:t>
      </w:r>
      <w:r>
        <w:rPr>
          <w:rFonts w:ascii="Book Antiqua" w:hAnsi="Book Antiqua"/>
          <w:color w:val="000000"/>
          <w:sz w:val="24"/>
          <w:szCs w:val="24"/>
          <w:highlight w:val="none"/>
          <w:lang w:val="en-US"/>
        </w:rPr>
        <w:t>. Monitoring liver enzymes periodically during tofacitinib treatment is recommended.</w:t>
      </w:r>
    </w:p>
    <w:p>
      <w:pPr>
        <w:spacing w:after="0" w:line="360" w:lineRule="auto"/>
        <w:ind w:firstLine="240" w:firstLineChars="100"/>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Ozanimod is a new molecule introduced for IBD treatment. Aspartate transaminase increases 32 wk after drug exposure were described in 2% and 1% of patients treated with 0.5 mg and 1 mg of ozanimod, respectively. Preliminary data suggest a low rate of hepatotoxicity associated with these new therapeutic approaches</w:t>
      </w:r>
      <w:r>
        <w:rPr>
          <w:rFonts w:ascii="Book Antiqua" w:hAnsi="Book Antiqua"/>
          <w:color w:val="000000"/>
          <w:sz w:val="24"/>
          <w:szCs w:val="24"/>
          <w:highlight w:val="none"/>
          <w:vertAlign w:val="superscript"/>
          <w:lang w:val="en-US"/>
        </w:rPr>
        <w:t>[102]</w:t>
      </w:r>
      <w:r>
        <w:rPr>
          <w:rFonts w:ascii="Book Antiqua" w:hAnsi="Book Antiqua"/>
          <w:color w:val="000000"/>
          <w:sz w:val="24"/>
          <w:szCs w:val="24"/>
          <w:highlight w:val="none"/>
          <w:lang w:val="en-US"/>
        </w:rPr>
        <w:t>.</w:t>
      </w:r>
    </w:p>
    <w:p>
      <w:pPr>
        <w:spacing w:after="0" w:line="360" w:lineRule="auto"/>
        <w:jc w:val="both"/>
        <w:rPr>
          <w:rFonts w:ascii="Book Antiqua" w:hAnsi="Book Antiqua"/>
          <w:color w:val="000000"/>
          <w:sz w:val="24"/>
          <w:szCs w:val="24"/>
          <w:highlight w:val="none"/>
          <w:lang w:val="en-US"/>
        </w:rPr>
      </w:pPr>
    </w:p>
    <w:p>
      <w:pPr>
        <w:spacing w:after="0" w:line="360" w:lineRule="auto"/>
        <w:jc w:val="both"/>
        <w:rPr>
          <w:rFonts w:ascii="Book Antiqua" w:hAnsi="Book Antiqua"/>
          <w:b/>
          <w:bCs/>
          <w:color w:val="000000"/>
          <w:sz w:val="24"/>
          <w:szCs w:val="24"/>
          <w:highlight w:val="none"/>
          <w:u w:val="single"/>
          <w:lang w:val="en-US"/>
        </w:rPr>
      </w:pPr>
      <w:r>
        <w:rPr>
          <w:rFonts w:ascii="Book Antiqua" w:hAnsi="Book Antiqua"/>
          <w:b/>
          <w:bCs/>
          <w:color w:val="000000"/>
          <w:sz w:val="24"/>
          <w:szCs w:val="24"/>
          <w:highlight w:val="none"/>
          <w:u w:val="single"/>
          <w:lang w:val="en-US"/>
        </w:rPr>
        <w:t>PORTAL VEIN THROMBOSIS</w:t>
      </w:r>
    </w:p>
    <w:p>
      <w:pPr>
        <w:spacing w:after="0" w:line="360" w:lineRule="auto"/>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Portal vein thrombosis (PVT) is a common event in IBD. Indeed, IBD patients have a high risk of thromboembolism due to systemic inflammation and alterations in the concentrations of some coagulation factors, such as high factor V and VIII or low antithrombin III</w:t>
      </w:r>
      <w:r>
        <w:rPr>
          <w:rFonts w:ascii="Book Antiqua" w:hAnsi="Book Antiqua"/>
          <w:color w:val="000000"/>
          <w:sz w:val="24"/>
          <w:szCs w:val="24"/>
          <w:highlight w:val="none"/>
          <w:vertAlign w:val="superscript"/>
          <w:lang w:val="en-US"/>
        </w:rPr>
        <w:t>[130]</w:t>
      </w:r>
      <w:r>
        <w:rPr>
          <w:rFonts w:ascii="Book Antiqua" w:hAnsi="Book Antiqua"/>
          <w:color w:val="000000"/>
          <w:sz w:val="24"/>
          <w:szCs w:val="24"/>
          <w:highlight w:val="none"/>
          <w:lang w:val="en-US"/>
        </w:rPr>
        <w:t>.</w:t>
      </w:r>
    </w:p>
    <w:p>
      <w:pPr>
        <w:spacing w:after="0" w:line="360" w:lineRule="auto"/>
        <w:ind w:firstLine="240" w:firstLineChars="100"/>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In a retrospective study, the incidence of thromboembolic events in patients with IBD rose from 5.65% in 2000 to 7.17% by 2009</w:t>
      </w:r>
      <w:r>
        <w:rPr>
          <w:rFonts w:ascii="Book Antiqua" w:hAnsi="Book Antiqua"/>
          <w:color w:val="000000"/>
          <w:sz w:val="24"/>
          <w:szCs w:val="24"/>
          <w:highlight w:val="none"/>
          <w:vertAlign w:val="superscript"/>
          <w:lang w:val="en-US"/>
        </w:rPr>
        <w:t>[131]</w:t>
      </w:r>
      <w:r>
        <w:rPr>
          <w:rFonts w:ascii="Book Antiqua" w:hAnsi="Book Antiqua"/>
          <w:color w:val="000000"/>
          <w:sz w:val="24"/>
          <w:szCs w:val="24"/>
          <w:highlight w:val="none"/>
          <w:lang w:val="en-US"/>
        </w:rPr>
        <w:t>. In particular, the prevalence of PVT in IBD has been estimated to be about 0.17%</w:t>
      </w:r>
      <w:r>
        <w:rPr>
          <w:rFonts w:ascii="Book Antiqua" w:hAnsi="Book Antiqua"/>
          <w:color w:val="000000"/>
          <w:sz w:val="24"/>
          <w:szCs w:val="24"/>
          <w:highlight w:val="none"/>
          <w:vertAlign w:val="superscript"/>
          <w:lang w:val="en-US"/>
        </w:rPr>
        <w:t>[132]</w:t>
      </w:r>
      <w:r>
        <w:rPr>
          <w:rFonts w:ascii="Book Antiqua" w:hAnsi="Book Antiqua"/>
          <w:color w:val="000000"/>
          <w:sz w:val="24"/>
          <w:szCs w:val="24"/>
          <w:highlight w:val="none"/>
          <w:lang w:val="en-US"/>
        </w:rPr>
        <w:t>. There are several causes of PVT, including inflammation, immobilization, major extent of colon disease, disease severity, surgery, use of corticosteroids and smoking. For that reason, the guidelines recommend starting heparin when facing an acute flare of UC, for PVT prophylaxis</w:t>
      </w:r>
      <w:r>
        <w:rPr>
          <w:rFonts w:ascii="Book Antiqua" w:hAnsi="Book Antiqua"/>
          <w:color w:val="000000"/>
          <w:sz w:val="24"/>
          <w:szCs w:val="24"/>
          <w:highlight w:val="none"/>
          <w:vertAlign w:val="superscript"/>
          <w:lang w:val="en-US"/>
        </w:rPr>
        <w:t>[133]</w:t>
      </w:r>
      <w:r>
        <w:rPr>
          <w:rFonts w:ascii="Book Antiqua" w:hAnsi="Book Antiqua"/>
          <w:color w:val="000000"/>
          <w:sz w:val="24"/>
          <w:szCs w:val="24"/>
          <w:highlight w:val="none"/>
          <w:lang w:val="en-US"/>
        </w:rPr>
        <w:t>.</w:t>
      </w:r>
    </w:p>
    <w:p>
      <w:pPr>
        <w:spacing w:after="0" w:line="360" w:lineRule="auto"/>
        <w:ind w:firstLine="240" w:firstLineChars="100"/>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After the onset of PVT, complications such as portal hypertension, bleeding or even death are not common, but early anticoagulation is safe and associated with a better outcome, and the use of novel direct oral anticoagulants was associated with particularly favorable outcomes in this setting</w:t>
      </w:r>
      <w:r>
        <w:rPr>
          <w:rFonts w:ascii="Book Antiqua" w:hAnsi="Book Antiqua"/>
          <w:color w:val="000000"/>
          <w:sz w:val="24"/>
          <w:szCs w:val="24"/>
          <w:highlight w:val="none"/>
          <w:vertAlign w:val="superscript"/>
          <w:lang w:val="en-US"/>
        </w:rPr>
        <w:t>[134]</w:t>
      </w:r>
      <w:r>
        <w:rPr>
          <w:rFonts w:ascii="Book Antiqua" w:hAnsi="Book Antiqua"/>
          <w:color w:val="000000"/>
          <w:sz w:val="24"/>
          <w:szCs w:val="24"/>
          <w:highlight w:val="none"/>
          <w:lang w:val="en-US"/>
        </w:rPr>
        <w:t>.</w:t>
      </w:r>
    </w:p>
    <w:p>
      <w:pPr>
        <w:spacing w:after="0" w:line="360" w:lineRule="auto"/>
        <w:jc w:val="both"/>
        <w:rPr>
          <w:rFonts w:ascii="Book Antiqua" w:hAnsi="Book Antiqua"/>
          <w:color w:val="000000"/>
          <w:sz w:val="24"/>
          <w:szCs w:val="24"/>
          <w:highlight w:val="none"/>
          <w:shd w:val="clear" w:color="auto" w:fill="FFFFFF"/>
          <w:lang w:val="en-US"/>
        </w:rPr>
      </w:pPr>
    </w:p>
    <w:p>
      <w:pPr>
        <w:spacing w:after="0" w:line="360" w:lineRule="auto"/>
        <w:jc w:val="both"/>
        <w:rPr>
          <w:rFonts w:ascii="Book Antiqua" w:hAnsi="Book Antiqua"/>
          <w:b/>
          <w:color w:val="000000"/>
          <w:sz w:val="24"/>
          <w:szCs w:val="24"/>
          <w:highlight w:val="none"/>
          <w:u w:val="single"/>
          <w:lang w:val="en-US"/>
        </w:rPr>
      </w:pPr>
      <w:r>
        <w:rPr>
          <w:rFonts w:ascii="Book Antiqua" w:hAnsi="Book Antiqua"/>
          <w:b/>
          <w:color w:val="000000"/>
          <w:sz w:val="24"/>
          <w:szCs w:val="24"/>
          <w:highlight w:val="none"/>
          <w:u w:val="single"/>
          <w:lang w:val="en-US"/>
        </w:rPr>
        <w:t>CONCLUSIONS</w:t>
      </w:r>
    </w:p>
    <w:p>
      <w:pPr>
        <w:spacing w:after="0" w:line="360" w:lineRule="auto"/>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In conclusion, the scenario of liver involvement of IBD patients is quite extensive. The relationship between IBD and PSC is the most studied. PSC is a disease that currently has no effective medical therapy; therefore, research on drugs that may be effective for both hepatic and intestinal disorders is required. Moreover, the strategies for early neoplasia screening (both CCA and CCR) in these patients are not sufficiently efficient at present, and this is a pitfall that needs to be resolved.</w:t>
      </w:r>
    </w:p>
    <w:p>
      <w:pPr>
        <w:spacing w:after="0" w:line="360" w:lineRule="auto"/>
        <w:ind w:firstLine="240" w:firstLineChars="100"/>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NAFLD in IBD is another focal issue, as this novel comorbidity may complicate the management of IBD patients due to its multifaceted aspects.</w:t>
      </w:r>
    </w:p>
    <w:p>
      <w:pPr>
        <w:spacing w:after="0" w:line="360" w:lineRule="auto"/>
        <w:ind w:firstLine="240" w:firstLineChars="100"/>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As viral hepatitis may soon become a thing of the past, due to the advent of drugs with very high success rates, some patients will still require careful monitoring, especially when immunosuppression for IBD is required.</w:t>
      </w:r>
    </w:p>
    <w:p>
      <w:pPr>
        <w:spacing w:after="0" w:line="360" w:lineRule="auto"/>
        <w:ind w:firstLine="240" w:firstLineChars="100"/>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Among the drugs currently in use to treat IBD, thiopurines, mesalazine derivatives and methotrexate are the most studied, and periodic assessment of LFT is still required. However, the field of DILI is expected to expand quickly, as several novel molecules for the treatment of IBD (tyrosine kinase inhibitors, small molecules and others) have been developed, and their possible hepatotoxicity will be a matter of debate.</w:t>
      </w:r>
    </w:p>
    <w:p>
      <w:pPr>
        <w:spacing w:after="0" w:line="360" w:lineRule="auto"/>
        <w:jc w:val="both"/>
        <w:rPr>
          <w:rFonts w:ascii="Book Antiqua" w:hAnsi="Book Antiqua"/>
          <w:b/>
          <w:bCs/>
          <w:color w:val="000000"/>
          <w:sz w:val="24"/>
          <w:szCs w:val="24"/>
          <w:highlight w:val="none"/>
          <w:lang w:val="en-US"/>
        </w:rPr>
      </w:pPr>
      <w:r>
        <w:rPr>
          <w:rFonts w:ascii="Book Antiqua" w:hAnsi="Book Antiqua"/>
          <w:color w:val="000000"/>
          <w:sz w:val="24"/>
          <w:szCs w:val="24"/>
          <w:highlight w:val="none"/>
          <w:lang w:val="en-US"/>
        </w:rPr>
        <w:br w:type="page"/>
      </w:r>
      <w:r>
        <w:rPr>
          <w:rFonts w:ascii="Book Antiqua" w:hAnsi="Book Antiqua"/>
          <w:b/>
          <w:bCs/>
          <w:color w:val="000000"/>
          <w:sz w:val="24"/>
          <w:szCs w:val="24"/>
          <w:highlight w:val="none"/>
          <w:lang w:val="en-US"/>
        </w:rPr>
        <w:t>REFERENCES</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 </w:t>
      </w:r>
      <w:r>
        <w:rPr>
          <w:rFonts w:ascii="Book Antiqua" w:hAnsi="Book Antiqua"/>
          <w:b/>
          <w:bCs/>
          <w:sz w:val="24"/>
          <w:szCs w:val="24"/>
          <w:highlight w:val="none"/>
          <w:lang w:val="en-US"/>
        </w:rPr>
        <w:t>Jairath V</w:t>
      </w:r>
      <w:r>
        <w:rPr>
          <w:rFonts w:ascii="Book Antiqua" w:hAnsi="Book Antiqua"/>
          <w:sz w:val="24"/>
          <w:szCs w:val="24"/>
          <w:highlight w:val="none"/>
          <w:lang w:val="en-US"/>
        </w:rPr>
        <w:t xml:space="preserve">, Feagan BG. Global burden of inflammatory bowel disease. </w:t>
      </w:r>
      <w:r>
        <w:rPr>
          <w:rFonts w:ascii="Book Antiqua" w:hAnsi="Book Antiqua"/>
          <w:i/>
          <w:iCs/>
          <w:sz w:val="24"/>
          <w:szCs w:val="24"/>
          <w:highlight w:val="none"/>
          <w:lang w:val="en-US"/>
        </w:rPr>
        <w:t>Lancet Gastroenterol Hepatol</w:t>
      </w:r>
      <w:r>
        <w:rPr>
          <w:rFonts w:ascii="Book Antiqua" w:hAnsi="Book Antiqua"/>
          <w:sz w:val="24"/>
          <w:szCs w:val="24"/>
          <w:highlight w:val="none"/>
          <w:lang w:val="en-US"/>
        </w:rPr>
        <w:t xml:space="preserve"> 2020; </w:t>
      </w:r>
      <w:r>
        <w:rPr>
          <w:rFonts w:ascii="Book Antiqua" w:hAnsi="Book Antiqua"/>
          <w:b/>
          <w:bCs/>
          <w:sz w:val="24"/>
          <w:szCs w:val="24"/>
          <w:highlight w:val="none"/>
          <w:lang w:val="en-US"/>
        </w:rPr>
        <w:t>5</w:t>
      </w:r>
      <w:r>
        <w:rPr>
          <w:rFonts w:ascii="Book Antiqua" w:hAnsi="Book Antiqua"/>
          <w:sz w:val="24"/>
          <w:szCs w:val="24"/>
          <w:highlight w:val="none"/>
          <w:lang w:val="en-US"/>
        </w:rPr>
        <w:t>: 2-3 [PMID: 31648974 DOI: 10.1016/S2468-1253(19)30358-9]</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2 </w:t>
      </w:r>
      <w:r>
        <w:rPr>
          <w:rFonts w:ascii="Book Antiqua" w:hAnsi="Book Antiqua"/>
          <w:b/>
          <w:bCs/>
          <w:sz w:val="24"/>
          <w:szCs w:val="24"/>
          <w:highlight w:val="none"/>
          <w:lang w:val="en-US"/>
        </w:rPr>
        <w:t>Bibbò S</w:t>
      </w:r>
      <w:r>
        <w:rPr>
          <w:rFonts w:ascii="Book Antiqua" w:hAnsi="Book Antiqua"/>
          <w:sz w:val="24"/>
          <w:szCs w:val="24"/>
          <w:highlight w:val="none"/>
          <w:lang w:val="en-US"/>
        </w:rPr>
        <w:t xml:space="preserve">, Ianiro G, Dore MP, Simonelli C, Newton EE, Cammarota G. Gut Microbiota as a Driver of Inflammation in Nonalcoholic Fatty Liver Disease. </w:t>
      </w:r>
      <w:r>
        <w:rPr>
          <w:rFonts w:ascii="Book Antiqua" w:hAnsi="Book Antiqua"/>
          <w:i/>
          <w:iCs/>
          <w:sz w:val="24"/>
          <w:szCs w:val="24"/>
          <w:highlight w:val="none"/>
          <w:lang w:val="en-US"/>
        </w:rPr>
        <w:t>Mediators Inflamm</w:t>
      </w:r>
      <w:r>
        <w:rPr>
          <w:rFonts w:ascii="Book Antiqua" w:hAnsi="Book Antiqua"/>
          <w:sz w:val="24"/>
          <w:szCs w:val="24"/>
          <w:highlight w:val="none"/>
          <w:lang w:val="en-US"/>
        </w:rPr>
        <w:t xml:space="preserve"> 2018; </w:t>
      </w:r>
      <w:r>
        <w:rPr>
          <w:rFonts w:ascii="Book Antiqua" w:hAnsi="Book Antiqua"/>
          <w:b/>
          <w:bCs/>
          <w:sz w:val="24"/>
          <w:szCs w:val="24"/>
          <w:highlight w:val="none"/>
          <w:lang w:val="en-US"/>
        </w:rPr>
        <w:t>2018</w:t>
      </w:r>
      <w:r>
        <w:rPr>
          <w:rFonts w:ascii="Book Antiqua" w:hAnsi="Book Antiqua"/>
          <w:sz w:val="24"/>
          <w:szCs w:val="24"/>
          <w:highlight w:val="none"/>
          <w:lang w:val="en-US"/>
        </w:rPr>
        <w:t>: 9321643 [PMID: 29563854 DOI: 10.1155/2018/9321643]</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3 </w:t>
      </w:r>
      <w:r>
        <w:rPr>
          <w:rFonts w:ascii="Book Antiqua" w:hAnsi="Book Antiqua"/>
          <w:b/>
          <w:bCs/>
          <w:sz w:val="24"/>
          <w:szCs w:val="24"/>
          <w:highlight w:val="none"/>
          <w:lang w:val="en-US"/>
        </w:rPr>
        <w:t>Fousekis FS</w:t>
      </w:r>
      <w:r>
        <w:rPr>
          <w:rFonts w:ascii="Book Antiqua" w:hAnsi="Book Antiqua"/>
          <w:sz w:val="24"/>
          <w:szCs w:val="24"/>
          <w:highlight w:val="none"/>
          <w:lang w:val="en-US"/>
        </w:rPr>
        <w:t xml:space="preserve">, Theopistos VI, Katsanos KH, Tsianos EV, Christodoulou DK. Hepatobiliary Manifestations and Complications in Inflammatory Bowel Disease: A Review. </w:t>
      </w:r>
      <w:r>
        <w:rPr>
          <w:rFonts w:ascii="Book Antiqua" w:hAnsi="Book Antiqua"/>
          <w:i/>
          <w:iCs/>
          <w:sz w:val="24"/>
          <w:szCs w:val="24"/>
          <w:highlight w:val="none"/>
          <w:lang w:val="en-US"/>
        </w:rPr>
        <w:t>Gastroenterology Res</w:t>
      </w:r>
      <w:r>
        <w:rPr>
          <w:rFonts w:ascii="Book Antiqua" w:hAnsi="Book Antiqua"/>
          <w:sz w:val="24"/>
          <w:szCs w:val="24"/>
          <w:highlight w:val="none"/>
          <w:lang w:val="en-US"/>
        </w:rPr>
        <w:t xml:space="preserve"> 2018; </w:t>
      </w:r>
      <w:r>
        <w:rPr>
          <w:rFonts w:ascii="Book Antiqua" w:hAnsi="Book Antiqua"/>
          <w:b/>
          <w:bCs/>
          <w:sz w:val="24"/>
          <w:szCs w:val="24"/>
          <w:highlight w:val="none"/>
          <w:lang w:val="en-US"/>
        </w:rPr>
        <w:t>11</w:t>
      </w:r>
      <w:r>
        <w:rPr>
          <w:rFonts w:ascii="Book Antiqua" w:hAnsi="Book Antiqua"/>
          <w:sz w:val="24"/>
          <w:szCs w:val="24"/>
          <w:highlight w:val="none"/>
          <w:lang w:val="en-US"/>
        </w:rPr>
        <w:t>: 83-94 [PMID: 29707074 DOI: 10.14740/gr990w]</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4 </w:t>
      </w:r>
      <w:r>
        <w:rPr>
          <w:rFonts w:ascii="Book Antiqua" w:hAnsi="Book Antiqua"/>
          <w:b/>
          <w:bCs/>
          <w:sz w:val="24"/>
          <w:szCs w:val="24"/>
          <w:highlight w:val="none"/>
          <w:lang w:val="en-US"/>
        </w:rPr>
        <w:t>Lunder AK</w:t>
      </w:r>
      <w:r>
        <w:rPr>
          <w:rFonts w:ascii="Book Antiqua" w:hAnsi="Book Antiqua"/>
          <w:sz w:val="24"/>
          <w:szCs w:val="24"/>
          <w:highlight w:val="none"/>
          <w:lang w:val="en-US"/>
        </w:rPr>
        <w:t xml:space="preserve">, Hov JR, Borthne A, Gleditsch J, Johannesen G, Tveit K, Viktil E, Henriksen M, Hovde Ø, Huppertz-Hauss G, Høie O, Høivik ML, Monstad I, Solberg IC, Jahnsen J, Karlsen TH, Moum B, Vatn M, Negård A. Prevalence of Sclerosing Cholangitis Detected by Magnetic Resonance Cholangiography in Patients With Long-term Inflammatory Bowel Disease. </w:t>
      </w:r>
      <w:r>
        <w:rPr>
          <w:rFonts w:ascii="Book Antiqua" w:hAnsi="Book Antiqua"/>
          <w:i/>
          <w:iCs/>
          <w:sz w:val="24"/>
          <w:szCs w:val="24"/>
          <w:highlight w:val="none"/>
          <w:lang w:val="en-US"/>
        </w:rPr>
        <w:t>Gastroenterology</w:t>
      </w:r>
      <w:r>
        <w:rPr>
          <w:rFonts w:ascii="Book Antiqua" w:hAnsi="Book Antiqua"/>
          <w:sz w:val="24"/>
          <w:szCs w:val="24"/>
          <w:highlight w:val="none"/>
          <w:lang w:val="en-US"/>
        </w:rPr>
        <w:t xml:space="preserve"> 2016; </w:t>
      </w:r>
      <w:r>
        <w:rPr>
          <w:rFonts w:ascii="Book Antiqua" w:hAnsi="Book Antiqua"/>
          <w:b/>
          <w:bCs/>
          <w:sz w:val="24"/>
          <w:szCs w:val="24"/>
          <w:highlight w:val="none"/>
          <w:lang w:val="en-US"/>
        </w:rPr>
        <w:t>151</w:t>
      </w:r>
      <w:r>
        <w:rPr>
          <w:rFonts w:ascii="Book Antiqua" w:hAnsi="Book Antiqua"/>
          <w:sz w:val="24"/>
          <w:szCs w:val="24"/>
          <w:highlight w:val="none"/>
          <w:lang w:val="en-US"/>
        </w:rPr>
        <w:t>: 660-669.e4 [PMID: 27342213 DOI: 10.1053/j.gastro.2016.06.021]</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5 </w:t>
      </w:r>
      <w:r>
        <w:rPr>
          <w:rFonts w:ascii="Book Antiqua" w:hAnsi="Book Antiqua"/>
          <w:b/>
          <w:bCs/>
          <w:sz w:val="24"/>
          <w:szCs w:val="24"/>
          <w:highlight w:val="none"/>
          <w:lang w:val="en-US"/>
        </w:rPr>
        <w:t>Lakatos L</w:t>
      </w:r>
      <w:r>
        <w:rPr>
          <w:rFonts w:ascii="Book Antiqua" w:hAnsi="Book Antiqua"/>
          <w:sz w:val="24"/>
          <w:szCs w:val="24"/>
          <w:highlight w:val="none"/>
          <w:lang w:val="en-US"/>
        </w:rPr>
        <w:t xml:space="preserve">, Kiss LS, David G, Pandur T, Erdelyi Z, Mester G, Balogh M, Szipocs I, Molnar C, Komaromi E, Lakatos PL. Incidence, disease phenotype at diagnosis, and early disease course in inflammatory bowel diseases in Western Hungary, 2002-2006. </w:t>
      </w:r>
      <w:r>
        <w:rPr>
          <w:rFonts w:ascii="Book Antiqua" w:hAnsi="Book Antiqua"/>
          <w:i/>
          <w:iCs/>
          <w:sz w:val="24"/>
          <w:szCs w:val="24"/>
          <w:highlight w:val="none"/>
          <w:lang w:val="en-US"/>
        </w:rPr>
        <w:t>Inflamm Bowel Dis</w:t>
      </w:r>
      <w:r>
        <w:rPr>
          <w:rFonts w:ascii="Book Antiqua" w:hAnsi="Book Antiqua"/>
          <w:sz w:val="24"/>
          <w:szCs w:val="24"/>
          <w:highlight w:val="none"/>
          <w:lang w:val="en-US"/>
        </w:rPr>
        <w:t xml:space="preserve"> 2011; </w:t>
      </w:r>
      <w:r>
        <w:rPr>
          <w:rFonts w:ascii="Book Antiqua" w:hAnsi="Book Antiqua"/>
          <w:b/>
          <w:bCs/>
          <w:sz w:val="24"/>
          <w:szCs w:val="24"/>
          <w:highlight w:val="none"/>
          <w:lang w:val="en-US"/>
        </w:rPr>
        <w:t>17</w:t>
      </w:r>
      <w:r>
        <w:rPr>
          <w:rFonts w:ascii="Book Antiqua" w:hAnsi="Book Antiqua"/>
          <w:sz w:val="24"/>
          <w:szCs w:val="24"/>
          <w:highlight w:val="none"/>
          <w:lang w:val="en-US"/>
        </w:rPr>
        <w:t>: 2558-2565 [PMID: 22072315 DOI: 10.1002/ibd.21607]</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6 </w:t>
      </w:r>
      <w:r>
        <w:rPr>
          <w:rFonts w:ascii="Book Antiqua" w:hAnsi="Book Antiqua"/>
          <w:b/>
          <w:bCs/>
          <w:sz w:val="24"/>
          <w:szCs w:val="24"/>
          <w:highlight w:val="none"/>
          <w:lang w:val="en-US"/>
        </w:rPr>
        <w:t>Burisch J</w:t>
      </w:r>
      <w:r>
        <w:rPr>
          <w:rFonts w:ascii="Book Antiqua" w:hAnsi="Book Antiqua"/>
          <w:sz w:val="24"/>
          <w:szCs w:val="24"/>
          <w:highlight w:val="none"/>
          <w:lang w:val="en-US"/>
        </w:rPr>
        <w:t xml:space="preserve">, Jess T, Martinato M, Lakatos PL; ECCO -EpiCom. The burden of inflammatory bowel disease in Europe. </w:t>
      </w:r>
      <w:r>
        <w:rPr>
          <w:rFonts w:ascii="Book Antiqua" w:hAnsi="Book Antiqua"/>
          <w:i/>
          <w:iCs/>
          <w:sz w:val="24"/>
          <w:szCs w:val="24"/>
          <w:highlight w:val="none"/>
          <w:lang w:val="en-US"/>
        </w:rPr>
        <w:t>J Crohns Colitis</w:t>
      </w:r>
      <w:r>
        <w:rPr>
          <w:rFonts w:ascii="Book Antiqua" w:hAnsi="Book Antiqua"/>
          <w:sz w:val="24"/>
          <w:szCs w:val="24"/>
          <w:highlight w:val="none"/>
          <w:lang w:val="en-US"/>
        </w:rPr>
        <w:t xml:space="preserve"> 2013; </w:t>
      </w:r>
      <w:r>
        <w:rPr>
          <w:rFonts w:ascii="Book Antiqua" w:hAnsi="Book Antiqua"/>
          <w:b/>
          <w:bCs/>
          <w:sz w:val="24"/>
          <w:szCs w:val="24"/>
          <w:highlight w:val="none"/>
          <w:lang w:val="en-US"/>
        </w:rPr>
        <w:t>7</w:t>
      </w:r>
      <w:r>
        <w:rPr>
          <w:rFonts w:ascii="Book Antiqua" w:hAnsi="Book Antiqua"/>
          <w:sz w:val="24"/>
          <w:szCs w:val="24"/>
          <w:highlight w:val="none"/>
          <w:lang w:val="en-US"/>
        </w:rPr>
        <w:t>: 322-337 [PMID: 23395397 DOI: 10.1016/j.crohns.2013.01.010]</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7 </w:t>
      </w:r>
      <w:r>
        <w:rPr>
          <w:rFonts w:ascii="Book Antiqua" w:hAnsi="Book Antiqua"/>
          <w:b/>
          <w:bCs/>
          <w:sz w:val="24"/>
          <w:szCs w:val="24"/>
          <w:highlight w:val="none"/>
          <w:lang w:val="en-US"/>
        </w:rPr>
        <w:t>Loftus EV Jr</w:t>
      </w:r>
      <w:r>
        <w:rPr>
          <w:rFonts w:ascii="Book Antiqua" w:hAnsi="Book Antiqua"/>
          <w:sz w:val="24"/>
          <w:szCs w:val="24"/>
          <w:highlight w:val="none"/>
          <w:lang w:val="en-US"/>
        </w:rPr>
        <w:t xml:space="preserve">, Harewood GC, Loftus CG, Tremaine WJ, Harmsen WS, Zinsmeister AR, Jewell DA, Sandborn WJ. PSC-IBD: a unique form of inflammatory bowel disease associated with primary sclerosing cholangitis. </w:t>
      </w:r>
      <w:r>
        <w:rPr>
          <w:rFonts w:ascii="Book Antiqua" w:hAnsi="Book Antiqua"/>
          <w:i/>
          <w:iCs/>
          <w:sz w:val="24"/>
          <w:szCs w:val="24"/>
          <w:highlight w:val="none"/>
          <w:lang w:val="en-US"/>
        </w:rPr>
        <w:t>Gut</w:t>
      </w:r>
      <w:r>
        <w:rPr>
          <w:rFonts w:ascii="Book Antiqua" w:hAnsi="Book Antiqua"/>
          <w:sz w:val="24"/>
          <w:szCs w:val="24"/>
          <w:highlight w:val="none"/>
          <w:lang w:val="en-US"/>
        </w:rPr>
        <w:t xml:space="preserve"> 2005; </w:t>
      </w:r>
      <w:r>
        <w:rPr>
          <w:rFonts w:ascii="Book Antiqua" w:hAnsi="Book Antiqua"/>
          <w:b/>
          <w:bCs/>
          <w:sz w:val="24"/>
          <w:szCs w:val="24"/>
          <w:highlight w:val="none"/>
          <w:lang w:val="en-US"/>
        </w:rPr>
        <w:t>54</w:t>
      </w:r>
      <w:r>
        <w:rPr>
          <w:rFonts w:ascii="Book Antiqua" w:hAnsi="Book Antiqua"/>
          <w:sz w:val="24"/>
          <w:szCs w:val="24"/>
          <w:highlight w:val="none"/>
          <w:lang w:val="en-US"/>
        </w:rPr>
        <w:t>: 91-96 [PMID: 15591511 DOI: 10.1136/gut.2004.046615]</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8 </w:t>
      </w:r>
      <w:r>
        <w:rPr>
          <w:rFonts w:ascii="Book Antiqua" w:hAnsi="Book Antiqua"/>
          <w:b/>
          <w:bCs/>
          <w:sz w:val="24"/>
          <w:szCs w:val="24"/>
          <w:highlight w:val="none"/>
          <w:lang w:val="en-US"/>
        </w:rPr>
        <w:t>de Vries AB</w:t>
      </w:r>
      <w:r>
        <w:rPr>
          <w:rFonts w:ascii="Book Antiqua" w:hAnsi="Book Antiqua"/>
          <w:sz w:val="24"/>
          <w:szCs w:val="24"/>
          <w:highlight w:val="none"/>
          <w:lang w:val="en-US"/>
        </w:rPr>
        <w:t xml:space="preserve">, Janse M, Blokzijl H, Weersma RK. Distinctive inflammatory bowel disease phenotype in primary sclerosing cholangitis. </w:t>
      </w:r>
      <w:r>
        <w:rPr>
          <w:rFonts w:ascii="Book Antiqua" w:hAnsi="Book Antiqua"/>
          <w:i/>
          <w:iCs/>
          <w:sz w:val="24"/>
          <w:szCs w:val="24"/>
          <w:highlight w:val="none"/>
          <w:lang w:val="en-US"/>
        </w:rPr>
        <w:t>World J Gastroenterol</w:t>
      </w:r>
      <w:r>
        <w:rPr>
          <w:rFonts w:ascii="Book Antiqua" w:hAnsi="Book Antiqua"/>
          <w:sz w:val="24"/>
          <w:szCs w:val="24"/>
          <w:highlight w:val="none"/>
          <w:lang w:val="en-US"/>
        </w:rPr>
        <w:t xml:space="preserve"> 2015; </w:t>
      </w:r>
      <w:r>
        <w:rPr>
          <w:rFonts w:ascii="Book Antiqua" w:hAnsi="Book Antiqua"/>
          <w:b/>
          <w:bCs/>
          <w:sz w:val="24"/>
          <w:szCs w:val="24"/>
          <w:highlight w:val="none"/>
          <w:lang w:val="en-US"/>
        </w:rPr>
        <w:t>21</w:t>
      </w:r>
      <w:r>
        <w:rPr>
          <w:rFonts w:ascii="Book Antiqua" w:hAnsi="Book Antiqua"/>
          <w:sz w:val="24"/>
          <w:szCs w:val="24"/>
          <w:highlight w:val="none"/>
          <w:lang w:val="en-US"/>
        </w:rPr>
        <w:t>: 1956-1971 [PMID: 25684965 DOI: 10.3748/wjg.v21.i6.1956]</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9 </w:t>
      </w:r>
      <w:r>
        <w:rPr>
          <w:rFonts w:ascii="Book Antiqua" w:hAnsi="Book Antiqua"/>
          <w:b/>
          <w:bCs/>
          <w:sz w:val="24"/>
          <w:szCs w:val="24"/>
          <w:highlight w:val="none"/>
          <w:lang w:val="en-US"/>
        </w:rPr>
        <w:t>Dave M</w:t>
      </w:r>
      <w:r>
        <w:rPr>
          <w:rFonts w:ascii="Book Antiqua" w:hAnsi="Book Antiqua"/>
          <w:sz w:val="24"/>
          <w:szCs w:val="24"/>
          <w:highlight w:val="none"/>
          <w:lang w:val="en-US"/>
        </w:rPr>
        <w:t xml:space="preserve">, Elmunzer BJ, Dwamena BA, Higgins PD. Primary sclerosing cholangitis: meta-analysis of diagnostic performance of MR cholangiopancreatography. </w:t>
      </w:r>
      <w:r>
        <w:rPr>
          <w:rFonts w:ascii="Book Antiqua" w:hAnsi="Book Antiqua"/>
          <w:i/>
          <w:iCs/>
          <w:sz w:val="24"/>
          <w:szCs w:val="24"/>
          <w:highlight w:val="none"/>
          <w:lang w:val="en-US"/>
        </w:rPr>
        <w:t>Radiology</w:t>
      </w:r>
      <w:r>
        <w:rPr>
          <w:rFonts w:ascii="Book Antiqua" w:hAnsi="Book Antiqua"/>
          <w:sz w:val="24"/>
          <w:szCs w:val="24"/>
          <w:highlight w:val="none"/>
          <w:lang w:val="en-US"/>
        </w:rPr>
        <w:t xml:space="preserve"> 2010; </w:t>
      </w:r>
      <w:r>
        <w:rPr>
          <w:rFonts w:ascii="Book Antiqua" w:hAnsi="Book Antiqua"/>
          <w:b/>
          <w:bCs/>
          <w:sz w:val="24"/>
          <w:szCs w:val="24"/>
          <w:highlight w:val="none"/>
          <w:lang w:val="en-US"/>
        </w:rPr>
        <w:t>256</w:t>
      </w:r>
      <w:r>
        <w:rPr>
          <w:rFonts w:ascii="Book Antiqua" w:hAnsi="Book Antiqua"/>
          <w:sz w:val="24"/>
          <w:szCs w:val="24"/>
          <w:highlight w:val="none"/>
          <w:lang w:val="en-US"/>
        </w:rPr>
        <w:t>: 387-396 [PMID: 20656832 DOI: 10.1148/radiol.10091953]</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10 </w:t>
      </w:r>
      <w:r>
        <w:rPr>
          <w:rFonts w:ascii="Book Antiqua" w:hAnsi="Book Antiqua"/>
          <w:b/>
          <w:bCs/>
          <w:sz w:val="24"/>
          <w:szCs w:val="24"/>
          <w:highlight w:val="none"/>
          <w:lang w:val="en-US"/>
        </w:rPr>
        <w:t>Sørensen JØ</w:t>
      </w:r>
      <w:r>
        <w:rPr>
          <w:rFonts w:ascii="Book Antiqua" w:hAnsi="Book Antiqua"/>
          <w:sz w:val="24"/>
          <w:szCs w:val="24"/>
          <w:highlight w:val="none"/>
          <w:lang w:val="en-US"/>
        </w:rPr>
        <w:t xml:space="preserve">, Nielsen OH, Andersson M, Ainsworth MA, Ytting H, Bélard E, Jess T. Inflammatory bowel disease with primary sclerosing cholangitis: A Danish population-based cohort study 1977-2011. </w:t>
      </w:r>
      <w:r>
        <w:rPr>
          <w:rFonts w:ascii="Book Antiqua" w:hAnsi="Book Antiqua"/>
          <w:i/>
          <w:iCs/>
          <w:sz w:val="24"/>
          <w:szCs w:val="24"/>
          <w:highlight w:val="none"/>
          <w:lang w:val="en-US"/>
        </w:rPr>
        <w:t>Liver Int</w:t>
      </w:r>
      <w:r>
        <w:rPr>
          <w:rFonts w:ascii="Book Antiqua" w:hAnsi="Book Antiqua"/>
          <w:sz w:val="24"/>
          <w:szCs w:val="24"/>
          <w:highlight w:val="none"/>
          <w:lang w:val="en-US"/>
        </w:rPr>
        <w:t xml:space="preserve"> 2018; </w:t>
      </w:r>
      <w:r>
        <w:rPr>
          <w:rFonts w:ascii="Book Antiqua" w:hAnsi="Book Antiqua"/>
          <w:b/>
          <w:bCs/>
          <w:sz w:val="24"/>
          <w:szCs w:val="24"/>
          <w:highlight w:val="none"/>
          <w:lang w:val="en-US"/>
        </w:rPr>
        <w:t>38</w:t>
      </w:r>
      <w:r>
        <w:rPr>
          <w:rFonts w:ascii="Book Antiqua" w:hAnsi="Book Antiqua"/>
          <w:sz w:val="24"/>
          <w:szCs w:val="24"/>
          <w:highlight w:val="none"/>
          <w:lang w:val="en-US"/>
        </w:rPr>
        <w:t>: 532-541 [PMID: 28796371 DOI: 10.1111/liv.13548]</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11 </w:t>
      </w:r>
      <w:r>
        <w:rPr>
          <w:rFonts w:ascii="Book Antiqua" w:hAnsi="Book Antiqua"/>
          <w:b/>
          <w:bCs/>
          <w:sz w:val="24"/>
          <w:szCs w:val="24"/>
          <w:highlight w:val="none"/>
          <w:lang w:val="en-US"/>
        </w:rPr>
        <w:t>Riley TR</w:t>
      </w:r>
      <w:r>
        <w:rPr>
          <w:rFonts w:ascii="Book Antiqua" w:hAnsi="Book Antiqua"/>
          <w:sz w:val="24"/>
          <w:szCs w:val="24"/>
          <w:highlight w:val="none"/>
          <w:lang w:val="en-US"/>
        </w:rPr>
        <w:t xml:space="preserve">, Schoen RE, Lee RG, Rakela J. A case series of transplant recipients who despite immunosuppression developed inflammatory bowel disease. </w:t>
      </w:r>
      <w:r>
        <w:rPr>
          <w:rFonts w:ascii="Book Antiqua" w:hAnsi="Book Antiqua"/>
          <w:i/>
          <w:iCs/>
          <w:sz w:val="24"/>
          <w:szCs w:val="24"/>
          <w:highlight w:val="none"/>
          <w:lang w:val="en-US"/>
        </w:rPr>
        <w:t>Am J Gastroenterol</w:t>
      </w:r>
      <w:r>
        <w:rPr>
          <w:rFonts w:ascii="Book Antiqua" w:hAnsi="Book Antiqua"/>
          <w:sz w:val="24"/>
          <w:szCs w:val="24"/>
          <w:highlight w:val="none"/>
          <w:lang w:val="en-US"/>
        </w:rPr>
        <w:t xml:space="preserve"> 1997; </w:t>
      </w:r>
      <w:r>
        <w:rPr>
          <w:rFonts w:ascii="Book Antiqua" w:hAnsi="Book Antiqua"/>
          <w:b/>
          <w:bCs/>
          <w:sz w:val="24"/>
          <w:szCs w:val="24"/>
          <w:highlight w:val="none"/>
          <w:lang w:val="en-US"/>
        </w:rPr>
        <w:t>92</w:t>
      </w:r>
      <w:r>
        <w:rPr>
          <w:rFonts w:ascii="Book Antiqua" w:hAnsi="Book Antiqua"/>
          <w:sz w:val="24"/>
          <w:szCs w:val="24"/>
          <w:highlight w:val="none"/>
          <w:lang w:val="en-US"/>
        </w:rPr>
        <w:t>: 279-282 [PMID: 9040206]</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12 </w:t>
      </w:r>
      <w:r>
        <w:rPr>
          <w:rFonts w:ascii="Book Antiqua" w:hAnsi="Book Antiqua"/>
          <w:b/>
          <w:bCs/>
          <w:sz w:val="24"/>
          <w:szCs w:val="24"/>
          <w:highlight w:val="none"/>
          <w:lang w:val="en-US"/>
        </w:rPr>
        <w:t>Boonstra K</w:t>
      </w:r>
      <w:r>
        <w:rPr>
          <w:rFonts w:ascii="Book Antiqua" w:hAnsi="Book Antiqua"/>
          <w:sz w:val="24"/>
          <w:szCs w:val="24"/>
          <w:highlight w:val="none"/>
          <w:lang w:val="en-US"/>
        </w:rPr>
        <w:t xml:space="preserve">, van Erpecum KJ, van Nieuwkerk KM, Drenth JP, Poen AC, Witteman BJ, Tuynman HA, Beuers U, Ponsioen CY. Primary sclerosing cholangitis is associated with a distinct phenotype of inflammatory bowel disease. </w:t>
      </w:r>
      <w:r>
        <w:rPr>
          <w:rFonts w:ascii="Book Antiqua" w:hAnsi="Book Antiqua"/>
          <w:i/>
          <w:iCs/>
          <w:sz w:val="24"/>
          <w:szCs w:val="24"/>
          <w:highlight w:val="none"/>
          <w:lang w:val="en-US"/>
        </w:rPr>
        <w:t>Inflamm Bowel Dis</w:t>
      </w:r>
      <w:r>
        <w:rPr>
          <w:rFonts w:ascii="Book Antiqua" w:hAnsi="Book Antiqua"/>
          <w:sz w:val="24"/>
          <w:szCs w:val="24"/>
          <w:highlight w:val="none"/>
          <w:lang w:val="en-US"/>
        </w:rPr>
        <w:t xml:space="preserve"> 2012; </w:t>
      </w:r>
      <w:r>
        <w:rPr>
          <w:rFonts w:ascii="Book Antiqua" w:hAnsi="Book Antiqua"/>
          <w:b/>
          <w:bCs/>
          <w:sz w:val="24"/>
          <w:szCs w:val="24"/>
          <w:highlight w:val="none"/>
          <w:lang w:val="en-US"/>
        </w:rPr>
        <w:t>18</w:t>
      </w:r>
      <w:r>
        <w:rPr>
          <w:rFonts w:ascii="Book Antiqua" w:hAnsi="Book Antiqua"/>
          <w:sz w:val="24"/>
          <w:szCs w:val="24"/>
          <w:highlight w:val="none"/>
          <w:lang w:val="en-US"/>
        </w:rPr>
        <w:t>: 2270-2276 [PMID: 22407885 DOI: 10.1002/ibd.22938]</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13 </w:t>
      </w:r>
      <w:r>
        <w:rPr>
          <w:rFonts w:ascii="Book Antiqua" w:hAnsi="Book Antiqua"/>
          <w:b/>
          <w:bCs/>
          <w:sz w:val="24"/>
          <w:szCs w:val="24"/>
          <w:highlight w:val="none"/>
          <w:lang w:val="en-US"/>
        </w:rPr>
        <w:t>Fousekis FS</w:t>
      </w:r>
      <w:r>
        <w:rPr>
          <w:rFonts w:ascii="Book Antiqua" w:hAnsi="Book Antiqua"/>
          <w:sz w:val="24"/>
          <w:szCs w:val="24"/>
          <w:highlight w:val="none"/>
          <w:lang w:val="en-US"/>
        </w:rPr>
        <w:t xml:space="preserve">, Theopistos VI, Mitselos IV, Skamnelos A, Kavvadias A, Katsanos KH, Christodoulou DK. Specific Features of Patients With Inflammatory Bowel Disease and Primary Sclerosing Cholangitis. </w:t>
      </w:r>
      <w:r>
        <w:rPr>
          <w:rFonts w:ascii="Book Antiqua" w:hAnsi="Book Antiqua"/>
          <w:i/>
          <w:iCs/>
          <w:sz w:val="24"/>
          <w:szCs w:val="24"/>
          <w:highlight w:val="none"/>
          <w:lang w:val="en-US"/>
        </w:rPr>
        <w:t>J Clin Med Res</w:t>
      </w:r>
      <w:r>
        <w:rPr>
          <w:rFonts w:ascii="Book Antiqua" w:hAnsi="Book Antiqua"/>
          <w:sz w:val="24"/>
          <w:szCs w:val="24"/>
          <w:highlight w:val="none"/>
          <w:lang w:val="en-US"/>
        </w:rPr>
        <w:t xml:space="preserve"> 2019; </w:t>
      </w:r>
      <w:r>
        <w:rPr>
          <w:rFonts w:ascii="Book Antiqua" w:hAnsi="Book Antiqua"/>
          <w:b/>
          <w:bCs/>
          <w:sz w:val="24"/>
          <w:szCs w:val="24"/>
          <w:highlight w:val="none"/>
          <w:lang w:val="en-US"/>
        </w:rPr>
        <w:t>11</w:t>
      </w:r>
      <w:r>
        <w:rPr>
          <w:rFonts w:ascii="Book Antiqua" w:hAnsi="Book Antiqua"/>
          <w:sz w:val="24"/>
          <w:szCs w:val="24"/>
          <w:highlight w:val="none"/>
          <w:lang w:val="en-US"/>
        </w:rPr>
        <w:t>: 81-88 [PMID: 30700999 DOI: 10.14740/jocmr3680]</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14 </w:t>
      </w:r>
      <w:r>
        <w:rPr>
          <w:rFonts w:ascii="Book Antiqua" w:hAnsi="Book Antiqua"/>
          <w:b/>
          <w:bCs/>
          <w:sz w:val="24"/>
          <w:szCs w:val="24"/>
          <w:highlight w:val="none"/>
          <w:lang w:val="en-US"/>
        </w:rPr>
        <w:t>Ricciuto A</w:t>
      </w:r>
      <w:r>
        <w:rPr>
          <w:rFonts w:ascii="Book Antiqua" w:hAnsi="Book Antiqua"/>
          <w:sz w:val="24"/>
          <w:szCs w:val="24"/>
          <w:highlight w:val="none"/>
          <w:lang w:val="en-US"/>
        </w:rPr>
        <w:t xml:space="preserve">, Fish J, Carman N, Walters TD, Church PC, Hansen BE, Crowley E, Siddiqui I, Nguyen GC, Kamath BM, Griffiths AM. Symptoms Do Not Correlate With Findings From Colonoscopy in Children With Inflammatory Bowel Disease and Primary Sclerosing Cholangitis. </w:t>
      </w:r>
      <w:r>
        <w:rPr>
          <w:rFonts w:ascii="Book Antiqua" w:hAnsi="Book Antiqua"/>
          <w:i/>
          <w:iCs/>
          <w:sz w:val="24"/>
          <w:szCs w:val="24"/>
          <w:highlight w:val="none"/>
          <w:lang w:val="en-US"/>
        </w:rPr>
        <w:t>Clin Gastroenterol Hepatol</w:t>
      </w:r>
      <w:r>
        <w:rPr>
          <w:rFonts w:ascii="Book Antiqua" w:hAnsi="Book Antiqua"/>
          <w:sz w:val="24"/>
          <w:szCs w:val="24"/>
          <w:highlight w:val="none"/>
          <w:lang w:val="en-US"/>
        </w:rPr>
        <w:t xml:space="preserve"> 2018; </w:t>
      </w:r>
      <w:r>
        <w:rPr>
          <w:rFonts w:ascii="Book Antiqua" w:hAnsi="Book Antiqua"/>
          <w:b/>
          <w:bCs/>
          <w:sz w:val="24"/>
          <w:szCs w:val="24"/>
          <w:highlight w:val="none"/>
          <w:lang w:val="en-US"/>
        </w:rPr>
        <w:t>16</w:t>
      </w:r>
      <w:r>
        <w:rPr>
          <w:rFonts w:ascii="Book Antiqua" w:hAnsi="Book Antiqua"/>
          <w:sz w:val="24"/>
          <w:szCs w:val="24"/>
          <w:highlight w:val="none"/>
          <w:lang w:val="en-US"/>
        </w:rPr>
        <w:t>: 1098-1105.e1 [PMID: 29378308 DOI: 10.1016/j.cgh.2018.01.020]</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15 </w:t>
      </w:r>
      <w:r>
        <w:rPr>
          <w:rFonts w:ascii="Book Antiqua" w:hAnsi="Book Antiqua"/>
          <w:b/>
          <w:bCs/>
          <w:sz w:val="24"/>
          <w:szCs w:val="24"/>
          <w:highlight w:val="none"/>
          <w:lang w:val="en-US"/>
        </w:rPr>
        <w:t>Sano H</w:t>
      </w:r>
      <w:r>
        <w:rPr>
          <w:rFonts w:ascii="Book Antiqua" w:hAnsi="Book Antiqua"/>
          <w:sz w:val="24"/>
          <w:szCs w:val="24"/>
          <w:highlight w:val="none"/>
          <w:lang w:val="en-US"/>
        </w:rPr>
        <w:t xml:space="preserve">, Nakazawa T, Ando T, Hayashi K, Naitoh I, Okumura F, Miyabe K, Yoshida M, Takahashi S, Ohara H, Joh T. Clinical characteristics of inflammatory bowel disease associated with primary sclerosing cholangitis. </w:t>
      </w:r>
      <w:r>
        <w:rPr>
          <w:rFonts w:ascii="Book Antiqua" w:hAnsi="Book Antiqua"/>
          <w:i/>
          <w:iCs/>
          <w:sz w:val="24"/>
          <w:szCs w:val="24"/>
          <w:highlight w:val="none"/>
          <w:lang w:val="en-US"/>
        </w:rPr>
        <w:t>J Hepatobiliary Pancreat Sci</w:t>
      </w:r>
      <w:r>
        <w:rPr>
          <w:rFonts w:ascii="Book Antiqua" w:hAnsi="Book Antiqua"/>
          <w:sz w:val="24"/>
          <w:szCs w:val="24"/>
          <w:highlight w:val="none"/>
          <w:lang w:val="en-US"/>
        </w:rPr>
        <w:t xml:space="preserve"> 2011; </w:t>
      </w:r>
      <w:r>
        <w:rPr>
          <w:rFonts w:ascii="Book Antiqua" w:hAnsi="Book Antiqua"/>
          <w:b/>
          <w:bCs/>
          <w:sz w:val="24"/>
          <w:szCs w:val="24"/>
          <w:highlight w:val="none"/>
          <w:lang w:val="en-US"/>
        </w:rPr>
        <w:t>18</w:t>
      </w:r>
      <w:r>
        <w:rPr>
          <w:rFonts w:ascii="Book Antiqua" w:hAnsi="Book Antiqua"/>
          <w:sz w:val="24"/>
          <w:szCs w:val="24"/>
          <w:highlight w:val="none"/>
          <w:lang w:val="en-US"/>
        </w:rPr>
        <w:t>: 154-161 [PMID: 20740366 DOI: 10.1007/s00534-010-0319-8]</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16 </w:t>
      </w:r>
      <w:r>
        <w:rPr>
          <w:rFonts w:ascii="Book Antiqua" w:hAnsi="Book Antiqua"/>
          <w:b/>
          <w:bCs/>
          <w:sz w:val="24"/>
          <w:szCs w:val="24"/>
          <w:highlight w:val="none"/>
          <w:lang w:val="en-US"/>
        </w:rPr>
        <w:t>Halliday JS</w:t>
      </w:r>
      <w:r>
        <w:rPr>
          <w:rFonts w:ascii="Book Antiqua" w:hAnsi="Book Antiqua"/>
          <w:sz w:val="24"/>
          <w:szCs w:val="24"/>
          <w:highlight w:val="none"/>
          <w:lang w:val="en-US"/>
        </w:rPr>
        <w:t xml:space="preserve">, Djordjevic J, Lust M, Culver EL, Braden B, Travis SP, Chapman RW. A unique clinical phenotype of primary sclerosing cholangitis associated with Crohn's disease. </w:t>
      </w:r>
      <w:r>
        <w:rPr>
          <w:rFonts w:ascii="Book Antiqua" w:hAnsi="Book Antiqua"/>
          <w:i/>
          <w:iCs/>
          <w:sz w:val="24"/>
          <w:szCs w:val="24"/>
          <w:highlight w:val="none"/>
          <w:lang w:val="en-US"/>
        </w:rPr>
        <w:t>J Crohns Colitis</w:t>
      </w:r>
      <w:r>
        <w:rPr>
          <w:rFonts w:ascii="Book Antiqua" w:hAnsi="Book Antiqua"/>
          <w:sz w:val="24"/>
          <w:szCs w:val="24"/>
          <w:highlight w:val="none"/>
          <w:lang w:val="en-US"/>
        </w:rPr>
        <w:t xml:space="preserve"> 2012; </w:t>
      </w:r>
      <w:r>
        <w:rPr>
          <w:rFonts w:ascii="Book Antiqua" w:hAnsi="Book Antiqua"/>
          <w:b/>
          <w:bCs/>
          <w:sz w:val="24"/>
          <w:szCs w:val="24"/>
          <w:highlight w:val="none"/>
          <w:lang w:val="en-US"/>
        </w:rPr>
        <w:t>6</w:t>
      </w:r>
      <w:r>
        <w:rPr>
          <w:rFonts w:ascii="Book Antiqua" w:hAnsi="Book Antiqua"/>
          <w:sz w:val="24"/>
          <w:szCs w:val="24"/>
          <w:highlight w:val="none"/>
          <w:lang w:val="en-US"/>
        </w:rPr>
        <w:t>: 174-181 [PMID: 22325171 DOI: 10.1016/j.crohns.2011.07.015]</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17 </w:t>
      </w:r>
      <w:r>
        <w:rPr>
          <w:rFonts w:ascii="Book Antiqua" w:hAnsi="Book Antiqua"/>
          <w:b/>
          <w:bCs/>
          <w:sz w:val="24"/>
          <w:szCs w:val="24"/>
          <w:highlight w:val="none"/>
          <w:lang w:val="en-US"/>
        </w:rPr>
        <w:t>Lindström L</w:t>
      </w:r>
      <w:r>
        <w:rPr>
          <w:rFonts w:ascii="Book Antiqua" w:hAnsi="Book Antiqua"/>
          <w:sz w:val="24"/>
          <w:szCs w:val="24"/>
          <w:highlight w:val="none"/>
          <w:lang w:val="en-US"/>
        </w:rPr>
        <w:t xml:space="preserve">, Lapidus A, Ost A, Bergquist A. Increased risk of colorectal cancer and dysplasia in patients with Crohn's colitis and primary sclerosing cholangitis. </w:t>
      </w:r>
      <w:r>
        <w:rPr>
          <w:rFonts w:ascii="Book Antiqua" w:hAnsi="Book Antiqua"/>
          <w:i/>
          <w:iCs/>
          <w:sz w:val="24"/>
          <w:szCs w:val="24"/>
          <w:highlight w:val="none"/>
          <w:lang w:val="en-US"/>
        </w:rPr>
        <w:t>Dis Colon Rectum</w:t>
      </w:r>
      <w:r>
        <w:rPr>
          <w:rFonts w:ascii="Book Antiqua" w:hAnsi="Book Antiqua"/>
          <w:sz w:val="24"/>
          <w:szCs w:val="24"/>
          <w:highlight w:val="none"/>
          <w:lang w:val="en-US"/>
        </w:rPr>
        <w:t xml:space="preserve"> 2011; </w:t>
      </w:r>
      <w:r>
        <w:rPr>
          <w:rFonts w:ascii="Book Antiqua" w:hAnsi="Book Antiqua"/>
          <w:b/>
          <w:bCs/>
          <w:sz w:val="24"/>
          <w:szCs w:val="24"/>
          <w:highlight w:val="none"/>
          <w:lang w:val="en-US"/>
        </w:rPr>
        <w:t>54</w:t>
      </w:r>
      <w:r>
        <w:rPr>
          <w:rFonts w:ascii="Book Antiqua" w:hAnsi="Book Antiqua"/>
          <w:sz w:val="24"/>
          <w:szCs w:val="24"/>
          <w:highlight w:val="none"/>
          <w:lang w:val="en-US"/>
        </w:rPr>
        <w:t>: 1392-1397 [PMID: 21979184 DOI: 10.1097/DCR.0b013e31822bbcc1]</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18 </w:t>
      </w:r>
      <w:r>
        <w:rPr>
          <w:rFonts w:ascii="Book Antiqua" w:hAnsi="Book Antiqua"/>
          <w:b/>
          <w:bCs/>
          <w:sz w:val="24"/>
          <w:szCs w:val="24"/>
          <w:highlight w:val="none"/>
          <w:lang w:val="en-US"/>
        </w:rPr>
        <w:t>Rabinovitz M</w:t>
      </w:r>
      <w:r>
        <w:rPr>
          <w:rFonts w:ascii="Book Antiqua" w:hAnsi="Book Antiqua"/>
          <w:sz w:val="24"/>
          <w:szCs w:val="24"/>
          <w:highlight w:val="none"/>
          <w:lang w:val="en-US"/>
        </w:rPr>
        <w:t xml:space="preserve">, Gavaler JS, Schade RR, Dindzans VJ, Chien MC, Van Thiel DH. Does primary sclerosing cholangitis occurring in association with inflammatory bowel disease differ from that occurring in the absence of inflammatory bowel disease? A study of sixty-six subjects. </w:t>
      </w:r>
      <w:r>
        <w:rPr>
          <w:rFonts w:ascii="Book Antiqua" w:hAnsi="Book Antiqua"/>
          <w:i/>
          <w:iCs/>
          <w:sz w:val="24"/>
          <w:szCs w:val="24"/>
          <w:highlight w:val="none"/>
          <w:lang w:val="en-US"/>
        </w:rPr>
        <w:t>Hepatology</w:t>
      </w:r>
      <w:r>
        <w:rPr>
          <w:rFonts w:ascii="Book Antiqua" w:hAnsi="Book Antiqua"/>
          <w:sz w:val="24"/>
          <w:szCs w:val="24"/>
          <w:highlight w:val="none"/>
          <w:lang w:val="en-US"/>
        </w:rPr>
        <w:t xml:space="preserve"> 1990; </w:t>
      </w:r>
      <w:r>
        <w:rPr>
          <w:rFonts w:ascii="Book Antiqua" w:hAnsi="Book Antiqua"/>
          <w:b/>
          <w:bCs/>
          <w:sz w:val="24"/>
          <w:szCs w:val="24"/>
          <w:highlight w:val="none"/>
          <w:lang w:val="en-US"/>
        </w:rPr>
        <w:t>11</w:t>
      </w:r>
      <w:r>
        <w:rPr>
          <w:rFonts w:ascii="Book Antiqua" w:hAnsi="Book Antiqua"/>
          <w:sz w:val="24"/>
          <w:szCs w:val="24"/>
          <w:highlight w:val="none"/>
          <w:lang w:val="en-US"/>
        </w:rPr>
        <w:t>: 7-11 [PMID: 2295474 DOI: 10.1002/hep.1840110103]</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19 </w:t>
      </w:r>
      <w:r>
        <w:rPr>
          <w:rFonts w:ascii="Book Antiqua" w:hAnsi="Book Antiqua"/>
          <w:b/>
          <w:bCs/>
          <w:sz w:val="24"/>
          <w:szCs w:val="24"/>
          <w:highlight w:val="none"/>
          <w:lang w:val="en-US"/>
        </w:rPr>
        <w:t>Yanai H</w:t>
      </w:r>
      <w:r>
        <w:rPr>
          <w:rFonts w:ascii="Book Antiqua" w:hAnsi="Book Antiqua"/>
          <w:sz w:val="24"/>
          <w:szCs w:val="24"/>
          <w:highlight w:val="none"/>
          <w:lang w:val="en-US"/>
        </w:rPr>
        <w:t xml:space="preserve">, Matalon S, Rosenblatt A, Awadie H, Berdichevski T, Snir Y, Kopylov U, Katz L, Stein A, Mlynarsky L, Tulchinsky H, Konikoff FM, Horin SB, Braun M, Ben-Ari Z, Chowers Y, Baruch Y, Shibolet O, Dotan I. Prognosis of primary sclerosing cholangitis in israel is independent of coexisting inflammatory bowel Disease. </w:t>
      </w:r>
      <w:r>
        <w:rPr>
          <w:rFonts w:ascii="Book Antiqua" w:hAnsi="Book Antiqua"/>
          <w:i/>
          <w:iCs/>
          <w:sz w:val="24"/>
          <w:szCs w:val="24"/>
          <w:highlight w:val="none"/>
          <w:lang w:val="en-US"/>
        </w:rPr>
        <w:t>J Crohns Colitis</w:t>
      </w:r>
      <w:r>
        <w:rPr>
          <w:rFonts w:ascii="Book Antiqua" w:hAnsi="Book Antiqua"/>
          <w:sz w:val="24"/>
          <w:szCs w:val="24"/>
          <w:highlight w:val="none"/>
          <w:lang w:val="en-US"/>
        </w:rPr>
        <w:t xml:space="preserve"> 2015; </w:t>
      </w:r>
      <w:r>
        <w:rPr>
          <w:rFonts w:ascii="Book Antiqua" w:hAnsi="Book Antiqua"/>
          <w:b/>
          <w:bCs/>
          <w:sz w:val="24"/>
          <w:szCs w:val="24"/>
          <w:highlight w:val="none"/>
          <w:lang w:val="en-US"/>
        </w:rPr>
        <w:t>9</w:t>
      </w:r>
      <w:r>
        <w:rPr>
          <w:rFonts w:ascii="Book Antiqua" w:hAnsi="Book Antiqua"/>
          <w:sz w:val="24"/>
          <w:szCs w:val="24"/>
          <w:highlight w:val="none"/>
          <w:lang w:val="en-US"/>
        </w:rPr>
        <w:t>: 177-184 [PMID: 25518055 DOI: 10.1093/ecco-jcc/jju013]</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20 </w:t>
      </w:r>
      <w:r>
        <w:rPr>
          <w:rFonts w:ascii="Book Antiqua" w:hAnsi="Book Antiqua"/>
          <w:b/>
          <w:bCs/>
          <w:sz w:val="24"/>
          <w:szCs w:val="24"/>
          <w:highlight w:val="none"/>
          <w:lang w:val="en-US"/>
        </w:rPr>
        <w:t>Fevery J</w:t>
      </w:r>
      <w:r>
        <w:rPr>
          <w:rFonts w:ascii="Book Antiqua" w:hAnsi="Book Antiqua"/>
          <w:sz w:val="24"/>
          <w:szCs w:val="24"/>
          <w:highlight w:val="none"/>
          <w:lang w:val="en-US"/>
        </w:rPr>
        <w:t xml:space="preserve">, Van Steenbergen W, Van Pelt J, Laleman W, Hoffman I, Geboes K, Vermeire S, Nevens F. Patients with large-duct primary sclerosing cholangitis and Crohn's disease have a better outcome than those with ulcerative colitis, or without IBD. </w:t>
      </w:r>
      <w:r>
        <w:rPr>
          <w:rFonts w:ascii="Book Antiqua" w:hAnsi="Book Antiqua"/>
          <w:i/>
          <w:iCs/>
          <w:sz w:val="24"/>
          <w:szCs w:val="24"/>
          <w:highlight w:val="none"/>
          <w:lang w:val="en-US"/>
        </w:rPr>
        <w:t>Aliment Pharmacol Ther</w:t>
      </w:r>
      <w:r>
        <w:rPr>
          <w:rFonts w:ascii="Book Antiqua" w:hAnsi="Book Antiqua"/>
          <w:sz w:val="24"/>
          <w:szCs w:val="24"/>
          <w:highlight w:val="none"/>
          <w:lang w:val="en-US"/>
        </w:rPr>
        <w:t xml:space="preserve"> 2016; </w:t>
      </w:r>
      <w:r>
        <w:rPr>
          <w:rFonts w:ascii="Book Antiqua" w:hAnsi="Book Antiqua"/>
          <w:b/>
          <w:bCs/>
          <w:sz w:val="24"/>
          <w:szCs w:val="24"/>
          <w:highlight w:val="none"/>
          <w:lang w:val="en-US"/>
        </w:rPr>
        <w:t>43</w:t>
      </w:r>
      <w:r>
        <w:rPr>
          <w:rFonts w:ascii="Book Antiqua" w:hAnsi="Book Antiqua"/>
          <w:sz w:val="24"/>
          <w:szCs w:val="24"/>
          <w:highlight w:val="none"/>
          <w:lang w:val="en-US"/>
        </w:rPr>
        <w:t>: 612-620 [PMID: 26748470 DOI: 10.1111/apt.13516]</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21 </w:t>
      </w:r>
      <w:r>
        <w:rPr>
          <w:rFonts w:ascii="Book Antiqua" w:hAnsi="Book Antiqua"/>
          <w:b/>
          <w:bCs/>
          <w:sz w:val="24"/>
          <w:szCs w:val="24"/>
          <w:highlight w:val="none"/>
          <w:lang w:val="en-US"/>
        </w:rPr>
        <w:t>Nordenvall C</w:t>
      </w:r>
      <w:r>
        <w:rPr>
          <w:rFonts w:ascii="Book Antiqua" w:hAnsi="Book Antiqua"/>
          <w:sz w:val="24"/>
          <w:szCs w:val="24"/>
          <w:highlight w:val="none"/>
          <w:lang w:val="en-US"/>
        </w:rPr>
        <w:t xml:space="preserve">, Olén O, Nilsson PJ, von Seth E, Ekbom A, Bottai M, Myrelid P, Bergquist A. Colectomy prior to diagnosis of primary sclerosing cholangitis is associated with improved prognosis in a nationwide cohort study of 2594 PSC-IBD patients. </w:t>
      </w:r>
      <w:r>
        <w:rPr>
          <w:rFonts w:ascii="Book Antiqua" w:hAnsi="Book Antiqua"/>
          <w:i/>
          <w:iCs/>
          <w:sz w:val="24"/>
          <w:szCs w:val="24"/>
          <w:highlight w:val="none"/>
          <w:lang w:val="en-US"/>
        </w:rPr>
        <w:t>Aliment Pharmacol Ther</w:t>
      </w:r>
      <w:r>
        <w:rPr>
          <w:rFonts w:ascii="Book Antiqua" w:hAnsi="Book Antiqua"/>
          <w:sz w:val="24"/>
          <w:szCs w:val="24"/>
          <w:highlight w:val="none"/>
          <w:lang w:val="en-US"/>
        </w:rPr>
        <w:t xml:space="preserve"> 2018; </w:t>
      </w:r>
      <w:r>
        <w:rPr>
          <w:rFonts w:ascii="Book Antiqua" w:hAnsi="Book Antiqua"/>
          <w:b/>
          <w:bCs/>
          <w:sz w:val="24"/>
          <w:szCs w:val="24"/>
          <w:highlight w:val="none"/>
          <w:lang w:val="en-US"/>
        </w:rPr>
        <w:t>47</w:t>
      </w:r>
      <w:r>
        <w:rPr>
          <w:rFonts w:ascii="Book Antiqua" w:hAnsi="Book Antiqua"/>
          <w:sz w:val="24"/>
          <w:szCs w:val="24"/>
          <w:highlight w:val="none"/>
          <w:lang w:val="en-US"/>
        </w:rPr>
        <w:t>: 238-245 [PMID: 29064110 DOI: 10.1111/apt.14393]</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22 </w:t>
      </w:r>
      <w:r>
        <w:rPr>
          <w:rFonts w:ascii="Book Antiqua" w:hAnsi="Book Antiqua"/>
          <w:b/>
          <w:bCs/>
          <w:sz w:val="24"/>
          <w:szCs w:val="24"/>
          <w:highlight w:val="none"/>
          <w:lang w:val="en-US"/>
        </w:rPr>
        <w:t>Zheng HH</w:t>
      </w:r>
      <w:r>
        <w:rPr>
          <w:rFonts w:ascii="Book Antiqua" w:hAnsi="Book Antiqua"/>
          <w:sz w:val="24"/>
          <w:szCs w:val="24"/>
          <w:highlight w:val="none"/>
          <w:lang w:val="en-US"/>
        </w:rPr>
        <w:t xml:space="preserve">, Jiang XL. Increased risk of colorectal neoplasia in patients with primary sclerosing cholangitis and inflammatory bowel disease: a meta-analysis of 16 observational studies. </w:t>
      </w:r>
      <w:r>
        <w:rPr>
          <w:rFonts w:ascii="Book Antiqua" w:hAnsi="Book Antiqua"/>
          <w:i/>
          <w:iCs/>
          <w:sz w:val="24"/>
          <w:szCs w:val="24"/>
          <w:highlight w:val="none"/>
          <w:lang w:val="en-US"/>
        </w:rPr>
        <w:t>Eur J Gastroenterol Hepatol</w:t>
      </w:r>
      <w:r>
        <w:rPr>
          <w:rFonts w:ascii="Book Antiqua" w:hAnsi="Book Antiqua"/>
          <w:sz w:val="24"/>
          <w:szCs w:val="24"/>
          <w:highlight w:val="none"/>
          <w:lang w:val="en-US"/>
        </w:rPr>
        <w:t xml:space="preserve"> 2016; </w:t>
      </w:r>
      <w:r>
        <w:rPr>
          <w:rFonts w:ascii="Book Antiqua" w:hAnsi="Book Antiqua"/>
          <w:b/>
          <w:bCs/>
          <w:sz w:val="24"/>
          <w:szCs w:val="24"/>
          <w:highlight w:val="none"/>
          <w:lang w:val="en-US"/>
        </w:rPr>
        <w:t>28</w:t>
      </w:r>
      <w:r>
        <w:rPr>
          <w:rFonts w:ascii="Book Antiqua" w:hAnsi="Book Antiqua"/>
          <w:sz w:val="24"/>
          <w:szCs w:val="24"/>
          <w:highlight w:val="none"/>
          <w:lang w:val="en-US"/>
        </w:rPr>
        <w:t>: 383-390 [PMID: 26938805 DOI: 10.1097/MEG.0000000000000576]</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23 </w:t>
      </w:r>
      <w:r>
        <w:rPr>
          <w:rFonts w:ascii="Book Antiqua" w:hAnsi="Book Antiqua"/>
          <w:b/>
          <w:bCs/>
          <w:sz w:val="24"/>
          <w:szCs w:val="24"/>
          <w:highlight w:val="none"/>
          <w:lang w:val="en-US"/>
        </w:rPr>
        <w:t>Gulamhusein AF</w:t>
      </w:r>
      <w:r>
        <w:rPr>
          <w:rFonts w:ascii="Book Antiqua" w:hAnsi="Book Antiqua"/>
          <w:sz w:val="24"/>
          <w:szCs w:val="24"/>
          <w:highlight w:val="none"/>
          <w:lang w:val="en-US"/>
        </w:rPr>
        <w:t xml:space="preserve">, Eaton JE, Tabibian JH, Atkinson EJ, Juran BD, Lazaridis KN. Duration of Inflammatory Bowel Disease Is Associated With Increased Risk of Cholangiocarcinoma in Patients With Primary Sclerosing Cholangitis and IBD. </w:t>
      </w:r>
      <w:r>
        <w:rPr>
          <w:rFonts w:ascii="Book Antiqua" w:hAnsi="Book Antiqua"/>
          <w:i/>
          <w:iCs/>
          <w:sz w:val="24"/>
          <w:szCs w:val="24"/>
          <w:highlight w:val="none"/>
          <w:lang w:val="en-US"/>
        </w:rPr>
        <w:t>Am J Gastroenterol</w:t>
      </w:r>
      <w:r>
        <w:rPr>
          <w:rFonts w:ascii="Book Antiqua" w:hAnsi="Book Antiqua"/>
          <w:sz w:val="24"/>
          <w:szCs w:val="24"/>
          <w:highlight w:val="none"/>
          <w:lang w:val="en-US"/>
        </w:rPr>
        <w:t xml:space="preserve"> 2016; </w:t>
      </w:r>
      <w:r>
        <w:rPr>
          <w:rFonts w:ascii="Book Antiqua" w:hAnsi="Book Antiqua"/>
          <w:b/>
          <w:bCs/>
          <w:sz w:val="24"/>
          <w:szCs w:val="24"/>
          <w:highlight w:val="none"/>
          <w:lang w:val="en-US"/>
        </w:rPr>
        <w:t>111</w:t>
      </w:r>
      <w:r>
        <w:rPr>
          <w:rFonts w:ascii="Book Antiqua" w:hAnsi="Book Antiqua"/>
          <w:sz w:val="24"/>
          <w:szCs w:val="24"/>
          <w:highlight w:val="none"/>
          <w:lang w:val="en-US"/>
        </w:rPr>
        <w:t>: 705-711 [PMID: 27002801 DOI: 10.1038/ajg.2016.55]</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24 </w:t>
      </w:r>
      <w:r>
        <w:rPr>
          <w:rFonts w:ascii="Book Antiqua" w:hAnsi="Book Antiqua"/>
          <w:b/>
          <w:bCs/>
          <w:sz w:val="24"/>
          <w:szCs w:val="24"/>
          <w:highlight w:val="none"/>
          <w:lang w:val="en-US"/>
        </w:rPr>
        <w:t>Lindor KD</w:t>
      </w:r>
      <w:r>
        <w:rPr>
          <w:rFonts w:ascii="Book Antiqua" w:hAnsi="Book Antiqua"/>
          <w:sz w:val="24"/>
          <w:szCs w:val="24"/>
          <w:highlight w:val="none"/>
          <w:lang w:val="en-US"/>
        </w:rPr>
        <w:t xml:space="preserve">, Kowdley KV, Harrison ME; American College of Gastroenterology. ACG Clinical Guideline: Primary Sclerosing Cholangitis. </w:t>
      </w:r>
      <w:r>
        <w:rPr>
          <w:rFonts w:ascii="Book Antiqua" w:hAnsi="Book Antiqua"/>
          <w:i/>
          <w:iCs/>
          <w:sz w:val="24"/>
          <w:szCs w:val="24"/>
          <w:highlight w:val="none"/>
          <w:lang w:val="en-US"/>
        </w:rPr>
        <w:t>Am J Gastroenterol</w:t>
      </w:r>
      <w:r>
        <w:rPr>
          <w:rFonts w:ascii="Book Antiqua" w:hAnsi="Book Antiqua"/>
          <w:sz w:val="24"/>
          <w:szCs w:val="24"/>
          <w:highlight w:val="none"/>
          <w:lang w:val="en-US"/>
        </w:rPr>
        <w:t xml:space="preserve"> 2015; </w:t>
      </w:r>
      <w:r>
        <w:rPr>
          <w:rFonts w:ascii="Book Antiqua" w:hAnsi="Book Antiqua"/>
          <w:b/>
          <w:bCs/>
          <w:sz w:val="24"/>
          <w:szCs w:val="24"/>
          <w:highlight w:val="none"/>
          <w:lang w:val="en-US"/>
        </w:rPr>
        <w:t>110</w:t>
      </w:r>
      <w:r>
        <w:rPr>
          <w:rFonts w:ascii="Book Antiqua" w:hAnsi="Book Antiqua"/>
          <w:sz w:val="24"/>
          <w:szCs w:val="24"/>
          <w:highlight w:val="none"/>
          <w:lang w:val="en-US"/>
        </w:rPr>
        <w:t>: 646-59; quiz 660 [PMID: 25869391 DOI: 10.1038/ajg.2015.112]</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25 </w:t>
      </w:r>
      <w:r>
        <w:rPr>
          <w:rFonts w:ascii="Book Antiqua" w:hAnsi="Book Antiqua"/>
          <w:b/>
          <w:bCs/>
          <w:sz w:val="24"/>
          <w:szCs w:val="24"/>
          <w:highlight w:val="none"/>
          <w:lang w:val="en-US"/>
        </w:rPr>
        <w:t>Harbord M</w:t>
      </w:r>
      <w:r>
        <w:rPr>
          <w:rFonts w:ascii="Book Antiqua" w:hAnsi="Book Antiqua"/>
          <w:sz w:val="24"/>
          <w:szCs w:val="24"/>
          <w:highlight w:val="none"/>
          <w:lang w:val="en-US"/>
        </w:rPr>
        <w:t xml:space="preserve">, Annese V, Vavricka SR, Allez M, Barreiro-de Acosta M, Boberg KM, Burisch J, De Vos M, De Vries AM, Dick AD, Juillerat P, Karlsen TH, Koutroubakis I, Lakatos PL, Orchard T, Papay P, Raine T, Reinshagen M, Thaci D, Tilg H, Carbonnel F; European Crohn’s and Colitis Organisation. The First European Evidence-based Consensus on Extra-intestinal Manifestations in Inflammatory Bowel Disease. </w:t>
      </w:r>
      <w:r>
        <w:rPr>
          <w:rFonts w:ascii="Book Antiqua" w:hAnsi="Book Antiqua"/>
          <w:i/>
          <w:iCs/>
          <w:sz w:val="24"/>
          <w:szCs w:val="24"/>
          <w:highlight w:val="none"/>
          <w:lang w:val="en-US"/>
        </w:rPr>
        <w:t>J Crohns Colitis</w:t>
      </w:r>
      <w:r>
        <w:rPr>
          <w:rFonts w:ascii="Book Antiqua" w:hAnsi="Book Antiqua"/>
          <w:sz w:val="24"/>
          <w:szCs w:val="24"/>
          <w:highlight w:val="none"/>
          <w:lang w:val="en-US"/>
        </w:rPr>
        <w:t xml:space="preserve"> 2016; </w:t>
      </w:r>
      <w:r>
        <w:rPr>
          <w:rFonts w:ascii="Book Antiqua" w:hAnsi="Book Antiqua"/>
          <w:b/>
          <w:bCs/>
          <w:sz w:val="24"/>
          <w:szCs w:val="24"/>
          <w:highlight w:val="none"/>
          <w:lang w:val="en-US"/>
        </w:rPr>
        <w:t>10</w:t>
      </w:r>
      <w:r>
        <w:rPr>
          <w:rFonts w:ascii="Book Antiqua" w:hAnsi="Book Antiqua"/>
          <w:sz w:val="24"/>
          <w:szCs w:val="24"/>
          <w:highlight w:val="none"/>
          <w:lang w:val="en-US"/>
        </w:rPr>
        <w:t>: 239-254 [PMID: 26614685 DOI: 10.1093/ecco-jcc/jjv213]</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26 </w:t>
      </w:r>
      <w:r>
        <w:rPr>
          <w:rFonts w:ascii="Book Antiqua" w:hAnsi="Book Antiqua"/>
          <w:b/>
          <w:bCs/>
          <w:sz w:val="24"/>
          <w:szCs w:val="24"/>
          <w:highlight w:val="none"/>
          <w:lang w:val="en-US"/>
        </w:rPr>
        <w:t>Lewis JT</w:t>
      </w:r>
      <w:r>
        <w:rPr>
          <w:rFonts w:ascii="Book Antiqua" w:hAnsi="Book Antiqua"/>
          <w:sz w:val="24"/>
          <w:szCs w:val="24"/>
          <w:highlight w:val="none"/>
          <w:lang w:val="en-US"/>
        </w:rPr>
        <w:t xml:space="preserve">, Talwalkar JA, Rosen CB, Smyrk TC, Abraham SC. Prevalence and risk factors for gallbladder neoplasia in patients with primary sclerosing cholangitis: evidence for a metaplasia-dysplasia-carcinoma sequence. </w:t>
      </w:r>
      <w:r>
        <w:rPr>
          <w:rFonts w:ascii="Book Antiqua" w:hAnsi="Book Antiqua"/>
          <w:i/>
          <w:iCs/>
          <w:sz w:val="24"/>
          <w:szCs w:val="24"/>
          <w:highlight w:val="none"/>
          <w:lang w:val="en-US"/>
        </w:rPr>
        <w:t>Am J Surg Pathol</w:t>
      </w:r>
      <w:r>
        <w:rPr>
          <w:rFonts w:ascii="Book Antiqua" w:hAnsi="Book Antiqua"/>
          <w:sz w:val="24"/>
          <w:szCs w:val="24"/>
          <w:highlight w:val="none"/>
          <w:lang w:val="en-US"/>
        </w:rPr>
        <w:t xml:space="preserve"> 2007; </w:t>
      </w:r>
      <w:r>
        <w:rPr>
          <w:rFonts w:ascii="Book Antiqua" w:hAnsi="Book Antiqua"/>
          <w:b/>
          <w:bCs/>
          <w:sz w:val="24"/>
          <w:szCs w:val="24"/>
          <w:highlight w:val="none"/>
          <w:lang w:val="en-US"/>
        </w:rPr>
        <w:t>31</w:t>
      </w:r>
      <w:r>
        <w:rPr>
          <w:rFonts w:ascii="Book Antiqua" w:hAnsi="Book Antiqua"/>
          <w:sz w:val="24"/>
          <w:szCs w:val="24"/>
          <w:highlight w:val="none"/>
          <w:lang w:val="en-US"/>
        </w:rPr>
        <w:t>: 907-913 [PMID: 17527079 DOI: 10.1097/01.pas.0000213435.99492.8a]</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27 </w:t>
      </w:r>
      <w:r>
        <w:rPr>
          <w:rFonts w:ascii="Book Antiqua" w:hAnsi="Book Antiqua"/>
          <w:b/>
          <w:bCs/>
          <w:sz w:val="24"/>
          <w:szCs w:val="24"/>
          <w:highlight w:val="none"/>
          <w:lang w:val="en-US"/>
        </w:rPr>
        <w:t>Said K</w:t>
      </w:r>
      <w:r>
        <w:rPr>
          <w:rFonts w:ascii="Book Antiqua" w:hAnsi="Book Antiqua"/>
          <w:sz w:val="24"/>
          <w:szCs w:val="24"/>
          <w:highlight w:val="none"/>
          <w:lang w:val="en-US"/>
        </w:rPr>
        <w:t xml:space="preserve">, Glaumann H, Bergquist A. Gallbladder disease in patients with primary sclerosing cholangitis. </w:t>
      </w:r>
      <w:r>
        <w:rPr>
          <w:rFonts w:ascii="Book Antiqua" w:hAnsi="Book Antiqua"/>
          <w:i/>
          <w:iCs/>
          <w:sz w:val="24"/>
          <w:szCs w:val="24"/>
          <w:highlight w:val="none"/>
          <w:lang w:val="en-US"/>
        </w:rPr>
        <w:t>J Hepatol</w:t>
      </w:r>
      <w:r>
        <w:rPr>
          <w:rFonts w:ascii="Book Antiqua" w:hAnsi="Book Antiqua"/>
          <w:sz w:val="24"/>
          <w:szCs w:val="24"/>
          <w:highlight w:val="none"/>
          <w:lang w:val="en-US"/>
        </w:rPr>
        <w:t xml:space="preserve"> 2008; </w:t>
      </w:r>
      <w:r>
        <w:rPr>
          <w:rFonts w:ascii="Book Antiqua" w:hAnsi="Book Antiqua"/>
          <w:b/>
          <w:bCs/>
          <w:sz w:val="24"/>
          <w:szCs w:val="24"/>
          <w:highlight w:val="none"/>
          <w:lang w:val="en-US"/>
        </w:rPr>
        <w:t>48</w:t>
      </w:r>
      <w:r>
        <w:rPr>
          <w:rFonts w:ascii="Book Antiqua" w:hAnsi="Book Antiqua"/>
          <w:sz w:val="24"/>
          <w:szCs w:val="24"/>
          <w:highlight w:val="none"/>
          <w:lang w:val="en-US"/>
        </w:rPr>
        <w:t>: 598-605 [PMID: 18222013 DOI: 10.1016/j.jhep.2007.11.019]</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28 </w:t>
      </w:r>
      <w:r>
        <w:rPr>
          <w:rFonts w:ascii="Book Antiqua" w:hAnsi="Book Antiqua"/>
          <w:b/>
          <w:bCs/>
          <w:sz w:val="24"/>
          <w:szCs w:val="24"/>
          <w:highlight w:val="none"/>
          <w:lang w:val="en-US"/>
        </w:rPr>
        <w:t>Chapman R</w:t>
      </w:r>
      <w:r>
        <w:rPr>
          <w:rFonts w:ascii="Book Antiqua" w:hAnsi="Book Antiqua"/>
          <w:sz w:val="24"/>
          <w:szCs w:val="24"/>
          <w:highlight w:val="none"/>
          <w:lang w:val="en-US"/>
        </w:rPr>
        <w:t xml:space="preserve">, Fevery J, Kalloo A, Nagorney DM, Boberg KM, Shneider B, Gores GJ; American Association for the Study of Liver Diseases. Diagnosis and management of primary sclerosing cholangitis. </w:t>
      </w:r>
      <w:r>
        <w:rPr>
          <w:rFonts w:ascii="Book Antiqua" w:hAnsi="Book Antiqua"/>
          <w:i/>
          <w:iCs/>
          <w:sz w:val="24"/>
          <w:szCs w:val="24"/>
          <w:highlight w:val="none"/>
          <w:lang w:val="en-US"/>
        </w:rPr>
        <w:t>Hepatology</w:t>
      </w:r>
      <w:r>
        <w:rPr>
          <w:rFonts w:ascii="Book Antiqua" w:hAnsi="Book Antiqua"/>
          <w:sz w:val="24"/>
          <w:szCs w:val="24"/>
          <w:highlight w:val="none"/>
          <w:lang w:val="en-US"/>
        </w:rPr>
        <w:t xml:space="preserve"> 2010; </w:t>
      </w:r>
      <w:r>
        <w:rPr>
          <w:rFonts w:ascii="Book Antiqua" w:hAnsi="Book Antiqua"/>
          <w:b/>
          <w:bCs/>
          <w:sz w:val="24"/>
          <w:szCs w:val="24"/>
          <w:highlight w:val="none"/>
          <w:lang w:val="en-US"/>
        </w:rPr>
        <w:t>51</w:t>
      </w:r>
      <w:r>
        <w:rPr>
          <w:rFonts w:ascii="Book Antiqua" w:hAnsi="Book Antiqua"/>
          <w:sz w:val="24"/>
          <w:szCs w:val="24"/>
          <w:highlight w:val="none"/>
          <w:lang w:val="en-US"/>
        </w:rPr>
        <w:t>: 660-678 [PMID: 20101749 DOI: 10.1002/hep.23294]</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29 </w:t>
      </w:r>
      <w:r>
        <w:rPr>
          <w:rFonts w:ascii="Book Antiqua" w:hAnsi="Book Antiqua"/>
          <w:b/>
          <w:bCs/>
          <w:sz w:val="24"/>
          <w:szCs w:val="24"/>
          <w:highlight w:val="none"/>
          <w:lang w:val="en-US"/>
        </w:rPr>
        <w:t>Zenouzi R</w:t>
      </w:r>
      <w:r>
        <w:rPr>
          <w:rFonts w:ascii="Book Antiqua" w:hAnsi="Book Antiqua"/>
          <w:sz w:val="24"/>
          <w:szCs w:val="24"/>
          <w:highlight w:val="none"/>
          <w:lang w:val="en-US"/>
        </w:rPr>
        <w:t xml:space="preserve">, Weismüller TJ, Hübener P, Schulze K, Bubenheim M, Pannicke N, Weiler-Normann C, Lenzen H, Manns MP, Lohse AW, Schramm C. Low risk of hepatocellular carcinoma in patients with primary sclerosing cholangitis with cirrhosis. </w:t>
      </w:r>
      <w:r>
        <w:rPr>
          <w:rFonts w:ascii="Book Antiqua" w:hAnsi="Book Antiqua"/>
          <w:i/>
          <w:iCs/>
          <w:sz w:val="24"/>
          <w:szCs w:val="24"/>
          <w:highlight w:val="none"/>
          <w:lang w:val="en-US"/>
        </w:rPr>
        <w:t>Clin Gastroenterol Hepatol</w:t>
      </w:r>
      <w:r>
        <w:rPr>
          <w:rFonts w:ascii="Book Antiqua" w:hAnsi="Book Antiqua"/>
          <w:sz w:val="24"/>
          <w:szCs w:val="24"/>
          <w:highlight w:val="none"/>
          <w:lang w:val="en-US"/>
        </w:rPr>
        <w:t xml:space="preserve"> 2014; </w:t>
      </w:r>
      <w:r>
        <w:rPr>
          <w:rFonts w:ascii="Book Antiqua" w:hAnsi="Book Antiqua"/>
          <w:b/>
          <w:bCs/>
          <w:sz w:val="24"/>
          <w:szCs w:val="24"/>
          <w:highlight w:val="none"/>
          <w:lang w:val="en-US"/>
        </w:rPr>
        <w:t>12</w:t>
      </w:r>
      <w:r>
        <w:rPr>
          <w:rFonts w:ascii="Book Antiqua" w:hAnsi="Book Antiqua"/>
          <w:sz w:val="24"/>
          <w:szCs w:val="24"/>
          <w:highlight w:val="none"/>
          <w:lang w:val="en-US"/>
        </w:rPr>
        <w:t>: 1733-1738 [PMID: 24530461 DOI: 10.1016/j.cgh.2014.02.008]</w:t>
      </w:r>
    </w:p>
    <w:p>
      <w:pPr>
        <w:spacing w:after="0" w:line="360" w:lineRule="auto"/>
        <w:jc w:val="both"/>
        <w:rPr>
          <w:rFonts w:ascii="Book Antiqua" w:hAnsi="Book Antiqua"/>
          <w:sz w:val="24"/>
          <w:szCs w:val="24"/>
          <w:highlight w:val="none"/>
        </w:rPr>
      </w:pPr>
      <w:r>
        <w:rPr>
          <w:rFonts w:ascii="Book Antiqua" w:hAnsi="Book Antiqua"/>
          <w:sz w:val="24"/>
          <w:szCs w:val="24"/>
          <w:highlight w:val="none"/>
          <w:lang w:val="en-US"/>
        </w:rPr>
        <w:t xml:space="preserve">30 </w:t>
      </w:r>
      <w:r>
        <w:rPr>
          <w:rFonts w:ascii="Book Antiqua" w:hAnsi="Book Antiqua"/>
          <w:b/>
          <w:bCs/>
          <w:sz w:val="24"/>
          <w:szCs w:val="24"/>
          <w:highlight w:val="none"/>
          <w:lang w:val="en-US"/>
        </w:rPr>
        <w:t>Singh S</w:t>
      </w:r>
      <w:r>
        <w:rPr>
          <w:rFonts w:ascii="Book Antiqua" w:hAnsi="Book Antiqua"/>
          <w:sz w:val="24"/>
          <w:szCs w:val="24"/>
          <w:highlight w:val="none"/>
          <w:lang w:val="en-US"/>
        </w:rPr>
        <w:t xml:space="preserve">, Khanna S, Pardi DS, Loftus EV Jr, Talwalkar JA. Effect of ursodeoxycholic acid use on the risk of colorectal neoplasia in patients with primary sclerosing cholangitis and inflammatory bowel disease: a systematic review and meta-analysis. </w:t>
      </w:r>
      <w:r>
        <w:rPr>
          <w:rFonts w:ascii="Book Antiqua" w:hAnsi="Book Antiqua"/>
          <w:i/>
          <w:iCs/>
          <w:sz w:val="24"/>
          <w:szCs w:val="24"/>
          <w:highlight w:val="none"/>
        </w:rPr>
        <w:t>Inflamm Bowel Dis</w:t>
      </w:r>
      <w:r>
        <w:rPr>
          <w:rFonts w:ascii="Book Antiqua" w:hAnsi="Book Antiqua"/>
          <w:sz w:val="24"/>
          <w:szCs w:val="24"/>
          <w:highlight w:val="none"/>
        </w:rPr>
        <w:t xml:space="preserve"> 2013; </w:t>
      </w:r>
      <w:r>
        <w:rPr>
          <w:rFonts w:ascii="Book Antiqua" w:hAnsi="Book Antiqua"/>
          <w:b/>
          <w:bCs/>
          <w:sz w:val="24"/>
          <w:szCs w:val="24"/>
          <w:highlight w:val="none"/>
        </w:rPr>
        <w:t>19</w:t>
      </w:r>
      <w:r>
        <w:rPr>
          <w:rFonts w:ascii="Book Antiqua" w:hAnsi="Book Antiqua"/>
          <w:sz w:val="24"/>
          <w:szCs w:val="24"/>
          <w:highlight w:val="none"/>
        </w:rPr>
        <w:t>: 1631-1638 [PMID: 23665966 DOI: 10.1097/MIB.0b013e318286fa61]</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rPr>
        <w:t xml:space="preserve">31 </w:t>
      </w:r>
      <w:r>
        <w:rPr>
          <w:rFonts w:ascii="Book Antiqua" w:hAnsi="Book Antiqua"/>
          <w:b/>
          <w:bCs/>
          <w:sz w:val="24"/>
          <w:szCs w:val="24"/>
          <w:highlight w:val="none"/>
        </w:rPr>
        <w:t>Carey EJ</w:t>
      </w:r>
      <w:r>
        <w:rPr>
          <w:rFonts w:ascii="Book Antiqua" w:hAnsi="Book Antiqua"/>
          <w:sz w:val="24"/>
          <w:szCs w:val="24"/>
          <w:highlight w:val="none"/>
        </w:rPr>
        <w:t xml:space="preserve">, Lindor KD. </w:t>
      </w:r>
      <w:r>
        <w:rPr>
          <w:rFonts w:ascii="Book Antiqua" w:hAnsi="Book Antiqua"/>
          <w:sz w:val="24"/>
          <w:szCs w:val="24"/>
          <w:highlight w:val="none"/>
          <w:lang w:val="en-US"/>
        </w:rPr>
        <w:t xml:space="preserve">Chemoprevention of colorectal cancer with ursodeoxycholic acid: cons. </w:t>
      </w:r>
      <w:r>
        <w:rPr>
          <w:rFonts w:ascii="Book Antiqua" w:hAnsi="Book Antiqua"/>
          <w:i/>
          <w:iCs/>
          <w:sz w:val="24"/>
          <w:szCs w:val="24"/>
          <w:highlight w:val="none"/>
          <w:lang w:val="en-US"/>
        </w:rPr>
        <w:t>Clin Res Hepatol Gastroenterol</w:t>
      </w:r>
      <w:r>
        <w:rPr>
          <w:rFonts w:ascii="Book Antiqua" w:hAnsi="Book Antiqua"/>
          <w:sz w:val="24"/>
          <w:szCs w:val="24"/>
          <w:highlight w:val="none"/>
          <w:lang w:val="en-US"/>
        </w:rPr>
        <w:t xml:space="preserve"> 2012; </w:t>
      </w:r>
      <w:r>
        <w:rPr>
          <w:rFonts w:ascii="Book Antiqua" w:hAnsi="Book Antiqua"/>
          <w:b/>
          <w:bCs/>
          <w:sz w:val="24"/>
          <w:szCs w:val="24"/>
          <w:highlight w:val="none"/>
          <w:lang w:val="en-US"/>
        </w:rPr>
        <w:t>36 Suppl 1</w:t>
      </w:r>
      <w:r>
        <w:rPr>
          <w:rFonts w:ascii="Book Antiqua" w:hAnsi="Book Antiqua"/>
          <w:sz w:val="24"/>
          <w:szCs w:val="24"/>
          <w:highlight w:val="none"/>
          <w:lang w:val="en-US"/>
        </w:rPr>
        <w:t>: S61-S64 [PMID: 23141896 DOI: 10.1016/S2210-7401(12)70023-2]</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32 </w:t>
      </w:r>
      <w:r>
        <w:rPr>
          <w:rFonts w:ascii="Book Antiqua" w:hAnsi="Book Antiqua"/>
          <w:b/>
          <w:bCs/>
          <w:sz w:val="24"/>
          <w:szCs w:val="24"/>
          <w:highlight w:val="none"/>
          <w:lang w:val="en-US"/>
        </w:rPr>
        <w:t>Stolfi C</w:t>
      </w:r>
      <w:r>
        <w:rPr>
          <w:rFonts w:ascii="Book Antiqua" w:hAnsi="Book Antiqua"/>
          <w:sz w:val="24"/>
          <w:szCs w:val="24"/>
          <w:highlight w:val="none"/>
          <w:lang w:val="en-US"/>
        </w:rPr>
        <w:t xml:space="preserve">, Pallone F, Monteleone G. Colorectal cancer chemoprevention by mesalazine and its derivatives. </w:t>
      </w:r>
      <w:r>
        <w:rPr>
          <w:rFonts w:ascii="Book Antiqua" w:hAnsi="Book Antiqua"/>
          <w:i/>
          <w:iCs/>
          <w:sz w:val="24"/>
          <w:szCs w:val="24"/>
          <w:highlight w:val="none"/>
          <w:lang w:val="en-US"/>
        </w:rPr>
        <w:t>J Biomed Biotechnol</w:t>
      </w:r>
      <w:r>
        <w:rPr>
          <w:rFonts w:ascii="Book Antiqua" w:hAnsi="Book Antiqua"/>
          <w:sz w:val="24"/>
          <w:szCs w:val="24"/>
          <w:highlight w:val="none"/>
          <w:lang w:val="en-US"/>
        </w:rPr>
        <w:t xml:space="preserve"> 2012; </w:t>
      </w:r>
      <w:r>
        <w:rPr>
          <w:rFonts w:ascii="Book Antiqua" w:hAnsi="Book Antiqua"/>
          <w:b/>
          <w:bCs/>
          <w:sz w:val="24"/>
          <w:szCs w:val="24"/>
          <w:highlight w:val="none"/>
          <w:lang w:val="en-US"/>
        </w:rPr>
        <w:t>2012</w:t>
      </w:r>
      <w:r>
        <w:rPr>
          <w:rFonts w:ascii="Book Antiqua" w:hAnsi="Book Antiqua"/>
          <w:sz w:val="24"/>
          <w:szCs w:val="24"/>
          <w:highlight w:val="none"/>
          <w:lang w:val="en-US"/>
        </w:rPr>
        <w:t>: 980458 [PMID: 22701310 DOI: 10.1155/2012/980458]</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33 </w:t>
      </w:r>
      <w:r>
        <w:rPr>
          <w:rFonts w:ascii="Book Antiqua" w:hAnsi="Book Antiqua"/>
          <w:b/>
          <w:bCs/>
          <w:sz w:val="24"/>
          <w:szCs w:val="24"/>
          <w:highlight w:val="none"/>
          <w:lang w:val="en-US"/>
        </w:rPr>
        <w:t>Tsaitas C</w:t>
      </w:r>
      <w:r>
        <w:rPr>
          <w:rFonts w:ascii="Book Antiqua" w:hAnsi="Book Antiqua"/>
          <w:sz w:val="24"/>
          <w:szCs w:val="24"/>
          <w:highlight w:val="none"/>
          <w:lang w:val="en-US"/>
        </w:rPr>
        <w:t xml:space="preserve">, Semertzidou A, Sinakos E. Update on inflammatory bowel disease in patients with primary sclerosing cholangitis. </w:t>
      </w:r>
      <w:r>
        <w:rPr>
          <w:rFonts w:ascii="Book Antiqua" w:hAnsi="Book Antiqua"/>
          <w:i/>
          <w:iCs/>
          <w:sz w:val="24"/>
          <w:szCs w:val="24"/>
          <w:highlight w:val="none"/>
          <w:lang w:val="en-US"/>
        </w:rPr>
        <w:t>World J Hepatol</w:t>
      </w:r>
      <w:r>
        <w:rPr>
          <w:rFonts w:ascii="Book Antiqua" w:hAnsi="Book Antiqua"/>
          <w:sz w:val="24"/>
          <w:szCs w:val="24"/>
          <w:highlight w:val="none"/>
          <w:lang w:val="en-US"/>
        </w:rPr>
        <w:t xml:space="preserve"> 2014; </w:t>
      </w:r>
      <w:r>
        <w:rPr>
          <w:rFonts w:ascii="Book Antiqua" w:hAnsi="Book Antiqua"/>
          <w:b/>
          <w:bCs/>
          <w:sz w:val="24"/>
          <w:szCs w:val="24"/>
          <w:highlight w:val="none"/>
          <w:lang w:val="en-US"/>
        </w:rPr>
        <w:t>6</w:t>
      </w:r>
      <w:r>
        <w:rPr>
          <w:rFonts w:ascii="Book Antiqua" w:hAnsi="Book Antiqua"/>
          <w:sz w:val="24"/>
          <w:szCs w:val="24"/>
          <w:highlight w:val="none"/>
          <w:lang w:val="en-US"/>
        </w:rPr>
        <w:t>: 178-187 [PMID: 24799986 DOI: 10.4254/wjh.v6.i4.178]</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34 </w:t>
      </w:r>
      <w:r>
        <w:rPr>
          <w:rFonts w:ascii="Book Antiqua" w:hAnsi="Book Antiqua"/>
          <w:b/>
          <w:bCs/>
          <w:sz w:val="24"/>
          <w:szCs w:val="24"/>
          <w:highlight w:val="none"/>
          <w:lang w:val="en-US"/>
        </w:rPr>
        <w:t>Christensen B,</w:t>
      </w:r>
      <w:r>
        <w:rPr>
          <w:rFonts w:ascii="Book Antiqua" w:hAnsi="Book Antiqua"/>
          <w:sz w:val="24"/>
          <w:szCs w:val="24"/>
          <w:highlight w:val="none"/>
          <w:lang w:val="en-US"/>
        </w:rPr>
        <w:t xml:space="preserve"> Micic D, Gibson PR, Yarur A, Bellaguarda E, Corsello P, Gaetano JN, Kinnucan J, Rao VL, Reddy S, Singh S, Pekow J, Rubin DT. Vedolizumab in patients with concurrent primary sclerosing cholangitis and inflammatory bowel disease does not improve liver biochemistry but is safe and effective for the bowel disease. </w:t>
      </w:r>
      <w:r>
        <w:rPr>
          <w:rFonts w:ascii="Book Antiqua" w:hAnsi="Book Antiqua"/>
          <w:i/>
          <w:sz w:val="24"/>
          <w:szCs w:val="24"/>
          <w:highlight w:val="none"/>
          <w:lang w:val="en-US"/>
        </w:rPr>
        <w:t>Aliment Pharmacol Ther</w:t>
      </w:r>
      <w:r>
        <w:rPr>
          <w:rFonts w:ascii="Book Antiqua" w:hAnsi="Book Antiqua"/>
          <w:sz w:val="24"/>
          <w:szCs w:val="24"/>
          <w:highlight w:val="none"/>
          <w:lang w:val="en-US"/>
        </w:rPr>
        <w:t xml:space="preserve"> 2018;</w:t>
      </w:r>
      <w:r>
        <w:rPr>
          <w:rFonts w:ascii="Book Antiqua" w:hAnsi="Book Antiqua"/>
          <w:b/>
          <w:sz w:val="24"/>
          <w:szCs w:val="24"/>
          <w:highlight w:val="none"/>
          <w:lang w:val="en-US"/>
        </w:rPr>
        <w:t xml:space="preserve"> 47</w:t>
      </w:r>
      <w:r>
        <w:rPr>
          <w:rFonts w:ascii="Book Antiqua" w:hAnsi="Book Antiqua"/>
          <w:sz w:val="24"/>
          <w:szCs w:val="24"/>
          <w:highlight w:val="none"/>
          <w:lang w:val="en-US"/>
        </w:rPr>
        <w:t>: 753-762 [DOI:</w:t>
      </w:r>
      <w:r>
        <w:rPr>
          <w:rFonts w:hint="eastAsia" w:ascii="Book Antiqua" w:hAnsi="Book Antiqua"/>
          <w:sz w:val="24"/>
          <w:szCs w:val="24"/>
          <w:highlight w:val="none"/>
          <w:lang w:val="en-US" w:eastAsia="zh-CN"/>
        </w:rPr>
        <w:t xml:space="preserve"> </w:t>
      </w:r>
      <w:r>
        <w:rPr>
          <w:rFonts w:ascii="Book Antiqua" w:hAnsi="Book Antiqua"/>
          <w:sz w:val="24"/>
          <w:szCs w:val="24"/>
          <w:highlight w:val="none"/>
          <w:lang w:val="en-US"/>
        </w:rPr>
        <w:t>10.1111/apt.14525]</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35 </w:t>
      </w:r>
      <w:r>
        <w:rPr>
          <w:rFonts w:ascii="Book Antiqua" w:hAnsi="Book Antiqua"/>
          <w:b/>
          <w:bCs/>
          <w:sz w:val="24"/>
          <w:szCs w:val="24"/>
          <w:highlight w:val="none"/>
          <w:lang w:val="en-US"/>
        </w:rPr>
        <w:t>Shah A</w:t>
      </w:r>
      <w:r>
        <w:rPr>
          <w:rFonts w:ascii="Book Antiqua" w:hAnsi="Book Antiqua"/>
          <w:sz w:val="24"/>
          <w:szCs w:val="24"/>
          <w:highlight w:val="none"/>
          <w:lang w:val="en-US"/>
        </w:rPr>
        <w:t xml:space="preserve">, Macdonald GA, Morrison M, Holtmann G. Targeting the Gut Microbiome as a Treatment for Primary Sclerosing Cholangitis: A Conceptional Framework. </w:t>
      </w:r>
      <w:r>
        <w:rPr>
          <w:rFonts w:ascii="Book Antiqua" w:hAnsi="Book Antiqua"/>
          <w:i/>
          <w:iCs/>
          <w:sz w:val="24"/>
          <w:szCs w:val="24"/>
          <w:highlight w:val="none"/>
          <w:lang w:val="en-US"/>
        </w:rPr>
        <w:t>Am J Gastroenterol</w:t>
      </w:r>
      <w:r>
        <w:rPr>
          <w:rFonts w:ascii="Book Antiqua" w:hAnsi="Book Antiqua"/>
          <w:sz w:val="24"/>
          <w:szCs w:val="24"/>
          <w:highlight w:val="none"/>
          <w:lang w:val="en-US"/>
        </w:rPr>
        <w:t xml:space="preserve"> 2020; </w:t>
      </w:r>
      <w:r>
        <w:rPr>
          <w:rFonts w:ascii="Book Antiqua" w:hAnsi="Book Antiqua"/>
          <w:b/>
          <w:bCs/>
          <w:sz w:val="24"/>
          <w:szCs w:val="24"/>
          <w:highlight w:val="none"/>
          <w:lang w:val="en-US"/>
        </w:rPr>
        <w:t>115</w:t>
      </w:r>
      <w:r>
        <w:rPr>
          <w:rFonts w:ascii="Book Antiqua" w:hAnsi="Book Antiqua"/>
          <w:sz w:val="24"/>
          <w:szCs w:val="24"/>
          <w:highlight w:val="none"/>
          <w:lang w:val="en-US"/>
        </w:rPr>
        <w:t>: 814-822 [PMID: 32250997 DOI: 10.14309/ajg.0000000000000604]</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36 </w:t>
      </w:r>
      <w:r>
        <w:rPr>
          <w:rFonts w:ascii="Book Antiqua" w:hAnsi="Book Antiqua"/>
          <w:b/>
          <w:bCs/>
          <w:sz w:val="24"/>
          <w:szCs w:val="24"/>
          <w:highlight w:val="none"/>
          <w:lang w:val="en-US"/>
        </w:rPr>
        <w:t>Irlès-Depé M</w:t>
      </w:r>
      <w:r>
        <w:rPr>
          <w:rFonts w:ascii="Book Antiqua" w:hAnsi="Book Antiqua"/>
          <w:sz w:val="24"/>
          <w:szCs w:val="24"/>
          <w:highlight w:val="none"/>
          <w:lang w:val="en-US"/>
        </w:rPr>
        <w:t xml:space="preserve">, Roullet S, Neau-Cransac M, Dumortier J, Dharancy S, Houssel-Debry P, Boillot O, Chiche L, Laurent C, Laharie D, De Lédinghen V. Impact of Preexisting Inflammatory Bowel Disease on the Outcome of Liver Transplantation for Primary Sclerosing Cholangitis. </w:t>
      </w:r>
      <w:r>
        <w:rPr>
          <w:rFonts w:ascii="Book Antiqua" w:hAnsi="Book Antiqua"/>
          <w:i/>
          <w:iCs/>
          <w:sz w:val="24"/>
          <w:szCs w:val="24"/>
          <w:highlight w:val="none"/>
          <w:lang w:val="en-US"/>
        </w:rPr>
        <w:t>Liver Transpl</w:t>
      </w:r>
      <w:r>
        <w:rPr>
          <w:rFonts w:ascii="Book Antiqua" w:hAnsi="Book Antiqua"/>
          <w:sz w:val="24"/>
          <w:szCs w:val="24"/>
          <w:highlight w:val="none"/>
          <w:lang w:val="en-US"/>
        </w:rPr>
        <w:t xml:space="preserve"> 2020; </w:t>
      </w:r>
      <w:r>
        <w:rPr>
          <w:rFonts w:ascii="Book Antiqua" w:hAnsi="Book Antiqua"/>
          <w:b/>
          <w:bCs/>
          <w:sz w:val="24"/>
          <w:szCs w:val="24"/>
          <w:highlight w:val="none"/>
          <w:lang w:val="en-US"/>
        </w:rPr>
        <w:t>26</w:t>
      </w:r>
      <w:r>
        <w:rPr>
          <w:rFonts w:ascii="Book Antiqua" w:hAnsi="Book Antiqua"/>
          <w:sz w:val="24"/>
          <w:szCs w:val="24"/>
          <w:highlight w:val="none"/>
          <w:lang w:val="en-US"/>
        </w:rPr>
        <w:t>: 1477-1491 [PMID: 32603007 DOI: 10.1002/lt.25838]</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37 </w:t>
      </w:r>
      <w:r>
        <w:rPr>
          <w:rFonts w:ascii="Book Antiqua" w:hAnsi="Book Antiqua"/>
          <w:b/>
          <w:bCs/>
          <w:sz w:val="24"/>
          <w:szCs w:val="24"/>
          <w:highlight w:val="none"/>
          <w:lang w:val="en-US"/>
        </w:rPr>
        <w:t>Liberal R</w:t>
      </w:r>
      <w:r>
        <w:rPr>
          <w:rFonts w:ascii="Book Antiqua" w:hAnsi="Book Antiqua"/>
          <w:sz w:val="24"/>
          <w:szCs w:val="24"/>
          <w:highlight w:val="none"/>
          <w:lang w:val="en-US"/>
        </w:rPr>
        <w:t xml:space="preserve">, Gaspar R, Lopes S, Macedo G. Primary biliary cholangitis in patients with inflammatory bowel disease. </w:t>
      </w:r>
      <w:r>
        <w:rPr>
          <w:rFonts w:ascii="Book Antiqua" w:hAnsi="Book Antiqua"/>
          <w:i/>
          <w:iCs/>
          <w:sz w:val="24"/>
          <w:szCs w:val="24"/>
          <w:highlight w:val="none"/>
          <w:lang w:val="en-US"/>
        </w:rPr>
        <w:t>Clin Res Hepatol Gastroenterol</w:t>
      </w:r>
      <w:r>
        <w:rPr>
          <w:rFonts w:ascii="Book Antiqua" w:hAnsi="Book Antiqua"/>
          <w:sz w:val="24"/>
          <w:szCs w:val="24"/>
          <w:highlight w:val="none"/>
          <w:lang w:val="en-US"/>
        </w:rPr>
        <w:t xml:space="preserve"> 2020; </w:t>
      </w:r>
      <w:r>
        <w:rPr>
          <w:rFonts w:ascii="Book Antiqua" w:hAnsi="Book Antiqua"/>
          <w:b/>
          <w:bCs/>
          <w:sz w:val="24"/>
          <w:szCs w:val="24"/>
          <w:highlight w:val="none"/>
          <w:lang w:val="en-US"/>
        </w:rPr>
        <w:t>44</w:t>
      </w:r>
      <w:r>
        <w:rPr>
          <w:rFonts w:ascii="Book Antiqua" w:hAnsi="Book Antiqua"/>
          <w:sz w:val="24"/>
          <w:szCs w:val="24"/>
          <w:highlight w:val="none"/>
          <w:lang w:val="en-US"/>
        </w:rPr>
        <w:t>: e5-e9 [PMID: 31171469 DOI: 10.1016/j.clinre.2019.05.002]</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38 </w:t>
      </w:r>
      <w:r>
        <w:rPr>
          <w:rFonts w:ascii="Book Antiqua" w:hAnsi="Book Antiqua"/>
          <w:b/>
          <w:bCs/>
          <w:sz w:val="24"/>
          <w:szCs w:val="24"/>
          <w:highlight w:val="none"/>
          <w:lang w:val="en-US"/>
        </w:rPr>
        <w:t>Aiba Y</w:t>
      </w:r>
      <w:r>
        <w:rPr>
          <w:rFonts w:ascii="Book Antiqua" w:hAnsi="Book Antiqua"/>
          <w:sz w:val="24"/>
          <w:szCs w:val="24"/>
          <w:highlight w:val="none"/>
          <w:lang w:val="en-US"/>
        </w:rPr>
        <w:t xml:space="preserve">, Yamazaki K, Nishida N, Kawashima M, Hitomi Y, Nakamura H, Komori A, Fuyuno Y, Takahashi A, Kawaguchi T, Takazoe M, Suzuki Y, Motoya S, Matsui T, Esaki M, Matsumoto T, Kubo M, Tokunaga K, Nakamura M. Disease susceptibility genes shared by primary biliary cirrhosis and Crohn's disease in the Japanese population. </w:t>
      </w:r>
      <w:r>
        <w:rPr>
          <w:rFonts w:ascii="Book Antiqua" w:hAnsi="Book Antiqua"/>
          <w:i/>
          <w:iCs/>
          <w:sz w:val="24"/>
          <w:szCs w:val="24"/>
          <w:highlight w:val="none"/>
          <w:lang w:val="en-US"/>
        </w:rPr>
        <w:t>J Hum Genet</w:t>
      </w:r>
      <w:r>
        <w:rPr>
          <w:rFonts w:ascii="Book Antiqua" w:hAnsi="Book Antiqua"/>
          <w:sz w:val="24"/>
          <w:szCs w:val="24"/>
          <w:highlight w:val="none"/>
          <w:lang w:val="en-US"/>
        </w:rPr>
        <w:t xml:space="preserve"> 2015; </w:t>
      </w:r>
      <w:r>
        <w:rPr>
          <w:rFonts w:ascii="Book Antiqua" w:hAnsi="Book Antiqua"/>
          <w:b/>
          <w:bCs/>
          <w:sz w:val="24"/>
          <w:szCs w:val="24"/>
          <w:highlight w:val="none"/>
          <w:lang w:val="en-US"/>
        </w:rPr>
        <w:t>60</w:t>
      </w:r>
      <w:r>
        <w:rPr>
          <w:rFonts w:ascii="Book Antiqua" w:hAnsi="Book Antiqua"/>
          <w:sz w:val="24"/>
          <w:szCs w:val="24"/>
          <w:highlight w:val="none"/>
          <w:lang w:val="en-US"/>
        </w:rPr>
        <w:t>: 525-531 [PMID: 26084578 DOI: 10.1038/jhg.2015.59]</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39 </w:t>
      </w:r>
      <w:r>
        <w:rPr>
          <w:rFonts w:ascii="Book Antiqua" w:hAnsi="Book Antiqua"/>
          <w:b/>
          <w:bCs/>
          <w:sz w:val="24"/>
          <w:szCs w:val="24"/>
          <w:highlight w:val="none"/>
          <w:lang w:val="en-US"/>
        </w:rPr>
        <w:t>Ballotin VR</w:t>
      </w:r>
      <w:r>
        <w:rPr>
          <w:rFonts w:ascii="Book Antiqua" w:hAnsi="Book Antiqua"/>
          <w:sz w:val="24"/>
          <w:szCs w:val="24"/>
          <w:highlight w:val="none"/>
          <w:lang w:val="en-US"/>
        </w:rPr>
        <w:t xml:space="preserve">, Bigarella LG, Riva F, Onzi G, Balbinot RA, Balbinot SS, Soldera J. Primary sclerosing cholangitis and autoimmune hepatitis overlap syndrome associated with inflammatory bowel disease: A case report and systematic review. </w:t>
      </w:r>
      <w:r>
        <w:rPr>
          <w:rFonts w:ascii="Book Antiqua" w:hAnsi="Book Antiqua"/>
          <w:i/>
          <w:iCs/>
          <w:sz w:val="24"/>
          <w:szCs w:val="24"/>
          <w:highlight w:val="none"/>
          <w:lang w:val="en-US"/>
        </w:rPr>
        <w:t>World J Clin Cases</w:t>
      </w:r>
      <w:r>
        <w:rPr>
          <w:rFonts w:ascii="Book Antiqua" w:hAnsi="Book Antiqua"/>
          <w:sz w:val="24"/>
          <w:szCs w:val="24"/>
          <w:highlight w:val="none"/>
          <w:lang w:val="en-US"/>
        </w:rPr>
        <w:t xml:space="preserve"> 2020; </w:t>
      </w:r>
      <w:r>
        <w:rPr>
          <w:rFonts w:ascii="Book Antiqua" w:hAnsi="Book Antiqua"/>
          <w:b/>
          <w:bCs/>
          <w:sz w:val="24"/>
          <w:szCs w:val="24"/>
          <w:highlight w:val="none"/>
          <w:lang w:val="en-US"/>
        </w:rPr>
        <w:t>8</w:t>
      </w:r>
      <w:r>
        <w:rPr>
          <w:rFonts w:ascii="Book Antiqua" w:hAnsi="Book Antiqua"/>
          <w:sz w:val="24"/>
          <w:szCs w:val="24"/>
          <w:highlight w:val="none"/>
          <w:lang w:val="en-US"/>
        </w:rPr>
        <w:t>: 4075-4093 [PMID: 33024765 DOI: 10.12998/wjcc.v8.i18.4075]</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40 </w:t>
      </w:r>
      <w:r>
        <w:rPr>
          <w:rFonts w:ascii="Book Antiqua" w:hAnsi="Book Antiqua"/>
          <w:b/>
          <w:bCs/>
          <w:sz w:val="24"/>
          <w:szCs w:val="24"/>
          <w:highlight w:val="none"/>
          <w:lang w:val="en-US"/>
        </w:rPr>
        <w:t>Miranda-Bautista J</w:t>
      </w:r>
      <w:r>
        <w:rPr>
          <w:rFonts w:ascii="Book Antiqua" w:hAnsi="Book Antiqua"/>
          <w:sz w:val="24"/>
          <w:szCs w:val="24"/>
          <w:highlight w:val="none"/>
          <w:lang w:val="en-US"/>
        </w:rPr>
        <w:t xml:space="preserve">, Menchén L. Adalimumab-induced autoimmune hepatitis in a patient with Crohn's disease. </w:t>
      </w:r>
      <w:r>
        <w:rPr>
          <w:rFonts w:ascii="Book Antiqua" w:hAnsi="Book Antiqua"/>
          <w:i/>
          <w:iCs/>
          <w:sz w:val="24"/>
          <w:szCs w:val="24"/>
          <w:highlight w:val="none"/>
          <w:lang w:val="en-US"/>
        </w:rPr>
        <w:t>Gastroenterol Hepatol</w:t>
      </w:r>
      <w:r>
        <w:rPr>
          <w:rFonts w:ascii="Book Antiqua" w:hAnsi="Book Antiqua"/>
          <w:sz w:val="24"/>
          <w:szCs w:val="24"/>
          <w:highlight w:val="none"/>
          <w:lang w:val="en-US"/>
        </w:rPr>
        <w:t xml:space="preserve"> 2019; </w:t>
      </w:r>
      <w:r>
        <w:rPr>
          <w:rFonts w:ascii="Book Antiqua" w:hAnsi="Book Antiqua"/>
          <w:b/>
          <w:bCs/>
          <w:sz w:val="24"/>
          <w:szCs w:val="24"/>
          <w:highlight w:val="none"/>
          <w:lang w:val="en-US"/>
        </w:rPr>
        <w:t>42</w:t>
      </w:r>
      <w:r>
        <w:rPr>
          <w:rFonts w:ascii="Book Antiqua" w:hAnsi="Book Antiqua"/>
          <w:sz w:val="24"/>
          <w:szCs w:val="24"/>
          <w:highlight w:val="none"/>
          <w:lang w:val="en-US"/>
        </w:rPr>
        <w:t>: 306-307 [PMID: 30029925 DOI: 10.1016/j.gastrohep.2018.06.006]</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41 </w:t>
      </w:r>
      <w:r>
        <w:rPr>
          <w:rFonts w:ascii="Book Antiqua" w:hAnsi="Book Antiqua"/>
          <w:b/>
          <w:bCs/>
          <w:sz w:val="24"/>
          <w:szCs w:val="24"/>
          <w:highlight w:val="none"/>
          <w:lang w:val="en-US"/>
        </w:rPr>
        <w:t>Nassir F</w:t>
      </w:r>
      <w:r>
        <w:rPr>
          <w:rFonts w:ascii="Book Antiqua" w:hAnsi="Book Antiqua"/>
          <w:sz w:val="24"/>
          <w:szCs w:val="24"/>
          <w:highlight w:val="none"/>
          <w:lang w:val="en-US"/>
        </w:rPr>
        <w:t xml:space="preserve">, Rector RS, Hammoud GM, Ibdah JA. Pathogenesis and Prevention of Hepatic Steatosis. </w:t>
      </w:r>
      <w:r>
        <w:rPr>
          <w:rFonts w:ascii="Book Antiqua" w:hAnsi="Book Antiqua"/>
          <w:i/>
          <w:iCs/>
          <w:sz w:val="24"/>
          <w:szCs w:val="24"/>
          <w:highlight w:val="none"/>
          <w:lang w:val="en-US"/>
        </w:rPr>
        <w:t>Gastroenterol Hepatol (N Y)</w:t>
      </w:r>
      <w:r>
        <w:rPr>
          <w:rFonts w:ascii="Book Antiqua" w:hAnsi="Book Antiqua"/>
          <w:sz w:val="24"/>
          <w:szCs w:val="24"/>
          <w:highlight w:val="none"/>
          <w:lang w:val="en-US"/>
        </w:rPr>
        <w:t xml:space="preserve"> 2015; </w:t>
      </w:r>
      <w:r>
        <w:rPr>
          <w:rFonts w:ascii="Book Antiqua" w:hAnsi="Book Antiqua"/>
          <w:b/>
          <w:bCs/>
          <w:sz w:val="24"/>
          <w:szCs w:val="24"/>
          <w:highlight w:val="none"/>
          <w:lang w:val="en-US"/>
        </w:rPr>
        <w:t>11</w:t>
      </w:r>
      <w:r>
        <w:rPr>
          <w:rFonts w:ascii="Book Antiqua" w:hAnsi="Book Antiqua"/>
          <w:sz w:val="24"/>
          <w:szCs w:val="24"/>
          <w:highlight w:val="none"/>
          <w:lang w:val="en-US"/>
        </w:rPr>
        <w:t>: 167-175 [PMID: 27099587]</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42 </w:t>
      </w:r>
      <w:r>
        <w:rPr>
          <w:rFonts w:ascii="Book Antiqua" w:hAnsi="Book Antiqua"/>
          <w:b/>
          <w:bCs/>
          <w:sz w:val="24"/>
          <w:szCs w:val="24"/>
          <w:highlight w:val="none"/>
          <w:lang w:val="en-US"/>
        </w:rPr>
        <w:t>Sunny NE</w:t>
      </w:r>
      <w:r>
        <w:rPr>
          <w:rFonts w:ascii="Book Antiqua" w:hAnsi="Book Antiqua"/>
          <w:sz w:val="24"/>
          <w:szCs w:val="24"/>
          <w:highlight w:val="none"/>
          <w:lang w:val="en-US"/>
        </w:rPr>
        <w:t xml:space="preserve">, Parks EJ, Browning JD, Burgess SC. Excessive hepatic mitochondrial TCA cycle and gluconeogenesis in humans with nonalcoholic fatty liver disease. </w:t>
      </w:r>
      <w:r>
        <w:rPr>
          <w:rFonts w:ascii="Book Antiqua" w:hAnsi="Book Antiqua"/>
          <w:i/>
          <w:iCs/>
          <w:sz w:val="24"/>
          <w:szCs w:val="24"/>
          <w:highlight w:val="none"/>
          <w:lang w:val="en-US"/>
        </w:rPr>
        <w:t>Cell Metab</w:t>
      </w:r>
      <w:r>
        <w:rPr>
          <w:rFonts w:ascii="Book Antiqua" w:hAnsi="Book Antiqua"/>
          <w:sz w:val="24"/>
          <w:szCs w:val="24"/>
          <w:highlight w:val="none"/>
          <w:lang w:val="en-US"/>
        </w:rPr>
        <w:t xml:space="preserve"> 2011; </w:t>
      </w:r>
      <w:r>
        <w:rPr>
          <w:rFonts w:ascii="Book Antiqua" w:hAnsi="Book Antiqua"/>
          <w:b/>
          <w:bCs/>
          <w:sz w:val="24"/>
          <w:szCs w:val="24"/>
          <w:highlight w:val="none"/>
          <w:lang w:val="en-US"/>
        </w:rPr>
        <w:t>14</w:t>
      </w:r>
      <w:r>
        <w:rPr>
          <w:rFonts w:ascii="Book Antiqua" w:hAnsi="Book Antiqua"/>
          <w:sz w:val="24"/>
          <w:szCs w:val="24"/>
          <w:highlight w:val="none"/>
          <w:lang w:val="en-US"/>
        </w:rPr>
        <w:t>: 804-810 [PMID: 22152305 DOI: 10.1016/j.cmet.2011.11.004]</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43 Thomas C. Ulceration of the colon with a much enlarged fatty liver. </w:t>
      </w:r>
      <w:r>
        <w:rPr>
          <w:rFonts w:ascii="Book Antiqua" w:hAnsi="Book Antiqua"/>
          <w:i/>
          <w:sz w:val="24"/>
          <w:szCs w:val="24"/>
          <w:highlight w:val="none"/>
          <w:lang w:val="en-US"/>
        </w:rPr>
        <w:t>Trans Pathol Soc Philadelphia</w:t>
      </w:r>
      <w:r>
        <w:rPr>
          <w:rFonts w:ascii="Book Antiqua" w:hAnsi="Book Antiqua"/>
          <w:sz w:val="24"/>
          <w:szCs w:val="24"/>
          <w:highlight w:val="none"/>
          <w:lang w:val="en-US"/>
        </w:rPr>
        <w:t xml:space="preserve"> 1873; </w:t>
      </w:r>
      <w:r>
        <w:rPr>
          <w:rFonts w:ascii="Book Antiqua" w:hAnsi="Book Antiqua"/>
          <w:b/>
          <w:sz w:val="24"/>
          <w:szCs w:val="24"/>
          <w:highlight w:val="none"/>
          <w:lang w:val="en-US"/>
        </w:rPr>
        <w:t>4</w:t>
      </w:r>
      <w:r>
        <w:rPr>
          <w:rFonts w:ascii="Book Antiqua" w:hAnsi="Book Antiqua"/>
          <w:sz w:val="24"/>
          <w:szCs w:val="24"/>
          <w:highlight w:val="none"/>
          <w:lang w:val="en-US"/>
        </w:rPr>
        <w:t>:</w:t>
      </w:r>
      <w:r>
        <w:rPr>
          <w:rFonts w:hint="eastAsia" w:ascii="Book Antiqua" w:hAnsi="Book Antiqua"/>
          <w:sz w:val="24"/>
          <w:szCs w:val="24"/>
          <w:highlight w:val="none"/>
          <w:lang w:val="en-US" w:eastAsia="zh-CN"/>
        </w:rPr>
        <w:t xml:space="preserve"> </w:t>
      </w:r>
      <w:r>
        <w:rPr>
          <w:rFonts w:ascii="Book Antiqua" w:hAnsi="Book Antiqua"/>
          <w:sz w:val="24"/>
          <w:szCs w:val="24"/>
          <w:highlight w:val="none"/>
          <w:lang w:val="en-US"/>
        </w:rPr>
        <w:t>87-88</w:t>
      </w:r>
      <w:r>
        <w:rPr>
          <w:rFonts w:hint="eastAsia" w:ascii="Book Antiqua" w:hAnsi="Book Antiqua"/>
          <w:sz w:val="24"/>
          <w:szCs w:val="24"/>
          <w:highlight w:val="none"/>
          <w:lang w:val="en-US" w:eastAsia="zh-CN"/>
        </w:rPr>
        <w:t xml:space="preserve"> </w:t>
      </w:r>
      <w:r>
        <w:rPr>
          <w:rFonts w:ascii="Book Antiqua" w:hAnsi="Book Antiqua"/>
          <w:sz w:val="24"/>
          <w:szCs w:val="24"/>
          <w:highlight w:val="none"/>
          <w:lang w:val="en-US"/>
        </w:rPr>
        <w:t>[DOI:</w:t>
      </w:r>
      <w:r>
        <w:rPr>
          <w:rFonts w:hint="eastAsia" w:ascii="Book Antiqua" w:hAnsi="Book Antiqua"/>
          <w:sz w:val="24"/>
          <w:szCs w:val="24"/>
          <w:highlight w:val="none"/>
          <w:lang w:val="en-US" w:eastAsia="zh-CN"/>
        </w:rPr>
        <w:t xml:space="preserve"> </w:t>
      </w:r>
      <w:r>
        <w:rPr>
          <w:rFonts w:ascii="Book Antiqua" w:hAnsi="Book Antiqua"/>
          <w:sz w:val="24"/>
          <w:szCs w:val="24"/>
          <w:highlight w:val="none"/>
          <w:lang w:val="en-US"/>
        </w:rPr>
        <w:t>10.1056/nejm187304100881506]</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44 </w:t>
      </w:r>
      <w:r>
        <w:rPr>
          <w:rFonts w:ascii="Book Antiqua" w:hAnsi="Book Antiqua"/>
          <w:b/>
          <w:bCs/>
          <w:sz w:val="24"/>
          <w:szCs w:val="24"/>
          <w:highlight w:val="none"/>
          <w:lang w:val="en-US"/>
        </w:rPr>
        <w:t>Losurdo G</w:t>
      </w:r>
      <w:r>
        <w:rPr>
          <w:rFonts w:ascii="Book Antiqua" w:hAnsi="Book Antiqua"/>
          <w:sz w:val="24"/>
          <w:szCs w:val="24"/>
          <w:highlight w:val="none"/>
          <w:lang w:val="en-US"/>
        </w:rPr>
        <w:t xml:space="preserve">, La Fortezza RF, Iannone A, Contaldo A, Barone M, Ierardi E, Di Leo A, Principi M. Prevalence and associated factors of obesity in inflammatory bowel disease: A case-control study. </w:t>
      </w:r>
      <w:r>
        <w:rPr>
          <w:rFonts w:ascii="Book Antiqua" w:hAnsi="Book Antiqua"/>
          <w:i/>
          <w:iCs/>
          <w:sz w:val="24"/>
          <w:szCs w:val="24"/>
          <w:highlight w:val="none"/>
          <w:lang w:val="en-US"/>
        </w:rPr>
        <w:t>World J Gastroenterol</w:t>
      </w:r>
      <w:r>
        <w:rPr>
          <w:rFonts w:ascii="Book Antiqua" w:hAnsi="Book Antiqua"/>
          <w:sz w:val="24"/>
          <w:szCs w:val="24"/>
          <w:highlight w:val="none"/>
          <w:lang w:val="en-US"/>
        </w:rPr>
        <w:t xml:space="preserve"> 2020; </w:t>
      </w:r>
      <w:r>
        <w:rPr>
          <w:rFonts w:ascii="Book Antiqua" w:hAnsi="Book Antiqua"/>
          <w:b/>
          <w:bCs/>
          <w:sz w:val="24"/>
          <w:szCs w:val="24"/>
          <w:highlight w:val="none"/>
          <w:lang w:val="en-US"/>
        </w:rPr>
        <w:t>26</w:t>
      </w:r>
      <w:r>
        <w:rPr>
          <w:rFonts w:ascii="Book Antiqua" w:hAnsi="Book Antiqua"/>
          <w:sz w:val="24"/>
          <w:szCs w:val="24"/>
          <w:highlight w:val="none"/>
          <w:lang w:val="en-US"/>
        </w:rPr>
        <w:t>: 7528-7537 [PMID: 33384552 DOI: 10.3748/wjg.v26.i47.7528]</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45 </w:t>
      </w:r>
      <w:r>
        <w:rPr>
          <w:rFonts w:ascii="Book Antiqua" w:hAnsi="Book Antiqua"/>
          <w:b/>
          <w:bCs/>
          <w:sz w:val="24"/>
          <w:szCs w:val="24"/>
          <w:highlight w:val="none"/>
          <w:lang w:val="en-US"/>
        </w:rPr>
        <w:t>Miele L</w:t>
      </w:r>
      <w:r>
        <w:rPr>
          <w:rFonts w:ascii="Book Antiqua" w:hAnsi="Book Antiqua"/>
          <w:sz w:val="24"/>
          <w:szCs w:val="24"/>
          <w:highlight w:val="none"/>
          <w:lang w:val="en-US"/>
        </w:rPr>
        <w:t xml:space="preserve">, Valenza V, La Torre G, Montalto M, Cammarota G, Ricci R, Mascianà R, Forgione A, Gabrieli ML, Perotti G, Vecchio FM, Rapaccini G, Gasbarrini G, Day CP, Grieco A. Increased intestinal permeability and tight junction alterations in nonalcoholic fatty liver disease. </w:t>
      </w:r>
      <w:r>
        <w:rPr>
          <w:rFonts w:ascii="Book Antiqua" w:hAnsi="Book Antiqua"/>
          <w:i/>
          <w:iCs/>
          <w:sz w:val="24"/>
          <w:szCs w:val="24"/>
          <w:highlight w:val="none"/>
          <w:lang w:val="en-US"/>
        </w:rPr>
        <w:t>Hepatology</w:t>
      </w:r>
      <w:r>
        <w:rPr>
          <w:rFonts w:ascii="Book Antiqua" w:hAnsi="Book Antiqua"/>
          <w:sz w:val="24"/>
          <w:szCs w:val="24"/>
          <w:highlight w:val="none"/>
          <w:lang w:val="en-US"/>
        </w:rPr>
        <w:t xml:space="preserve"> 2009; </w:t>
      </w:r>
      <w:r>
        <w:rPr>
          <w:rFonts w:ascii="Book Antiqua" w:hAnsi="Book Antiqua"/>
          <w:b/>
          <w:bCs/>
          <w:sz w:val="24"/>
          <w:szCs w:val="24"/>
          <w:highlight w:val="none"/>
          <w:lang w:val="en-US"/>
        </w:rPr>
        <w:t>49</w:t>
      </w:r>
      <w:r>
        <w:rPr>
          <w:rFonts w:ascii="Book Antiqua" w:hAnsi="Book Antiqua"/>
          <w:sz w:val="24"/>
          <w:szCs w:val="24"/>
          <w:highlight w:val="none"/>
          <w:lang w:val="en-US"/>
        </w:rPr>
        <w:t>: 1877-1887 [PMID: 19291785 DOI: 10.1002/hep.22848]</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46 </w:t>
      </w:r>
      <w:r>
        <w:rPr>
          <w:rFonts w:ascii="Book Antiqua" w:hAnsi="Book Antiqua"/>
          <w:b/>
          <w:bCs/>
          <w:sz w:val="24"/>
          <w:szCs w:val="24"/>
          <w:highlight w:val="none"/>
          <w:lang w:val="en-US"/>
        </w:rPr>
        <w:t>Principi M</w:t>
      </w:r>
      <w:r>
        <w:rPr>
          <w:rFonts w:ascii="Book Antiqua" w:hAnsi="Book Antiqua"/>
          <w:sz w:val="24"/>
          <w:szCs w:val="24"/>
          <w:highlight w:val="none"/>
          <w:lang w:val="en-US"/>
        </w:rPr>
        <w:t xml:space="preserve">, Losurdo G, Iannone A, Contaldo A, Deflorio V, Ranaldo N, Pisani A, Ierardi E, Di Leo A, Barone M. Differences in dietary habits between patients with inflammatory bowel disease in clinical remission and a healthy population. </w:t>
      </w:r>
      <w:r>
        <w:rPr>
          <w:rFonts w:ascii="Book Antiqua" w:hAnsi="Book Antiqua"/>
          <w:i/>
          <w:iCs/>
          <w:sz w:val="24"/>
          <w:szCs w:val="24"/>
          <w:highlight w:val="none"/>
          <w:lang w:val="en-US"/>
        </w:rPr>
        <w:t>Ann Gastroenterol</w:t>
      </w:r>
      <w:r>
        <w:rPr>
          <w:rFonts w:ascii="Book Antiqua" w:hAnsi="Book Antiqua"/>
          <w:sz w:val="24"/>
          <w:szCs w:val="24"/>
          <w:highlight w:val="none"/>
          <w:lang w:val="en-US"/>
        </w:rPr>
        <w:t xml:space="preserve"> 2018; </w:t>
      </w:r>
      <w:r>
        <w:rPr>
          <w:rFonts w:ascii="Book Antiqua" w:hAnsi="Book Antiqua"/>
          <w:b/>
          <w:bCs/>
          <w:sz w:val="24"/>
          <w:szCs w:val="24"/>
          <w:highlight w:val="none"/>
          <w:lang w:val="en-US"/>
        </w:rPr>
        <w:t>31</w:t>
      </w:r>
      <w:r>
        <w:rPr>
          <w:rFonts w:ascii="Book Antiqua" w:hAnsi="Book Antiqua"/>
          <w:sz w:val="24"/>
          <w:szCs w:val="24"/>
          <w:highlight w:val="none"/>
          <w:lang w:val="en-US"/>
        </w:rPr>
        <w:t>: 469-473 [PMID: 29991892 DOI: 10.20524/aog.2018.0273]</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47 </w:t>
      </w:r>
      <w:r>
        <w:rPr>
          <w:rFonts w:ascii="Book Antiqua" w:hAnsi="Book Antiqua"/>
          <w:b/>
          <w:bCs/>
          <w:sz w:val="24"/>
          <w:szCs w:val="24"/>
          <w:highlight w:val="none"/>
          <w:lang w:val="en-US"/>
        </w:rPr>
        <w:t>Ruemmele FM</w:t>
      </w:r>
      <w:r>
        <w:rPr>
          <w:rFonts w:ascii="Book Antiqua" w:hAnsi="Book Antiqua"/>
          <w:sz w:val="24"/>
          <w:szCs w:val="24"/>
          <w:highlight w:val="none"/>
          <w:lang w:val="en-US"/>
        </w:rPr>
        <w:t xml:space="preserve">. Role of Diet in Inflammatory Bowel Disease. </w:t>
      </w:r>
      <w:r>
        <w:rPr>
          <w:rFonts w:ascii="Book Antiqua" w:hAnsi="Book Antiqua"/>
          <w:i/>
          <w:iCs/>
          <w:sz w:val="24"/>
          <w:szCs w:val="24"/>
          <w:highlight w:val="none"/>
          <w:lang w:val="en-US"/>
        </w:rPr>
        <w:t>Ann Nutr Metab</w:t>
      </w:r>
      <w:r>
        <w:rPr>
          <w:rFonts w:ascii="Book Antiqua" w:hAnsi="Book Antiqua"/>
          <w:sz w:val="24"/>
          <w:szCs w:val="24"/>
          <w:highlight w:val="none"/>
          <w:lang w:val="en-US"/>
        </w:rPr>
        <w:t xml:space="preserve"> 2016; </w:t>
      </w:r>
      <w:r>
        <w:rPr>
          <w:rFonts w:ascii="Book Antiqua" w:hAnsi="Book Antiqua"/>
          <w:b/>
          <w:bCs/>
          <w:sz w:val="24"/>
          <w:szCs w:val="24"/>
          <w:highlight w:val="none"/>
          <w:lang w:val="en-US"/>
        </w:rPr>
        <w:t xml:space="preserve">68 </w:t>
      </w:r>
      <w:r>
        <w:rPr>
          <w:rFonts w:ascii="Book Antiqua" w:hAnsi="Book Antiqua"/>
          <w:bCs/>
          <w:sz w:val="24"/>
          <w:szCs w:val="24"/>
          <w:highlight w:val="none"/>
          <w:lang w:val="en-US"/>
        </w:rPr>
        <w:t>Suppl 1</w:t>
      </w:r>
      <w:r>
        <w:rPr>
          <w:rFonts w:ascii="Book Antiqua" w:hAnsi="Book Antiqua"/>
          <w:sz w:val="24"/>
          <w:szCs w:val="24"/>
          <w:highlight w:val="none"/>
          <w:lang w:val="en-US"/>
        </w:rPr>
        <w:t>: 33-41 [PMID: 27355913 DOI: 10.1159/000445392]</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48 </w:t>
      </w:r>
      <w:r>
        <w:rPr>
          <w:rFonts w:ascii="Book Antiqua" w:hAnsi="Book Antiqua"/>
          <w:b/>
          <w:bCs/>
          <w:sz w:val="24"/>
          <w:szCs w:val="24"/>
          <w:highlight w:val="none"/>
          <w:lang w:val="en-US"/>
        </w:rPr>
        <w:t>Zou ZY</w:t>
      </w:r>
      <w:r>
        <w:rPr>
          <w:rFonts w:ascii="Book Antiqua" w:hAnsi="Book Antiqua"/>
          <w:sz w:val="24"/>
          <w:szCs w:val="24"/>
          <w:highlight w:val="none"/>
          <w:lang w:val="en-US"/>
        </w:rPr>
        <w:t xml:space="preserve">, Shen B, Fan JG. Systematic Review With Meta-analysis: Epidemiology of Nonalcoholic Fatty Liver Disease in Patients With Inflammatory Bowel Disease. </w:t>
      </w:r>
      <w:r>
        <w:rPr>
          <w:rFonts w:ascii="Book Antiqua" w:hAnsi="Book Antiqua"/>
          <w:i/>
          <w:iCs/>
          <w:sz w:val="24"/>
          <w:szCs w:val="24"/>
          <w:highlight w:val="none"/>
          <w:lang w:val="en-US"/>
        </w:rPr>
        <w:t>Inflamm Bowel Dis</w:t>
      </w:r>
      <w:r>
        <w:rPr>
          <w:rFonts w:ascii="Book Antiqua" w:hAnsi="Book Antiqua"/>
          <w:sz w:val="24"/>
          <w:szCs w:val="24"/>
          <w:highlight w:val="none"/>
          <w:lang w:val="en-US"/>
        </w:rPr>
        <w:t xml:space="preserve"> 2019; </w:t>
      </w:r>
      <w:r>
        <w:rPr>
          <w:rFonts w:ascii="Book Antiqua" w:hAnsi="Book Antiqua"/>
          <w:b/>
          <w:bCs/>
          <w:sz w:val="24"/>
          <w:szCs w:val="24"/>
          <w:highlight w:val="none"/>
          <w:lang w:val="en-US"/>
        </w:rPr>
        <w:t>25</w:t>
      </w:r>
      <w:r>
        <w:rPr>
          <w:rFonts w:ascii="Book Antiqua" w:hAnsi="Book Antiqua"/>
          <w:sz w:val="24"/>
          <w:szCs w:val="24"/>
          <w:highlight w:val="none"/>
          <w:lang w:val="en-US"/>
        </w:rPr>
        <w:t>: 1764-1772 [PMID: 30918952 DOI: 10.1093/ibd/izz043]</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49 </w:t>
      </w:r>
      <w:r>
        <w:rPr>
          <w:rFonts w:ascii="Book Antiqua" w:hAnsi="Book Antiqua"/>
          <w:b/>
          <w:bCs/>
          <w:sz w:val="24"/>
          <w:szCs w:val="24"/>
          <w:highlight w:val="none"/>
          <w:lang w:val="en-US"/>
        </w:rPr>
        <w:t>Bessissow T</w:t>
      </w:r>
      <w:r>
        <w:rPr>
          <w:rFonts w:ascii="Book Antiqua" w:hAnsi="Book Antiqua"/>
          <w:sz w:val="24"/>
          <w:szCs w:val="24"/>
          <w:highlight w:val="none"/>
          <w:lang w:val="en-US"/>
        </w:rPr>
        <w:t xml:space="preserve">, Le NH, Rollet K, Afif W, Bitton A, Sebastiani G. Incidence and Predictors of Nonalcoholic Fatty Liver Disease by Serum Biomarkers in Patients with Inflammatory Bowel Disease. </w:t>
      </w:r>
      <w:r>
        <w:rPr>
          <w:rFonts w:ascii="Book Antiqua" w:hAnsi="Book Antiqua"/>
          <w:i/>
          <w:iCs/>
          <w:sz w:val="24"/>
          <w:szCs w:val="24"/>
          <w:highlight w:val="none"/>
          <w:lang w:val="en-US"/>
        </w:rPr>
        <w:t>Inflamm Bowel Dis</w:t>
      </w:r>
      <w:r>
        <w:rPr>
          <w:rFonts w:ascii="Book Antiqua" w:hAnsi="Book Antiqua"/>
          <w:sz w:val="24"/>
          <w:szCs w:val="24"/>
          <w:highlight w:val="none"/>
          <w:lang w:val="en-US"/>
        </w:rPr>
        <w:t xml:space="preserve"> 2016; </w:t>
      </w:r>
      <w:r>
        <w:rPr>
          <w:rFonts w:ascii="Book Antiqua" w:hAnsi="Book Antiqua"/>
          <w:b/>
          <w:bCs/>
          <w:sz w:val="24"/>
          <w:szCs w:val="24"/>
          <w:highlight w:val="none"/>
          <w:lang w:val="en-US"/>
        </w:rPr>
        <w:t>22</w:t>
      </w:r>
      <w:r>
        <w:rPr>
          <w:rFonts w:ascii="Book Antiqua" w:hAnsi="Book Antiqua"/>
          <w:sz w:val="24"/>
          <w:szCs w:val="24"/>
          <w:highlight w:val="none"/>
          <w:lang w:val="en-US"/>
        </w:rPr>
        <w:t>: 1937-1944 [PMID: 27379445 DOI: 10.1097/MIB.0000000000000832]</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50 </w:t>
      </w:r>
      <w:r>
        <w:rPr>
          <w:rFonts w:ascii="Book Antiqua" w:hAnsi="Book Antiqua"/>
          <w:b/>
          <w:bCs/>
          <w:sz w:val="24"/>
          <w:szCs w:val="24"/>
          <w:highlight w:val="none"/>
          <w:lang w:val="en-US"/>
        </w:rPr>
        <w:t>Sagami S</w:t>
      </w:r>
      <w:r>
        <w:rPr>
          <w:rFonts w:ascii="Book Antiqua" w:hAnsi="Book Antiqua"/>
          <w:sz w:val="24"/>
          <w:szCs w:val="24"/>
          <w:highlight w:val="none"/>
          <w:lang w:val="en-US"/>
        </w:rPr>
        <w:t xml:space="preserve">, Ueno Y, Tanaka S, Fujita A, Hayashi R, Oka S, Hyogo H, Chayama K. Significance of non-alcoholic fatty liver disease in Crohn's disease: A retrospective cohort study. </w:t>
      </w:r>
      <w:r>
        <w:rPr>
          <w:rFonts w:ascii="Book Antiqua" w:hAnsi="Book Antiqua"/>
          <w:i/>
          <w:iCs/>
          <w:sz w:val="24"/>
          <w:szCs w:val="24"/>
          <w:highlight w:val="none"/>
          <w:lang w:val="en-US"/>
        </w:rPr>
        <w:t>Hepatol Res</w:t>
      </w:r>
      <w:r>
        <w:rPr>
          <w:rFonts w:ascii="Book Antiqua" w:hAnsi="Book Antiqua"/>
          <w:sz w:val="24"/>
          <w:szCs w:val="24"/>
          <w:highlight w:val="none"/>
          <w:lang w:val="en-US"/>
        </w:rPr>
        <w:t xml:space="preserve"> 2017; </w:t>
      </w:r>
      <w:r>
        <w:rPr>
          <w:rFonts w:ascii="Book Antiqua" w:hAnsi="Book Antiqua"/>
          <w:b/>
          <w:bCs/>
          <w:sz w:val="24"/>
          <w:szCs w:val="24"/>
          <w:highlight w:val="none"/>
          <w:lang w:val="en-US"/>
        </w:rPr>
        <w:t>47</w:t>
      </w:r>
      <w:r>
        <w:rPr>
          <w:rFonts w:ascii="Book Antiqua" w:hAnsi="Book Antiqua"/>
          <w:sz w:val="24"/>
          <w:szCs w:val="24"/>
          <w:highlight w:val="none"/>
          <w:lang w:val="en-US"/>
        </w:rPr>
        <w:t>: 872-881 [PMID: 27737498 DOI: 10.1111/hepr.12828]</w:t>
      </w:r>
    </w:p>
    <w:p>
      <w:pPr>
        <w:spacing w:after="0" w:line="360" w:lineRule="auto"/>
        <w:jc w:val="both"/>
        <w:rPr>
          <w:rFonts w:ascii="Book Antiqua" w:hAnsi="Book Antiqua"/>
          <w:sz w:val="24"/>
          <w:szCs w:val="24"/>
          <w:highlight w:val="none"/>
        </w:rPr>
      </w:pPr>
      <w:r>
        <w:rPr>
          <w:rFonts w:ascii="Book Antiqua" w:hAnsi="Book Antiqua"/>
          <w:sz w:val="24"/>
          <w:szCs w:val="24"/>
          <w:highlight w:val="none"/>
          <w:lang w:val="en-US"/>
        </w:rPr>
        <w:t xml:space="preserve">51 </w:t>
      </w:r>
      <w:r>
        <w:rPr>
          <w:rFonts w:ascii="Book Antiqua" w:hAnsi="Book Antiqua"/>
          <w:b/>
          <w:bCs/>
          <w:sz w:val="24"/>
          <w:szCs w:val="24"/>
          <w:highlight w:val="none"/>
          <w:lang w:val="en-US"/>
        </w:rPr>
        <w:t>Glassner K</w:t>
      </w:r>
      <w:r>
        <w:rPr>
          <w:rFonts w:ascii="Book Antiqua" w:hAnsi="Book Antiqua"/>
          <w:sz w:val="24"/>
          <w:szCs w:val="24"/>
          <w:highlight w:val="none"/>
          <w:lang w:val="en-US"/>
        </w:rPr>
        <w:t xml:space="preserve">, Malaty HM, Abraham BP. Epidemiology and Risk Factors of Nonalcoholic Fatty Liver Disease Among Patients with Inflammatory Bowel Disease. </w:t>
      </w:r>
      <w:r>
        <w:rPr>
          <w:rFonts w:ascii="Book Antiqua" w:hAnsi="Book Antiqua"/>
          <w:i/>
          <w:iCs/>
          <w:sz w:val="24"/>
          <w:szCs w:val="24"/>
          <w:highlight w:val="none"/>
        </w:rPr>
        <w:t>Inflamm Bowel Dis</w:t>
      </w:r>
      <w:r>
        <w:rPr>
          <w:rFonts w:ascii="Book Antiqua" w:hAnsi="Book Antiqua"/>
          <w:sz w:val="24"/>
          <w:szCs w:val="24"/>
          <w:highlight w:val="none"/>
        </w:rPr>
        <w:t xml:space="preserve"> 2017; </w:t>
      </w:r>
      <w:r>
        <w:rPr>
          <w:rFonts w:ascii="Book Antiqua" w:hAnsi="Book Antiqua"/>
          <w:b/>
          <w:bCs/>
          <w:sz w:val="24"/>
          <w:szCs w:val="24"/>
          <w:highlight w:val="none"/>
        </w:rPr>
        <w:t>23</w:t>
      </w:r>
      <w:r>
        <w:rPr>
          <w:rFonts w:ascii="Book Antiqua" w:hAnsi="Book Antiqua"/>
          <w:sz w:val="24"/>
          <w:szCs w:val="24"/>
          <w:highlight w:val="none"/>
        </w:rPr>
        <w:t>: 998-1003 [PMID: 28511199 DOI: 10.1097/MIB.0000000000001085]</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rPr>
        <w:t xml:space="preserve">52 </w:t>
      </w:r>
      <w:r>
        <w:rPr>
          <w:rFonts w:ascii="Book Antiqua" w:hAnsi="Book Antiqua"/>
          <w:b/>
          <w:bCs/>
          <w:sz w:val="24"/>
          <w:szCs w:val="24"/>
          <w:highlight w:val="none"/>
        </w:rPr>
        <w:t>Principi M</w:t>
      </w:r>
      <w:r>
        <w:rPr>
          <w:rFonts w:ascii="Book Antiqua" w:hAnsi="Book Antiqua"/>
          <w:sz w:val="24"/>
          <w:szCs w:val="24"/>
          <w:highlight w:val="none"/>
        </w:rPr>
        <w:t xml:space="preserve">, Iannone A, Losurdo G, Mangia M, Shahini E, Albano F, Rizzi SF, La Fortezza RF, Lovero R, Contaldo A, Barone M, Leandro G, Ierardi E, Di Leo A. Nonalcoholic Fatty Liver Disease in Inflammatory Bowel Disease: Prevalence and Risk Factors. </w:t>
      </w:r>
      <w:r>
        <w:rPr>
          <w:rFonts w:ascii="Book Antiqua" w:hAnsi="Book Antiqua"/>
          <w:i/>
          <w:iCs/>
          <w:sz w:val="24"/>
          <w:szCs w:val="24"/>
          <w:highlight w:val="none"/>
          <w:lang w:val="en-US"/>
        </w:rPr>
        <w:t>Inflamm Bowel Dis</w:t>
      </w:r>
      <w:r>
        <w:rPr>
          <w:rFonts w:ascii="Book Antiqua" w:hAnsi="Book Antiqua"/>
          <w:sz w:val="24"/>
          <w:szCs w:val="24"/>
          <w:highlight w:val="none"/>
          <w:lang w:val="en-US"/>
        </w:rPr>
        <w:t xml:space="preserve"> 2018; </w:t>
      </w:r>
      <w:r>
        <w:rPr>
          <w:rFonts w:ascii="Book Antiqua" w:hAnsi="Book Antiqua"/>
          <w:b/>
          <w:bCs/>
          <w:sz w:val="24"/>
          <w:szCs w:val="24"/>
          <w:highlight w:val="none"/>
          <w:lang w:val="en-US"/>
        </w:rPr>
        <w:t>24</w:t>
      </w:r>
      <w:r>
        <w:rPr>
          <w:rFonts w:ascii="Book Antiqua" w:hAnsi="Book Antiqua"/>
          <w:sz w:val="24"/>
          <w:szCs w:val="24"/>
          <w:highlight w:val="none"/>
          <w:lang w:val="en-US"/>
        </w:rPr>
        <w:t>: 1589-1596 [PMID: 29688336 DOI: 10.1093/ibd/izy051]</w:t>
      </w:r>
    </w:p>
    <w:p>
      <w:pPr>
        <w:spacing w:after="0" w:line="360" w:lineRule="auto"/>
        <w:jc w:val="both"/>
        <w:rPr>
          <w:rFonts w:ascii="Book Antiqua" w:hAnsi="Book Antiqua"/>
          <w:sz w:val="24"/>
          <w:szCs w:val="24"/>
          <w:highlight w:val="none"/>
        </w:rPr>
      </w:pPr>
      <w:r>
        <w:rPr>
          <w:rFonts w:ascii="Book Antiqua" w:hAnsi="Book Antiqua"/>
          <w:sz w:val="24"/>
          <w:szCs w:val="24"/>
          <w:highlight w:val="none"/>
          <w:lang w:val="en-US"/>
        </w:rPr>
        <w:t xml:space="preserve">53 </w:t>
      </w:r>
      <w:r>
        <w:rPr>
          <w:rFonts w:ascii="Book Antiqua" w:hAnsi="Book Antiqua"/>
          <w:b/>
          <w:bCs/>
          <w:sz w:val="24"/>
          <w:szCs w:val="24"/>
          <w:highlight w:val="none"/>
          <w:lang w:val="en-US"/>
        </w:rPr>
        <w:t>Ritaccio G,</w:t>
      </w:r>
      <w:r>
        <w:rPr>
          <w:rFonts w:ascii="Book Antiqua" w:hAnsi="Book Antiqua"/>
          <w:sz w:val="24"/>
          <w:szCs w:val="24"/>
          <w:highlight w:val="none"/>
          <w:lang w:val="en-US"/>
        </w:rPr>
        <w:t xml:space="preserve"> Stoleru G, Abutaleb A, Cross RK, Shetty K, Sakiani S, Wong U. Nonalcoholic Fatty Liver Disease Is Common in IBD Patients However Progression to Hepatic Fibrosis by Noninvasive Markers Is Rare. </w:t>
      </w:r>
      <w:r>
        <w:rPr>
          <w:rFonts w:ascii="Book Antiqua" w:hAnsi="Book Antiqua"/>
          <w:i/>
          <w:sz w:val="24"/>
          <w:szCs w:val="24"/>
          <w:highlight w:val="none"/>
        </w:rPr>
        <w:t>Dig Dis Sci</w:t>
      </w:r>
      <w:r>
        <w:rPr>
          <w:rFonts w:ascii="Book Antiqua" w:hAnsi="Book Antiqua"/>
          <w:sz w:val="24"/>
          <w:szCs w:val="24"/>
          <w:highlight w:val="none"/>
        </w:rPr>
        <w:t xml:space="preserve"> 2020 [DOI:</w:t>
      </w:r>
      <w:r>
        <w:rPr>
          <w:rFonts w:hint="eastAsia" w:ascii="Book Antiqua" w:hAnsi="Book Antiqua"/>
          <w:sz w:val="24"/>
          <w:szCs w:val="24"/>
          <w:highlight w:val="none"/>
          <w:lang w:eastAsia="zh-CN"/>
        </w:rPr>
        <w:t xml:space="preserve"> </w:t>
      </w:r>
      <w:r>
        <w:rPr>
          <w:rFonts w:ascii="Book Antiqua" w:hAnsi="Book Antiqua"/>
          <w:sz w:val="24"/>
          <w:szCs w:val="24"/>
          <w:highlight w:val="none"/>
        </w:rPr>
        <w:t>10.1007/s10620-020-06588-6]</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rPr>
        <w:t xml:space="preserve">54 </w:t>
      </w:r>
      <w:r>
        <w:rPr>
          <w:rFonts w:ascii="Book Antiqua" w:hAnsi="Book Antiqua"/>
          <w:b/>
          <w:bCs/>
          <w:sz w:val="24"/>
          <w:szCs w:val="24"/>
          <w:highlight w:val="none"/>
        </w:rPr>
        <w:t>Franco I</w:t>
      </w:r>
      <w:r>
        <w:rPr>
          <w:rFonts w:ascii="Book Antiqua" w:hAnsi="Book Antiqua"/>
          <w:sz w:val="24"/>
          <w:szCs w:val="24"/>
          <w:highlight w:val="none"/>
        </w:rPr>
        <w:t xml:space="preserve">, Bianco A, Mirizzi A, Campanella A, Bonfiglio C, Sorino P, Notarnicola M, Tutino V, Cozzolongo R, Giannuzzi V, Aballay LR, Buongiorno C, Bruno I, Osella AR. </w:t>
      </w:r>
      <w:r>
        <w:rPr>
          <w:rFonts w:ascii="Book Antiqua" w:hAnsi="Book Antiqua"/>
          <w:sz w:val="24"/>
          <w:szCs w:val="24"/>
          <w:highlight w:val="none"/>
          <w:lang w:val="en-US"/>
        </w:rPr>
        <w:t xml:space="preserve">Physical Activity and Low Glycemic Index Mediterranean Diet: Main and Modification Effects on NAFLD Score. Results from a Randomized Clinical Trial. </w:t>
      </w:r>
      <w:r>
        <w:rPr>
          <w:rFonts w:ascii="Book Antiqua" w:hAnsi="Book Antiqua"/>
          <w:i/>
          <w:iCs/>
          <w:sz w:val="24"/>
          <w:szCs w:val="24"/>
          <w:highlight w:val="none"/>
          <w:lang w:val="en-US"/>
        </w:rPr>
        <w:t>Nutrients</w:t>
      </w:r>
      <w:r>
        <w:rPr>
          <w:rFonts w:ascii="Book Antiqua" w:hAnsi="Book Antiqua"/>
          <w:sz w:val="24"/>
          <w:szCs w:val="24"/>
          <w:highlight w:val="none"/>
          <w:lang w:val="en-US"/>
        </w:rPr>
        <w:t xml:space="preserve"> 2020; </w:t>
      </w:r>
      <w:r>
        <w:rPr>
          <w:rFonts w:ascii="Book Antiqua" w:hAnsi="Book Antiqua"/>
          <w:b/>
          <w:bCs/>
          <w:sz w:val="24"/>
          <w:szCs w:val="24"/>
          <w:highlight w:val="none"/>
          <w:lang w:val="en-US"/>
        </w:rPr>
        <w:t>13</w:t>
      </w:r>
      <w:r>
        <w:rPr>
          <w:rFonts w:ascii="Book Antiqua" w:hAnsi="Book Antiqua"/>
          <w:sz w:val="24"/>
          <w:szCs w:val="24"/>
          <w:highlight w:val="none"/>
          <w:lang w:val="en-US"/>
        </w:rPr>
        <w:t xml:space="preserve"> [PMID: 33379253 DOI: 10.3390/nu13010066]</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55 </w:t>
      </w:r>
      <w:r>
        <w:rPr>
          <w:rFonts w:ascii="Book Antiqua" w:hAnsi="Book Antiqua"/>
          <w:b/>
          <w:bCs/>
          <w:sz w:val="24"/>
          <w:szCs w:val="24"/>
          <w:highlight w:val="none"/>
          <w:lang w:val="en-US"/>
        </w:rPr>
        <w:t>Hou JK</w:t>
      </w:r>
      <w:r>
        <w:rPr>
          <w:rFonts w:ascii="Book Antiqua" w:hAnsi="Book Antiqua"/>
          <w:sz w:val="24"/>
          <w:szCs w:val="24"/>
          <w:highlight w:val="none"/>
          <w:lang w:val="en-US"/>
        </w:rPr>
        <w:t xml:space="preserve">, Velayos F, Terrault N, Mahadevan U. Viral hepatitis and inflammatory bowel disease. </w:t>
      </w:r>
      <w:r>
        <w:rPr>
          <w:rFonts w:ascii="Book Antiqua" w:hAnsi="Book Antiqua"/>
          <w:i/>
          <w:iCs/>
          <w:sz w:val="24"/>
          <w:szCs w:val="24"/>
          <w:highlight w:val="none"/>
          <w:lang w:val="en-US"/>
        </w:rPr>
        <w:t>Inflamm Bowel Dis</w:t>
      </w:r>
      <w:r>
        <w:rPr>
          <w:rFonts w:ascii="Book Antiqua" w:hAnsi="Book Antiqua"/>
          <w:sz w:val="24"/>
          <w:szCs w:val="24"/>
          <w:highlight w:val="none"/>
          <w:lang w:val="en-US"/>
        </w:rPr>
        <w:t xml:space="preserve"> 2010; </w:t>
      </w:r>
      <w:r>
        <w:rPr>
          <w:rFonts w:ascii="Book Antiqua" w:hAnsi="Book Antiqua"/>
          <w:b/>
          <w:bCs/>
          <w:sz w:val="24"/>
          <w:szCs w:val="24"/>
          <w:highlight w:val="none"/>
          <w:lang w:val="en-US"/>
        </w:rPr>
        <w:t>16</w:t>
      </w:r>
      <w:r>
        <w:rPr>
          <w:rFonts w:ascii="Book Antiqua" w:hAnsi="Book Antiqua"/>
          <w:sz w:val="24"/>
          <w:szCs w:val="24"/>
          <w:highlight w:val="none"/>
          <w:lang w:val="en-US"/>
        </w:rPr>
        <w:t>: 925-932 [PMID: 20480515 DOI: 10.1002/ibd.21284]</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56 </w:t>
      </w:r>
      <w:r>
        <w:rPr>
          <w:rFonts w:ascii="Book Antiqua" w:hAnsi="Book Antiqua"/>
          <w:b/>
          <w:bCs/>
          <w:sz w:val="24"/>
          <w:szCs w:val="24"/>
          <w:highlight w:val="none"/>
          <w:lang w:val="en-US"/>
        </w:rPr>
        <w:t>Basnayake SK</w:t>
      </w:r>
      <w:r>
        <w:rPr>
          <w:rFonts w:ascii="Book Antiqua" w:hAnsi="Book Antiqua"/>
          <w:sz w:val="24"/>
          <w:szCs w:val="24"/>
          <w:highlight w:val="none"/>
          <w:lang w:val="en-US"/>
        </w:rPr>
        <w:t xml:space="preserve">, Easterbrook PJ. Wide variation in estimates of global prevalence and burden of chronic hepatitis B and C infection cited in published literature. </w:t>
      </w:r>
      <w:r>
        <w:rPr>
          <w:rFonts w:ascii="Book Antiqua" w:hAnsi="Book Antiqua"/>
          <w:i/>
          <w:iCs/>
          <w:sz w:val="24"/>
          <w:szCs w:val="24"/>
          <w:highlight w:val="none"/>
          <w:lang w:val="en-US"/>
        </w:rPr>
        <w:t>J Viral Hepat</w:t>
      </w:r>
      <w:r>
        <w:rPr>
          <w:rFonts w:ascii="Book Antiqua" w:hAnsi="Book Antiqua"/>
          <w:sz w:val="24"/>
          <w:szCs w:val="24"/>
          <w:highlight w:val="none"/>
          <w:lang w:val="en-US"/>
        </w:rPr>
        <w:t xml:space="preserve"> 2016; </w:t>
      </w:r>
      <w:r>
        <w:rPr>
          <w:rFonts w:ascii="Book Antiqua" w:hAnsi="Book Antiqua"/>
          <w:b/>
          <w:bCs/>
          <w:sz w:val="24"/>
          <w:szCs w:val="24"/>
          <w:highlight w:val="none"/>
          <w:lang w:val="en-US"/>
        </w:rPr>
        <w:t>23</w:t>
      </w:r>
      <w:r>
        <w:rPr>
          <w:rFonts w:ascii="Book Antiqua" w:hAnsi="Book Antiqua"/>
          <w:sz w:val="24"/>
          <w:szCs w:val="24"/>
          <w:highlight w:val="none"/>
          <w:lang w:val="en-US"/>
        </w:rPr>
        <w:t>: 545-559 [PMID: 27028545 DOI: 10.1111/jvh.12519]</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57 </w:t>
      </w:r>
      <w:r>
        <w:rPr>
          <w:rFonts w:ascii="Book Antiqua" w:hAnsi="Book Antiqua"/>
          <w:b/>
          <w:bCs/>
          <w:sz w:val="24"/>
          <w:szCs w:val="24"/>
          <w:highlight w:val="none"/>
          <w:lang w:val="en-US"/>
        </w:rPr>
        <w:t>Sansone S</w:t>
      </w:r>
      <w:r>
        <w:rPr>
          <w:rFonts w:ascii="Book Antiqua" w:hAnsi="Book Antiqua"/>
          <w:sz w:val="24"/>
          <w:szCs w:val="24"/>
          <w:highlight w:val="none"/>
          <w:lang w:val="en-US"/>
        </w:rPr>
        <w:t xml:space="preserve">, Guarino M, Castiglione F, Rispo A, Auriemma F, Loperto I, Rea M, Caporaso N, Morisco F. Hepatitis B and C virus reactivation in immunosuppressed patients with inflammatory bowel disease. </w:t>
      </w:r>
      <w:r>
        <w:rPr>
          <w:rFonts w:ascii="Book Antiqua" w:hAnsi="Book Antiqua"/>
          <w:i/>
          <w:iCs/>
          <w:sz w:val="24"/>
          <w:szCs w:val="24"/>
          <w:highlight w:val="none"/>
          <w:lang w:val="en-US"/>
        </w:rPr>
        <w:t>World J Gastroenterol</w:t>
      </w:r>
      <w:r>
        <w:rPr>
          <w:rFonts w:ascii="Book Antiqua" w:hAnsi="Book Antiqua"/>
          <w:sz w:val="24"/>
          <w:szCs w:val="24"/>
          <w:highlight w:val="none"/>
          <w:lang w:val="en-US"/>
        </w:rPr>
        <w:t xml:space="preserve"> 2014; </w:t>
      </w:r>
      <w:r>
        <w:rPr>
          <w:rFonts w:ascii="Book Antiqua" w:hAnsi="Book Antiqua"/>
          <w:b/>
          <w:bCs/>
          <w:sz w:val="24"/>
          <w:szCs w:val="24"/>
          <w:highlight w:val="none"/>
          <w:lang w:val="en-US"/>
        </w:rPr>
        <w:t>20</w:t>
      </w:r>
      <w:r>
        <w:rPr>
          <w:rFonts w:ascii="Book Antiqua" w:hAnsi="Book Antiqua"/>
          <w:sz w:val="24"/>
          <w:szCs w:val="24"/>
          <w:highlight w:val="none"/>
          <w:lang w:val="en-US"/>
        </w:rPr>
        <w:t>: 3516-3524 [PMID: 24707134 DOI: 10.3748/wjg.v20.i13.3516]</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58 </w:t>
      </w:r>
      <w:r>
        <w:rPr>
          <w:rFonts w:ascii="Book Antiqua" w:hAnsi="Book Antiqua"/>
          <w:b/>
          <w:bCs/>
          <w:sz w:val="24"/>
          <w:szCs w:val="24"/>
          <w:highlight w:val="none"/>
          <w:lang w:val="en-US"/>
        </w:rPr>
        <w:t>Loras C</w:t>
      </w:r>
      <w:r>
        <w:rPr>
          <w:rFonts w:ascii="Book Antiqua" w:hAnsi="Book Antiqua"/>
          <w:sz w:val="24"/>
          <w:szCs w:val="24"/>
          <w:highlight w:val="none"/>
          <w:lang w:val="en-US"/>
        </w:rPr>
        <w:t xml:space="preserve">, Saro C, Gonzalez-Huix F, Mínguez M, Merino O, Gisbert JP, Barrio J, Bernal A, Gutiérrez A, Piqueras M, Calvet X, Andreu M, Abad A, Ginard D, Bujanda L, Panés J, Torres M, Fernández-Bañares F, Viver JM, Esteve M; GETECCu (Grupo Español de Enfermedades de Crohn y Colitis Ulcerosa). Prevalence and factors related to hepatitis B and C in inflammatory bowel disease patients in Spain: a nationwide, multicenter study. </w:t>
      </w:r>
      <w:r>
        <w:rPr>
          <w:rFonts w:ascii="Book Antiqua" w:hAnsi="Book Antiqua"/>
          <w:i/>
          <w:iCs/>
          <w:sz w:val="24"/>
          <w:szCs w:val="24"/>
          <w:highlight w:val="none"/>
          <w:lang w:val="en-US"/>
        </w:rPr>
        <w:t>Am J Gastroenterol</w:t>
      </w:r>
      <w:r>
        <w:rPr>
          <w:rFonts w:ascii="Book Antiqua" w:hAnsi="Book Antiqua"/>
          <w:sz w:val="24"/>
          <w:szCs w:val="24"/>
          <w:highlight w:val="none"/>
          <w:lang w:val="en-US"/>
        </w:rPr>
        <w:t xml:space="preserve"> 2009; </w:t>
      </w:r>
      <w:r>
        <w:rPr>
          <w:rFonts w:ascii="Book Antiqua" w:hAnsi="Book Antiqua"/>
          <w:b/>
          <w:bCs/>
          <w:sz w:val="24"/>
          <w:szCs w:val="24"/>
          <w:highlight w:val="none"/>
          <w:lang w:val="en-US"/>
        </w:rPr>
        <w:t>104</w:t>
      </w:r>
      <w:r>
        <w:rPr>
          <w:rFonts w:ascii="Book Antiqua" w:hAnsi="Book Antiqua"/>
          <w:sz w:val="24"/>
          <w:szCs w:val="24"/>
          <w:highlight w:val="none"/>
          <w:lang w:val="en-US"/>
        </w:rPr>
        <w:t>: 57-63 [PMID: 19098850 DOI: 10.1038/ajg.2008.4]</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59 </w:t>
      </w:r>
      <w:r>
        <w:rPr>
          <w:rFonts w:ascii="Book Antiqua" w:hAnsi="Book Antiqua"/>
          <w:b/>
          <w:bCs/>
          <w:sz w:val="24"/>
          <w:szCs w:val="24"/>
          <w:highlight w:val="none"/>
          <w:lang w:val="en-US"/>
        </w:rPr>
        <w:t>Chevaux JB</w:t>
      </w:r>
      <w:r>
        <w:rPr>
          <w:rFonts w:ascii="Book Antiqua" w:hAnsi="Book Antiqua"/>
          <w:sz w:val="24"/>
          <w:szCs w:val="24"/>
          <w:highlight w:val="none"/>
          <w:lang w:val="en-US"/>
        </w:rPr>
        <w:t xml:space="preserve">, Bigard MA, Bensenane M, Oussalah A, Jarlot S, Belle A, Nani A, Bronowicki JP, Peyrin-Biroulet L. Inflammatory bowel disease and hepatitis B and C. </w:t>
      </w:r>
      <w:r>
        <w:rPr>
          <w:rFonts w:ascii="Book Antiqua" w:hAnsi="Book Antiqua"/>
          <w:i/>
          <w:iCs/>
          <w:sz w:val="24"/>
          <w:szCs w:val="24"/>
          <w:highlight w:val="none"/>
          <w:lang w:val="en-US"/>
        </w:rPr>
        <w:t>Gastroenterol Clin Biol</w:t>
      </w:r>
      <w:r>
        <w:rPr>
          <w:rFonts w:ascii="Book Antiqua" w:hAnsi="Book Antiqua"/>
          <w:sz w:val="24"/>
          <w:szCs w:val="24"/>
          <w:highlight w:val="none"/>
          <w:lang w:val="en-US"/>
        </w:rPr>
        <w:t xml:space="preserve"> 2009; </w:t>
      </w:r>
      <w:r>
        <w:rPr>
          <w:rFonts w:ascii="Book Antiqua" w:hAnsi="Book Antiqua"/>
          <w:b/>
          <w:bCs/>
          <w:sz w:val="24"/>
          <w:szCs w:val="24"/>
          <w:highlight w:val="none"/>
          <w:lang w:val="en-US"/>
        </w:rPr>
        <w:t>33</w:t>
      </w:r>
      <w:r>
        <w:rPr>
          <w:rFonts w:ascii="Book Antiqua" w:hAnsi="Book Antiqua"/>
          <w:sz w:val="24"/>
          <w:szCs w:val="24"/>
          <w:highlight w:val="none"/>
          <w:lang w:val="en-US"/>
        </w:rPr>
        <w:t>: 1082-1093 [PMID: 19896313 DOI: 10.1016/j.gcb.2009.03.021]</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60 </w:t>
      </w:r>
      <w:r>
        <w:rPr>
          <w:rFonts w:ascii="Book Antiqua" w:hAnsi="Book Antiqua"/>
          <w:b/>
          <w:bCs/>
          <w:sz w:val="24"/>
          <w:szCs w:val="24"/>
          <w:highlight w:val="none"/>
          <w:lang w:val="en-US"/>
        </w:rPr>
        <w:t>Morisco F</w:t>
      </w:r>
      <w:r>
        <w:rPr>
          <w:rFonts w:ascii="Book Antiqua" w:hAnsi="Book Antiqua"/>
          <w:sz w:val="24"/>
          <w:szCs w:val="24"/>
          <w:highlight w:val="none"/>
          <w:lang w:val="en-US"/>
        </w:rPr>
        <w:t xml:space="preserve">, Castiglione F, Rispo A, Stroffolini T, Sansone S, Vitale R, Guarino M, Biancone L, Caruso A, D'Inca R, Marmo R, Orlando A, Riegler G, Donnarumma L, Camera S, Zorzi F, Renna S, Bove V, Tontini G, Vecchi M, Caporaso N. Effect of immunosuppressive therapy on patients with inflammatory bowel diseases and hepatitis B or C virus infection. </w:t>
      </w:r>
      <w:r>
        <w:rPr>
          <w:rFonts w:ascii="Book Antiqua" w:hAnsi="Book Antiqua"/>
          <w:i/>
          <w:iCs/>
          <w:sz w:val="24"/>
          <w:szCs w:val="24"/>
          <w:highlight w:val="none"/>
          <w:lang w:val="en-US"/>
        </w:rPr>
        <w:t>J Viral Hepat</w:t>
      </w:r>
      <w:r>
        <w:rPr>
          <w:rFonts w:ascii="Book Antiqua" w:hAnsi="Book Antiqua"/>
          <w:sz w:val="24"/>
          <w:szCs w:val="24"/>
          <w:highlight w:val="none"/>
          <w:lang w:val="en-US"/>
        </w:rPr>
        <w:t xml:space="preserve"> 2013; </w:t>
      </w:r>
      <w:r>
        <w:rPr>
          <w:rFonts w:ascii="Book Antiqua" w:hAnsi="Book Antiqua"/>
          <w:b/>
          <w:bCs/>
          <w:sz w:val="24"/>
          <w:szCs w:val="24"/>
          <w:highlight w:val="none"/>
          <w:lang w:val="en-US"/>
        </w:rPr>
        <w:t>20</w:t>
      </w:r>
      <w:r>
        <w:rPr>
          <w:rFonts w:ascii="Book Antiqua" w:hAnsi="Book Antiqua"/>
          <w:sz w:val="24"/>
          <w:szCs w:val="24"/>
          <w:highlight w:val="none"/>
          <w:lang w:val="en-US"/>
        </w:rPr>
        <w:t>: 200-208 [PMID: 23383659 DOI: 10.1111/j.1365-2893.2012.01643.x]</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61 </w:t>
      </w:r>
      <w:r>
        <w:rPr>
          <w:rFonts w:ascii="Book Antiqua" w:hAnsi="Book Antiqua"/>
          <w:b/>
          <w:bCs/>
          <w:sz w:val="24"/>
          <w:szCs w:val="24"/>
          <w:highlight w:val="none"/>
          <w:lang w:val="en-US"/>
        </w:rPr>
        <w:t>Papa A</w:t>
      </w:r>
      <w:r>
        <w:rPr>
          <w:rFonts w:ascii="Book Antiqua" w:hAnsi="Book Antiqua"/>
          <w:sz w:val="24"/>
          <w:szCs w:val="24"/>
          <w:highlight w:val="none"/>
          <w:lang w:val="en-US"/>
        </w:rPr>
        <w:t xml:space="preserve">, Felice C, Marzo M, Andrisani G, Armuzzi A, Covino M, Mocci G, Pugliese D, De Vitis I, Gasbarrini A, Rapaccini GL, Guidi L. Prevalence and natural history of hepatitis B and C infections in a large population of IBD patients treated with anti-tumor necrosis factor-α agents. </w:t>
      </w:r>
      <w:r>
        <w:rPr>
          <w:rFonts w:ascii="Book Antiqua" w:hAnsi="Book Antiqua"/>
          <w:i/>
          <w:iCs/>
          <w:sz w:val="24"/>
          <w:szCs w:val="24"/>
          <w:highlight w:val="none"/>
          <w:lang w:val="en-US"/>
        </w:rPr>
        <w:t>J Crohns Colitis</w:t>
      </w:r>
      <w:r>
        <w:rPr>
          <w:rFonts w:ascii="Book Antiqua" w:hAnsi="Book Antiqua"/>
          <w:sz w:val="24"/>
          <w:szCs w:val="24"/>
          <w:highlight w:val="none"/>
          <w:lang w:val="en-US"/>
        </w:rPr>
        <w:t xml:space="preserve"> 2013; </w:t>
      </w:r>
      <w:r>
        <w:rPr>
          <w:rFonts w:ascii="Book Antiqua" w:hAnsi="Book Antiqua"/>
          <w:b/>
          <w:bCs/>
          <w:sz w:val="24"/>
          <w:szCs w:val="24"/>
          <w:highlight w:val="none"/>
          <w:lang w:val="en-US"/>
        </w:rPr>
        <w:t>7</w:t>
      </w:r>
      <w:r>
        <w:rPr>
          <w:rFonts w:ascii="Book Antiqua" w:hAnsi="Book Antiqua"/>
          <w:sz w:val="24"/>
          <w:szCs w:val="24"/>
          <w:highlight w:val="none"/>
          <w:lang w:val="en-US"/>
        </w:rPr>
        <w:t>: 113-119 [PMID: 22464811 DOI: 10.1016/j.crohns.2012.03.001]</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62 </w:t>
      </w:r>
      <w:r>
        <w:rPr>
          <w:rFonts w:ascii="Book Antiqua" w:hAnsi="Book Antiqua"/>
          <w:b/>
          <w:bCs/>
          <w:sz w:val="24"/>
          <w:szCs w:val="24"/>
          <w:highlight w:val="none"/>
          <w:lang w:val="en-US"/>
        </w:rPr>
        <w:t>Losurdo G</w:t>
      </w:r>
      <w:r>
        <w:rPr>
          <w:rFonts w:ascii="Book Antiqua" w:hAnsi="Book Antiqua"/>
          <w:sz w:val="24"/>
          <w:szCs w:val="24"/>
          <w:highlight w:val="none"/>
          <w:lang w:val="en-US"/>
        </w:rPr>
        <w:t xml:space="preserve">, Iannone A, Contaldo A, Barone M, Ierardi E, Di Leo A, Principi M. Chronic Viral Hepatitis in a Cohort of Inflammatory Bowel Disease Patients from Southern Italy: A Case-Control Study. </w:t>
      </w:r>
      <w:r>
        <w:rPr>
          <w:rFonts w:ascii="Book Antiqua" w:hAnsi="Book Antiqua"/>
          <w:i/>
          <w:iCs/>
          <w:sz w:val="24"/>
          <w:szCs w:val="24"/>
          <w:highlight w:val="none"/>
          <w:lang w:val="en-US"/>
        </w:rPr>
        <w:t>Pathogens</w:t>
      </w:r>
      <w:r>
        <w:rPr>
          <w:rFonts w:ascii="Book Antiqua" w:hAnsi="Book Antiqua"/>
          <w:sz w:val="24"/>
          <w:szCs w:val="24"/>
          <w:highlight w:val="none"/>
          <w:lang w:val="en-US"/>
        </w:rPr>
        <w:t xml:space="preserve"> 2020; </w:t>
      </w:r>
      <w:r>
        <w:rPr>
          <w:rFonts w:ascii="Book Antiqua" w:hAnsi="Book Antiqua"/>
          <w:b/>
          <w:bCs/>
          <w:sz w:val="24"/>
          <w:szCs w:val="24"/>
          <w:highlight w:val="none"/>
          <w:lang w:val="en-US"/>
        </w:rPr>
        <w:t>9</w:t>
      </w:r>
      <w:r>
        <w:rPr>
          <w:rFonts w:ascii="Book Antiqua" w:hAnsi="Book Antiqua"/>
          <w:sz w:val="24"/>
          <w:szCs w:val="24"/>
          <w:highlight w:val="none"/>
          <w:lang w:val="en-US"/>
        </w:rPr>
        <w:t xml:space="preserve"> [PMID: 33113974 DOI: 10.3390/pathogens9110870]</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63 </w:t>
      </w:r>
      <w:r>
        <w:rPr>
          <w:rFonts w:ascii="Book Antiqua" w:hAnsi="Book Antiqua"/>
          <w:b/>
          <w:bCs/>
          <w:sz w:val="24"/>
          <w:szCs w:val="24"/>
          <w:highlight w:val="none"/>
          <w:lang w:val="en-US"/>
        </w:rPr>
        <w:t>Borman ZA</w:t>
      </w:r>
      <w:r>
        <w:rPr>
          <w:rFonts w:ascii="Book Antiqua" w:hAnsi="Book Antiqua"/>
          <w:sz w:val="24"/>
          <w:szCs w:val="24"/>
          <w:highlight w:val="none"/>
          <w:lang w:val="en-US"/>
        </w:rPr>
        <w:t xml:space="preserve">, Côté-Daigneault J, Colombel JF. The risk for opportunistic infections in inflammatory bowel disease with biologics: an update. </w:t>
      </w:r>
      <w:r>
        <w:rPr>
          <w:rFonts w:ascii="Book Antiqua" w:hAnsi="Book Antiqua"/>
          <w:i/>
          <w:iCs/>
          <w:sz w:val="24"/>
          <w:szCs w:val="24"/>
          <w:highlight w:val="none"/>
          <w:lang w:val="en-US"/>
        </w:rPr>
        <w:t>Expert Rev Gastroenterol Hepatol</w:t>
      </w:r>
      <w:r>
        <w:rPr>
          <w:rFonts w:ascii="Book Antiqua" w:hAnsi="Book Antiqua"/>
          <w:sz w:val="24"/>
          <w:szCs w:val="24"/>
          <w:highlight w:val="none"/>
          <w:lang w:val="en-US"/>
        </w:rPr>
        <w:t xml:space="preserve"> 2018; </w:t>
      </w:r>
      <w:r>
        <w:rPr>
          <w:rFonts w:ascii="Book Antiqua" w:hAnsi="Book Antiqua"/>
          <w:b/>
          <w:bCs/>
          <w:sz w:val="24"/>
          <w:szCs w:val="24"/>
          <w:highlight w:val="none"/>
          <w:lang w:val="en-US"/>
        </w:rPr>
        <w:t>12</w:t>
      </w:r>
      <w:r>
        <w:rPr>
          <w:rFonts w:ascii="Book Antiqua" w:hAnsi="Book Antiqua"/>
          <w:sz w:val="24"/>
          <w:szCs w:val="24"/>
          <w:highlight w:val="none"/>
          <w:lang w:val="en-US"/>
        </w:rPr>
        <w:t>: 1101-1108 [PMID: 30277409 DOI: 10.1080/17474124.2018.1530983]</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64 </w:t>
      </w:r>
      <w:r>
        <w:rPr>
          <w:rFonts w:ascii="Book Antiqua" w:hAnsi="Book Antiqua"/>
          <w:b/>
          <w:bCs/>
          <w:sz w:val="24"/>
          <w:szCs w:val="24"/>
          <w:highlight w:val="none"/>
          <w:lang w:val="en-US"/>
        </w:rPr>
        <w:t>Rahier JF</w:t>
      </w:r>
      <w:r>
        <w:rPr>
          <w:rFonts w:ascii="Book Antiqua" w:hAnsi="Book Antiqua"/>
          <w:sz w:val="24"/>
          <w:szCs w:val="24"/>
          <w:highlight w:val="none"/>
          <w:lang w:val="en-US"/>
        </w:rPr>
        <w:t xml:space="preserve">, Magro F, Abreu C, Armuzzi A, Ben-Horin S, Chowers Y, Cottone M, de Ridder L, Doherty G, Ehehalt R, Esteve M, Katsanos K, Lees CW, Macmahon E, Moreels T, Reinisch W, Tilg H, Tremblay L, Veereman-Wauters G, Viget N, Yazdanpanah Y, Eliakim R, Colombel JF; European Crohn's and Colitis Organisation (ECCO). Second European evidence-based consensus on the prevention, diagnosis and management of opportunistic infections in inflammatory bowel disease. </w:t>
      </w:r>
      <w:r>
        <w:rPr>
          <w:rFonts w:ascii="Book Antiqua" w:hAnsi="Book Antiqua"/>
          <w:i/>
          <w:iCs/>
          <w:sz w:val="24"/>
          <w:szCs w:val="24"/>
          <w:highlight w:val="none"/>
          <w:lang w:val="en-US"/>
        </w:rPr>
        <w:t>J Crohns Colitis</w:t>
      </w:r>
      <w:r>
        <w:rPr>
          <w:rFonts w:ascii="Book Antiqua" w:hAnsi="Book Antiqua"/>
          <w:sz w:val="24"/>
          <w:szCs w:val="24"/>
          <w:highlight w:val="none"/>
          <w:lang w:val="en-US"/>
        </w:rPr>
        <w:t xml:space="preserve"> 2014; </w:t>
      </w:r>
      <w:r>
        <w:rPr>
          <w:rFonts w:ascii="Book Antiqua" w:hAnsi="Book Antiqua"/>
          <w:b/>
          <w:bCs/>
          <w:sz w:val="24"/>
          <w:szCs w:val="24"/>
          <w:highlight w:val="none"/>
          <w:lang w:val="en-US"/>
        </w:rPr>
        <w:t>8</w:t>
      </w:r>
      <w:r>
        <w:rPr>
          <w:rFonts w:ascii="Book Antiqua" w:hAnsi="Book Antiqua"/>
          <w:sz w:val="24"/>
          <w:szCs w:val="24"/>
          <w:highlight w:val="none"/>
          <w:lang w:val="en-US"/>
        </w:rPr>
        <w:t>: 443-468 [PMID: 24613021 DOI: 10.1016/j.crohns.2013.12.013]</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65 </w:t>
      </w:r>
      <w:r>
        <w:rPr>
          <w:rFonts w:ascii="Book Antiqua" w:hAnsi="Book Antiqua"/>
          <w:b/>
          <w:bCs/>
          <w:sz w:val="24"/>
          <w:szCs w:val="24"/>
          <w:highlight w:val="none"/>
          <w:lang w:val="en-US"/>
        </w:rPr>
        <w:t>Lok AS</w:t>
      </w:r>
      <w:r>
        <w:rPr>
          <w:rFonts w:ascii="Book Antiqua" w:hAnsi="Book Antiqua"/>
          <w:sz w:val="24"/>
          <w:szCs w:val="24"/>
          <w:highlight w:val="none"/>
          <w:lang w:val="en-US"/>
        </w:rPr>
        <w:t xml:space="preserve">, McMahon BJ. Chronic hepatitis B. </w:t>
      </w:r>
      <w:r>
        <w:rPr>
          <w:rFonts w:ascii="Book Antiqua" w:hAnsi="Book Antiqua"/>
          <w:i/>
          <w:iCs/>
          <w:sz w:val="24"/>
          <w:szCs w:val="24"/>
          <w:highlight w:val="none"/>
          <w:lang w:val="en-US"/>
        </w:rPr>
        <w:t>Hepatology</w:t>
      </w:r>
      <w:r>
        <w:rPr>
          <w:rFonts w:ascii="Book Antiqua" w:hAnsi="Book Antiqua"/>
          <w:sz w:val="24"/>
          <w:szCs w:val="24"/>
          <w:highlight w:val="none"/>
          <w:lang w:val="en-US"/>
        </w:rPr>
        <w:t xml:space="preserve"> 2007; </w:t>
      </w:r>
      <w:r>
        <w:rPr>
          <w:rFonts w:ascii="Book Antiqua" w:hAnsi="Book Antiqua"/>
          <w:b/>
          <w:bCs/>
          <w:sz w:val="24"/>
          <w:szCs w:val="24"/>
          <w:highlight w:val="none"/>
          <w:lang w:val="en-US"/>
        </w:rPr>
        <w:t>45</w:t>
      </w:r>
      <w:r>
        <w:rPr>
          <w:rFonts w:ascii="Book Antiqua" w:hAnsi="Book Antiqua"/>
          <w:sz w:val="24"/>
          <w:szCs w:val="24"/>
          <w:highlight w:val="none"/>
          <w:lang w:val="en-US"/>
        </w:rPr>
        <w:t>: 507-539 [PMID: 17256718 DOI: 10.1002/hep.21513]</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66 </w:t>
      </w:r>
      <w:r>
        <w:rPr>
          <w:rFonts w:ascii="Book Antiqua" w:hAnsi="Book Antiqua"/>
          <w:b/>
          <w:bCs/>
          <w:sz w:val="24"/>
          <w:szCs w:val="24"/>
          <w:highlight w:val="none"/>
          <w:lang w:val="en-US"/>
        </w:rPr>
        <w:t>Katsanos KH</w:t>
      </w:r>
      <w:r>
        <w:rPr>
          <w:rFonts w:ascii="Book Antiqua" w:hAnsi="Book Antiqua"/>
          <w:sz w:val="24"/>
          <w:szCs w:val="24"/>
          <w:highlight w:val="none"/>
          <w:lang w:val="en-US"/>
        </w:rPr>
        <w:t xml:space="preserve">, Tsianos VE, Zois CD, Zioga H, Vagias I, Zervou E, Christodoulou DK, Tsianos EV; Northwest Greece IBD Study Group. Inflammatory bowel disease and hepatitis B and C in Western Balkans: a referral centre study and review of the literature. </w:t>
      </w:r>
      <w:r>
        <w:rPr>
          <w:rFonts w:ascii="Book Antiqua" w:hAnsi="Book Antiqua"/>
          <w:i/>
          <w:iCs/>
          <w:sz w:val="24"/>
          <w:szCs w:val="24"/>
          <w:highlight w:val="none"/>
          <w:lang w:val="en-US"/>
        </w:rPr>
        <w:t>J Crohns Colitis</w:t>
      </w:r>
      <w:r>
        <w:rPr>
          <w:rFonts w:ascii="Book Antiqua" w:hAnsi="Book Antiqua"/>
          <w:sz w:val="24"/>
          <w:szCs w:val="24"/>
          <w:highlight w:val="none"/>
          <w:lang w:val="en-US"/>
        </w:rPr>
        <w:t xml:space="preserve"> 2010; </w:t>
      </w:r>
      <w:r>
        <w:rPr>
          <w:rFonts w:ascii="Book Antiqua" w:hAnsi="Book Antiqua"/>
          <w:b/>
          <w:bCs/>
          <w:sz w:val="24"/>
          <w:szCs w:val="24"/>
          <w:highlight w:val="none"/>
          <w:lang w:val="en-US"/>
        </w:rPr>
        <w:t>4</w:t>
      </w:r>
      <w:r>
        <w:rPr>
          <w:rFonts w:ascii="Book Antiqua" w:hAnsi="Book Antiqua"/>
          <w:sz w:val="24"/>
          <w:szCs w:val="24"/>
          <w:highlight w:val="none"/>
          <w:lang w:val="en-US"/>
        </w:rPr>
        <w:t>: 450-465 [PMID: 21122543 DOI: 10.1016/j.crohns.2010.03.001]</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67 </w:t>
      </w:r>
      <w:r>
        <w:rPr>
          <w:rFonts w:ascii="Book Antiqua" w:hAnsi="Book Antiqua"/>
          <w:b/>
          <w:bCs/>
          <w:sz w:val="24"/>
          <w:szCs w:val="24"/>
          <w:highlight w:val="none"/>
          <w:lang w:val="en-US"/>
        </w:rPr>
        <w:t>Magro F</w:t>
      </w:r>
      <w:r>
        <w:rPr>
          <w:rFonts w:ascii="Book Antiqua" w:hAnsi="Book Antiqua"/>
          <w:sz w:val="24"/>
          <w:szCs w:val="24"/>
          <w:highlight w:val="none"/>
          <w:lang w:val="en-US"/>
        </w:rPr>
        <w:t xml:space="preserve">, Gionchetti P, Eliakim R, Ardizzone S, Armuzzi A, Barreiro-de Acosta M, Burisch J, Gecse KB, Hart AL, Hindryckx P, Langner C, Limdi JK, Pellino G, Zagórowicz E, Raine T, Harbord M, Rieder F; European Crohn’s and Colitis Organisation [ECCO]. Third European Evidence-based Consensus on Diagnosis and Management of Ulcerative Colitis. Part 1: Definitions, Diagnosis, Extra-intestinal Manifestations, Pregnancy, Cancer Surveillance, Surgery, and Ileo-anal Pouch Disorders. </w:t>
      </w:r>
      <w:r>
        <w:rPr>
          <w:rFonts w:ascii="Book Antiqua" w:hAnsi="Book Antiqua"/>
          <w:i/>
          <w:iCs/>
          <w:sz w:val="24"/>
          <w:szCs w:val="24"/>
          <w:highlight w:val="none"/>
          <w:lang w:val="en-US"/>
        </w:rPr>
        <w:t>J Crohns Colitis</w:t>
      </w:r>
      <w:r>
        <w:rPr>
          <w:rFonts w:ascii="Book Antiqua" w:hAnsi="Book Antiqua"/>
          <w:sz w:val="24"/>
          <w:szCs w:val="24"/>
          <w:highlight w:val="none"/>
          <w:lang w:val="en-US"/>
        </w:rPr>
        <w:t xml:space="preserve"> 2017; </w:t>
      </w:r>
      <w:r>
        <w:rPr>
          <w:rFonts w:ascii="Book Antiqua" w:hAnsi="Book Antiqua"/>
          <w:b/>
          <w:bCs/>
          <w:sz w:val="24"/>
          <w:szCs w:val="24"/>
          <w:highlight w:val="none"/>
          <w:lang w:val="en-US"/>
        </w:rPr>
        <w:t>11</w:t>
      </w:r>
      <w:r>
        <w:rPr>
          <w:rFonts w:ascii="Book Antiqua" w:hAnsi="Book Antiqua"/>
          <w:sz w:val="24"/>
          <w:szCs w:val="24"/>
          <w:highlight w:val="none"/>
          <w:lang w:val="en-US"/>
        </w:rPr>
        <w:t>: 649-670 [PMID: 28158501 DOI: 10.1093/ecco-jcc/jjx008]</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68 </w:t>
      </w:r>
      <w:r>
        <w:rPr>
          <w:rFonts w:ascii="Book Antiqua" w:hAnsi="Book Antiqua"/>
          <w:b/>
          <w:bCs/>
          <w:sz w:val="24"/>
          <w:szCs w:val="24"/>
          <w:highlight w:val="none"/>
          <w:lang w:val="en-US"/>
        </w:rPr>
        <w:t>Brunasso AM</w:t>
      </w:r>
      <w:r>
        <w:rPr>
          <w:rFonts w:ascii="Book Antiqua" w:hAnsi="Book Antiqua"/>
          <w:sz w:val="24"/>
          <w:szCs w:val="24"/>
          <w:highlight w:val="none"/>
          <w:lang w:val="en-US"/>
        </w:rPr>
        <w:t xml:space="preserve">, Puntoni M, Gulia A, Massone C. Safety of anti-tumour necrosis factor agents in patients with chronic hepatitis C infection: a systematic review. </w:t>
      </w:r>
      <w:r>
        <w:rPr>
          <w:rFonts w:ascii="Book Antiqua" w:hAnsi="Book Antiqua"/>
          <w:i/>
          <w:iCs/>
          <w:sz w:val="24"/>
          <w:szCs w:val="24"/>
          <w:highlight w:val="none"/>
          <w:lang w:val="en-US"/>
        </w:rPr>
        <w:t>Rheumatology (Oxford)</w:t>
      </w:r>
      <w:r>
        <w:rPr>
          <w:rFonts w:ascii="Book Antiqua" w:hAnsi="Book Antiqua"/>
          <w:sz w:val="24"/>
          <w:szCs w:val="24"/>
          <w:highlight w:val="none"/>
          <w:lang w:val="en-US"/>
        </w:rPr>
        <w:t xml:space="preserve"> 2011; </w:t>
      </w:r>
      <w:r>
        <w:rPr>
          <w:rFonts w:ascii="Book Antiqua" w:hAnsi="Book Antiqua"/>
          <w:b/>
          <w:bCs/>
          <w:sz w:val="24"/>
          <w:szCs w:val="24"/>
          <w:highlight w:val="none"/>
          <w:lang w:val="en-US"/>
        </w:rPr>
        <w:t>50</w:t>
      </w:r>
      <w:r>
        <w:rPr>
          <w:rFonts w:ascii="Book Antiqua" w:hAnsi="Book Antiqua"/>
          <w:sz w:val="24"/>
          <w:szCs w:val="24"/>
          <w:highlight w:val="none"/>
          <w:lang w:val="en-US"/>
        </w:rPr>
        <w:t>: 1700-1711 [PMID: 21690185 DOI: 10.1093/rheumatology/ker190]</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69 </w:t>
      </w:r>
      <w:r>
        <w:rPr>
          <w:rFonts w:ascii="Book Antiqua" w:hAnsi="Book Antiqua"/>
          <w:b/>
          <w:bCs/>
          <w:sz w:val="24"/>
          <w:szCs w:val="24"/>
          <w:highlight w:val="none"/>
          <w:lang w:val="en-US"/>
        </w:rPr>
        <w:t>Scherzer TM</w:t>
      </w:r>
      <w:r>
        <w:rPr>
          <w:rFonts w:ascii="Book Antiqua" w:hAnsi="Book Antiqua"/>
          <w:sz w:val="24"/>
          <w:szCs w:val="24"/>
          <w:highlight w:val="none"/>
          <w:lang w:val="en-US"/>
        </w:rPr>
        <w:t xml:space="preserve">, Staufer K, Novacek G, Steindl-Munda P, Schumacher S, Hofer H, Ferenci P, Vogelsang H. Efficacy and safety of antiviral therapy in patients with Crohn's disease and chronic hepatitis C. </w:t>
      </w:r>
      <w:r>
        <w:rPr>
          <w:rFonts w:ascii="Book Antiqua" w:hAnsi="Book Antiqua"/>
          <w:i/>
          <w:iCs/>
          <w:sz w:val="24"/>
          <w:szCs w:val="24"/>
          <w:highlight w:val="none"/>
          <w:lang w:val="en-US"/>
        </w:rPr>
        <w:t>Aliment Pharmacol Ther</w:t>
      </w:r>
      <w:r>
        <w:rPr>
          <w:rFonts w:ascii="Book Antiqua" w:hAnsi="Book Antiqua"/>
          <w:sz w:val="24"/>
          <w:szCs w:val="24"/>
          <w:highlight w:val="none"/>
          <w:lang w:val="en-US"/>
        </w:rPr>
        <w:t xml:space="preserve"> 2008; </w:t>
      </w:r>
      <w:r>
        <w:rPr>
          <w:rFonts w:ascii="Book Antiqua" w:hAnsi="Book Antiqua"/>
          <w:b/>
          <w:bCs/>
          <w:sz w:val="24"/>
          <w:szCs w:val="24"/>
          <w:highlight w:val="none"/>
          <w:lang w:val="en-US"/>
        </w:rPr>
        <w:t>28</w:t>
      </w:r>
      <w:r>
        <w:rPr>
          <w:rFonts w:ascii="Book Antiqua" w:hAnsi="Book Antiqua"/>
          <w:sz w:val="24"/>
          <w:szCs w:val="24"/>
          <w:highlight w:val="none"/>
          <w:lang w:val="en-US"/>
        </w:rPr>
        <w:t>: 742-748 [PMID: 19145730 DOI: 10.1111/j.1365-2036.2008.03779.x]</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70 </w:t>
      </w:r>
      <w:r>
        <w:rPr>
          <w:rFonts w:ascii="Book Antiqua" w:hAnsi="Book Antiqua"/>
          <w:b/>
          <w:bCs/>
          <w:sz w:val="24"/>
          <w:szCs w:val="24"/>
          <w:highlight w:val="none"/>
          <w:lang w:val="en-US"/>
        </w:rPr>
        <w:t>Tilg H</w:t>
      </w:r>
      <w:r>
        <w:rPr>
          <w:rFonts w:ascii="Book Antiqua" w:hAnsi="Book Antiqua"/>
          <w:sz w:val="24"/>
          <w:szCs w:val="24"/>
          <w:highlight w:val="none"/>
          <w:lang w:val="en-US"/>
        </w:rPr>
        <w:t xml:space="preserve">, Vogelsang H, Ludwiczek O, Lochs H, Kaser A, Colombel JF, Ulmer H, Rutgeerts P, Krüger S, Cortot A, D'Haens G, Harrer M, Gasche C, Wrba F, Kuhn I, Reinisch W. A randomised placebo controlled trial of pegylated interferon alpha in active ulcerative colitis. </w:t>
      </w:r>
      <w:r>
        <w:rPr>
          <w:rFonts w:ascii="Book Antiqua" w:hAnsi="Book Antiqua"/>
          <w:i/>
          <w:iCs/>
          <w:sz w:val="24"/>
          <w:szCs w:val="24"/>
          <w:highlight w:val="none"/>
          <w:lang w:val="en-US"/>
        </w:rPr>
        <w:t>Gut</w:t>
      </w:r>
      <w:r>
        <w:rPr>
          <w:rFonts w:ascii="Book Antiqua" w:hAnsi="Book Antiqua"/>
          <w:sz w:val="24"/>
          <w:szCs w:val="24"/>
          <w:highlight w:val="none"/>
          <w:lang w:val="en-US"/>
        </w:rPr>
        <w:t xml:space="preserve"> 2003; </w:t>
      </w:r>
      <w:r>
        <w:rPr>
          <w:rFonts w:ascii="Book Antiqua" w:hAnsi="Book Antiqua"/>
          <w:b/>
          <w:bCs/>
          <w:sz w:val="24"/>
          <w:szCs w:val="24"/>
          <w:highlight w:val="none"/>
          <w:lang w:val="en-US"/>
        </w:rPr>
        <w:t>52</w:t>
      </w:r>
      <w:r>
        <w:rPr>
          <w:rFonts w:ascii="Book Antiqua" w:hAnsi="Book Antiqua"/>
          <w:sz w:val="24"/>
          <w:szCs w:val="24"/>
          <w:highlight w:val="none"/>
          <w:lang w:val="en-US"/>
        </w:rPr>
        <w:t>: 1728-1733 [PMID: 14633951 DOI: 10.1136/gut.52.12.1728]</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71 </w:t>
      </w:r>
      <w:r>
        <w:rPr>
          <w:rFonts w:ascii="Book Antiqua" w:hAnsi="Book Antiqua"/>
          <w:b/>
          <w:bCs/>
          <w:sz w:val="24"/>
          <w:szCs w:val="24"/>
          <w:highlight w:val="none"/>
          <w:lang w:val="en-US"/>
        </w:rPr>
        <w:t>Koff RS</w:t>
      </w:r>
      <w:r>
        <w:rPr>
          <w:rFonts w:ascii="Book Antiqua" w:hAnsi="Book Antiqua"/>
          <w:sz w:val="24"/>
          <w:szCs w:val="24"/>
          <w:highlight w:val="none"/>
          <w:lang w:val="en-US"/>
        </w:rPr>
        <w:t xml:space="preserve">. Review article: the efficacy and safety of sofosbuvir, a novel, oral nucleotide NS5B polymerase inhibitor, in the treatment of chronic hepatitis C virus infection. </w:t>
      </w:r>
      <w:r>
        <w:rPr>
          <w:rFonts w:ascii="Book Antiqua" w:hAnsi="Book Antiqua"/>
          <w:i/>
          <w:iCs/>
          <w:sz w:val="24"/>
          <w:szCs w:val="24"/>
          <w:highlight w:val="none"/>
          <w:lang w:val="en-US"/>
        </w:rPr>
        <w:t>Aliment Pharmacol Ther</w:t>
      </w:r>
      <w:r>
        <w:rPr>
          <w:rFonts w:ascii="Book Antiqua" w:hAnsi="Book Antiqua"/>
          <w:sz w:val="24"/>
          <w:szCs w:val="24"/>
          <w:highlight w:val="none"/>
          <w:lang w:val="en-US"/>
        </w:rPr>
        <w:t xml:space="preserve"> 2014; </w:t>
      </w:r>
      <w:r>
        <w:rPr>
          <w:rFonts w:ascii="Book Antiqua" w:hAnsi="Book Antiqua"/>
          <w:b/>
          <w:bCs/>
          <w:sz w:val="24"/>
          <w:szCs w:val="24"/>
          <w:highlight w:val="none"/>
          <w:lang w:val="en-US"/>
        </w:rPr>
        <w:t>39</w:t>
      </w:r>
      <w:r>
        <w:rPr>
          <w:rFonts w:ascii="Book Antiqua" w:hAnsi="Book Antiqua"/>
          <w:sz w:val="24"/>
          <w:szCs w:val="24"/>
          <w:highlight w:val="none"/>
          <w:lang w:val="en-US"/>
        </w:rPr>
        <w:t>: 478-487 [PMID: 24387618 DOI: 10.1111/apt.12601]</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72 </w:t>
      </w:r>
      <w:r>
        <w:rPr>
          <w:rFonts w:ascii="Book Antiqua" w:hAnsi="Book Antiqua"/>
          <w:b/>
          <w:bCs/>
          <w:sz w:val="24"/>
          <w:szCs w:val="24"/>
          <w:highlight w:val="none"/>
          <w:lang w:val="en-US"/>
        </w:rPr>
        <w:t>Imperatore N</w:t>
      </w:r>
      <w:r>
        <w:rPr>
          <w:rFonts w:ascii="Book Antiqua" w:hAnsi="Book Antiqua"/>
          <w:sz w:val="24"/>
          <w:szCs w:val="24"/>
          <w:highlight w:val="none"/>
          <w:lang w:val="en-US"/>
        </w:rPr>
        <w:t xml:space="preserve">, Castiglione F, Rispo A, Sessa A, Caporaso N, Morisco F. Timing Strategies of Direct-Acting Antivirals and Biologics Administration in HCV-Infected Subjects with Inflammatory Bowel Diseases. </w:t>
      </w:r>
      <w:r>
        <w:rPr>
          <w:rFonts w:ascii="Book Antiqua" w:hAnsi="Book Antiqua"/>
          <w:i/>
          <w:iCs/>
          <w:sz w:val="24"/>
          <w:szCs w:val="24"/>
          <w:highlight w:val="none"/>
          <w:lang w:val="en-US"/>
        </w:rPr>
        <w:t>Front Pharmacol</w:t>
      </w:r>
      <w:r>
        <w:rPr>
          <w:rFonts w:ascii="Book Antiqua" w:hAnsi="Book Antiqua"/>
          <w:sz w:val="24"/>
          <w:szCs w:val="24"/>
          <w:highlight w:val="none"/>
          <w:lang w:val="en-US"/>
        </w:rPr>
        <w:t xml:space="preserve"> 2017; </w:t>
      </w:r>
      <w:r>
        <w:rPr>
          <w:rFonts w:ascii="Book Antiqua" w:hAnsi="Book Antiqua"/>
          <w:b/>
          <w:bCs/>
          <w:sz w:val="24"/>
          <w:szCs w:val="24"/>
          <w:highlight w:val="none"/>
          <w:lang w:val="en-US"/>
        </w:rPr>
        <w:t>8</w:t>
      </w:r>
      <w:r>
        <w:rPr>
          <w:rFonts w:ascii="Book Antiqua" w:hAnsi="Book Antiqua"/>
          <w:sz w:val="24"/>
          <w:szCs w:val="24"/>
          <w:highlight w:val="none"/>
          <w:lang w:val="en-US"/>
        </w:rPr>
        <w:t>: 867 [PMID: 29209223 DOI: 10.3389/fphar.2017.00867]</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73 </w:t>
      </w:r>
      <w:r>
        <w:rPr>
          <w:rFonts w:ascii="Book Antiqua" w:hAnsi="Book Antiqua"/>
          <w:b/>
          <w:bCs/>
          <w:sz w:val="24"/>
          <w:szCs w:val="24"/>
          <w:highlight w:val="none"/>
          <w:lang w:val="en-US"/>
        </w:rPr>
        <w:t>Losurdo G</w:t>
      </w:r>
      <w:r>
        <w:rPr>
          <w:rFonts w:ascii="Book Antiqua" w:hAnsi="Book Antiqua"/>
          <w:sz w:val="24"/>
          <w:szCs w:val="24"/>
          <w:highlight w:val="none"/>
          <w:lang w:val="en-US"/>
        </w:rPr>
        <w:t xml:space="preserve">, Iannone A, Contaldo A, Barone M, Ierardi E, Di Leo A, Principi M. Trends of Liver Stiffness in Inflammatory Bowel Disease with Chronic Hepatitis C. </w:t>
      </w:r>
      <w:r>
        <w:rPr>
          <w:rFonts w:ascii="Book Antiqua" w:hAnsi="Book Antiqua"/>
          <w:i/>
          <w:iCs/>
          <w:sz w:val="24"/>
          <w:szCs w:val="24"/>
          <w:highlight w:val="none"/>
          <w:lang w:val="en-US"/>
        </w:rPr>
        <w:t>Diagnostics (Basel)</w:t>
      </w:r>
      <w:r>
        <w:rPr>
          <w:rFonts w:ascii="Book Antiqua" w:hAnsi="Book Antiqua"/>
          <w:sz w:val="24"/>
          <w:szCs w:val="24"/>
          <w:highlight w:val="none"/>
          <w:lang w:val="en-US"/>
        </w:rPr>
        <w:t xml:space="preserve"> 2020; </w:t>
      </w:r>
      <w:r>
        <w:rPr>
          <w:rFonts w:ascii="Book Antiqua" w:hAnsi="Book Antiqua"/>
          <w:b/>
          <w:bCs/>
          <w:sz w:val="24"/>
          <w:szCs w:val="24"/>
          <w:highlight w:val="none"/>
          <w:lang w:val="en-US"/>
        </w:rPr>
        <w:t>10</w:t>
      </w:r>
      <w:r>
        <w:rPr>
          <w:rFonts w:ascii="Book Antiqua" w:hAnsi="Book Antiqua"/>
          <w:sz w:val="24"/>
          <w:szCs w:val="24"/>
          <w:highlight w:val="none"/>
          <w:lang w:val="en-US"/>
        </w:rPr>
        <w:t xml:space="preserve"> [PMID: 33276638 DOI: 10.3390/diagnostics10121037]</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74 </w:t>
      </w:r>
      <w:r>
        <w:rPr>
          <w:rFonts w:ascii="Book Antiqua" w:hAnsi="Book Antiqua"/>
          <w:b/>
          <w:bCs/>
          <w:sz w:val="24"/>
          <w:szCs w:val="24"/>
          <w:highlight w:val="none"/>
          <w:lang w:val="en-US"/>
        </w:rPr>
        <w:t>Andrade RJ</w:t>
      </w:r>
      <w:r>
        <w:rPr>
          <w:rFonts w:ascii="Book Antiqua" w:hAnsi="Book Antiqua"/>
          <w:sz w:val="24"/>
          <w:szCs w:val="24"/>
          <w:highlight w:val="none"/>
          <w:lang w:val="en-US"/>
        </w:rPr>
        <w:t xml:space="preserve">, Chalasani N, Björnsson ES, Suzuki A, Kullak-Ublick GA, Watkins PB, Devarbhavi H, Merz M, Lucena MI, Kaplowitz N, Aithal GP. Drug-induced liver injury. </w:t>
      </w:r>
      <w:r>
        <w:rPr>
          <w:rFonts w:ascii="Book Antiqua" w:hAnsi="Book Antiqua"/>
          <w:i/>
          <w:iCs/>
          <w:sz w:val="24"/>
          <w:szCs w:val="24"/>
          <w:highlight w:val="none"/>
          <w:lang w:val="en-US"/>
        </w:rPr>
        <w:t>Nat Rev Dis Primers</w:t>
      </w:r>
      <w:r>
        <w:rPr>
          <w:rFonts w:ascii="Book Antiqua" w:hAnsi="Book Antiqua"/>
          <w:sz w:val="24"/>
          <w:szCs w:val="24"/>
          <w:highlight w:val="none"/>
          <w:lang w:val="en-US"/>
        </w:rPr>
        <w:t xml:space="preserve"> 2019; </w:t>
      </w:r>
      <w:r>
        <w:rPr>
          <w:rFonts w:ascii="Book Antiqua" w:hAnsi="Book Antiqua"/>
          <w:b/>
          <w:bCs/>
          <w:sz w:val="24"/>
          <w:szCs w:val="24"/>
          <w:highlight w:val="none"/>
          <w:lang w:val="en-US"/>
        </w:rPr>
        <w:t>5</w:t>
      </w:r>
      <w:r>
        <w:rPr>
          <w:rFonts w:ascii="Book Antiqua" w:hAnsi="Book Antiqua"/>
          <w:sz w:val="24"/>
          <w:szCs w:val="24"/>
          <w:highlight w:val="none"/>
          <w:lang w:val="en-US"/>
        </w:rPr>
        <w:t>: 58 [PMID: 31439850 DOI: 10.1038/s41572-019-0105-0]</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75 </w:t>
      </w:r>
      <w:r>
        <w:rPr>
          <w:rFonts w:ascii="Book Antiqua" w:hAnsi="Book Antiqua"/>
          <w:b/>
          <w:bCs/>
          <w:sz w:val="24"/>
          <w:szCs w:val="24"/>
          <w:highlight w:val="none"/>
          <w:lang w:val="en-US"/>
        </w:rPr>
        <w:t>Yaccob A</w:t>
      </w:r>
      <w:r>
        <w:rPr>
          <w:rFonts w:ascii="Book Antiqua" w:hAnsi="Book Antiqua"/>
          <w:sz w:val="24"/>
          <w:szCs w:val="24"/>
          <w:highlight w:val="none"/>
          <w:lang w:val="en-US"/>
        </w:rPr>
        <w:t xml:space="preserve">, Mari A. Practical clinical approach to the evaluation of hepatobiliary disorders in inflammatory bowel disease. </w:t>
      </w:r>
      <w:r>
        <w:rPr>
          <w:rFonts w:ascii="Book Antiqua" w:hAnsi="Book Antiqua"/>
          <w:i/>
          <w:iCs/>
          <w:sz w:val="24"/>
          <w:szCs w:val="24"/>
          <w:highlight w:val="none"/>
          <w:lang w:val="en-US"/>
        </w:rPr>
        <w:t>Frontline Gastroenterol</w:t>
      </w:r>
      <w:r>
        <w:rPr>
          <w:rFonts w:ascii="Book Antiqua" w:hAnsi="Book Antiqua"/>
          <w:sz w:val="24"/>
          <w:szCs w:val="24"/>
          <w:highlight w:val="none"/>
          <w:lang w:val="en-US"/>
        </w:rPr>
        <w:t xml:space="preserve"> 2019; </w:t>
      </w:r>
      <w:r>
        <w:rPr>
          <w:rFonts w:ascii="Book Antiqua" w:hAnsi="Book Antiqua"/>
          <w:b/>
          <w:bCs/>
          <w:sz w:val="24"/>
          <w:szCs w:val="24"/>
          <w:highlight w:val="none"/>
          <w:lang w:val="en-US"/>
        </w:rPr>
        <w:t>10</w:t>
      </w:r>
      <w:r>
        <w:rPr>
          <w:rFonts w:ascii="Book Antiqua" w:hAnsi="Book Antiqua"/>
          <w:sz w:val="24"/>
          <w:szCs w:val="24"/>
          <w:highlight w:val="none"/>
          <w:lang w:val="en-US"/>
        </w:rPr>
        <w:t>: 309-315 [PMID: 31281626 DOI: 10.1136/flgastro-2018-101037]</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76 </w:t>
      </w:r>
      <w:r>
        <w:rPr>
          <w:rFonts w:ascii="Book Antiqua" w:hAnsi="Book Antiqua"/>
          <w:b/>
          <w:bCs/>
          <w:sz w:val="24"/>
          <w:szCs w:val="24"/>
          <w:highlight w:val="none"/>
          <w:lang w:val="en-US"/>
        </w:rPr>
        <w:t>Wong DR</w:t>
      </w:r>
      <w:r>
        <w:rPr>
          <w:rFonts w:ascii="Book Antiqua" w:hAnsi="Book Antiqua"/>
          <w:sz w:val="24"/>
          <w:szCs w:val="24"/>
          <w:highlight w:val="none"/>
          <w:lang w:val="en-US"/>
        </w:rPr>
        <w:t xml:space="preserve">, Coenen MJ, Derijks LJ, Vermeulen SH, van Marrewijk CJ, Klungel OH, Scheffer H, Franke B, Guchelaar HJ, de Jong DJ, Engels LG, Verbeek AL, Hooymans PM; TOPIC Recruitment Team. Early prediction of thiopurine-induced hepatotoxicity in inflammatory bowel disease. </w:t>
      </w:r>
      <w:r>
        <w:rPr>
          <w:rFonts w:ascii="Book Antiqua" w:hAnsi="Book Antiqua"/>
          <w:i/>
          <w:iCs/>
          <w:sz w:val="24"/>
          <w:szCs w:val="24"/>
          <w:highlight w:val="none"/>
          <w:lang w:val="en-US"/>
        </w:rPr>
        <w:t>Aliment Pharmacol Ther</w:t>
      </w:r>
      <w:r>
        <w:rPr>
          <w:rFonts w:ascii="Book Antiqua" w:hAnsi="Book Antiqua"/>
          <w:sz w:val="24"/>
          <w:szCs w:val="24"/>
          <w:highlight w:val="none"/>
          <w:lang w:val="en-US"/>
        </w:rPr>
        <w:t xml:space="preserve"> 2017; </w:t>
      </w:r>
      <w:r>
        <w:rPr>
          <w:rFonts w:ascii="Book Antiqua" w:hAnsi="Book Antiqua"/>
          <w:b/>
          <w:bCs/>
          <w:sz w:val="24"/>
          <w:szCs w:val="24"/>
          <w:highlight w:val="none"/>
          <w:lang w:val="en-US"/>
        </w:rPr>
        <w:t>45</w:t>
      </w:r>
      <w:r>
        <w:rPr>
          <w:rFonts w:ascii="Book Antiqua" w:hAnsi="Book Antiqua"/>
          <w:sz w:val="24"/>
          <w:szCs w:val="24"/>
          <w:highlight w:val="none"/>
          <w:lang w:val="en-US"/>
        </w:rPr>
        <w:t>: 391-402 [PMID: 27943397 DOI: 10.1111/apt.13879]</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77 </w:t>
      </w:r>
      <w:r>
        <w:rPr>
          <w:rFonts w:ascii="Book Antiqua" w:hAnsi="Book Antiqua"/>
          <w:b/>
          <w:bCs/>
          <w:sz w:val="24"/>
          <w:szCs w:val="24"/>
          <w:highlight w:val="none"/>
          <w:lang w:val="en-US"/>
        </w:rPr>
        <w:t>Marinaki AM</w:t>
      </w:r>
      <w:r>
        <w:rPr>
          <w:rFonts w:ascii="Book Antiqua" w:hAnsi="Book Antiqua"/>
          <w:sz w:val="24"/>
          <w:szCs w:val="24"/>
          <w:highlight w:val="none"/>
          <w:lang w:val="en-US"/>
        </w:rPr>
        <w:t xml:space="preserve">, Arenas-Hernandez M. Reducing risk in thiopurine therapy. </w:t>
      </w:r>
      <w:r>
        <w:rPr>
          <w:rFonts w:ascii="Book Antiqua" w:hAnsi="Book Antiqua"/>
          <w:i/>
          <w:iCs/>
          <w:sz w:val="24"/>
          <w:szCs w:val="24"/>
          <w:highlight w:val="none"/>
          <w:lang w:val="en-US"/>
        </w:rPr>
        <w:t>Xenobiotica</w:t>
      </w:r>
      <w:r>
        <w:rPr>
          <w:rFonts w:ascii="Book Antiqua" w:hAnsi="Book Antiqua"/>
          <w:sz w:val="24"/>
          <w:szCs w:val="24"/>
          <w:highlight w:val="none"/>
          <w:lang w:val="en-US"/>
        </w:rPr>
        <w:t xml:space="preserve"> 2020; </w:t>
      </w:r>
      <w:r>
        <w:rPr>
          <w:rFonts w:ascii="Book Antiqua" w:hAnsi="Book Antiqua"/>
          <w:b/>
          <w:bCs/>
          <w:sz w:val="24"/>
          <w:szCs w:val="24"/>
          <w:highlight w:val="none"/>
          <w:lang w:val="en-US"/>
        </w:rPr>
        <w:t>50</w:t>
      </w:r>
      <w:r>
        <w:rPr>
          <w:rFonts w:ascii="Book Antiqua" w:hAnsi="Book Antiqua"/>
          <w:sz w:val="24"/>
          <w:szCs w:val="24"/>
          <w:highlight w:val="none"/>
          <w:lang w:val="en-US"/>
        </w:rPr>
        <w:t>: 101-109 [PMID: 31682552 DOI: 10.1080/00498254.2019.1688424]</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78 </w:t>
      </w:r>
      <w:r>
        <w:rPr>
          <w:rFonts w:ascii="Book Antiqua" w:hAnsi="Book Antiqua"/>
          <w:b/>
          <w:bCs/>
          <w:sz w:val="24"/>
          <w:szCs w:val="24"/>
          <w:highlight w:val="none"/>
          <w:lang w:val="en-US"/>
        </w:rPr>
        <w:t>Dong X,</w:t>
      </w:r>
      <w:r>
        <w:rPr>
          <w:rFonts w:ascii="Book Antiqua" w:hAnsi="Book Antiqua"/>
          <w:sz w:val="24"/>
          <w:szCs w:val="24"/>
          <w:highlight w:val="none"/>
          <w:lang w:val="en-US"/>
        </w:rPr>
        <w:t xml:space="preserve"> Zheng Q, Zhu M, Tong JL, Ran ZH. Thiopurine Smethyltransferase polymorphisms and thiopurine toxicity in treatment of inflammatory bowel disease. </w:t>
      </w:r>
      <w:r>
        <w:rPr>
          <w:rFonts w:ascii="Book Antiqua" w:hAnsi="Book Antiqua"/>
          <w:i/>
          <w:sz w:val="24"/>
          <w:szCs w:val="24"/>
          <w:highlight w:val="none"/>
          <w:lang w:val="en-US"/>
        </w:rPr>
        <w:t>World J Gastroenterol</w:t>
      </w:r>
      <w:r>
        <w:rPr>
          <w:rFonts w:ascii="Book Antiqua" w:hAnsi="Book Antiqua"/>
          <w:sz w:val="24"/>
          <w:szCs w:val="24"/>
          <w:highlight w:val="none"/>
          <w:lang w:val="en-US"/>
        </w:rPr>
        <w:t xml:space="preserve"> 2010; </w:t>
      </w:r>
      <w:r>
        <w:rPr>
          <w:rFonts w:ascii="Book Antiqua" w:hAnsi="Book Antiqua"/>
          <w:b/>
          <w:sz w:val="24"/>
          <w:szCs w:val="24"/>
          <w:highlight w:val="none"/>
          <w:lang w:val="en-US"/>
        </w:rPr>
        <w:t>16</w:t>
      </w:r>
      <w:r>
        <w:rPr>
          <w:rFonts w:ascii="Book Antiqua" w:hAnsi="Book Antiqua"/>
          <w:sz w:val="24"/>
          <w:szCs w:val="24"/>
          <w:highlight w:val="none"/>
          <w:lang w:val="en-US"/>
        </w:rPr>
        <w:t>:</w:t>
      </w:r>
      <w:r>
        <w:rPr>
          <w:rFonts w:hint="eastAsia" w:ascii="Book Antiqua" w:hAnsi="Book Antiqua"/>
          <w:sz w:val="24"/>
          <w:szCs w:val="24"/>
          <w:highlight w:val="none"/>
          <w:lang w:val="en-US" w:eastAsia="zh-CN"/>
        </w:rPr>
        <w:t xml:space="preserve"> </w:t>
      </w:r>
      <w:r>
        <w:rPr>
          <w:rFonts w:ascii="Book Antiqua" w:hAnsi="Book Antiqua"/>
          <w:sz w:val="24"/>
          <w:szCs w:val="24"/>
          <w:highlight w:val="none"/>
          <w:lang w:val="en-US"/>
        </w:rPr>
        <w:t>3187-</w:t>
      </w:r>
      <w:r>
        <w:rPr>
          <w:rFonts w:hint="eastAsia" w:ascii="Book Antiqua" w:hAnsi="Book Antiqua"/>
          <w:sz w:val="24"/>
          <w:szCs w:val="24"/>
          <w:highlight w:val="none"/>
          <w:lang w:val="en-US" w:eastAsia="zh-CN"/>
        </w:rPr>
        <w:t>31</w:t>
      </w:r>
      <w:r>
        <w:rPr>
          <w:rFonts w:ascii="Book Antiqua" w:hAnsi="Book Antiqua"/>
          <w:sz w:val="24"/>
          <w:szCs w:val="24"/>
          <w:highlight w:val="none"/>
          <w:lang w:val="en-US"/>
        </w:rPr>
        <w:t>95 [DOI:</w:t>
      </w:r>
      <w:r>
        <w:rPr>
          <w:rFonts w:hint="eastAsia" w:ascii="Book Antiqua" w:hAnsi="Book Antiqua"/>
          <w:sz w:val="24"/>
          <w:szCs w:val="24"/>
          <w:highlight w:val="none"/>
          <w:lang w:val="en-US" w:eastAsia="zh-CN"/>
        </w:rPr>
        <w:t xml:space="preserve"> </w:t>
      </w:r>
      <w:r>
        <w:rPr>
          <w:rFonts w:ascii="Book Antiqua" w:hAnsi="Book Antiqua"/>
          <w:sz w:val="24"/>
          <w:szCs w:val="24"/>
          <w:highlight w:val="none"/>
          <w:lang w:val="en-US"/>
        </w:rPr>
        <w:t>10.3748/wjg.v16.i25.3187]</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79 </w:t>
      </w:r>
      <w:r>
        <w:rPr>
          <w:rFonts w:ascii="Book Antiqua" w:hAnsi="Book Antiqua"/>
          <w:b/>
          <w:bCs/>
          <w:sz w:val="24"/>
          <w:szCs w:val="24"/>
          <w:highlight w:val="none"/>
          <w:lang w:val="en-US"/>
        </w:rPr>
        <w:t>Gisbert JP</w:t>
      </w:r>
      <w:r>
        <w:rPr>
          <w:rFonts w:ascii="Book Antiqua" w:hAnsi="Book Antiqua"/>
          <w:sz w:val="24"/>
          <w:szCs w:val="24"/>
          <w:highlight w:val="none"/>
          <w:lang w:val="en-US"/>
        </w:rPr>
        <w:t xml:space="preserve">, González-Lama Y, Maté J. Thiopurine-induced liver injury in patients with inflammatory bowel disease: a systematic review. </w:t>
      </w:r>
      <w:r>
        <w:rPr>
          <w:rFonts w:ascii="Book Antiqua" w:hAnsi="Book Antiqua"/>
          <w:i/>
          <w:iCs/>
          <w:sz w:val="24"/>
          <w:szCs w:val="24"/>
          <w:highlight w:val="none"/>
          <w:lang w:val="en-US"/>
        </w:rPr>
        <w:t>Am J Gastroenterol</w:t>
      </w:r>
      <w:r>
        <w:rPr>
          <w:rFonts w:ascii="Book Antiqua" w:hAnsi="Book Antiqua"/>
          <w:sz w:val="24"/>
          <w:szCs w:val="24"/>
          <w:highlight w:val="none"/>
          <w:lang w:val="en-US"/>
        </w:rPr>
        <w:t xml:space="preserve"> 2007; </w:t>
      </w:r>
      <w:r>
        <w:rPr>
          <w:rFonts w:ascii="Book Antiqua" w:hAnsi="Book Antiqua"/>
          <w:b/>
          <w:bCs/>
          <w:sz w:val="24"/>
          <w:szCs w:val="24"/>
          <w:highlight w:val="none"/>
          <w:lang w:val="en-US"/>
        </w:rPr>
        <w:t>102</w:t>
      </w:r>
      <w:r>
        <w:rPr>
          <w:rFonts w:ascii="Book Antiqua" w:hAnsi="Book Antiqua"/>
          <w:sz w:val="24"/>
          <w:szCs w:val="24"/>
          <w:highlight w:val="none"/>
          <w:lang w:val="en-US"/>
        </w:rPr>
        <w:t>: 1518-1527 [PMID: 17391318 DOI: 10.1111/j.1572-0241.2007.01187.x]</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80 </w:t>
      </w:r>
      <w:r>
        <w:rPr>
          <w:rFonts w:ascii="Book Antiqua" w:hAnsi="Book Antiqua"/>
          <w:b/>
          <w:bCs/>
          <w:sz w:val="24"/>
          <w:szCs w:val="24"/>
          <w:highlight w:val="none"/>
          <w:lang w:val="en-US"/>
        </w:rPr>
        <w:t>Chaparro M</w:t>
      </w:r>
      <w:r>
        <w:rPr>
          <w:rFonts w:ascii="Book Antiqua" w:hAnsi="Book Antiqua"/>
          <w:sz w:val="24"/>
          <w:szCs w:val="24"/>
          <w:highlight w:val="none"/>
          <w:lang w:val="en-US"/>
        </w:rPr>
        <w:t xml:space="preserve">, Ordás I, Cabré E, Garcia-Sanchez V, Bastida G, Peñalva M, Gomollón F, García-Planella E, Merino O, Gutiérrez A, Esteve M, Márquez L, Garcia-Sepulcre M, Hinojosa J, Vera I, Muñoz F, Mendoza JL, Cabriada JL, Montoro MA, Barreiro-de Acosta M, Ceña G, Saro C, Aldeguer X, Barrio J, Maté J, Gisbert JP. Safety of thiopurine therapy in inflammatory bowel disease: long-term follow-up study of 3931 patients. </w:t>
      </w:r>
      <w:r>
        <w:rPr>
          <w:rFonts w:ascii="Book Antiqua" w:hAnsi="Book Antiqua"/>
          <w:i/>
          <w:iCs/>
          <w:sz w:val="24"/>
          <w:szCs w:val="24"/>
          <w:highlight w:val="none"/>
          <w:lang w:val="en-US"/>
        </w:rPr>
        <w:t>Inflamm Bowel Dis</w:t>
      </w:r>
      <w:r>
        <w:rPr>
          <w:rFonts w:ascii="Book Antiqua" w:hAnsi="Book Antiqua"/>
          <w:sz w:val="24"/>
          <w:szCs w:val="24"/>
          <w:highlight w:val="none"/>
          <w:lang w:val="en-US"/>
        </w:rPr>
        <w:t xml:space="preserve"> 2013; </w:t>
      </w:r>
      <w:r>
        <w:rPr>
          <w:rFonts w:ascii="Book Antiqua" w:hAnsi="Book Antiqua"/>
          <w:b/>
          <w:bCs/>
          <w:sz w:val="24"/>
          <w:szCs w:val="24"/>
          <w:highlight w:val="none"/>
          <w:lang w:val="en-US"/>
        </w:rPr>
        <w:t>19</w:t>
      </w:r>
      <w:r>
        <w:rPr>
          <w:rFonts w:ascii="Book Antiqua" w:hAnsi="Book Antiqua"/>
          <w:sz w:val="24"/>
          <w:szCs w:val="24"/>
          <w:highlight w:val="none"/>
          <w:lang w:val="en-US"/>
        </w:rPr>
        <w:t>: 1404-1410 [PMID: 23665964 DOI: 10.1097/MIB.0b013e318281f28f]</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81 </w:t>
      </w:r>
      <w:r>
        <w:rPr>
          <w:rFonts w:ascii="Book Antiqua" w:hAnsi="Book Antiqua"/>
          <w:b/>
          <w:bCs/>
          <w:sz w:val="24"/>
          <w:szCs w:val="24"/>
          <w:highlight w:val="none"/>
          <w:lang w:val="en-US"/>
        </w:rPr>
        <w:t>Schröder T</w:t>
      </w:r>
      <w:r>
        <w:rPr>
          <w:rFonts w:ascii="Book Antiqua" w:hAnsi="Book Antiqua"/>
          <w:sz w:val="24"/>
          <w:szCs w:val="24"/>
          <w:highlight w:val="none"/>
          <w:lang w:val="en-US"/>
        </w:rPr>
        <w:t xml:space="preserve">, Schmidt KJ, Olsen V, Möller S, Mackenroth T, Sina C, Lehnert H, Fellermann K, Büning J. Liver steatosis is a risk factor for hepatotoxicity in patients with inflammatory bowel disease under immunosuppressive treatment. </w:t>
      </w:r>
      <w:r>
        <w:rPr>
          <w:rFonts w:ascii="Book Antiqua" w:hAnsi="Book Antiqua"/>
          <w:i/>
          <w:iCs/>
          <w:sz w:val="24"/>
          <w:szCs w:val="24"/>
          <w:highlight w:val="none"/>
          <w:lang w:val="en-US"/>
        </w:rPr>
        <w:t>Eur J Gastroenterol Hepatol</w:t>
      </w:r>
      <w:r>
        <w:rPr>
          <w:rFonts w:ascii="Book Antiqua" w:hAnsi="Book Antiqua"/>
          <w:sz w:val="24"/>
          <w:szCs w:val="24"/>
          <w:highlight w:val="none"/>
          <w:lang w:val="en-US"/>
        </w:rPr>
        <w:t xml:space="preserve"> 2015; </w:t>
      </w:r>
      <w:r>
        <w:rPr>
          <w:rFonts w:ascii="Book Antiqua" w:hAnsi="Book Antiqua"/>
          <w:b/>
          <w:bCs/>
          <w:sz w:val="24"/>
          <w:szCs w:val="24"/>
          <w:highlight w:val="none"/>
          <w:lang w:val="en-US"/>
        </w:rPr>
        <w:t>27</w:t>
      </w:r>
      <w:r>
        <w:rPr>
          <w:rFonts w:ascii="Book Antiqua" w:hAnsi="Book Antiqua"/>
          <w:sz w:val="24"/>
          <w:szCs w:val="24"/>
          <w:highlight w:val="none"/>
          <w:lang w:val="en-US"/>
        </w:rPr>
        <w:t>: 698-704 [PMID: 25923946 DOI: 10.1097/MEG.0000000000000350]</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82 </w:t>
      </w:r>
      <w:r>
        <w:rPr>
          <w:rFonts w:ascii="Book Antiqua" w:hAnsi="Book Antiqua"/>
          <w:b/>
          <w:bCs/>
          <w:sz w:val="24"/>
          <w:szCs w:val="24"/>
          <w:highlight w:val="none"/>
          <w:lang w:val="en-US"/>
        </w:rPr>
        <w:t>Romagnuolo J</w:t>
      </w:r>
      <w:r>
        <w:rPr>
          <w:rFonts w:ascii="Book Antiqua" w:hAnsi="Book Antiqua"/>
          <w:sz w:val="24"/>
          <w:szCs w:val="24"/>
          <w:highlight w:val="none"/>
          <w:lang w:val="en-US"/>
        </w:rPr>
        <w:t xml:space="preserve">, Sadowski DC, Lalor E, Jewell L, Thomson AB. Cholestatic hepatocellular injury with azathioprine: a case report and review of the mechanisms of hepatotoxicity. </w:t>
      </w:r>
      <w:r>
        <w:rPr>
          <w:rFonts w:ascii="Book Antiqua" w:hAnsi="Book Antiqua"/>
          <w:i/>
          <w:iCs/>
          <w:sz w:val="24"/>
          <w:szCs w:val="24"/>
          <w:highlight w:val="none"/>
          <w:lang w:val="en-US"/>
        </w:rPr>
        <w:t>Can J Gastroenterol</w:t>
      </w:r>
      <w:r>
        <w:rPr>
          <w:rFonts w:ascii="Book Antiqua" w:hAnsi="Book Antiqua"/>
          <w:sz w:val="24"/>
          <w:szCs w:val="24"/>
          <w:highlight w:val="none"/>
          <w:lang w:val="en-US"/>
        </w:rPr>
        <w:t xml:space="preserve"> 1998; </w:t>
      </w:r>
      <w:r>
        <w:rPr>
          <w:rFonts w:ascii="Book Antiqua" w:hAnsi="Book Antiqua"/>
          <w:b/>
          <w:bCs/>
          <w:sz w:val="24"/>
          <w:szCs w:val="24"/>
          <w:highlight w:val="none"/>
          <w:lang w:val="en-US"/>
        </w:rPr>
        <w:t>12</w:t>
      </w:r>
      <w:r>
        <w:rPr>
          <w:rFonts w:ascii="Book Antiqua" w:hAnsi="Book Antiqua"/>
          <w:sz w:val="24"/>
          <w:szCs w:val="24"/>
          <w:highlight w:val="none"/>
          <w:lang w:val="en-US"/>
        </w:rPr>
        <w:t>: 479-483 [PMID: 9812167 DOI: 10.1155/1998/294752]</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83 </w:t>
      </w:r>
      <w:r>
        <w:rPr>
          <w:rFonts w:ascii="Book Antiqua" w:hAnsi="Book Antiqua"/>
          <w:b/>
          <w:bCs/>
          <w:sz w:val="24"/>
          <w:szCs w:val="24"/>
          <w:highlight w:val="none"/>
          <w:lang w:val="en-US"/>
        </w:rPr>
        <w:t>Seinen ML</w:t>
      </w:r>
      <w:r>
        <w:rPr>
          <w:rFonts w:ascii="Book Antiqua" w:hAnsi="Book Antiqua"/>
          <w:sz w:val="24"/>
          <w:szCs w:val="24"/>
          <w:highlight w:val="none"/>
          <w:lang w:val="en-US"/>
        </w:rPr>
        <w:t xml:space="preserve">, van Asseldonk DP, de Boer NK, Bouma G, van Nieuwkerk CM, Mulder CJ, Bloemena E, van Bodegraven AA. Nodular Regenerative Hyperplasia of the Liver in Patients with IBD Treated with Allopurinol-Thiopurine Combination Therapy. </w:t>
      </w:r>
      <w:r>
        <w:rPr>
          <w:rFonts w:ascii="Book Antiqua" w:hAnsi="Book Antiqua"/>
          <w:i/>
          <w:iCs/>
          <w:sz w:val="24"/>
          <w:szCs w:val="24"/>
          <w:highlight w:val="none"/>
          <w:lang w:val="en-US"/>
        </w:rPr>
        <w:t>Inflamm Bowel Dis</w:t>
      </w:r>
      <w:r>
        <w:rPr>
          <w:rFonts w:ascii="Book Antiqua" w:hAnsi="Book Antiqua"/>
          <w:sz w:val="24"/>
          <w:szCs w:val="24"/>
          <w:highlight w:val="none"/>
          <w:lang w:val="en-US"/>
        </w:rPr>
        <w:t xml:space="preserve"> 2017; </w:t>
      </w:r>
      <w:r>
        <w:rPr>
          <w:rFonts w:ascii="Book Antiqua" w:hAnsi="Book Antiqua"/>
          <w:b/>
          <w:bCs/>
          <w:sz w:val="24"/>
          <w:szCs w:val="24"/>
          <w:highlight w:val="none"/>
          <w:lang w:val="en-US"/>
        </w:rPr>
        <w:t>23</w:t>
      </w:r>
      <w:r>
        <w:rPr>
          <w:rFonts w:ascii="Book Antiqua" w:hAnsi="Book Antiqua"/>
          <w:sz w:val="24"/>
          <w:szCs w:val="24"/>
          <w:highlight w:val="none"/>
          <w:lang w:val="en-US"/>
        </w:rPr>
        <w:t>: 448-452 [PMID: 28151736 DOI: 10.1097/MIB.0000000000001036]</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84 </w:t>
      </w:r>
      <w:r>
        <w:rPr>
          <w:rFonts w:ascii="Book Antiqua" w:hAnsi="Book Antiqua"/>
          <w:b/>
          <w:bCs/>
          <w:sz w:val="24"/>
          <w:szCs w:val="24"/>
          <w:highlight w:val="none"/>
          <w:lang w:val="en-US"/>
        </w:rPr>
        <w:t>Musumba CO</w:t>
      </w:r>
      <w:r>
        <w:rPr>
          <w:rFonts w:ascii="Book Antiqua" w:hAnsi="Book Antiqua"/>
          <w:sz w:val="24"/>
          <w:szCs w:val="24"/>
          <w:highlight w:val="none"/>
          <w:lang w:val="en-US"/>
        </w:rPr>
        <w:t xml:space="preserve">. Review article: the association between nodular regenerative hyperplasia, inflammatory bowel disease and thiopurine therapy. </w:t>
      </w:r>
      <w:r>
        <w:rPr>
          <w:rFonts w:ascii="Book Antiqua" w:hAnsi="Book Antiqua"/>
          <w:i/>
          <w:iCs/>
          <w:sz w:val="24"/>
          <w:szCs w:val="24"/>
          <w:highlight w:val="none"/>
          <w:lang w:val="en-US"/>
        </w:rPr>
        <w:t>Aliment Pharmacol Ther</w:t>
      </w:r>
      <w:r>
        <w:rPr>
          <w:rFonts w:ascii="Book Antiqua" w:hAnsi="Book Antiqua"/>
          <w:sz w:val="24"/>
          <w:szCs w:val="24"/>
          <w:highlight w:val="none"/>
          <w:lang w:val="en-US"/>
        </w:rPr>
        <w:t xml:space="preserve"> 2013; </w:t>
      </w:r>
      <w:r>
        <w:rPr>
          <w:rFonts w:ascii="Book Antiqua" w:hAnsi="Book Antiqua"/>
          <w:b/>
          <w:bCs/>
          <w:sz w:val="24"/>
          <w:szCs w:val="24"/>
          <w:highlight w:val="none"/>
          <w:lang w:val="en-US"/>
        </w:rPr>
        <w:t>38</w:t>
      </w:r>
      <w:r>
        <w:rPr>
          <w:rFonts w:ascii="Book Antiqua" w:hAnsi="Book Antiqua"/>
          <w:sz w:val="24"/>
          <w:szCs w:val="24"/>
          <w:highlight w:val="none"/>
          <w:lang w:val="en-US"/>
        </w:rPr>
        <w:t>: 1025-1037 [PMID: 24099468 DOI: 10.1111/apt.12490]</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85 </w:t>
      </w:r>
      <w:r>
        <w:rPr>
          <w:rFonts w:ascii="Book Antiqua" w:hAnsi="Book Antiqua"/>
          <w:b/>
          <w:bCs/>
          <w:sz w:val="24"/>
          <w:szCs w:val="24"/>
          <w:highlight w:val="none"/>
          <w:lang w:val="en-US"/>
        </w:rPr>
        <w:t>Seksik P</w:t>
      </w:r>
      <w:r>
        <w:rPr>
          <w:rFonts w:ascii="Book Antiqua" w:hAnsi="Book Antiqua"/>
          <w:sz w:val="24"/>
          <w:szCs w:val="24"/>
          <w:highlight w:val="none"/>
          <w:lang w:val="en-US"/>
        </w:rPr>
        <w:t xml:space="preserve">, Mary JY, Beaugerie L, Lémann M, Colombel JF, Vernier-Massouille G, Cosnes J. Incidence of nodular regenerative hyperplasia in inflammatory bowel disease patients treated with azathioprine. </w:t>
      </w:r>
      <w:r>
        <w:rPr>
          <w:rFonts w:ascii="Book Antiqua" w:hAnsi="Book Antiqua"/>
          <w:i/>
          <w:iCs/>
          <w:sz w:val="24"/>
          <w:szCs w:val="24"/>
          <w:highlight w:val="none"/>
          <w:lang w:val="en-US"/>
        </w:rPr>
        <w:t>Inflamm Bowel Dis</w:t>
      </w:r>
      <w:r>
        <w:rPr>
          <w:rFonts w:ascii="Book Antiqua" w:hAnsi="Book Antiqua"/>
          <w:sz w:val="24"/>
          <w:szCs w:val="24"/>
          <w:highlight w:val="none"/>
          <w:lang w:val="en-US"/>
        </w:rPr>
        <w:t xml:space="preserve"> 2011; </w:t>
      </w:r>
      <w:r>
        <w:rPr>
          <w:rFonts w:ascii="Book Antiqua" w:hAnsi="Book Antiqua"/>
          <w:b/>
          <w:bCs/>
          <w:sz w:val="24"/>
          <w:szCs w:val="24"/>
          <w:highlight w:val="none"/>
          <w:lang w:val="en-US"/>
        </w:rPr>
        <w:t>17</w:t>
      </w:r>
      <w:r>
        <w:rPr>
          <w:rFonts w:ascii="Book Antiqua" w:hAnsi="Book Antiqua"/>
          <w:sz w:val="24"/>
          <w:szCs w:val="24"/>
          <w:highlight w:val="none"/>
          <w:lang w:val="en-US"/>
        </w:rPr>
        <w:t>: 565-572 [PMID: 20848502 DOI: 10.1002/ibd.21330]</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86 </w:t>
      </w:r>
      <w:r>
        <w:rPr>
          <w:rFonts w:ascii="Book Antiqua" w:hAnsi="Book Antiqua"/>
          <w:b/>
          <w:bCs/>
          <w:sz w:val="24"/>
          <w:szCs w:val="24"/>
          <w:highlight w:val="none"/>
          <w:lang w:val="en-US"/>
        </w:rPr>
        <w:t>Gisbert JP</w:t>
      </w:r>
      <w:r>
        <w:rPr>
          <w:rFonts w:ascii="Book Antiqua" w:hAnsi="Book Antiqua"/>
          <w:sz w:val="24"/>
          <w:szCs w:val="24"/>
          <w:highlight w:val="none"/>
          <w:lang w:val="en-US"/>
        </w:rPr>
        <w:t xml:space="preserve">, Luna M, González-Lama Y, Pousa ID, Velasco M, Moreno-Otero R, Maté J. Liver injury in inflammatory bowel disease: long-term follow-up study of 786 patients. </w:t>
      </w:r>
      <w:r>
        <w:rPr>
          <w:rFonts w:ascii="Book Antiqua" w:hAnsi="Book Antiqua"/>
          <w:i/>
          <w:iCs/>
          <w:sz w:val="24"/>
          <w:szCs w:val="24"/>
          <w:highlight w:val="none"/>
          <w:lang w:val="en-US"/>
        </w:rPr>
        <w:t>Inflamm Bowel Dis</w:t>
      </w:r>
      <w:r>
        <w:rPr>
          <w:rFonts w:ascii="Book Antiqua" w:hAnsi="Book Antiqua"/>
          <w:sz w:val="24"/>
          <w:szCs w:val="24"/>
          <w:highlight w:val="none"/>
          <w:lang w:val="en-US"/>
        </w:rPr>
        <w:t xml:space="preserve"> 2007; </w:t>
      </w:r>
      <w:r>
        <w:rPr>
          <w:rFonts w:ascii="Book Antiqua" w:hAnsi="Book Antiqua"/>
          <w:b/>
          <w:bCs/>
          <w:sz w:val="24"/>
          <w:szCs w:val="24"/>
          <w:highlight w:val="none"/>
          <w:lang w:val="en-US"/>
        </w:rPr>
        <w:t>13</w:t>
      </w:r>
      <w:r>
        <w:rPr>
          <w:rFonts w:ascii="Book Antiqua" w:hAnsi="Book Antiqua"/>
          <w:sz w:val="24"/>
          <w:szCs w:val="24"/>
          <w:highlight w:val="none"/>
          <w:lang w:val="en-US"/>
        </w:rPr>
        <w:t>: 1106-1114 [PMID: 17455203 DOI: 10.1002/ibd.20160]</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87 </w:t>
      </w:r>
      <w:r>
        <w:rPr>
          <w:rFonts w:ascii="Book Antiqua" w:hAnsi="Book Antiqua"/>
          <w:b/>
          <w:bCs/>
          <w:sz w:val="24"/>
          <w:szCs w:val="24"/>
          <w:highlight w:val="none"/>
          <w:lang w:val="en-US"/>
        </w:rPr>
        <w:t>Shaye OA</w:t>
      </w:r>
      <w:r>
        <w:rPr>
          <w:rFonts w:ascii="Book Antiqua" w:hAnsi="Book Antiqua"/>
          <w:sz w:val="24"/>
          <w:szCs w:val="24"/>
          <w:highlight w:val="none"/>
          <w:lang w:val="en-US"/>
        </w:rPr>
        <w:t xml:space="preserve">, Yadegari M, Abreu MT, Poordad F, Simon K, Martin P, Papadakis KA, Ippoliti A, Vasiliauskas E, Tran TT. Hepatotoxicity of 6-mercaptopurine (6-MP) and Azathioprine (AZA) in adult IBD patients. </w:t>
      </w:r>
      <w:r>
        <w:rPr>
          <w:rFonts w:ascii="Book Antiqua" w:hAnsi="Book Antiqua"/>
          <w:i/>
          <w:iCs/>
          <w:sz w:val="24"/>
          <w:szCs w:val="24"/>
          <w:highlight w:val="none"/>
          <w:lang w:val="en-US"/>
        </w:rPr>
        <w:t>Am J Gastroenterol</w:t>
      </w:r>
      <w:r>
        <w:rPr>
          <w:rFonts w:ascii="Book Antiqua" w:hAnsi="Book Antiqua"/>
          <w:sz w:val="24"/>
          <w:szCs w:val="24"/>
          <w:highlight w:val="none"/>
          <w:lang w:val="en-US"/>
        </w:rPr>
        <w:t xml:space="preserve"> 2007; </w:t>
      </w:r>
      <w:r>
        <w:rPr>
          <w:rFonts w:ascii="Book Antiqua" w:hAnsi="Book Antiqua"/>
          <w:b/>
          <w:bCs/>
          <w:sz w:val="24"/>
          <w:szCs w:val="24"/>
          <w:highlight w:val="none"/>
          <w:lang w:val="en-US"/>
        </w:rPr>
        <w:t>102</w:t>
      </w:r>
      <w:r>
        <w:rPr>
          <w:rFonts w:ascii="Book Antiqua" w:hAnsi="Book Antiqua"/>
          <w:sz w:val="24"/>
          <w:szCs w:val="24"/>
          <w:highlight w:val="none"/>
          <w:lang w:val="en-US"/>
        </w:rPr>
        <w:t>: 2488-2494 [PMID: 17764490 DOI: 10.1111/j.1572-0241.2007.01515.x]</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88 </w:t>
      </w:r>
      <w:r>
        <w:rPr>
          <w:rFonts w:ascii="Book Antiqua" w:hAnsi="Book Antiqua"/>
          <w:b/>
          <w:bCs/>
          <w:sz w:val="24"/>
          <w:szCs w:val="24"/>
          <w:highlight w:val="none"/>
          <w:lang w:val="en-US"/>
        </w:rPr>
        <w:t>Hindorf U</w:t>
      </w:r>
      <w:r>
        <w:rPr>
          <w:rFonts w:ascii="Book Antiqua" w:hAnsi="Book Antiqua"/>
          <w:sz w:val="24"/>
          <w:szCs w:val="24"/>
          <w:highlight w:val="none"/>
          <w:lang w:val="en-US"/>
        </w:rPr>
        <w:t xml:space="preserve">, Johansson M, Eriksson A, Kvifors E, Almer SH. Mercaptopurine treatment should be considered in azathioprine intolerant patients with inflammatory bowel disease. </w:t>
      </w:r>
      <w:r>
        <w:rPr>
          <w:rFonts w:ascii="Book Antiqua" w:hAnsi="Book Antiqua"/>
          <w:i/>
          <w:iCs/>
          <w:sz w:val="24"/>
          <w:szCs w:val="24"/>
          <w:highlight w:val="none"/>
          <w:lang w:val="en-US"/>
        </w:rPr>
        <w:t>Aliment Pharmacol Ther</w:t>
      </w:r>
      <w:r>
        <w:rPr>
          <w:rFonts w:ascii="Book Antiqua" w:hAnsi="Book Antiqua"/>
          <w:sz w:val="24"/>
          <w:szCs w:val="24"/>
          <w:highlight w:val="none"/>
          <w:lang w:val="en-US"/>
        </w:rPr>
        <w:t xml:space="preserve"> 2009; </w:t>
      </w:r>
      <w:r>
        <w:rPr>
          <w:rFonts w:ascii="Book Antiqua" w:hAnsi="Book Antiqua"/>
          <w:b/>
          <w:bCs/>
          <w:sz w:val="24"/>
          <w:szCs w:val="24"/>
          <w:highlight w:val="none"/>
          <w:lang w:val="en-US"/>
        </w:rPr>
        <w:t>29</w:t>
      </w:r>
      <w:r>
        <w:rPr>
          <w:rFonts w:ascii="Book Antiqua" w:hAnsi="Book Antiqua"/>
          <w:sz w:val="24"/>
          <w:szCs w:val="24"/>
          <w:highlight w:val="none"/>
          <w:lang w:val="en-US"/>
        </w:rPr>
        <w:t>: 654-661 [PMID: 19183142 DOI: 10.1111/j.1365-2036.2008.03925.x]</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89 </w:t>
      </w:r>
      <w:r>
        <w:rPr>
          <w:rFonts w:ascii="Book Antiqua" w:hAnsi="Book Antiqua"/>
          <w:b/>
          <w:bCs/>
          <w:sz w:val="24"/>
          <w:szCs w:val="24"/>
          <w:highlight w:val="none"/>
          <w:lang w:val="en-US"/>
        </w:rPr>
        <w:t>Meijer B</w:t>
      </w:r>
      <w:r>
        <w:rPr>
          <w:rFonts w:ascii="Book Antiqua" w:hAnsi="Book Antiqua"/>
          <w:sz w:val="24"/>
          <w:szCs w:val="24"/>
          <w:highlight w:val="none"/>
          <w:lang w:val="en-US"/>
        </w:rPr>
        <w:t xml:space="preserve">, Seinen ML, van Egmond R, Bouma G, Mulder CJJ, van Bodegraven AA, de Boer NKH. Optimizing Thiopurine Therapy in Inflammatory Bowel Disease Among 2 Real-life Intercept Cohorts: Effect of Allopurinol Comedication? </w:t>
      </w:r>
      <w:r>
        <w:rPr>
          <w:rFonts w:ascii="Book Antiqua" w:hAnsi="Book Antiqua"/>
          <w:i/>
          <w:iCs/>
          <w:sz w:val="24"/>
          <w:szCs w:val="24"/>
          <w:highlight w:val="none"/>
          <w:lang w:val="en-US"/>
        </w:rPr>
        <w:t>Inflamm Bowel Dis</w:t>
      </w:r>
      <w:r>
        <w:rPr>
          <w:rFonts w:ascii="Book Antiqua" w:hAnsi="Book Antiqua"/>
          <w:sz w:val="24"/>
          <w:szCs w:val="24"/>
          <w:highlight w:val="none"/>
          <w:lang w:val="en-US"/>
        </w:rPr>
        <w:t xml:space="preserve"> 2017; </w:t>
      </w:r>
      <w:r>
        <w:rPr>
          <w:rFonts w:ascii="Book Antiqua" w:hAnsi="Book Antiqua"/>
          <w:b/>
          <w:bCs/>
          <w:sz w:val="24"/>
          <w:szCs w:val="24"/>
          <w:highlight w:val="none"/>
          <w:lang w:val="en-US"/>
        </w:rPr>
        <w:t>23</w:t>
      </w:r>
      <w:r>
        <w:rPr>
          <w:rFonts w:ascii="Book Antiqua" w:hAnsi="Book Antiqua"/>
          <w:sz w:val="24"/>
          <w:szCs w:val="24"/>
          <w:highlight w:val="none"/>
          <w:lang w:val="en-US"/>
        </w:rPr>
        <w:t>: 2011-2017 [PMID: 28617756 DOI: 10.1097/MIB.0000000000001168]</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90 </w:t>
      </w:r>
      <w:r>
        <w:rPr>
          <w:rFonts w:ascii="Book Antiqua" w:hAnsi="Book Antiqua"/>
          <w:b/>
          <w:bCs/>
          <w:sz w:val="24"/>
          <w:szCs w:val="24"/>
          <w:highlight w:val="none"/>
          <w:lang w:val="en-US"/>
        </w:rPr>
        <w:t>Kreijne JE</w:t>
      </w:r>
      <w:r>
        <w:rPr>
          <w:rFonts w:ascii="Book Antiqua" w:hAnsi="Book Antiqua"/>
          <w:sz w:val="24"/>
          <w:szCs w:val="24"/>
          <w:highlight w:val="none"/>
          <w:lang w:val="en-US"/>
        </w:rPr>
        <w:t xml:space="preserve">, de Veer RC, de Boer NK, Dijkstra G, West R, Moorsel SAW, de Jong DJ, van der Woude CJ, de Vries AC; of the Dutch Initiative on Crohn, Colitis (ICC). Real-life study of safety of thiopurine-allopurinol combination therapy in inflammatory bowel disease: myelotoxicity and hepatotoxicity rarely affect maintenance treatment. </w:t>
      </w:r>
      <w:r>
        <w:rPr>
          <w:rFonts w:ascii="Book Antiqua" w:hAnsi="Book Antiqua"/>
          <w:i/>
          <w:iCs/>
          <w:sz w:val="24"/>
          <w:szCs w:val="24"/>
          <w:highlight w:val="none"/>
          <w:lang w:val="en-US"/>
        </w:rPr>
        <w:t>Aliment Pharmacol Ther</w:t>
      </w:r>
      <w:r>
        <w:rPr>
          <w:rFonts w:ascii="Book Antiqua" w:hAnsi="Book Antiqua"/>
          <w:sz w:val="24"/>
          <w:szCs w:val="24"/>
          <w:highlight w:val="none"/>
          <w:lang w:val="en-US"/>
        </w:rPr>
        <w:t xml:space="preserve"> 2019; </w:t>
      </w:r>
      <w:r>
        <w:rPr>
          <w:rFonts w:ascii="Book Antiqua" w:hAnsi="Book Antiqua"/>
          <w:b/>
          <w:bCs/>
          <w:sz w:val="24"/>
          <w:szCs w:val="24"/>
          <w:highlight w:val="none"/>
          <w:lang w:val="en-US"/>
        </w:rPr>
        <w:t>50</w:t>
      </w:r>
      <w:r>
        <w:rPr>
          <w:rFonts w:ascii="Book Antiqua" w:hAnsi="Book Antiqua"/>
          <w:sz w:val="24"/>
          <w:szCs w:val="24"/>
          <w:highlight w:val="none"/>
          <w:lang w:val="en-US"/>
        </w:rPr>
        <w:t>: 407-415 [PMID: 31359480 DOI: 10.1111/apt.15402]</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91 </w:t>
      </w:r>
      <w:r>
        <w:rPr>
          <w:rFonts w:ascii="Book Antiqua" w:hAnsi="Book Antiqua"/>
          <w:b/>
          <w:bCs/>
          <w:sz w:val="24"/>
          <w:szCs w:val="24"/>
          <w:highlight w:val="none"/>
          <w:lang w:val="en-US"/>
        </w:rPr>
        <w:t>Vasudevan A</w:t>
      </w:r>
      <w:r>
        <w:rPr>
          <w:rFonts w:ascii="Book Antiqua" w:hAnsi="Book Antiqua"/>
          <w:sz w:val="24"/>
          <w:szCs w:val="24"/>
          <w:highlight w:val="none"/>
          <w:lang w:val="en-US"/>
        </w:rPr>
        <w:t xml:space="preserve">, Beswick L, Friedman AB, Moltzen A, Haridy J, Raghunath A, Sparrow M, van Langenberg D. Low-dose thiopurine with allopurinol co-therapy overcomes thiopurine intolerance and allows thiopurine continuation in inflammatory bowel disease. </w:t>
      </w:r>
      <w:r>
        <w:rPr>
          <w:rFonts w:ascii="Book Antiqua" w:hAnsi="Book Antiqua"/>
          <w:i/>
          <w:iCs/>
          <w:sz w:val="24"/>
          <w:szCs w:val="24"/>
          <w:highlight w:val="none"/>
          <w:lang w:val="en-US"/>
        </w:rPr>
        <w:t>Dig Liver Dis</w:t>
      </w:r>
      <w:r>
        <w:rPr>
          <w:rFonts w:ascii="Book Antiqua" w:hAnsi="Book Antiqua"/>
          <w:sz w:val="24"/>
          <w:szCs w:val="24"/>
          <w:highlight w:val="none"/>
          <w:lang w:val="en-US"/>
        </w:rPr>
        <w:t xml:space="preserve"> 2018; </w:t>
      </w:r>
      <w:r>
        <w:rPr>
          <w:rFonts w:ascii="Book Antiqua" w:hAnsi="Book Antiqua"/>
          <w:b/>
          <w:bCs/>
          <w:sz w:val="24"/>
          <w:szCs w:val="24"/>
          <w:highlight w:val="none"/>
          <w:lang w:val="en-US"/>
        </w:rPr>
        <w:t>50</w:t>
      </w:r>
      <w:r>
        <w:rPr>
          <w:rFonts w:ascii="Book Antiqua" w:hAnsi="Book Antiqua"/>
          <w:sz w:val="24"/>
          <w:szCs w:val="24"/>
          <w:highlight w:val="none"/>
          <w:lang w:val="en-US"/>
        </w:rPr>
        <w:t>: 682-688 [PMID: 29525182 DOI: 10.1016/j.dld.2018.02.001]</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92 </w:t>
      </w:r>
      <w:r>
        <w:rPr>
          <w:rFonts w:ascii="Book Antiqua" w:hAnsi="Book Antiqua"/>
          <w:b/>
          <w:bCs/>
          <w:sz w:val="24"/>
          <w:szCs w:val="24"/>
          <w:highlight w:val="none"/>
          <w:lang w:val="en-US"/>
        </w:rPr>
        <w:t>Vande Casteele N</w:t>
      </w:r>
      <w:r>
        <w:rPr>
          <w:rFonts w:ascii="Book Antiqua" w:hAnsi="Book Antiqua"/>
          <w:sz w:val="24"/>
          <w:szCs w:val="24"/>
          <w:highlight w:val="none"/>
          <w:lang w:val="en-US"/>
        </w:rPr>
        <w:t xml:space="preserve">, Herfarth H, Katz J, Falck-Ytter Y, Singh S. American Gastroenterological Association Institute Technical Review on the Role of Therapeutic Drug Monitoring in the Management of Inflammatory Bowel Diseases. </w:t>
      </w:r>
      <w:r>
        <w:rPr>
          <w:rFonts w:ascii="Book Antiqua" w:hAnsi="Book Antiqua"/>
          <w:i/>
          <w:iCs/>
          <w:sz w:val="24"/>
          <w:szCs w:val="24"/>
          <w:highlight w:val="none"/>
          <w:lang w:val="en-US"/>
        </w:rPr>
        <w:t>Gastroenterology</w:t>
      </w:r>
      <w:r>
        <w:rPr>
          <w:rFonts w:ascii="Book Antiqua" w:hAnsi="Book Antiqua"/>
          <w:sz w:val="24"/>
          <w:szCs w:val="24"/>
          <w:highlight w:val="none"/>
          <w:lang w:val="en-US"/>
        </w:rPr>
        <w:t xml:space="preserve"> 2017; </w:t>
      </w:r>
      <w:r>
        <w:rPr>
          <w:rFonts w:ascii="Book Antiqua" w:hAnsi="Book Antiqua"/>
          <w:b/>
          <w:bCs/>
          <w:sz w:val="24"/>
          <w:szCs w:val="24"/>
          <w:highlight w:val="none"/>
          <w:lang w:val="en-US"/>
        </w:rPr>
        <w:t>153</w:t>
      </w:r>
      <w:r>
        <w:rPr>
          <w:rFonts w:ascii="Book Antiqua" w:hAnsi="Book Antiqua"/>
          <w:sz w:val="24"/>
          <w:szCs w:val="24"/>
          <w:highlight w:val="none"/>
          <w:lang w:val="en-US"/>
        </w:rPr>
        <w:t>: 835-857.e6 [PMID: 28774547 DOI: 10.1053/j.gastro.2017.07.031]</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93 </w:t>
      </w:r>
      <w:r>
        <w:rPr>
          <w:rFonts w:ascii="Book Antiqua" w:hAnsi="Book Antiqua"/>
          <w:b/>
          <w:bCs/>
          <w:sz w:val="24"/>
          <w:szCs w:val="24"/>
          <w:highlight w:val="none"/>
          <w:lang w:val="en-US"/>
        </w:rPr>
        <w:t>Mottet C</w:t>
      </w:r>
      <w:r>
        <w:rPr>
          <w:rFonts w:ascii="Book Antiqua" w:hAnsi="Book Antiqua"/>
          <w:sz w:val="24"/>
          <w:szCs w:val="24"/>
          <w:highlight w:val="none"/>
          <w:lang w:val="en-US"/>
        </w:rPr>
        <w:t xml:space="preserve">, Schoepfer AM, Juillerat P, Cosnes J, Froehlich F, Kessler-Brondolo V, Seibold F, Rogler G, Vavricka SR, Michetti P. Experts Opinion on the Practical Use of Azathioprine and 6-Mercaptopurine in Inflammatory Bowel Disease. </w:t>
      </w:r>
      <w:r>
        <w:rPr>
          <w:rFonts w:ascii="Book Antiqua" w:hAnsi="Book Antiqua"/>
          <w:i/>
          <w:iCs/>
          <w:sz w:val="24"/>
          <w:szCs w:val="24"/>
          <w:highlight w:val="none"/>
          <w:lang w:val="en-US"/>
        </w:rPr>
        <w:t>Inflamm Bowel Dis</w:t>
      </w:r>
      <w:r>
        <w:rPr>
          <w:rFonts w:ascii="Book Antiqua" w:hAnsi="Book Antiqua"/>
          <w:sz w:val="24"/>
          <w:szCs w:val="24"/>
          <w:highlight w:val="none"/>
          <w:lang w:val="en-US"/>
        </w:rPr>
        <w:t xml:space="preserve"> 2016; </w:t>
      </w:r>
      <w:r>
        <w:rPr>
          <w:rFonts w:ascii="Book Antiqua" w:hAnsi="Book Antiqua"/>
          <w:b/>
          <w:bCs/>
          <w:sz w:val="24"/>
          <w:szCs w:val="24"/>
          <w:highlight w:val="none"/>
          <w:lang w:val="en-US"/>
        </w:rPr>
        <w:t>22</w:t>
      </w:r>
      <w:r>
        <w:rPr>
          <w:rFonts w:ascii="Book Antiqua" w:hAnsi="Book Antiqua"/>
          <w:sz w:val="24"/>
          <w:szCs w:val="24"/>
          <w:highlight w:val="none"/>
          <w:lang w:val="en-US"/>
        </w:rPr>
        <w:t>: 2733-2747 [PMID: 27760078 DOI: 10.1097/MIB.0000000000000923]</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94 </w:t>
      </w:r>
      <w:r>
        <w:rPr>
          <w:rFonts w:ascii="Book Antiqua" w:hAnsi="Book Antiqua"/>
          <w:b/>
          <w:bCs/>
          <w:sz w:val="24"/>
          <w:szCs w:val="24"/>
          <w:highlight w:val="none"/>
          <w:lang w:val="en-US"/>
        </w:rPr>
        <w:t>Khokhar OS</w:t>
      </w:r>
      <w:r>
        <w:rPr>
          <w:rFonts w:ascii="Book Antiqua" w:hAnsi="Book Antiqua"/>
          <w:sz w:val="24"/>
          <w:szCs w:val="24"/>
          <w:highlight w:val="none"/>
          <w:lang w:val="en-US"/>
        </w:rPr>
        <w:t xml:space="preserve">, Lewis JH. Hepatotoxicity of agents used in the management of inflammatory bowel disease. </w:t>
      </w:r>
      <w:r>
        <w:rPr>
          <w:rFonts w:ascii="Book Antiqua" w:hAnsi="Book Antiqua"/>
          <w:i/>
          <w:iCs/>
          <w:sz w:val="24"/>
          <w:szCs w:val="24"/>
          <w:highlight w:val="none"/>
          <w:lang w:val="en-US"/>
        </w:rPr>
        <w:t>Dig Dis</w:t>
      </w:r>
      <w:r>
        <w:rPr>
          <w:rFonts w:ascii="Book Antiqua" w:hAnsi="Book Antiqua"/>
          <w:sz w:val="24"/>
          <w:szCs w:val="24"/>
          <w:highlight w:val="none"/>
          <w:lang w:val="en-US"/>
        </w:rPr>
        <w:t xml:space="preserve"> 2010; </w:t>
      </w:r>
      <w:r>
        <w:rPr>
          <w:rFonts w:ascii="Book Antiqua" w:hAnsi="Book Antiqua"/>
          <w:b/>
          <w:bCs/>
          <w:sz w:val="24"/>
          <w:szCs w:val="24"/>
          <w:highlight w:val="none"/>
          <w:lang w:val="en-US"/>
        </w:rPr>
        <w:t>28</w:t>
      </w:r>
      <w:r>
        <w:rPr>
          <w:rFonts w:ascii="Book Antiqua" w:hAnsi="Book Antiqua"/>
          <w:sz w:val="24"/>
          <w:szCs w:val="24"/>
          <w:highlight w:val="none"/>
          <w:lang w:val="en-US"/>
        </w:rPr>
        <w:t>: 508-518 [PMID: 20926880 DOI: 10.1159/000320410]</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95 </w:t>
      </w:r>
      <w:r>
        <w:rPr>
          <w:rFonts w:ascii="Book Antiqua" w:hAnsi="Book Antiqua"/>
          <w:b/>
          <w:bCs/>
          <w:sz w:val="24"/>
          <w:szCs w:val="24"/>
          <w:highlight w:val="none"/>
          <w:lang w:val="en-US"/>
        </w:rPr>
        <w:t>Ransford RA</w:t>
      </w:r>
      <w:r>
        <w:rPr>
          <w:rFonts w:ascii="Book Antiqua" w:hAnsi="Book Antiqua"/>
          <w:sz w:val="24"/>
          <w:szCs w:val="24"/>
          <w:highlight w:val="none"/>
          <w:lang w:val="en-US"/>
        </w:rPr>
        <w:t xml:space="preserve">, Langman MJ. Sulphasalazine and mesalazine: serious adverse reactions re-evaluated on the basis of suspected adverse reaction reports to the Committee on Safety of Medicines. </w:t>
      </w:r>
      <w:r>
        <w:rPr>
          <w:rFonts w:ascii="Book Antiqua" w:hAnsi="Book Antiqua"/>
          <w:i/>
          <w:iCs/>
          <w:sz w:val="24"/>
          <w:szCs w:val="24"/>
          <w:highlight w:val="none"/>
          <w:lang w:val="en-US"/>
        </w:rPr>
        <w:t>Gut</w:t>
      </w:r>
      <w:r>
        <w:rPr>
          <w:rFonts w:ascii="Book Antiqua" w:hAnsi="Book Antiqua"/>
          <w:sz w:val="24"/>
          <w:szCs w:val="24"/>
          <w:highlight w:val="none"/>
          <w:lang w:val="en-US"/>
        </w:rPr>
        <w:t xml:space="preserve"> 2002; </w:t>
      </w:r>
      <w:r>
        <w:rPr>
          <w:rFonts w:ascii="Book Antiqua" w:hAnsi="Book Antiqua"/>
          <w:b/>
          <w:bCs/>
          <w:sz w:val="24"/>
          <w:szCs w:val="24"/>
          <w:highlight w:val="none"/>
          <w:lang w:val="en-US"/>
        </w:rPr>
        <w:t>51</w:t>
      </w:r>
      <w:r>
        <w:rPr>
          <w:rFonts w:ascii="Book Antiqua" w:hAnsi="Book Antiqua"/>
          <w:sz w:val="24"/>
          <w:szCs w:val="24"/>
          <w:highlight w:val="none"/>
          <w:lang w:val="en-US"/>
        </w:rPr>
        <w:t>: 536-539 [PMID: 12235076 DOI: 10.1136/gut.51.4.536]</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96 </w:t>
      </w:r>
      <w:r>
        <w:rPr>
          <w:rFonts w:ascii="Book Antiqua" w:hAnsi="Book Antiqua"/>
          <w:b/>
          <w:bCs/>
          <w:sz w:val="24"/>
          <w:szCs w:val="24"/>
          <w:highlight w:val="none"/>
          <w:lang w:val="en-US"/>
        </w:rPr>
        <w:t>Sehgal P</w:t>
      </w:r>
      <w:r>
        <w:rPr>
          <w:rFonts w:ascii="Book Antiqua" w:hAnsi="Book Antiqua"/>
          <w:sz w:val="24"/>
          <w:szCs w:val="24"/>
          <w:highlight w:val="none"/>
          <w:lang w:val="en-US"/>
        </w:rPr>
        <w:t xml:space="preserve">, Colombel JF, Aboubakr A, Narula N. Systematic review: safety of mesalazine in ulcerative colitis. </w:t>
      </w:r>
      <w:r>
        <w:rPr>
          <w:rFonts w:ascii="Book Antiqua" w:hAnsi="Book Antiqua"/>
          <w:i/>
          <w:iCs/>
          <w:sz w:val="24"/>
          <w:szCs w:val="24"/>
          <w:highlight w:val="none"/>
          <w:lang w:val="en-US"/>
        </w:rPr>
        <w:t>Aliment Pharmacol Ther</w:t>
      </w:r>
      <w:r>
        <w:rPr>
          <w:rFonts w:ascii="Book Antiqua" w:hAnsi="Book Antiqua"/>
          <w:sz w:val="24"/>
          <w:szCs w:val="24"/>
          <w:highlight w:val="none"/>
          <w:lang w:val="en-US"/>
        </w:rPr>
        <w:t xml:space="preserve"> 2018; </w:t>
      </w:r>
      <w:r>
        <w:rPr>
          <w:rFonts w:ascii="Book Antiqua" w:hAnsi="Book Antiqua"/>
          <w:b/>
          <w:bCs/>
          <w:sz w:val="24"/>
          <w:szCs w:val="24"/>
          <w:highlight w:val="none"/>
          <w:lang w:val="en-US"/>
        </w:rPr>
        <w:t>47</w:t>
      </w:r>
      <w:r>
        <w:rPr>
          <w:rFonts w:ascii="Book Antiqua" w:hAnsi="Book Antiqua"/>
          <w:sz w:val="24"/>
          <w:szCs w:val="24"/>
          <w:highlight w:val="none"/>
          <w:lang w:val="en-US"/>
        </w:rPr>
        <w:t>: 1597-1609 [PMID: 29722441 DOI: 10.1111/apt.14688]</w:t>
      </w:r>
    </w:p>
    <w:p>
      <w:pPr>
        <w:spacing w:after="0" w:line="360" w:lineRule="auto"/>
        <w:jc w:val="both"/>
        <w:rPr>
          <w:rFonts w:ascii="Book Antiqua" w:hAnsi="Book Antiqua"/>
          <w:sz w:val="24"/>
          <w:szCs w:val="24"/>
          <w:highlight w:val="none"/>
          <w:lang w:val="en-US" w:eastAsia="zh-CN"/>
        </w:rPr>
      </w:pPr>
      <w:r>
        <w:rPr>
          <w:rFonts w:ascii="Book Antiqua" w:hAnsi="Book Antiqua"/>
          <w:sz w:val="24"/>
          <w:szCs w:val="24"/>
          <w:highlight w:val="none"/>
          <w:lang w:val="en-US"/>
        </w:rPr>
        <w:t xml:space="preserve">97 </w:t>
      </w:r>
      <w:r>
        <w:rPr>
          <w:rFonts w:ascii="Book Antiqua" w:hAnsi="Book Antiqua"/>
          <w:b/>
          <w:sz w:val="24"/>
          <w:szCs w:val="24"/>
          <w:highlight w:val="none"/>
          <w:lang w:val="en-US"/>
        </w:rPr>
        <w:t>Food and Drug Administration</w:t>
      </w:r>
      <w:r>
        <w:rPr>
          <w:rFonts w:ascii="Book Antiqua" w:hAnsi="Book Antiqua"/>
          <w:sz w:val="24"/>
          <w:szCs w:val="24"/>
          <w:highlight w:val="none"/>
          <w:lang w:val="en-US"/>
        </w:rPr>
        <w:t>. Highlights of prescribing information: Delzicol. 2015. [cited 20 February 2021]. Available from:</w:t>
      </w:r>
      <w:r>
        <w:rPr>
          <w:rFonts w:hint="eastAsia" w:ascii="Book Antiqua" w:hAnsi="Book Antiqua"/>
          <w:sz w:val="24"/>
          <w:szCs w:val="24"/>
          <w:highlight w:val="none"/>
          <w:lang w:val="en-US" w:eastAsia="zh-CN"/>
        </w:rPr>
        <w:t xml:space="preserve"> </w:t>
      </w:r>
      <w:r>
        <w:rPr>
          <w:rFonts w:ascii="Book Antiqua" w:hAnsi="Book Antiqua"/>
          <w:sz w:val="24"/>
          <w:szCs w:val="24"/>
          <w:highlight w:val="none"/>
          <w:lang w:val="en-US"/>
        </w:rPr>
        <w:t xml:space="preserve">https://www.accessdata.fda.gov/drugsatfda_docs/label/2015204412s006lbl.pdf </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98 </w:t>
      </w:r>
      <w:r>
        <w:rPr>
          <w:rFonts w:ascii="Book Antiqua" w:hAnsi="Book Antiqua"/>
          <w:b/>
          <w:bCs/>
          <w:sz w:val="24"/>
          <w:szCs w:val="24"/>
          <w:highlight w:val="none"/>
          <w:lang w:val="en-US"/>
        </w:rPr>
        <w:t>Fisher MC</w:t>
      </w:r>
      <w:r>
        <w:rPr>
          <w:rFonts w:ascii="Book Antiqua" w:hAnsi="Book Antiqua"/>
          <w:sz w:val="24"/>
          <w:szCs w:val="24"/>
          <w:highlight w:val="none"/>
          <w:lang w:val="en-US"/>
        </w:rPr>
        <w:t xml:space="preserve">, Cronstein BN. Metaanalysis of methylenetetrahydrofolate reductase (MTHFR) polymorphisms affecting methotrexate toxicity. </w:t>
      </w:r>
      <w:r>
        <w:rPr>
          <w:rFonts w:ascii="Book Antiqua" w:hAnsi="Book Antiqua"/>
          <w:i/>
          <w:iCs/>
          <w:sz w:val="24"/>
          <w:szCs w:val="24"/>
          <w:highlight w:val="none"/>
          <w:lang w:val="en-US"/>
        </w:rPr>
        <w:t>J Rheumatol</w:t>
      </w:r>
      <w:r>
        <w:rPr>
          <w:rFonts w:ascii="Book Antiqua" w:hAnsi="Book Antiqua"/>
          <w:sz w:val="24"/>
          <w:szCs w:val="24"/>
          <w:highlight w:val="none"/>
          <w:lang w:val="en-US"/>
        </w:rPr>
        <w:t xml:space="preserve"> 2009; </w:t>
      </w:r>
      <w:r>
        <w:rPr>
          <w:rFonts w:ascii="Book Antiqua" w:hAnsi="Book Antiqua"/>
          <w:b/>
          <w:bCs/>
          <w:sz w:val="24"/>
          <w:szCs w:val="24"/>
          <w:highlight w:val="none"/>
          <w:lang w:val="en-US"/>
        </w:rPr>
        <w:t>36</w:t>
      </w:r>
      <w:r>
        <w:rPr>
          <w:rFonts w:ascii="Book Antiqua" w:hAnsi="Book Antiqua"/>
          <w:sz w:val="24"/>
          <w:szCs w:val="24"/>
          <w:highlight w:val="none"/>
          <w:lang w:val="en-US"/>
        </w:rPr>
        <w:t>: 539-545 [PMID: 19208607 DOI: 10.3899/jrheum.080576]</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99 </w:t>
      </w:r>
      <w:r>
        <w:rPr>
          <w:rFonts w:ascii="Book Antiqua" w:hAnsi="Book Antiqua"/>
          <w:b/>
          <w:bCs/>
          <w:sz w:val="24"/>
          <w:szCs w:val="24"/>
          <w:highlight w:val="none"/>
          <w:lang w:val="en-US"/>
        </w:rPr>
        <w:t>Cáliz R</w:t>
      </w:r>
      <w:r>
        <w:rPr>
          <w:rFonts w:ascii="Book Antiqua" w:hAnsi="Book Antiqua"/>
          <w:sz w:val="24"/>
          <w:szCs w:val="24"/>
          <w:highlight w:val="none"/>
          <w:lang w:val="en-US"/>
        </w:rPr>
        <w:t xml:space="preserve">, del Amo J, Balsa A, Blanco F, Silva L, Sanmarti R, Martínez FG, Collado MD, Ramirez Mdel C, Tejedor D, Artieda M, Pascual-Salcedo D, Oreiro N, Andreu JL, Graell E, Simon L, Martínez A, Mulero J. The C677T polymorphism in the MTHFR gene is associated with the toxicity of methotrexate in a Spanish rheumatoid arthritis population. </w:t>
      </w:r>
      <w:r>
        <w:rPr>
          <w:rFonts w:ascii="Book Antiqua" w:hAnsi="Book Antiqua"/>
          <w:i/>
          <w:iCs/>
          <w:sz w:val="24"/>
          <w:szCs w:val="24"/>
          <w:highlight w:val="none"/>
          <w:lang w:val="en-US"/>
        </w:rPr>
        <w:t>Scand J Rheumatol</w:t>
      </w:r>
      <w:r>
        <w:rPr>
          <w:rFonts w:ascii="Book Antiqua" w:hAnsi="Book Antiqua"/>
          <w:sz w:val="24"/>
          <w:szCs w:val="24"/>
          <w:highlight w:val="none"/>
          <w:lang w:val="en-US"/>
        </w:rPr>
        <w:t xml:space="preserve"> 2012; </w:t>
      </w:r>
      <w:r>
        <w:rPr>
          <w:rFonts w:ascii="Book Antiqua" w:hAnsi="Book Antiqua"/>
          <w:b/>
          <w:bCs/>
          <w:sz w:val="24"/>
          <w:szCs w:val="24"/>
          <w:highlight w:val="none"/>
          <w:lang w:val="en-US"/>
        </w:rPr>
        <w:t>41</w:t>
      </w:r>
      <w:r>
        <w:rPr>
          <w:rFonts w:ascii="Book Antiqua" w:hAnsi="Book Antiqua"/>
          <w:sz w:val="24"/>
          <w:szCs w:val="24"/>
          <w:highlight w:val="none"/>
          <w:lang w:val="en-US"/>
        </w:rPr>
        <w:t>: 10-14 [PMID: 22044028 DOI: 10.3109/03009742.2011.617312]</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100 </w:t>
      </w:r>
      <w:r>
        <w:rPr>
          <w:rFonts w:ascii="Book Antiqua" w:hAnsi="Book Antiqua"/>
          <w:b/>
          <w:bCs/>
          <w:sz w:val="24"/>
          <w:szCs w:val="24"/>
          <w:highlight w:val="none"/>
          <w:lang w:val="en-US"/>
        </w:rPr>
        <w:t>Berends MA</w:t>
      </w:r>
      <w:r>
        <w:rPr>
          <w:rFonts w:ascii="Book Antiqua" w:hAnsi="Book Antiqua"/>
          <w:sz w:val="24"/>
          <w:szCs w:val="24"/>
          <w:highlight w:val="none"/>
          <w:lang w:val="en-US"/>
        </w:rPr>
        <w:t xml:space="preserve">, van Oijen MG, Snoek J, van de Kerkhof PC, Drenth JP, Han van Krieken J, de Jong EM. Reliability of the Roenigk classification of liver damage after methotrexate treatment for psoriasis: a clinicopathologic study of 160 liver biopsy specimens. </w:t>
      </w:r>
      <w:r>
        <w:rPr>
          <w:rFonts w:ascii="Book Antiqua" w:hAnsi="Book Antiqua"/>
          <w:i/>
          <w:iCs/>
          <w:sz w:val="24"/>
          <w:szCs w:val="24"/>
          <w:highlight w:val="none"/>
          <w:lang w:val="en-US"/>
        </w:rPr>
        <w:t>Arch Dermatol</w:t>
      </w:r>
      <w:r>
        <w:rPr>
          <w:rFonts w:ascii="Book Antiqua" w:hAnsi="Book Antiqua"/>
          <w:sz w:val="24"/>
          <w:szCs w:val="24"/>
          <w:highlight w:val="none"/>
          <w:lang w:val="en-US"/>
        </w:rPr>
        <w:t xml:space="preserve"> 2007; </w:t>
      </w:r>
      <w:r>
        <w:rPr>
          <w:rFonts w:ascii="Book Antiqua" w:hAnsi="Book Antiqua"/>
          <w:b/>
          <w:bCs/>
          <w:sz w:val="24"/>
          <w:szCs w:val="24"/>
          <w:highlight w:val="none"/>
          <w:lang w:val="en-US"/>
        </w:rPr>
        <w:t>143</w:t>
      </w:r>
      <w:r>
        <w:rPr>
          <w:rFonts w:ascii="Book Antiqua" w:hAnsi="Book Antiqua"/>
          <w:sz w:val="24"/>
          <w:szCs w:val="24"/>
          <w:highlight w:val="none"/>
          <w:lang w:val="en-US"/>
        </w:rPr>
        <w:t>: 1515-1519 [PMID: 18087000 DOI: 10.1001/archderm.143.12.1515]</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101 </w:t>
      </w:r>
      <w:r>
        <w:rPr>
          <w:rFonts w:ascii="Book Antiqua" w:hAnsi="Book Antiqua"/>
          <w:b/>
          <w:bCs/>
          <w:sz w:val="24"/>
          <w:szCs w:val="24"/>
          <w:highlight w:val="none"/>
          <w:lang w:val="en-US"/>
        </w:rPr>
        <w:t>Khan N</w:t>
      </w:r>
      <w:r>
        <w:rPr>
          <w:rFonts w:ascii="Book Antiqua" w:hAnsi="Book Antiqua"/>
          <w:sz w:val="24"/>
          <w:szCs w:val="24"/>
          <w:highlight w:val="none"/>
          <w:lang w:val="en-US"/>
        </w:rPr>
        <w:t xml:space="preserve">, Abbas AM, Whang N, Balart LA, Bazzano LA, Kelly TN. Incidence of liver toxicity in inflammatory bowel disease patients treated with methotrexate: a meta-analysis of clinical trials. </w:t>
      </w:r>
      <w:r>
        <w:rPr>
          <w:rFonts w:ascii="Book Antiqua" w:hAnsi="Book Antiqua"/>
          <w:i/>
          <w:iCs/>
          <w:sz w:val="24"/>
          <w:szCs w:val="24"/>
          <w:highlight w:val="none"/>
          <w:lang w:val="en-US"/>
        </w:rPr>
        <w:t>Inflamm Bowel Dis</w:t>
      </w:r>
      <w:r>
        <w:rPr>
          <w:rFonts w:ascii="Book Antiqua" w:hAnsi="Book Antiqua"/>
          <w:sz w:val="24"/>
          <w:szCs w:val="24"/>
          <w:highlight w:val="none"/>
          <w:lang w:val="en-US"/>
        </w:rPr>
        <w:t xml:space="preserve"> 2012; </w:t>
      </w:r>
      <w:r>
        <w:rPr>
          <w:rFonts w:ascii="Book Antiqua" w:hAnsi="Book Antiqua"/>
          <w:b/>
          <w:bCs/>
          <w:sz w:val="24"/>
          <w:szCs w:val="24"/>
          <w:highlight w:val="none"/>
          <w:lang w:val="en-US"/>
        </w:rPr>
        <w:t>18</w:t>
      </w:r>
      <w:r>
        <w:rPr>
          <w:rFonts w:ascii="Book Antiqua" w:hAnsi="Book Antiqua"/>
          <w:sz w:val="24"/>
          <w:szCs w:val="24"/>
          <w:highlight w:val="none"/>
          <w:lang w:val="en-US"/>
        </w:rPr>
        <w:t>: 359-367 [PMID: 21751301 DOI: 10.1002/ibd.21820]</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102 </w:t>
      </w:r>
      <w:r>
        <w:rPr>
          <w:rFonts w:ascii="Book Antiqua" w:hAnsi="Book Antiqua"/>
          <w:b/>
          <w:bCs/>
          <w:sz w:val="24"/>
          <w:szCs w:val="24"/>
          <w:highlight w:val="none"/>
          <w:lang w:val="en-US"/>
        </w:rPr>
        <w:t>Tran-Minh ML</w:t>
      </w:r>
      <w:r>
        <w:rPr>
          <w:rFonts w:ascii="Book Antiqua" w:hAnsi="Book Antiqua"/>
          <w:sz w:val="24"/>
          <w:szCs w:val="24"/>
          <w:highlight w:val="none"/>
          <w:lang w:val="en-US"/>
        </w:rPr>
        <w:t xml:space="preserve">, Sousa P, Maillet M, Allez M, Gornet JM. Hepatic complications induced by immunosuppressants and biologics in inflammatory bowel disease. </w:t>
      </w:r>
      <w:r>
        <w:rPr>
          <w:rFonts w:ascii="Book Antiqua" w:hAnsi="Book Antiqua"/>
          <w:i/>
          <w:iCs/>
          <w:sz w:val="24"/>
          <w:szCs w:val="24"/>
          <w:highlight w:val="none"/>
          <w:lang w:val="en-US"/>
        </w:rPr>
        <w:t>World J Hepatol</w:t>
      </w:r>
      <w:r>
        <w:rPr>
          <w:rFonts w:ascii="Book Antiqua" w:hAnsi="Book Antiqua"/>
          <w:sz w:val="24"/>
          <w:szCs w:val="24"/>
          <w:highlight w:val="none"/>
          <w:lang w:val="en-US"/>
        </w:rPr>
        <w:t xml:space="preserve"> 2017; </w:t>
      </w:r>
      <w:r>
        <w:rPr>
          <w:rFonts w:ascii="Book Antiqua" w:hAnsi="Book Antiqua"/>
          <w:b/>
          <w:bCs/>
          <w:sz w:val="24"/>
          <w:szCs w:val="24"/>
          <w:highlight w:val="none"/>
          <w:lang w:val="en-US"/>
        </w:rPr>
        <w:t>9</w:t>
      </w:r>
      <w:r>
        <w:rPr>
          <w:rFonts w:ascii="Book Antiqua" w:hAnsi="Book Antiqua"/>
          <w:sz w:val="24"/>
          <w:szCs w:val="24"/>
          <w:highlight w:val="none"/>
          <w:lang w:val="en-US"/>
        </w:rPr>
        <w:t>: 613-626 [PMID: 28539989 DOI: 10.4254/wjh.v9.i13.613]</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103 </w:t>
      </w:r>
      <w:r>
        <w:rPr>
          <w:rFonts w:ascii="Book Antiqua" w:hAnsi="Book Antiqua"/>
          <w:b/>
          <w:bCs/>
          <w:sz w:val="24"/>
          <w:szCs w:val="24"/>
          <w:highlight w:val="none"/>
          <w:lang w:val="en-US"/>
        </w:rPr>
        <w:t>Saibeni S</w:t>
      </w:r>
      <w:r>
        <w:rPr>
          <w:rFonts w:ascii="Book Antiqua" w:hAnsi="Book Antiqua"/>
          <w:sz w:val="24"/>
          <w:szCs w:val="24"/>
          <w:highlight w:val="none"/>
          <w:lang w:val="en-US"/>
        </w:rPr>
        <w:t xml:space="preserve">, Bollani S, Losco A, Michielan A, Sostegni R, Devani M, Lupinacci G, Pirola L, Cucino C, Meucci G, Basilisco G, D'Incà R, Bruno S. The use of methotrexate for treatment of inflammatory bowel disease in clinical practice. </w:t>
      </w:r>
      <w:r>
        <w:rPr>
          <w:rFonts w:ascii="Book Antiqua" w:hAnsi="Book Antiqua"/>
          <w:i/>
          <w:iCs/>
          <w:sz w:val="24"/>
          <w:szCs w:val="24"/>
          <w:highlight w:val="none"/>
          <w:lang w:val="en-US"/>
        </w:rPr>
        <w:t>Dig Liver Dis</w:t>
      </w:r>
      <w:r>
        <w:rPr>
          <w:rFonts w:ascii="Book Antiqua" w:hAnsi="Book Antiqua"/>
          <w:sz w:val="24"/>
          <w:szCs w:val="24"/>
          <w:highlight w:val="none"/>
          <w:lang w:val="en-US"/>
        </w:rPr>
        <w:t xml:space="preserve"> 2012; </w:t>
      </w:r>
      <w:r>
        <w:rPr>
          <w:rFonts w:ascii="Book Antiqua" w:hAnsi="Book Antiqua"/>
          <w:b/>
          <w:bCs/>
          <w:sz w:val="24"/>
          <w:szCs w:val="24"/>
          <w:highlight w:val="none"/>
          <w:lang w:val="en-US"/>
        </w:rPr>
        <w:t>44</w:t>
      </w:r>
      <w:r>
        <w:rPr>
          <w:rFonts w:ascii="Book Antiqua" w:hAnsi="Book Antiqua"/>
          <w:sz w:val="24"/>
          <w:szCs w:val="24"/>
          <w:highlight w:val="none"/>
          <w:lang w:val="en-US"/>
        </w:rPr>
        <w:t>: 123-127 [PMID: 22051323 DOI: 10.1016/j.dld.2011.09.015]</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104 </w:t>
      </w:r>
      <w:r>
        <w:rPr>
          <w:rFonts w:ascii="Book Antiqua" w:hAnsi="Book Antiqua"/>
          <w:b/>
          <w:bCs/>
          <w:sz w:val="24"/>
          <w:szCs w:val="24"/>
          <w:highlight w:val="none"/>
          <w:lang w:val="en-US"/>
        </w:rPr>
        <w:t>Labadie JG</w:t>
      </w:r>
      <w:r>
        <w:rPr>
          <w:rFonts w:ascii="Book Antiqua" w:hAnsi="Book Antiqua"/>
          <w:sz w:val="24"/>
          <w:szCs w:val="24"/>
          <w:highlight w:val="none"/>
          <w:lang w:val="en-US"/>
        </w:rPr>
        <w:t xml:space="preserve">, Jain M. Noninvasive Tests to Monitor Methotrexate-Induced Liver Injury. </w:t>
      </w:r>
      <w:r>
        <w:rPr>
          <w:rFonts w:ascii="Book Antiqua" w:hAnsi="Book Antiqua"/>
          <w:i/>
          <w:iCs/>
          <w:sz w:val="24"/>
          <w:szCs w:val="24"/>
          <w:highlight w:val="none"/>
          <w:lang w:val="en-US"/>
        </w:rPr>
        <w:t>Clin Liver Dis (Hoboken)</w:t>
      </w:r>
      <w:r>
        <w:rPr>
          <w:rFonts w:ascii="Book Antiqua" w:hAnsi="Book Antiqua"/>
          <w:sz w:val="24"/>
          <w:szCs w:val="24"/>
          <w:highlight w:val="none"/>
          <w:lang w:val="en-US"/>
        </w:rPr>
        <w:t xml:space="preserve"> 2019; </w:t>
      </w:r>
      <w:r>
        <w:rPr>
          <w:rFonts w:ascii="Book Antiqua" w:hAnsi="Book Antiqua"/>
          <w:b/>
          <w:bCs/>
          <w:sz w:val="24"/>
          <w:szCs w:val="24"/>
          <w:highlight w:val="none"/>
          <w:lang w:val="en-US"/>
        </w:rPr>
        <w:t>13</w:t>
      </w:r>
      <w:r>
        <w:rPr>
          <w:rFonts w:ascii="Book Antiqua" w:hAnsi="Book Antiqua"/>
          <w:sz w:val="24"/>
          <w:szCs w:val="24"/>
          <w:highlight w:val="none"/>
          <w:lang w:val="en-US"/>
        </w:rPr>
        <w:t>: 67-71 [PMID: 30988939 DOI: 10.1002/cld.765]</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105 </w:t>
      </w:r>
      <w:r>
        <w:rPr>
          <w:rFonts w:ascii="Book Antiqua" w:hAnsi="Book Antiqua"/>
          <w:b/>
          <w:bCs/>
          <w:sz w:val="24"/>
          <w:szCs w:val="24"/>
          <w:highlight w:val="none"/>
          <w:lang w:val="en-US"/>
        </w:rPr>
        <w:t>Laharie D</w:t>
      </w:r>
      <w:r>
        <w:rPr>
          <w:rFonts w:ascii="Book Antiqua" w:hAnsi="Book Antiqua"/>
          <w:sz w:val="24"/>
          <w:szCs w:val="24"/>
          <w:highlight w:val="none"/>
          <w:lang w:val="en-US"/>
        </w:rPr>
        <w:t xml:space="preserve">, Seneschal J, Schaeverbeke T, Doutre MS, Longy-Boursier M, Pellegrin JL, Chabrun E, Villars S, Zerbib F, de Lédinghen V. Assessment of liver fibrosis with transient elastography and FibroTest in patients treated with methotrexate for chronic inflammatory diseases: a case-control study. </w:t>
      </w:r>
      <w:r>
        <w:rPr>
          <w:rFonts w:ascii="Book Antiqua" w:hAnsi="Book Antiqua"/>
          <w:i/>
          <w:iCs/>
          <w:sz w:val="24"/>
          <w:szCs w:val="24"/>
          <w:highlight w:val="none"/>
          <w:lang w:val="en-US"/>
        </w:rPr>
        <w:t>J Hepatol</w:t>
      </w:r>
      <w:r>
        <w:rPr>
          <w:rFonts w:ascii="Book Antiqua" w:hAnsi="Book Antiqua"/>
          <w:sz w:val="24"/>
          <w:szCs w:val="24"/>
          <w:highlight w:val="none"/>
          <w:lang w:val="en-US"/>
        </w:rPr>
        <w:t xml:space="preserve"> 2010; </w:t>
      </w:r>
      <w:r>
        <w:rPr>
          <w:rFonts w:ascii="Book Antiqua" w:hAnsi="Book Antiqua"/>
          <w:b/>
          <w:bCs/>
          <w:sz w:val="24"/>
          <w:szCs w:val="24"/>
          <w:highlight w:val="none"/>
          <w:lang w:val="en-US"/>
        </w:rPr>
        <w:t>53</w:t>
      </w:r>
      <w:r>
        <w:rPr>
          <w:rFonts w:ascii="Book Antiqua" w:hAnsi="Book Antiqua"/>
          <w:sz w:val="24"/>
          <w:szCs w:val="24"/>
          <w:highlight w:val="none"/>
          <w:lang w:val="en-US"/>
        </w:rPr>
        <w:t>: 1035-1040 [PMID: 20801541 DOI: 10.1016/j.jhep.2010.04.043]</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106 </w:t>
      </w:r>
      <w:r>
        <w:rPr>
          <w:rFonts w:ascii="Book Antiqua" w:hAnsi="Book Antiqua"/>
          <w:b/>
          <w:bCs/>
          <w:sz w:val="24"/>
          <w:szCs w:val="24"/>
          <w:highlight w:val="none"/>
          <w:lang w:val="en-US"/>
        </w:rPr>
        <w:t>Herfarth HH</w:t>
      </w:r>
      <w:r>
        <w:rPr>
          <w:rFonts w:ascii="Book Antiqua" w:hAnsi="Book Antiqua"/>
          <w:sz w:val="24"/>
          <w:szCs w:val="24"/>
          <w:highlight w:val="none"/>
          <w:lang w:val="en-US"/>
        </w:rPr>
        <w:t xml:space="preserve">, Kappelman MD, Long MD, Isaacs KL. Use of Methotrexate in the Treatment of Inflammatory Bowel Diseases. </w:t>
      </w:r>
      <w:r>
        <w:rPr>
          <w:rFonts w:ascii="Book Antiqua" w:hAnsi="Book Antiqua"/>
          <w:i/>
          <w:iCs/>
          <w:sz w:val="24"/>
          <w:szCs w:val="24"/>
          <w:highlight w:val="none"/>
          <w:lang w:val="en-US"/>
        </w:rPr>
        <w:t>Inflamm Bowel Dis</w:t>
      </w:r>
      <w:r>
        <w:rPr>
          <w:rFonts w:ascii="Book Antiqua" w:hAnsi="Book Antiqua"/>
          <w:sz w:val="24"/>
          <w:szCs w:val="24"/>
          <w:highlight w:val="none"/>
          <w:lang w:val="en-US"/>
        </w:rPr>
        <w:t xml:space="preserve"> 2016; </w:t>
      </w:r>
      <w:r>
        <w:rPr>
          <w:rFonts w:ascii="Book Antiqua" w:hAnsi="Book Antiqua"/>
          <w:b/>
          <w:bCs/>
          <w:sz w:val="24"/>
          <w:szCs w:val="24"/>
          <w:highlight w:val="none"/>
          <w:lang w:val="en-US"/>
        </w:rPr>
        <w:t>22</w:t>
      </w:r>
      <w:r>
        <w:rPr>
          <w:rFonts w:ascii="Book Antiqua" w:hAnsi="Book Antiqua"/>
          <w:sz w:val="24"/>
          <w:szCs w:val="24"/>
          <w:highlight w:val="none"/>
          <w:lang w:val="en-US"/>
        </w:rPr>
        <w:t>: 224-233 [PMID: 26457382 DOI: 10.1097/MIB.0000000000000589]</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107 </w:t>
      </w:r>
      <w:r>
        <w:rPr>
          <w:rFonts w:ascii="Book Antiqua" w:hAnsi="Book Antiqua"/>
          <w:b/>
          <w:sz w:val="24"/>
          <w:szCs w:val="24"/>
          <w:highlight w:val="none"/>
          <w:lang w:val="en-US"/>
        </w:rPr>
        <w:t>Food and Drug Administration</w:t>
      </w:r>
      <w:r>
        <w:rPr>
          <w:rFonts w:ascii="Book Antiqua" w:hAnsi="Book Antiqua"/>
          <w:sz w:val="24"/>
          <w:szCs w:val="24"/>
          <w:highlight w:val="none"/>
          <w:lang w:val="en-US"/>
        </w:rPr>
        <w:t>. Approved Drug Products. [cited 20 February 2021]. Available from:</w:t>
      </w:r>
      <w:r>
        <w:rPr>
          <w:rFonts w:hint="eastAsia" w:ascii="Book Antiqua" w:hAnsi="Book Antiqua"/>
          <w:sz w:val="24"/>
          <w:szCs w:val="24"/>
          <w:highlight w:val="none"/>
          <w:lang w:val="en-US" w:eastAsia="zh-CN"/>
        </w:rPr>
        <w:t xml:space="preserve"> </w:t>
      </w:r>
      <w:r>
        <w:rPr>
          <w:rFonts w:ascii="Book Antiqua" w:hAnsi="Book Antiqua"/>
          <w:sz w:val="24"/>
          <w:szCs w:val="24"/>
          <w:highlight w:val="none"/>
          <w:lang w:val="en-US"/>
        </w:rPr>
        <w:t>http://www.accessdata.fda.gov/scripts/cder/drugsatfda/index.cfm?fuseaction=Search.Label_ApprovalHistory#apphist</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108 </w:t>
      </w:r>
      <w:r>
        <w:rPr>
          <w:rFonts w:ascii="Book Antiqua" w:hAnsi="Book Antiqua"/>
          <w:b/>
          <w:bCs/>
          <w:sz w:val="24"/>
          <w:szCs w:val="24"/>
          <w:highlight w:val="none"/>
          <w:lang w:val="en-US"/>
        </w:rPr>
        <w:t>Björnsson ES</w:t>
      </w:r>
      <w:r>
        <w:rPr>
          <w:rFonts w:ascii="Book Antiqua" w:hAnsi="Book Antiqua"/>
          <w:sz w:val="24"/>
          <w:szCs w:val="24"/>
          <w:highlight w:val="none"/>
          <w:lang w:val="en-US"/>
        </w:rPr>
        <w:t xml:space="preserve">, Gunnarsson BI, Gröndal G, Jonasson JG, Einarsdottir R, Ludviksson BR, Gudbjörnsson B, Olafsson S. Risk of drug-induced liver injury from tumor necrosis factor antagonists. </w:t>
      </w:r>
      <w:r>
        <w:rPr>
          <w:rFonts w:ascii="Book Antiqua" w:hAnsi="Book Antiqua"/>
          <w:i/>
          <w:iCs/>
          <w:sz w:val="24"/>
          <w:szCs w:val="24"/>
          <w:highlight w:val="none"/>
          <w:lang w:val="en-US"/>
        </w:rPr>
        <w:t>Clin Gastroenterol Hepatol</w:t>
      </w:r>
      <w:r>
        <w:rPr>
          <w:rFonts w:ascii="Book Antiqua" w:hAnsi="Book Antiqua"/>
          <w:sz w:val="24"/>
          <w:szCs w:val="24"/>
          <w:highlight w:val="none"/>
          <w:lang w:val="en-US"/>
        </w:rPr>
        <w:t xml:space="preserve"> 2015; </w:t>
      </w:r>
      <w:r>
        <w:rPr>
          <w:rFonts w:ascii="Book Antiqua" w:hAnsi="Book Antiqua"/>
          <w:b/>
          <w:bCs/>
          <w:sz w:val="24"/>
          <w:szCs w:val="24"/>
          <w:highlight w:val="none"/>
          <w:lang w:val="en-US"/>
        </w:rPr>
        <w:t>13</w:t>
      </w:r>
      <w:r>
        <w:rPr>
          <w:rFonts w:ascii="Book Antiqua" w:hAnsi="Book Antiqua"/>
          <w:sz w:val="24"/>
          <w:szCs w:val="24"/>
          <w:highlight w:val="none"/>
          <w:lang w:val="en-US"/>
        </w:rPr>
        <w:t>: 602-608 [PMID: 25131534 DOI: 10.1016/j.cgh.2014.07.062]</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109 </w:t>
      </w:r>
      <w:r>
        <w:rPr>
          <w:rFonts w:ascii="Book Antiqua" w:hAnsi="Book Antiqua"/>
          <w:b/>
          <w:bCs/>
          <w:sz w:val="24"/>
          <w:szCs w:val="24"/>
          <w:highlight w:val="none"/>
          <w:lang w:val="en-US"/>
        </w:rPr>
        <w:t>Shelton E</w:t>
      </w:r>
      <w:r>
        <w:rPr>
          <w:rFonts w:ascii="Book Antiqua" w:hAnsi="Book Antiqua"/>
          <w:sz w:val="24"/>
          <w:szCs w:val="24"/>
          <w:highlight w:val="none"/>
          <w:lang w:val="en-US"/>
        </w:rPr>
        <w:t xml:space="preserve">, Chaudrey K, Sauk J, Khalili H, Masia R, Nguyen DD, Yajnik V, Ananthakrishnan AN. New onset idiosyncratic liver enzyme elevations with biological therapy in inflammatory bowel disease. </w:t>
      </w:r>
      <w:r>
        <w:rPr>
          <w:rFonts w:ascii="Book Antiqua" w:hAnsi="Book Antiqua"/>
          <w:i/>
          <w:iCs/>
          <w:sz w:val="24"/>
          <w:szCs w:val="24"/>
          <w:highlight w:val="none"/>
          <w:lang w:val="en-US"/>
        </w:rPr>
        <w:t>Aliment Pharmacol Ther</w:t>
      </w:r>
      <w:r>
        <w:rPr>
          <w:rFonts w:ascii="Book Antiqua" w:hAnsi="Book Antiqua"/>
          <w:sz w:val="24"/>
          <w:szCs w:val="24"/>
          <w:highlight w:val="none"/>
          <w:lang w:val="en-US"/>
        </w:rPr>
        <w:t xml:space="preserve"> 2015; </w:t>
      </w:r>
      <w:r>
        <w:rPr>
          <w:rFonts w:ascii="Book Antiqua" w:hAnsi="Book Antiqua"/>
          <w:b/>
          <w:bCs/>
          <w:sz w:val="24"/>
          <w:szCs w:val="24"/>
          <w:highlight w:val="none"/>
          <w:lang w:val="en-US"/>
        </w:rPr>
        <w:t>41</w:t>
      </w:r>
      <w:r>
        <w:rPr>
          <w:rFonts w:ascii="Book Antiqua" w:hAnsi="Book Antiqua"/>
          <w:sz w:val="24"/>
          <w:szCs w:val="24"/>
          <w:highlight w:val="none"/>
          <w:lang w:val="en-US"/>
        </w:rPr>
        <w:t>: 972-979 [PMID: 25756190 DOI: 10.1111/apt.13159]</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110 </w:t>
      </w:r>
      <w:r>
        <w:rPr>
          <w:rFonts w:ascii="Book Antiqua" w:hAnsi="Book Antiqua"/>
          <w:b/>
          <w:bCs/>
          <w:sz w:val="24"/>
          <w:szCs w:val="24"/>
          <w:highlight w:val="none"/>
          <w:lang w:val="en-US"/>
        </w:rPr>
        <w:t>Koller T</w:t>
      </w:r>
      <w:r>
        <w:rPr>
          <w:rFonts w:ascii="Book Antiqua" w:hAnsi="Book Antiqua"/>
          <w:sz w:val="24"/>
          <w:szCs w:val="24"/>
          <w:highlight w:val="none"/>
          <w:lang w:val="en-US"/>
        </w:rPr>
        <w:t xml:space="preserve">, Galambosova M, Filakovska S, Kubincova M, Hlavaty T, Toth J, Krajcovicova A, Payer J. Drug-induced liver injury in inflammatory bowel disease: 1-year prospective observational study. </w:t>
      </w:r>
      <w:r>
        <w:rPr>
          <w:rFonts w:ascii="Book Antiqua" w:hAnsi="Book Antiqua"/>
          <w:i/>
          <w:iCs/>
          <w:sz w:val="24"/>
          <w:szCs w:val="24"/>
          <w:highlight w:val="none"/>
          <w:lang w:val="en-US"/>
        </w:rPr>
        <w:t>World J Gastroenterol</w:t>
      </w:r>
      <w:r>
        <w:rPr>
          <w:rFonts w:ascii="Book Antiqua" w:hAnsi="Book Antiqua"/>
          <w:sz w:val="24"/>
          <w:szCs w:val="24"/>
          <w:highlight w:val="none"/>
          <w:lang w:val="en-US"/>
        </w:rPr>
        <w:t xml:space="preserve"> 2017; </w:t>
      </w:r>
      <w:r>
        <w:rPr>
          <w:rFonts w:ascii="Book Antiqua" w:hAnsi="Book Antiqua"/>
          <w:b/>
          <w:bCs/>
          <w:sz w:val="24"/>
          <w:szCs w:val="24"/>
          <w:highlight w:val="none"/>
          <w:lang w:val="en-US"/>
        </w:rPr>
        <w:t>23</w:t>
      </w:r>
      <w:r>
        <w:rPr>
          <w:rFonts w:ascii="Book Antiqua" w:hAnsi="Book Antiqua"/>
          <w:sz w:val="24"/>
          <w:szCs w:val="24"/>
          <w:highlight w:val="none"/>
          <w:lang w:val="en-US"/>
        </w:rPr>
        <w:t>: 4102-4111 [PMID: 28652663 DOI: 10.3748/wjg.v23.i22.4102]</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111 </w:t>
      </w:r>
      <w:r>
        <w:rPr>
          <w:rFonts w:ascii="Book Antiqua" w:hAnsi="Book Antiqua"/>
          <w:b/>
          <w:bCs/>
          <w:sz w:val="24"/>
          <w:szCs w:val="24"/>
          <w:highlight w:val="none"/>
          <w:lang w:val="en-US"/>
        </w:rPr>
        <w:t>Worland T</w:t>
      </w:r>
      <w:r>
        <w:rPr>
          <w:rFonts w:ascii="Book Antiqua" w:hAnsi="Book Antiqua"/>
          <w:sz w:val="24"/>
          <w:szCs w:val="24"/>
          <w:highlight w:val="none"/>
          <w:lang w:val="en-US"/>
        </w:rPr>
        <w:t xml:space="preserve">, Chin KL, van Langenberg D, Garg M, Nicoll A. Retrospective study of idiosyncratic drug-induced liver injury from infliximab in an inflammatory bowel disease cohort: the IDLE study. </w:t>
      </w:r>
      <w:r>
        <w:rPr>
          <w:rFonts w:ascii="Book Antiqua" w:hAnsi="Book Antiqua"/>
          <w:i/>
          <w:iCs/>
          <w:sz w:val="24"/>
          <w:szCs w:val="24"/>
          <w:highlight w:val="none"/>
          <w:lang w:val="en-US"/>
        </w:rPr>
        <w:t>Ann Gastroenterol</w:t>
      </w:r>
      <w:r>
        <w:rPr>
          <w:rFonts w:ascii="Book Antiqua" w:hAnsi="Book Antiqua"/>
          <w:sz w:val="24"/>
          <w:szCs w:val="24"/>
          <w:highlight w:val="none"/>
          <w:lang w:val="en-US"/>
        </w:rPr>
        <w:t xml:space="preserve"> 2020; </w:t>
      </w:r>
      <w:r>
        <w:rPr>
          <w:rFonts w:ascii="Book Antiqua" w:hAnsi="Book Antiqua"/>
          <w:b/>
          <w:bCs/>
          <w:sz w:val="24"/>
          <w:szCs w:val="24"/>
          <w:highlight w:val="none"/>
          <w:lang w:val="en-US"/>
        </w:rPr>
        <w:t>33</w:t>
      </w:r>
      <w:r>
        <w:rPr>
          <w:rFonts w:ascii="Book Antiqua" w:hAnsi="Book Antiqua"/>
          <w:sz w:val="24"/>
          <w:szCs w:val="24"/>
          <w:highlight w:val="none"/>
          <w:lang w:val="en-US"/>
        </w:rPr>
        <w:t>: 162-169 [PMID: 32127737 DOI: 10.20524/aog.2020.0453]</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112 </w:t>
      </w:r>
      <w:r>
        <w:rPr>
          <w:rFonts w:ascii="Book Antiqua" w:hAnsi="Book Antiqua"/>
          <w:b/>
          <w:bCs/>
          <w:sz w:val="24"/>
          <w:szCs w:val="24"/>
          <w:highlight w:val="none"/>
          <w:lang w:val="en-US"/>
        </w:rPr>
        <w:t>Van den Brande JM</w:t>
      </w:r>
      <w:r>
        <w:rPr>
          <w:rFonts w:ascii="Book Antiqua" w:hAnsi="Book Antiqua"/>
          <w:sz w:val="24"/>
          <w:szCs w:val="24"/>
          <w:highlight w:val="none"/>
          <w:lang w:val="en-US"/>
        </w:rPr>
        <w:t xml:space="preserve">, Braat H, van den Brink GR, Versteeg HH, Bauer CA, Hoedemaeker I, van Montfrans C, Hommes DW, Peppelenbosch MP, van Deventer SJ. Infliximab but not etanercept induces apoptosis in lamina propria T-lymphocytes from patients with Crohn's disease. </w:t>
      </w:r>
      <w:r>
        <w:rPr>
          <w:rFonts w:ascii="Book Antiqua" w:hAnsi="Book Antiqua"/>
          <w:i/>
          <w:iCs/>
          <w:sz w:val="24"/>
          <w:szCs w:val="24"/>
          <w:highlight w:val="none"/>
          <w:lang w:val="en-US"/>
        </w:rPr>
        <w:t>Gastroenterology</w:t>
      </w:r>
      <w:r>
        <w:rPr>
          <w:rFonts w:ascii="Book Antiqua" w:hAnsi="Book Antiqua"/>
          <w:sz w:val="24"/>
          <w:szCs w:val="24"/>
          <w:highlight w:val="none"/>
          <w:lang w:val="en-US"/>
        </w:rPr>
        <w:t xml:space="preserve"> 2003; </w:t>
      </w:r>
      <w:r>
        <w:rPr>
          <w:rFonts w:ascii="Book Antiqua" w:hAnsi="Book Antiqua"/>
          <w:b/>
          <w:bCs/>
          <w:sz w:val="24"/>
          <w:szCs w:val="24"/>
          <w:highlight w:val="none"/>
          <w:lang w:val="en-US"/>
        </w:rPr>
        <w:t>124</w:t>
      </w:r>
      <w:r>
        <w:rPr>
          <w:rFonts w:ascii="Book Antiqua" w:hAnsi="Book Antiqua"/>
          <w:sz w:val="24"/>
          <w:szCs w:val="24"/>
          <w:highlight w:val="none"/>
          <w:lang w:val="en-US"/>
        </w:rPr>
        <w:t>: 1774-1785 [PMID: 12806611 DOI: 10.1016/s0016-5085(03)00382-2]</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113 </w:t>
      </w:r>
      <w:r>
        <w:rPr>
          <w:rFonts w:ascii="Book Antiqua" w:hAnsi="Book Antiqua"/>
          <w:b/>
          <w:bCs/>
          <w:sz w:val="24"/>
          <w:szCs w:val="24"/>
          <w:highlight w:val="none"/>
          <w:lang w:val="en-US"/>
        </w:rPr>
        <w:t>Cantaert T</w:t>
      </w:r>
      <w:r>
        <w:rPr>
          <w:rFonts w:ascii="Book Antiqua" w:hAnsi="Book Antiqua"/>
          <w:sz w:val="24"/>
          <w:szCs w:val="24"/>
          <w:highlight w:val="none"/>
          <w:lang w:val="en-US"/>
        </w:rPr>
        <w:t xml:space="preserve">, De Rycke L, Mavragani CP, Wijbrandts CA, Niewold TB, Niers T, Vandooren B, Veys EM, Richel D, Tak PP, Crow MK, Baeten D. Exposure to nuclear antigens contributes to the induction of humoral autoimmunity during tumour necrosis factor alpha blockade. </w:t>
      </w:r>
      <w:r>
        <w:rPr>
          <w:rFonts w:ascii="Book Antiqua" w:hAnsi="Book Antiqua"/>
          <w:i/>
          <w:iCs/>
          <w:sz w:val="24"/>
          <w:szCs w:val="24"/>
          <w:highlight w:val="none"/>
          <w:lang w:val="en-US"/>
        </w:rPr>
        <w:t>Ann Rheum Dis</w:t>
      </w:r>
      <w:r>
        <w:rPr>
          <w:rFonts w:ascii="Book Antiqua" w:hAnsi="Book Antiqua"/>
          <w:sz w:val="24"/>
          <w:szCs w:val="24"/>
          <w:highlight w:val="none"/>
          <w:lang w:val="en-US"/>
        </w:rPr>
        <w:t xml:space="preserve"> 2009; </w:t>
      </w:r>
      <w:r>
        <w:rPr>
          <w:rFonts w:ascii="Book Antiqua" w:hAnsi="Book Antiqua"/>
          <w:b/>
          <w:bCs/>
          <w:sz w:val="24"/>
          <w:szCs w:val="24"/>
          <w:highlight w:val="none"/>
          <w:lang w:val="en-US"/>
        </w:rPr>
        <w:t>68</w:t>
      </w:r>
      <w:r>
        <w:rPr>
          <w:rFonts w:ascii="Book Antiqua" w:hAnsi="Book Antiqua"/>
          <w:sz w:val="24"/>
          <w:szCs w:val="24"/>
          <w:highlight w:val="none"/>
          <w:lang w:val="en-US"/>
        </w:rPr>
        <w:t>: 1022-1029 [PMID: 18625621 DOI: 10.1136/ard.2008.093724]</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114 </w:t>
      </w:r>
      <w:r>
        <w:rPr>
          <w:rFonts w:ascii="Book Antiqua" w:hAnsi="Book Antiqua"/>
          <w:b/>
          <w:bCs/>
          <w:sz w:val="24"/>
          <w:szCs w:val="24"/>
          <w:highlight w:val="none"/>
          <w:lang w:val="en-US"/>
        </w:rPr>
        <w:t>Gershov D</w:t>
      </w:r>
      <w:r>
        <w:rPr>
          <w:rFonts w:ascii="Book Antiqua" w:hAnsi="Book Antiqua"/>
          <w:sz w:val="24"/>
          <w:szCs w:val="24"/>
          <w:highlight w:val="none"/>
          <w:lang w:val="en-US"/>
        </w:rPr>
        <w:t xml:space="preserve">, Kim S, Brot N, Elkon KB. C-Reactive protein binds to apoptotic cells, protects the cells from assembly of the terminal complement components, and sustains an antiinflammatory innate immune response: implications for systemic autoimmunity. </w:t>
      </w:r>
      <w:r>
        <w:rPr>
          <w:rFonts w:ascii="Book Antiqua" w:hAnsi="Book Antiqua"/>
          <w:i/>
          <w:iCs/>
          <w:sz w:val="24"/>
          <w:szCs w:val="24"/>
          <w:highlight w:val="none"/>
          <w:lang w:val="en-US"/>
        </w:rPr>
        <w:t>J Exp Med</w:t>
      </w:r>
      <w:r>
        <w:rPr>
          <w:rFonts w:ascii="Book Antiqua" w:hAnsi="Book Antiqua"/>
          <w:sz w:val="24"/>
          <w:szCs w:val="24"/>
          <w:highlight w:val="none"/>
          <w:lang w:val="en-US"/>
        </w:rPr>
        <w:t xml:space="preserve"> 2000; </w:t>
      </w:r>
      <w:r>
        <w:rPr>
          <w:rFonts w:ascii="Book Antiqua" w:hAnsi="Book Antiqua"/>
          <w:b/>
          <w:bCs/>
          <w:sz w:val="24"/>
          <w:szCs w:val="24"/>
          <w:highlight w:val="none"/>
          <w:lang w:val="en-US"/>
        </w:rPr>
        <w:t>192</w:t>
      </w:r>
      <w:r>
        <w:rPr>
          <w:rFonts w:ascii="Book Antiqua" w:hAnsi="Book Antiqua"/>
          <w:sz w:val="24"/>
          <w:szCs w:val="24"/>
          <w:highlight w:val="none"/>
          <w:lang w:val="en-US"/>
        </w:rPr>
        <w:t>: 1353-1364 [PMID: 11067883 DOI: 10.1084/jem.192.9.1353]</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115 </w:t>
      </w:r>
      <w:r>
        <w:rPr>
          <w:rFonts w:ascii="Book Antiqua" w:hAnsi="Book Antiqua"/>
          <w:b/>
          <w:bCs/>
          <w:sz w:val="24"/>
          <w:szCs w:val="24"/>
          <w:highlight w:val="none"/>
          <w:lang w:val="en-US"/>
        </w:rPr>
        <w:t>Colina F</w:t>
      </w:r>
      <w:r>
        <w:rPr>
          <w:rFonts w:ascii="Book Antiqua" w:hAnsi="Book Antiqua"/>
          <w:sz w:val="24"/>
          <w:szCs w:val="24"/>
          <w:highlight w:val="none"/>
          <w:lang w:val="en-US"/>
        </w:rPr>
        <w:t xml:space="preserve">, Molero A, Casís B, Martínez-Montiel P. Infliximab-related hepatitis: a case study and literature review. </w:t>
      </w:r>
      <w:r>
        <w:rPr>
          <w:rFonts w:ascii="Book Antiqua" w:hAnsi="Book Antiqua"/>
          <w:i/>
          <w:iCs/>
          <w:sz w:val="24"/>
          <w:szCs w:val="24"/>
          <w:highlight w:val="none"/>
          <w:lang w:val="en-US"/>
        </w:rPr>
        <w:t>Dig Dis Sci</w:t>
      </w:r>
      <w:r>
        <w:rPr>
          <w:rFonts w:ascii="Book Antiqua" w:hAnsi="Book Antiqua"/>
          <w:sz w:val="24"/>
          <w:szCs w:val="24"/>
          <w:highlight w:val="none"/>
          <w:lang w:val="en-US"/>
        </w:rPr>
        <w:t xml:space="preserve"> 2013; </w:t>
      </w:r>
      <w:r>
        <w:rPr>
          <w:rFonts w:ascii="Book Antiqua" w:hAnsi="Book Antiqua"/>
          <w:b/>
          <w:bCs/>
          <w:sz w:val="24"/>
          <w:szCs w:val="24"/>
          <w:highlight w:val="none"/>
          <w:lang w:val="en-US"/>
        </w:rPr>
        <w:t>58</w:t>
      </w:r>
      <w:r>
        <w:rPr>
          <w:rFonts w:ascii="Book Antiqua" w:hAnsi="Book Antiqua"/>
          <w:sz w:val="24"/>
          <w:szCs w:val="24"/>
          <w:highlight w:val="none"/>
          <w:lang w:val="en-US"/>
        </w:rPr>
        <w:t>: 3362-3367 [PMID: 23645381 DOI: 10.1007/s10620-013-2698-6]</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116 </w:t>
      </w:r>
      <w:r>
        <w:rPr>
          <w:rFonts w:ascii="Book Antiqua" w:hAnsi="Book Antiqua"/>
          <w:b/>
          <w:bCs/>
          <w:sz w:val="24"/>
          <w:szCs w:val="24"/>
          <w:highlight w:val="none"/>
          <w:lang w:val="en-US"/>
        </w:rPr>
        <w:t>Ghabril M</w:t>
      </w:r>
      <w:r>
        <w:rPr>
          <w:rFonts w:ascii="Book Antiqua" w:hAnsi="Book Antiqua"/>
          <w:sz w:val="24"/>
          <w:szCs w:val="24"/>
          <w:highlight w:val="none"/>
          <w:lang w:val="en-US"/>
        </w:rPr>
        <w:t xml:space="preserve">, Bonkovsky HL, Kum C, Davern T, Hayashi PH, Kleiner DE, Serrano J, Rochon J, Fontana RJ, Bonacini M; US Drug-Induced Liver Injury Network. Liver injury from tumor necrosis factor-α antagonists: analysis of thirty-four cases. </w:t>
      </w:r>
      <w:r>
        <w:rPr>
          <w:rFonts w:ascii="Book Antiqua" w:hAnsi="Book Antiqua"/>
          <w:i/>
          <w:iCs/>
          <w:sz w:val="24"/>
          <w:szCs w:val="24"/>
          <w:highlight w:val="none"/>
          <w:lang w:val="en-US"/>
        </w:rPr>
        <w:t>Clin Gastroenterol Hepatol</w:t>
      </w:r>
      <w:r>
        <w:rPr>
          <w:rFonts w:ascii="Book Antiqua" w:hAnsi="Book Antiqua"/>
          <w:sz w:val="24"/>
          <w:szCs w:val="24"/>
          <w:highlight w:val="none"/>
          <w:lang w:val="en-US"/>
        </w:rPr>
        <w:t xml:space="preserve"> 2013; </w:t>
      </w:r>
      <w:r>
        <w:rPr>
          <w:rFonts w:ascii="Book Antiqua" w:hAnsi="Book Antiqua"/>
          <w:b/>
          <w:bCs/>
          <w:sz w:val="24"/>
          <w:szCs w:val="24"/>
          <w:highlight w:val="none"/>
          <w:lang w:val="en-US"/>
        </w:rPr>
        <w:t>11</w:t>
      </w:r>
      <w:r>
        <w:rPr>
          <w:rFonts w:ascii="Book Antiqua" w:hAnsi="Book Antiqua"/>
          <w:sz w:val="24"/>
          <w:szCs w:val="24"/>
          <w:highlight w:val="none"/>
          <w:lang w:val="en-US"/>
        </w:rPr>
        <w:t>: 558-564.e3 [PMID: 23333219 DOI: 10.1016/j.cgh.2012.12.025]</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117 </w:t>
      </w:r>
      <w:r>
        <w:rPr>
          <w:rFonts w:ascii="Book Antiqua" w:hAnsi="Book Antiqua"/>
          <w:b/>
          <w:bCs/>
          <w:sz w:val="24"/>
          <w:szCs w:val="24"/>
          <w:highlight w:val="none"/>
          <w:lang w:val="en-US"/>
        </w:rPr>
        <w:t>Ierardi E</w:t>
      </w:r>
      <w:r>
        <w:rPr>
          <w:rFonts w:ascii="Book Antiqua" w:hAnsi="Book Antiqua"/>
          <w:sz w:val="24"/>
          <w:szCs w:val="24"/>
          <w:highlight w:val="none"/>
          <w:lang w:val="en-US"/>
        </w:rPr>
        <w:t xml:space="preserve">, Della Valle N, Nacchiero MC, De Francesco V, Stoppino G, Panella C. Infliximab single administration followed by acute liver injury. </w:t>
      </w:r>
      <w:r>
        <w:rPr>
          <w:rFonts w:ascii="Book Antiqua" w:hAnsi="Book Antiqua"/>
          <w:i/>
          <w:iCs/>
          <w:sz w:val="24"/>
          <w:szCs w:val="24"/>
          <w:highlight w:val="none"/>
          <w:lang w:val="en-US"/>
        </w:rPr>
        <w:t>Inflamm Bowel Dis</w:t>
      </w:r>
      <w:r>
        <w:rPr>
          <w:rFonts w:ascii="Book Antiqua" w:hAnsi="Book Antiqua"/>
          <w:sz w:val="24"/>
          <w:szCs w:val="24"/>
          <w:highlight w:val="none"/>
          <w:lang w:val="en-US"/>
        </w:rPr>
        <w:t xml:space="preserve"> 2006; </w:t>
      </w:r>
      <w:r>
        <w:rPr>
          <w:rFonts w:ascii="Book Antiqua" w:hAnsi="Book Antiqua"/>
          <w:b/>
          <w:bCs/>
          <w:sz w:val="24"/>
          <w:szCs w:val="24"/>
          <w:highlight w:val="none"/>
          <w:lang w:val="en-US"/>
        </w:rPr>
        <w:t>12</w:t>
      </w:r>
      <w:r>
        <w:rPr>
          <w:rFonts w:ascii="Book Antiqua" w:hAnsi="Book Antiqua"/>
          <w:sz w:val="24"/>
          <w:szCs w:val="24"/>
          <w:highlight w:val="none"/>
          <w:lang w:val="en-US"/>
        </w:rPr>
        <w:t>: 1089-1091 [PMID: 17075352 DOI: 10.1097/01.mib.0000246783.75753.9f]</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118 </w:t>
      </w:r>
      <w:r>
        <w:rPr>
          <w:rFonts w:ascii="Book Antiqua" w:hAnsi="Book Antiqua"/>
          <w:b/>
          <w:bCs/>
          <w:sz w:val="24"/>
          <w:szCs w:val="24"/>
          <w:highlight w:val="none"/>
          <w:lang w:val="en-US"/>
        </w:rPr>
        <w:t>Adar T</w:t>
      </w:r>
      <w:r>
        <w:rPr>
          <w:rFonts w:ascii="Book Antiqua" w:hAnsi="Book Antiqua"/>
          <w:sz w:val="24"/>
          <w:szCs w:val="24"/>
          <w:highlight w:val="none"/>
          <w:lang w:val="en-US"/>
        </w:rPr>
        <w:t xml:space="preserve">, Mizrahi M, Pappo O, Scheiman-Elazary A, Shibolet O. Adalimumab-induced autoimmune hepatitis. </w:t>
      </w:r>
      <w:r>
        <w:rPr>
          <w:rFonts w:ascii="Book Antiqua" w:hAnsi="Book Antiqua"/>
          <w:i/>
          <w:iCs/>
          <w:sz w:val="24"/>
          <w:szCs w:val="24"/>
          <w:highlight w:val="none"/>
          <w:lang w:val="en-US"/>
        </w:rPr>
        <w:t>J Clin Gastroenterol</w:t>
      </w:r>
      <w:r>
        <w:rPr>
          <w:rFonts w:ascii="Book Antiqua" w:hAnsi="Book Antiqua"/>
          <w:sz w:val="24"/>
          <w:szCs w:val="24"/>
          <w:highlight w:val="none"/>
          <w:lang w:val="en-US"/>
        </w:rPr>
        <w:t xml:space="preserve"> 2010; </w:t>
      </w:r>
      <w:r>
        <w:rPr>
          <w:rFonts w:ascii="Book Antiqua" w:hAnsi="Book Antiqua"/>
          <w:b/>
          <w:bCs/>
          <w:sz w:val="24"/>
          <w:szCs w:val="24"/>
          <w:highlight w:val="none"/>
          <w:lang w:val="en-US"/>
        </w:rPr>
        <w:t>44</w:t>
      </w:r>
      <w:r>
        <w:rPr>
          <w:rFonts w:ascii="Book Antiqua" w:hAnsi="Book Antiqua"/>
          <w:sz w:val="24"/>
          <w:szCs w:val="24"/>
          <w:highlight w:val="none"/>
          <w:lang w:val="en-US"/>
        </w:rPr>
        <w:t>: e20-e22 [PMID: 19593165 DOI: 10.1097/MCG.0b013e3181a745e7]</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119 </w:t>
      </w:r>
      <w:r>
        <w:rPr>
          <w:rFonts w:ascii="Book Antiqua" w:hAnsi="Book Antiqua"/>
          <w:b/>
          <w:bCs/>
          <w:sz w:val="24"/>
          <w:szCs w:val="24"/>
          <w:highlight w:val="none"/>
          <w:lang w:val="en-US"/>
        </w:rPr>
        <w:t>Bezabeh S</w:t>
      </w:r>
      <w:r>
        <w:rPr>
          <w:rFonts w:ascii="Book Antiqua" w:hAnsi="Book Antiqua"/>
          <w:sz w:val="24"/>
          <w:szCs w:val="24"/>
          <w:highlight w:val="none"/>
          <w:lang w:val="en-US"/>
        </w:rPr>
        <w:t xml:space="preserve">, Flowers CM, Kortepeter C, Avigan M. Clinically significant liver injury in patients treated with natalizumab. </w:t>
      </w:r>
      <w:r>
        <w:rPr>
          <w:rFonts w:ascii="Book Antiqua" w:hAnsi="Book Antiqua"/>
          <w:i/>
          <w:iCs/>
          <w:sz w:val="24"/>
          <w:szCs w:val="24"/>
          <w:highlight w:val="none"/>
          <w:lang w:val="en-US"/>
        </w:rPr>
        <w:t>Aliment Pharmacol Ther</w:t>
      </w:r>
      <w:r>
        <w:rPr>
          <w:rFonts w:ascii="Book Antiqua" w:hAnsi="Book Antiqua"/>
          <w:sz w:val="24"/>
          <w:szCs w:val="24"/>
          <w:highlight w:val="none"/>
          <w:lang w:val="en-US"/>
        </w:rPr>
        <w:t xml:space="preserve"> 2010; </w:t>
      </w:r>
      <w:r>
        <w:rPr>
          <w:rFonts w:ascii="Book Antiqua" w:hAnsi="Book Antiqua"/>
          <w:b/>
          <w:bCs/>
          <w:sz w:val="24"/>
          <w:szCs w:val="24"/>
          <w:highlight w:val="none"/>
          <w:lang w:val="en-US"/>
        </w:rPr>
        <w:t>31</w:t>
      </w:r>
      <w:r>
        <w:rPr>
          <w:rFonts w:ascii="Book Antiqua" w:hAnsi="Book Antiqua"/>
          <w:sz w:val="24"/>
          <w:szCs w:val="24"/>
          <w:highlight w:val="none"/>
          <w:lang w:val="en-US"/>
        </w:rPr>
        <w:t>: 1028-1035 [PMID: 20163378 DOI: 10.1111/j.1365-2036.2010.04262.x]</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120 </w:t>
      </w:r>
      <w:r>
        <w:rPr>
          <w:rFonts w:ascii="Book Antiqua" w:hAnsi="Book Antiqua"/>
          <w:b/>
          <w:bCs/>
          <w:sz w:val="24"/>
          <w:szCs w:val="24"/>
          <w:highlight w:val="none"/>
          <w:lang w:val="en-US"/>
        </w:rPr>
        <w:t>Lisotti A</w:t>
      </w:r>
      <w:r>
        <w:rPr>
          <w:rFonts w:ascii="Book Antiqua" w:hAnsi="Book Antiqua"/>
          <w:sz w:val="24"/>
          <w:szCs w:val="24"/>
          <w:highlight w:val="none"/>
          <w:lang w:val="en-US"/>
        </w:rPr>
        <w:t xml:space="preserve">, Azzaroli F, Brillanti S, Mazzella G. Severe acute autoimmune hepatitis after natalizumab treatment. </w:t>
      </w:r>
      <w:r>
        <w:rPr>
          <w:rFonts w:ascii="Book Antiqua" w:hAnsi="Book Antiqua"/>
          <w:i/>
          <w:iCs/>
          <w:sz w:val="24"/>
          <w:szCs w:val="24"/>
          <w:highlight w:val="none"/>
          <w:lang w:val="en-US"/>
        </w:rPr>
        <w:t>Dig Liver Dis</w:t>
      </w:r>
      <w:r>
        <w:rPr>
          <w:rFonts w:ascii="Book Antiqua" w:hAnsi="Book Antiqua"/>
          <w:sz w:val="24"/>
          <w:szCs w:val="24"/>
          <w:highlight w:val="none"/>
          <w:lang w:val="en-US"/>
        </w:rPr>
        <w:t xml:space="preserve"> 2012; </w:t>
      </w:r>
      <w:r>
        <w:rPr>
          <w:rFonts w:ascii="Book Antiqua" w:hAnsi="Book Antiqua"/>
          <w:b/>
          <w:bCs/>
          <w:sz w:val="24"/>
          <w:szCs w:val="24"/>
          <w:highlight w:val="none"/>
          <w:lang w:val="en-US"/>
        </w:rPr>
        <w:t>44</w:t>
      </w:r>
      <w:r>
        <w:rPr>
          <w:rFonts w:ascii="Book Antiqua" w:hAnsi="Book Antiqua"/>
          <w:sz w:val="24"/>
          <w:szCs w:val="24"/>
          <w:highlight w:val="none"/>
          <w:lang w:val="en-US"/>
        </w:rPr>
        <w:t>: 356-357 [PMID: 22154948 DOI: 10.1016/j.dld.2011.11.003]</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121 </w:t>
      </w:r>
      <w:r>
        <w:rPr>
          <w:rFonts w:ascii="Book Antiqua" w:hAnsi="Book Antiqua"/>
          <w:b/>
          <w:bCs/>
          <w:sz w:val="24"/>
          <w:szCs w:val="24"/>
          <w:highlight w:val="none"/>
          <w:lang w:val="en-US"/>
        </w:rPr>
        <w:t>Lamb CA</w:t>
      </w:r>
      <w:r>
        <w:rPr>
          <w:rFonts w:ascii="Book Antiqua" w:hAnsi="Book Antiqua"/>
          <w:sz w:val="24"/>
          <w:szCs w:val="24"/>
          <w:highlight w:val="none"/>
          <w:lang w:val="en-US"/>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M, Hansen R, Hawthorne AB. British Society of Gastroenterology consensus guidelines on the management of inflammatory bowel disease in adults. </w:t>
      </w:r>
      <w:r>
        <w:rPr>
          <w:rFonts w:ascii="Book Antiqua" w:hAnsi="Book Antiqua"/>
          <w:i/>
          <w:iCs/>
          <w:sz w:val="24"/>
          <w:szCs w:val="24"/>
          <w:highlight w:val="none"/>
          <w:lang w:val="en-US"/>
        </w:rPr>
        <w:t>Gut</w:t>
      </w:r>
      <w:r>
        <w:rPr>
          <w:rFonts w:ascii="Book Antiqua" w:hAnsi="Book Antiqua"/>
          <w:sz w:val="24"/>
          <w:szCs w:val="24"/>
          <w:highlight w:val="none"/>
          <w:lang w:val="en-US"/>
        </w:rPr>
        <w:t xml:space="preserve"> 2019; </w:t>
      </w:r>
      <w:r>
        <w:rPr>
          <w:rFonts w:ascii="Book Antiqua" w:hAnsi="Book Antiqua"/>
          <w:b/>
          <w:bCs/>
          <w:sz w:val="24"/>
          <w:szCs w:val="24"/>
          <w:highlight w:val="none"/>
          <w:lang w:val="en-US"/>
        </w:rPr>
        <w:t>68</w:t>
      </w:r>
      <w:r>
        <w:rPr>
          <w:rFonts w:ascii="Book Antiqua" w:hAnsi="Book Antiqua"/>
          <w:sz w:val="24"/>
          <w:szCs w:val="24"/>
          <w:highlight w:val="none"/>
          <w:lang w:val="en-US"/>
        </w:rPr>
        <w:t>: s1-s106 [PMID: 31562236 DOI: 10.1136/gutjnl-2019-318484]</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122 </w:t>
      </w:r>
      <w:r>
        <w:rPr>
          <w:rFonts w:ascii="Book Antiqua" w:hAnsi="Book Antiqua"/>
          <w:b/>
          <w:bCs/>
          <w:sz w:val="24"/>
          <w:szCs w:val="24"/>
          <w:highlight w:val="none"/>
          <w:lang w:val="en-US"/>
        </w:rPr>
        <w:t>Bellizzi A</w:t>
      </w:r>
      <w:r>
        <w:rPr>
          <w:rFonts w:ascii="Book Antiqua" w:hAnsi="Book Antiqua"/>
          <w:sz w:val="24"/>
          <w:szCs w:val="24"/>
          <w:highlight w:val="none"/>
          <w:lang w:val="en-US"/>
        </w:rPr>
        <w:t xml:space="preserve">, Barucca V, Fioriti D, Colosimo MT, Mischitelli M, Anzivino E, Chiarini F, Pietropaolo V. Early years of biological agents therapy in Crohn's disease and risk of the human polyomavirus JC reactivation. </w:t>
      </w:r>
      <w:r>
        <w:rPr>
          <w:rFonts w:ascii="Book Antiqua" w:hAnsi="Book Antiqua"/>
          <w:i/>
          <w:iCs/>
          <w:sz w:val="24"/>
          <w:szCs w:val="24"/>
          <w:highlight w:val="none"/>
          <w:lang w:val="en-US"/>
        </w:rPr>
        <w:t>J Cell Physiol</w:t>
      </w:r>
      <w:r>
        <w:rPr>
          <w:rFonts w:ascii="Book Antiqua" w:hAnsi="Book Antiqua"/>
          <w:sz w:val="24"/>
          <w:szCs w:val="24"/>
          <w:highlight w:val="none"/>
          <w:lang w:val="en-US"/>
        </w:rPr>
        <w:t xml:space="preserve"> 2010; </w:t>
      </w:r>
      <w:r>
        <w:rPr>
          <w:rFonts w:ascii="Book Antiqua" w:hAnsi="Book Antiqua"/>
          <w:b/>
          <w:bCs/>
          <w:sz w:val="24"/>
          <w:szCs w:val="24"/>
          <w:highlight w:val="none"/>
          <w:lang w:val="en-US"/>
        </w:rPr>
        <w:t>224</w:t>
      </w:r>
      <w:r>
        <w:rPr>
          <w:rFonts w:ascii="Book Antiqua" w:hAnsi="Book Antiqua"/>
          <w:sz w:val="24"/>
          <w:szCs w:val="24"/>
          <w:highlight w:val="none"/>
          <w:lang w:val="en-US"/>
        </w:rPr>
        <w:t>: 316-326 [PMID: 20432445 DOI: 10.1002/jcp.22146]</w:t>
      </w:r>
    </w:p>
    <w:p>
      <w:pPr>
        <w:spacing w:after="0" w:line="360" w:lineRule="auto"/>
        <w:jc w:val="both"/>
        <w:rPr>
          <w:rFonts w:ascii="Book Antiqua" w:hAnsi="Book Antiqua"/>
          <w:sz w:val="24"/>
          <w:szCs w:val="24"/>
          <w:highlight w:val="none"/>
          <w:lang w:val="en-US" w:eastAsia="zh-CN"/>
        </w:rPr>
      </w:pPr>
      <w:r>
        <w:rPr>
          <w:rFonts w:ascii="Book Antiqua" w:hAnsi="Book Antiqua"/>
          <w:sz w:val="24"/>
          <w:szCs w:val="24"/>
          <w:highlight w:val="none"/>
          <w:lang w:val="en-US"/>
        </w:rPr>
        <w:t xml:space="preserve">123 </w:t>
      </w:r>
      <w:r>
        <w:rPr>
          <w:rFonts w:ascii="Book Antiqua" w:hAnsi="Book Antiqua"/>
          <w:b/>
          <w:sz w:val="24"/>
          <w:szCs w:val="24"/>
          <w:highlight w:val="none"/>
          <w:lang w:val="en-US"/>
        </w:rPr>
        <w:t>Food and Drug Administration</w:t>
      </w:r>
      <w:r>
        <w:rPr>
          <w:rFonts w:ascii="Book Antiqua" w:hAnsi="Book Antiqua"/>
          <w:sz w:val="24"/>
          <w:szCs w:val="24"/>
          <w:highlight w:val="none"/>
          <w:lang w:val="en-US"/>
        </w:rPr>
        <w:t>. Highlights of prescribing information: Entyvio (Vedolizumab). 2014. [cited 20 February 2021]. Available from:</w:t>
      </w:r>
      <w:r>
        <w:rPr>
          <w:rFonts w:hint="eastAsia" w:ascii="Book Antiqua" w:hAnsi="Book Antiqua"/>
          <w:sz w:val="24"/>
          <w:szCs w:val="24"/>
          <w:highlight w:val="none"/>
          <w:lang w:val="en-US" w:eastAsia="zh-CN"/>
        </w:rPr>
        <w:t xml:space="preserve"> </w:t>
      </w:r>
      <w:r>
        <w:rPr>
          <w:rFonts w:ascii="Book Antiqua" w:hAnsi="Book Antiqua"/>
          <w:sz w:val="24"/>
          <w:szCs w:val="24"/>
          <w:highlight w:val="none"/>
          <w:lang w:val="en-US"/>
        </w:rPr>
        <w:t>https://www.accessdata.fda.gov/drugsatfda_docs/label/2014/125476s000lbl.pdf</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124 </w:t>
      </w:r>
      <w:r>
        <w:rPr>
          <w:rFonts w:ascii="Book Antiqua" w:hAnsi="Book Antiqua"/>
          <w:b/>
          <w:bCs/>
          <w:sz w:val="24"/>
          <w:szCs w:val="24"/>
          <w:highlight w:val="none"/>
          <w:lang w:val="en-US"/>
        </w:rPr>
        <w:t>Leonardi CL</w:t>
      </w:r>
      <w:r>
        <w:rPr>
          <w:rFonts w:ascii="Book Antiqua" w:hAnsi="Book Antiqua"/>
          <w:sz w:val="24"/>
          <w:szCs w:val="24"/>
          <w:highlight w:val="none"/>
          <w:lang w:val="en-US"/>
        </w:rPr>
        <w:t xml:space="preserve">, Kimball AB, Papp KA, Yeilding N, Guzzo C, Wang Y, Li S, Dooley LT, Gordon KB; PHOENIX 1 study investigators. Efficacy and safety of ustekinumab, a human interleukin-12/23 monoclonal antibody, in patients with psoriasis: 76-wk results from a randomised, double-blind, placebo-controlled trial (PHOENIX 1). </w:t>
      </w:r>
      <w:r>
        <w:rPr>
          <w:rFonts w:ascii="Book Antiqua" w:hAnsi="Book Antiqua"/>
          <w:i/>
          <w:iCs/>
          <w:sz w:val="24"/>
          <w:szCs w:val="24"/>
          <w:highlight w:val="none"/>
          <w:lang w:val="en-US"/>
        </w:rPr>
        <w:t>Lancet</w:t>
      </w:r>
      <w:r>
        <w:rPr>
          <w:rFonts w:ascii="Book Antiqua" w:hAnsi="Book Antiqua"/>
          <w:sz w:val="24"/>
          <w:szCs w:val="24"/>
          <w:highlight w:val="none"/>
          <w:lang w:val="en-US"/>
        </w:rPr>
        <w:t xml:space="preserve"> 2008; </w:t>
      </w:r>
      <w:r>
        <w:rPr>
          <w:rFonts w:ascii="Book Antiqua" w:hAnsi="Book Antiqua"/>
          <w:b/>
          <w:bCs/>
          <w:sz w:val="24"/>
          <w:szCs w:val="24"/>
          <w:highlight w:val="none"/>
          <w:lang w:val="en-US"/>
        </w:rPr>
        <w:t>371</w:t>
      </w:r>
      <w:r>
        <w:rPr>
          <w:rFonts w:ascii="Book Antiqua" w:hAnsi="Book Antiqua"/>
          <w:sz w:val="24"/>
          <w:szCs w:val="24"/>
          <w:highlight w:val="none"/>
          <w:lang w:val="en-US"/>
        </w:rPr>
        <w:t>: 1665-1674 [PMID: 18486739 DOI: 10.1016/S0140-6736(08)60725-4]</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125 </w:t>
      </w:r>
      <w:r>
        <w:rPr>
          <w:rFonts w:ascii="Book Antiqua" w:hAnsi="Book Antiqua"/>
          <w:b/>
          <w:bCs/>
          <w:sz w:val="24"/>
          <w:szCs w:val="24"/>
          <w:highlight w:val="none"/>
          <w:lang w:val="en-US"/>
        </w:rPr>
        <w:t>Papp KA</w:t>
      </w:r>
      <w:r>
        <w:rPr>
          <w:rFonts w:ascii="Book Antiqua" w:hAnsi="Book Antiqua"/>
          <w:sz w:val="24"/>
          <w:szCs w:val="24"/>
          <w:highlight w:val="none"/>
          <w:lang w:val="en-US"/>
        </w:rPr>
        <w:t xml:space="preserve">, Langley RG, Lebwohl M, Krueger GG, Szapary P, Yeilding N, Guzzo C, Hsu MC, Wang Y, Li S, Dooley LT, Reich K; PHOENIX 2 study investigators. Efficacy and safety of ustekinumab, a human interleukin-12/23 monoclonal antibody, in patients with psoriasis: 52-wk results from a randomised, double-blind, placebo-controlled trial (PHOENIX 2). </w:t>
      </w:r>
      <w:r>
        <w:rPr>
          <w:rFonts w:ascii="Book Antiqua" w:hAnsi="Book Antiqua"/>
          <w:i/>
          <w:iCs/>
          <w:sz w:val="24"/>
          <w:szCs w:val="24"/>
          <w:highlight w:val="none"/>
          <w:lang w:val="en-US"/>
        </w:rPr>
        <w:t>Lancet</w:t>
      </w:r>
      <w:r>
        <w:rPr>
          <w:rFonts w:ascii="Book Antiqua" w:hAnsi="Book Antiqua"/>
          <w:sz w:val="24"/>
          <w:szCs w:val="24"/>
          <w:highlight w:val="none"/>
          <w:lang w:val="en-US"/>
        </w:rPr>
        <w:t xml:space="preserve"> 2008; </w:t>
      </w:r>
      <w:r>
        <w:rPr>
          <w:rFonts w:ascii="Book Antiqua" w:hAnsi="Book Antiqua"/>
          <w:b/>
          <w:bCs/>
          <w:sz w:val="24"/>
          <w:szCs w:val="24"/>
          <w:highlight w:val="none"/>
          <w:lang w:val="en-US"/>
        </w:rPr>
        <w:t>371</w:t>
      </w:r>
      <w:r>
        <w:rPr>
          <w:rFonts w:ascii="Book Antiqua" w:hAnsi="Book Antiqua"/>
          <w:sz w:val="24"/>
          <w:szCs w:val="24"/>
          <w:highlight w:val="none"/>
          <w:lang w:val="en-US"/>
        </w:rPr>
        <w:t>: 1675-1684 [PMID: 18486740 DOI: 10.1016/S0140-6736(08)60726-6]</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126 </w:t>
      </w:r>
      <w:r>
        <w:rPr>
          <w:rFonts w:ascii="Book Antiqua" w:hAnsi="Book Antiqua"/>
          <w:b/>
          <w:bCs/>
          <w:sz w:val="24"/>
          <w:szCs w:val="24"/>
          <w:highlight w:val="none"/>
          <w:lang w:val="en-US"/>
        </w:rPr>
        <w:t>Llamas-Velasco M</w:t>
      </w:r>
      <w:r>
        <w:rPr>
          <w:rFonts w:ascii="Book Antiqua" w:hAnsi="Book Antiqua"/>
          <w:sz w:val="24"/>
          <w:szCs w:val="24"/>
          <w:highlight w:val="none"/>
          <w:lang w:val="en-US"/>
        </w:rPr>
        <w:t xml:space="preserve">, Concha-Garzón MJ, García-Diez A, Daudén E. Liver Injury in Psoriasis Patients Receiving Ustekinumab: A Retrospective Study of 44 Patients Treated in the Clinical Practice Setting. </w:t>
      </w:r>
      <w:r>
        <w:rPr>
          <w:rFonts w:ascii="Book Antiqua" w:hAnsi="Book Antiqua"/>
          <w:i/>
          <w:iCs/>
          <w:sz w:val="24"/>
          <w:szCs w:val="24"/>
          <w:highlight w:val="none"/>
          <w:lang w:val="en-US"/>
        </w:rPr>
        <w:t>Actas Dermosifiliogr</w:t>
      </w:r>
      <w:r>
        <w:rPr>
          <w:rFonts w:ascii="Book Antiqua" w:hAnsi="Book Antiqua"/>
          <w:sz w:val="24"/>
          <w:szCs w:val="24"/>
          <w:highlight w:val="none"/>
          <w:lang w:val="en-US"/>
        </w:rPr>
        <w:t xml:space="preserve"> 2015; </w:t>
      </w:r>
      <w:r>
        <w:rPr>
          <w:rFonts w:ascii="Book Antiqua" w:hAnsi="Book Antiqua"/>
          <w:b/>
          <w:bCs/>
          <w:sz w:val="24"/>
          <w:szCs w:val="24"/>
          <w:highlight w:val="none"/>
          <w:lang w:val="en-US"/>
        </w:rPr>
        <w:t>106</w:t>
      </w:r>
      <w:r>
        <w:rPr>
          <w:rFonts w:ascii="Book Antiqua" w:hAnsi="Book Antiqua"/>
          <w:sz w:val="24"/>
          <w:szCs w:val="24"/>
          <w:highlight w:val="none"/>
          <w:lang w:val="en-US"/>
        </w:rPr>
        <w:t>: 470-476 [PMID: 25912374 DOI: 10.1016/j.ad.2015.02.002]</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127 </w:t>
      </w:r>
      <w:r>
        <w:rPr>
          <w:rFonts w:ascii="Book Antiqua" w:hAnsi="Book Antiqua"/>
          <w:b/>
          <w:bCs/>
          <w:sz w:val="24"/>
          <w:szCs w:val="24"/>
          <w:highlight w:val="none"/>
          <w:lang w:val="en-US"/>
        </w:rPr>
        <w:t>Lovero R</w:t>
      </w:r>
      <w:r>
        <w:rPr>
          <w:rFonts w:ascii="Book Antiqua" w:hAnsi="Book Antiqua"/>
          <w:sz w:val="24"/>
          <w:szCs w:val="24"/>
          <w:highlight w:val="none"/>
          <w:lang w:val="en-US"/>
        </w:rPr>
        <w:t xml:space="preserve">, Losurdo G, Mastromauro M, Castellaneta NM, Mongelli A, Gentile A, Di Leo A, Principi M. A Case of Severe Transaminase Elevation Following a Single Ustekinumab Dose with Remission After Drug Withdrawal. </w:t>
      </w:r>
      <w:r>
        <w:rPr>
          <w:rFonts w:ascii="Book Antiqua" w:hAnsi="Book Antiqua"/>
          <w:i/>
          <w:iCs/>
          <w:sz w:val="24"/>
          <w:szCs w:val="24"/>
          <w:highlight w:val="none"/>
          <w:lang w:val="en-US"/>
        </w:rPr>
        <w:t>Curr Drug Saf</w:t>
      </w:r>
      <w:r>
        <w:rPr>
          <w:rFonts w:ascii="Book Antiqua" w:hAnsi="Book Antiqua"/>
          <w:sz w:val="24"/>
          <w:szCs w:val="24"/>
          <w:highlight w:val="none"/>
          <w:lang w:val="en-US"/>
        </w:rPr>
        <w:t xml:space="preserve"> 2018; </w:t>
      </w:r>
      <w:r>
        <w:rPr>
          <w:rFonts w:ascii="Book Antiqua" w:hAnsi="Book Antiqua"/>
          <w:b/>
          <w:bCs/>
          <w:sz w:val="24"/>
          <w:szCs w:val="24"/>
          <w:highlight w:val="none"/>
          <w:lang w:val="en-US"/>
        </w:rPr>
        <w:t>13</w:t>
      </w:r>
      <w:r>
        <w:rPr>
          <w:rFonts w:ascii="Book Antiqua" w:hAnsi="Book Antiqua"/>
          <w:sz w:val="24"/>
          <w:szCs w:val="24"/>
          <w:highlight w:val="none"/>
          <w:lang w:val="en-US"/>
        </w:rPr>
        <w:t>: 221-223 [PMID: 30027852 DOI: 10.2174/1574886313666180719165212]</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128 </w:t>
      </w:r>
      <w:r>
        <w:rPr>
          <w:rFonts w:ascii="Book Antiqua" w:hAnsi="Book Antiqua"/>
          <w:b/>
          <w:bCs/>
          <w:sz w:val="24"/>
          <w:szCs w:val="24"/>
          <w:highlight w:val="none"/>
          <w:lang w:val="en-US"/>
        </w:rPr>
        <w:t>Valenzuela F</w:t>
      </w:r>
      <w:r>
        <w:rPr>
          <w:rFonts w:ascii="Book Antiqua" w:hAnsi="Book Antiqua"/>
          <w:sz w:val="24"/>
          <w:szCs w:val="24"/>
          <w:highlight w:val="none"/>
          <w:lang w:val="en-US"/>
        </w:rPr>
        <w:t xml:space="preserve">, Korman NJ, Bissonnette R, Bakos N, Tsai TF, Harper MK, Ports WC, Tan H, Tallman A, Valdez H, Gardner AC. Tofacitinib in patients with moderate-to-severe chronic plaque psoriasis: long-term safety and efficacy in an open-label extension study. </w:t>
      </w:r>
      <w:r>
        <w:rPr>
          <w:rFonts w:ascii="Book Antiqua" w:hAnsi="Book Antiqua"/>
          <w:i/>
          <w:iCs/>
          <w:sz w:val="24"/>
          <w:szCs w:val="24"/>
          <w:highlight w:val="none"/>
          <w:lang w:val="en-US"/>
        </w:rPr>
        <w:t>Br J Dermatol</w:t>
      </w:r>
      <w:r>
        <w:rPr>
          <w:rFonts w:ascii="Book Antiqua" w:hAnsi="Book Antiqua"/>
          <w:sz w:val="24"/>
          <w:szCs w:val="24"/>
          <w:highlight w:val="none"/>
          <w:lang w:val="en-US"/>
        </w:rPr>
        <w:t xml:space="preserve"> 2018; </w:t>
      </w:r>
      <w:r>
        <w:rPr>
          <w:rFonts w:ascii="Book Antiqua" w:hAnsi="Book Antiqua"/>
          <w:b/>
          <w:bCs/>
          <w:sz w:val="24"/>
          <w:szCs w:val="24"/>
          <w:highlight w:val="none"/>
          <w:lang w:val="en-US"/>
        </w:rPr>
        <w:t>179</w:t>
      </w:r>
      <w:r>
        <w:rPr>
          <w:rFonts w:ascii="Book Antiqua" w:hAnsi="Book Antiqua"/>
          <w:sz w:val="24"/>
          <w:szCs w:val="24"/>
          <w:highlight w:val="none"/>
          <w:lang w:val="en-US"/>
        </w:rPr>
        <w:t>: 853-862 [PMID: 29782642 DOI: 10.1111/bjd.16798]</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129 </w:t>
      </w:r>
      <w:r>
        <w:rPr>
          <w:rFonts w:ascii="Book Antiqua" w:hAnsi="Book Antiqua"/>
          <w:b/>
          <w:bCs/>
          <w:sz w:val="24"/>
          <w:szCs w:val="24"/>
          <w:highlight w:val="none"/>
          <w:lang w:val="en-US"/>
        </w:rPr>
        <w:t>Wollenhaupt J</w:t>
      </w:r>
      <w:r>
        <w:rPr>
          <w:rFonts w:ascii="Book Antiqua" w:hAnsi="Book Antiqua"/>
          <w:sz w:val="24"/>
          <w:szCs w:val="24"/>
          <w:highlight w:val="none"/>
          <w:lang w:val="en-US"/>
        </w:rPr>
        <w:t xml:space="preserve">, Silverfield J, Lee EB, Curtis JR, Wood SP, Soma K, Nduaka CI, Benda B, Gruben D, Nakamura H, Komuro Y, Zwillich SH, Wang L, Riese RJ. Safety and efficacy of tofacitinib, an oral janus kinase inhibitor, for the treatment of rheumatoid arthritis in open-label, longterm extension studies. </w:t>
      </w:r>
      <w:r>
        <w:rPr>
          <w:rFonts w:ascii="Book Antiqua" w:hAnsi="Book Antiqua"/>
          <w:i/>
          <w:iCs/>
          <w:sz w:val="24"/>
          <w:szCs w:val="24"/>
          <w:highlight w:val="none"/>
          <w:lang w:val="en-US"/>
        </w:rPr>
        <w:t>J Rheumatol</w:t>
      </w:r>
      <w:r>
        <w:rPr>
          <w:rFonts w:ascii="Book Antiqua" w:hAnsi="Book Antiqua"/>
          <w:sz w:val="24"/>
          <w:szCs w:val="24"/>
          <w:highlight w:val="none"/>
          <w:lang w:val="en-US"/>
        </w:rPr>
        <w:t xml:space="preserve"> 2014; </w:t>
      </w:r>
      <w:r>
        <w:rPr>
          <w:rFonts w:ascii="Book Antiqua" w:hAnsi="Book Antiqua"/>
          <w:b/>
          <w:bCs/>
          <w:sz w:val="24"/>
          <w:szCs w:val="24"/>
          <w:highlight w:val="none"/>
          <w:lang w:val="en-US"/>
        </w:rPr>
        <w:t>41</w:t>
      </w:r>
      <w:r>
        <w:rPr>
          <w:rFonts w:ascii="Book Antiqua" w:hAnsi="Book Antiqua"/>
          <w:sz w:val="24"/>
          <w:szCs w:val="24"/>
          <w:highlight w:val="none"/>
          <w:lang w:val="en-US"/>
        </w:rPr>
        <w:t>: 837-852 [PMID: 24692527 DOI: 10.3899/jrheum.130683]</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130 </w:t>
      </w:r>
      <w:r>
        <w:rPr>
          <w:rFonts w:ascii="Book Antiqua" w:hAnsi="Book Antiqua"/>
          <w:b/>
          <w:bCs/>
          <w:sz w:val="24"/>
          <w:szCs w:val="24"/>
          <w:highlight w:val="none"/>
          <w:lang w:val="en-US"/>
        </w:rPr>
        <w:t>Rojas-Feria M</w:t>
      </w:r>
      <w:r>
        <w:rPr>
          <w:rFonts w:ascii="Book Antiqua" w:hAnsi="Book Antiqua"/>
          <w:sz w:val="24"/>
          <w:szCs w:val="24"/>
          <w:highlight w:val="none"/>
          <w:lang w:val="en-US"/>
        </w:rPr>
        <w:t xml:space="preserve">, Castro M, Suárez E, Ampuero J, Romero-Gómez M. Hepatobiliary manifestations in inflammatory bowel disease: the gut, the drugs and the liver. </w:t>
      </w:r>
      <w:r>
        <w:rPr>
          <w:rFonts w:ascii="Book Antiqua" w:hAnsi="Book Antiqua"/>
          <w:i/>
          <w:iCs/>
          <w:sz w:val="24"/>
          <w:szCs w:val="24"/>
          <w:highlight w:val="none"/>
          <w:lang w:val="en-US"/>
        </w:rPr>
        <w:t>World J Gastroenterol</w:t>
      </w:r>
      <w:r>
        <w:rPr>
          <w:rFonts w:ascii="Book Antiqua" w:hAnsi="Book Antiqua"/>
          <w:sz w:val="24"/>
          <w:szCs w:val="24"/>
          <w:highlight w:val="none"/>
          <w:lang w:val="en-US"/>
        </w:rPr>
        <w:t xml:space="preserve"> 2013; </w:t>
      </w:r>
      <w:r>
        <w:rPr>
          <w:rFonts w:ascii="Book Antiqua" w:hAnsi="Book Antiqua"/>
          <w:b/>
          <w:bCs/>
          <w:sz w:val="24"/>
          <w:szCs w:val="24"/>
          <w:highlight w:val="none"/>
          <w:lang w:val="en-US"/>
        </w:rPr>
        <w:t>19</w:t>
      </w:r>
      <w:r>
        <w:rPr>
          <w:rFonts w:ascii="Book Antiqua" w:hAnsi="Book Antiqua"/>
          <w:sz w:val="24"/>
          <w:szCs w:val="24"/>
          <w:highlight w:val="none"/>
          <w:lang w:val="en-US"/>
        </w:rPr>
        <w:t>: 7327-7340 [PMID: 24259964 DOI: 10.3748/wjg.v19.i42.7327]</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131 </w:t>
      </w:r>
      <w:r>
        <w:rPr>
          <w:rFonts w:ascii="Book Antiqua" w:hAnsi="Book Antiqua"/>
          <w:b/>
          <w:bCs/>
          <w:sz w:val="24"/>
          <w:szCs w:val="24"/>
          <w:highlight w:val="none"/>
          <w:lang w:val="en-US"/>
        </w:rPr>
        <w:t>Kuy S</w:t>
      </w:r>
      <w:r>
        <w:rPr>
          <w:rFonts w:ascii="Book Antiqua" w:hAnsi="Book Antiqua"/>
          <w:sz w:val="24"/>
          <w:szCs w:val="24"/>
          <w:highlight w:val="none"/>
          <w:lang w:val="en-US"/>
        </w:rPr>
        <w:t xml:space="preserve">, Dua A, Chappidi R, Seabrook G, Brown KR, Lewis B, Rossi PJ, Lee CJ. The increasing incidence of thromboembolic events among hospitalized patients with inflammatory bowel disease. </w:t>
      </w:r>
      <w:r>
        <w:rPr>
          <w:rFonts w:ascii="Book Antiqua" w:hAnsi="Book Antiqua"/>
          <w:i/>
          <w:iCs/>
          <w:sz w:val="24"/>
          <w:szCs w:val="24"/>
          <w:highlight w:val="none"/>
          <w:lang w:val="en-US"/>
        </w:rPr>
        <w:t>Vascular</w:t>
      </w:r>
      <w:r>
        <w:rPr>
          <w:rFonts w:ascii="Book Antiqua" w:hAnsi="Book Antiqua"/>
          <w:sz w:val="24"/>
          <w:szCs w:val="24"/>
          <w:highlight w:val="none"/>
          <w:lang w:val="en-US"/>
        </w:rPr>
        <w:t xml:space="preserve"> 2015; </w:t>
      </w:r>
      <w:r>
        <w:rPr>
          <w:rFonts w:ascii="Book Antiqua" w:hAnsi="Book Antiqua"/>
          <w:b/>
          <w:bCs/>
          <w:sz w:val="24"/>
          <w:szCs w:val="24"/>
          <w:highlight w:val="none"/>
          <w:lang w:val="en-US"/>
        </w:rPr>
        <w:t>23</w:t>
      </w:r>
      <w:r>
        <w:rPr>
          <w:rFonts w:ascii="Book Antiqua" w:hAnsi="Book Antiqua"/>
          <w:sz w:val="24"/>
          <w:szCs w:val="24"/>
          <w:highlight w:val="none"/>
          <w:lang w:val="en-US"/>
        </w:rPr>
        <w:t>: 260-264 [PMID: 24986868 DOI: 10.1177/1708538114541799]</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132 </w:t>
      </w:r>
      <w:r>
        <w:rPr>
          <w:rFonts w:ascii="Book Antiqua" w:hAnsi="Book Antiqua"/>
          <w:b/>
          <w:bCs/>
          <w:sz w:val="24"/>
          <w:szCs w:val="24"/>
          <w:highlight w:val="none"/>
          <w:lang w:val="en-US"/>
        </w:rPr>
        <w:t>Maconi G</w:t>
      </w:r>
      <w:r>
        <w:rPr>
          <w:rFonts w:ascii="Book Antiqua" w:hAnsi="Book Antiqua"/>
          <w:sz w:val="24"/>
          <w:szCs w:val="24"/>
          <w:highlight w:val="none"/>
          <w:lang w:val="en-US"/>
        </w:rPr>
        <w:t xml:space="preserve">, Bolzacchini E, Dell'Era A, Russo U, Ardizzone S, de Franchis R. Portal vein thrombosis in inflammatory bowel diseases: a single-center case series. </w:t>
      </w:r>
      <w:r>
        <w:rPr>
          <w:rFonts w:ascii="Book Antiqua" w:hAnsi="Book Antiqua"/>
          <w:i/>
          <w:iCs/>
          <w:sz w:val="24"/>
          <w:szCs w:val="24"/>
          <w:highlight w:val="none"/>
          <w:lang w:val="en-US"/>
        </w:rPr>
        <w:t>J Crohns Colitis</w:t>
      </w:r>
      <w:r>
        <w:rPr>
          <w:rFonts w:ascii="Book Antiqua" w:hAnsi="Book Antiqua"/>
          <w:sz w:val="24"/>
          <w:szCs w:val="24"/>
          <w:highlight w:val="none"/>
          <w:lang w:val="en-US"/>
        </w:rPr>
        <w:t xml:space="preserve"> 2012; </w:t>
      </w:r>
      <w:r>
        <w:rPr>
          <w:rFonts w:ascii="Book Antiqua" w:hAnsi="Book Antiqua"/>
          <w:b/>
          <w:bCs/>
          <w:sz w:val="24"/>
          <w:szCs w:val="24"/>
          <w:highlight w:val="none"/>
          <w:lang w:val="en-US"/>
        </w:rPr>
        <w:t>6</w:t>
      </w:r>
      <w:r>
        <w:rPr>
          <w:rFonts w:ascii="Book Antiqua" w:hAnsi="Book Antiqua"/>
          <w:sz w:val="24"/>
          <w:szCs w:val="24"/>
          <w:highlight w:val="none"/>
          <w:lang w:val="en-US"/>
        </w:rPr>
        <w:t>: 362-367 [PMID: 22405175 DOI: 10.1016/j.crohns.2011.10.003]</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133 </w:t>
      </w:r>
      <w:r>
        <w:rPr>
          <w:rFonts w:ascii="Book Antiqua" w:hAnsi="Book Antiqua"/>
          <w:b/>
          <w:bCs/>
          <w:sz w:val="24"/>
          <w:szCs w:val="24"/>
          <w:highlight w:val="none"/>
          <w:lang w:val="en-US"/>
        </w:rPr>
        <w:t>Zezos P</w:t>
      </w:r>
      <w:r>
        <w:rPr>
          <w:rFonts w:ascii="Book Antiqua" w:hAnsi="Book Antiqua"/>
          <w:sz w:val="24"/>
          <w:szCs w:val="24"/>
          <w:highlight w:val="none"/>
          <w:lang w:val="en-US"/>
        </w:rPr>
        <w:t xml:space="preserve">, Kouklakis G, Saibil F. Inflammatory bowel disease and thromboembolism. </w:t>
      </w:r>
      <w:r>
        <w:rPr>
          <w:rFonts w:ascii="Book Antiqua" w:hAnsi="Book Antiqua"/>
          <w:i/>
          <w:iCs/>
          <w:sz w:val="24"/>
          <w:szCs w:val="24"/>
          <w:highlight w:val="none"/>
          <w:lang w:val="en-US"/>
        </w:rPr>
        <w:t>World J Gastroenterol</w:t>
      </w:r>
      <w:r>
        <w:rPr>
          <w:rFonts w:ascii="Book Antiqua" w:hAnsi="Book Antiqua"/>
          <w:sz w:val="24"/>
          <w:szCs w:val="24"/>
          <w:highlight w:val="none"/>
          <w:lang w:val="en-US"/>
        </w:rPr>
        <w:t xml:space="preserve"> 2014; </w:t>
      </w:r>
      <w:r>
        <w:rPr>
          <w:rFonts w:ascii="Book Antiqua" w:hAnsi="Book Antiqua"/>
          <w:b/>
          <w:bCs/>
          <w:sz w:val="24"/>
          <w:szCs w:val="24"/>
          <w:highlight w:val="none"/>
          <w:lang w:val="en-US"/>
        </w:rPr>
        <w:t>20</w:t>
      </w:r>
      <w:r>
        <w:rPr>
          <w:rFonts w:ascii="Book Antiqua" w:hAnsi="Book Antiqua"/>
          <w:sz w:val="24"/>
          <w:szCs w:val="24"/>
          <w:highlight w:val="none"/>
          <w:lang w:val="en-US"/>
        </w:rPr>
        <w:t>: 13863-13878 [PMID: 25320522 DOI: 10.3748/wjg.v20.i38.13863]</w:t>
      </w:r>
    </w:p>
    <w:p>
      <w:pPr>
        <w:spacing w:after="0" w:line="360" w:lineRule="auto"/>
        <w:jc w:val="both"/>
        <w:rPr>
          <w:rFonts w:ascii="Book Antiqua" w:hAnsi="Book Antiqua"/>
          <w:sz w:val="24"/>
          <w:szCs w:val="24"/>
          <w:highlight w:val="none"/>
          <w:lang w:val="en-US"/>
        </w:rPr>
      </w:pPr>
      <w:r>
        <w:rPr>
          <w:rFonts w:ascii="Book Antiqua" w:hAnsi="Book Antiqua"/>
          <w:sz w:val="24"/>
          <w:szCs w:val="24"/>
          <w:highlight w:val="none"/>
          <w:lang w:val="en-US"/>
        </w:rPr>
        <w:t xml:space="preserve">134 </w:t>
      </w:r>
      <w:r>
        <w:rPr>
          <w:rFonts w:ascii="Book Antiqua" w:hAnsi="Book Antiqua"/>
          <w:b/>
          <w:bCs/>
          <w:sz w:val="24"/>
          <w:szCs w:val="24"/>
          <w:highlight w:val="none"/>
          <w:lang w:val="en-US"/>
        </w:rPr>
        <w:t>Naymagon L</w:t>
      </w:r>
      <w:r>
        <w:rPr>
          <w:rFonts w:ascii="Book Antiqua" w:hAnsi="Book Antiqua"/>
          <w:sz w:val="24"/>
          <w:szCs w:val="24"/>
          <w:highlight w:val="none"/>
          <w:lang w:val="en-US"/>
        </w:rPr>
        <w:t xml:space="preserve">, Tremblay D, Zubizarreta N, Moshier E, Naymagon S, Mascarenhas J, Schiano T. The Natural History, Treatments, and Outcomes of Portal Vein Thrombosis in Patients With Inflammatory Bowel Disease. </w:t>
      </w:r>
      <w:r>
        <w:rPr>
          <w:rFonts w:ascii="Book Antiqua" w:hAnsi="Book Antiqua"/>
          <w:i/>
          <w:iCs/>
          <w:sz w:val="24"/>
          <w:szCs w:val="24"/>
          <w:highlight w:val="none"/>
          <w:lang w:val="en-US"/>
        </w:rPr>
        <w:t>Inflamm Bowel Dis</w:t>
      </w:r>
      <w:r>
        <w:rPr>
          <w:rFonts w:ascii="Book Antiqua" w:hAnsi="Book Antiqua"/>
          <w:sz w:val="24"/>
          <w:szCs w:val="24"/>
          <w:highlight w:val="none"/>
          <w:lang w:val="en-US"/>
        </w:rPr>
        <w:t xml:space="preserve"> 2021; </w:t>
      </w:r>
      <w:r>
        <w:rPr>
          <w:rFonts w:ascii="Book Antiqua" w:hAnsi="Book Antiqua"/>
          <w:b/>
          <w:bCs/>
          <w:sz w:val="24"/>
          <w:szCs w:val="24"/>
          <w:highlight w:val="none"/>
          <w:lang w:val="en-US"/>
        </w:rPr>
        <w:t>27</w:t>
      </w:r>
      <w:r>
        <w:rPr>
          <w:rFonts w:ascii="Book Antiqua" w:hAnsi="Book Antiqua"/>
          <w:sz w:val="24"/>
          <w:szCs w:val="24"/>
          <w:highlight w:val="none"/>
          <w:lang w:val="en-US"/>
        </w:rPr>
        <w:t>: 215-223 [PMID: 32185400 DOI: 10.1093/ibd/izaa053]</w:t>
      </w:r>
    </w:p>
    <w:p>
      <w:pPr>
        <w:spacing w:line="360" w:lineRule="auto"/>
        <w:jc w:val="both"/>
        <w:rPr>
          <w:rFonts w:ascii="Times New Roman" w:hAnsi="Times New Roman"/>
          <w:sz w:val="24"/>
          <w:szCs w:val="24"/>
          <w:highlight w:val="none"/>
          <w:lang w:val="en-US" w:eastAsia="en-US"/>
        </w:rPr>
      </w:pPr>
      <w:r>
        <w:rPr>
          <w:rFonts w:ascii="Book Antiqua" w:hAnsi="Book Antiqua"/>
          <w:sz w:val="24"/>
          <w:szCs w:val="24"/>
          <w:highlight w:val="none"/>
          <w:lang w:val="en-GB"/>
        </w:rPr>
        <w:br w:type="page"/>
      </w:r>
      <w:r>
        <w:rPr>
          <w:rFonts w:ascii="Book Antiqua" w:hAnsi="Book Antiqua" w:eastAsia="Book Antiqua" w:cs="Book Antiqua"/>
          <w:b/>
          <w:color w:val="000000"/>
          <w:sz w:val="24"/>
          <w:szCs w:val="24"/>
          <w:highlight w:val="none"/>
          <w:lang w:val="en-US" w:eastAsia="en-US"/>
        </w:rPr>
        <w:t>Footnotes</w:t>
      </w:r>
    </w:p>
    <w:p>
      <w:pPr>
        <w:spacing w:after="0" w:line="360" w:lineRule="auto"/>
        <w:jc w:val="both"/>
        <w:rPr>
          <w:rFonts w:ascii="Times New Roman" w:hAnsi="Times New Roman" w:eastAsiaTheme="minorEastAsia"/>
          <w:sz w:val="24"/>
          <w:szCs w:val="24"/>
          <w:highlight w:val="none"/>
          <w:lang w:val="en-US" w:eastAsia="zh-CN"/>
        </w:rPr>
      </w:pPr>
      <w:r>
        <w:rPr>
          <w:rFonts w:ascii="Book Antiqua" w:hAnsi="Book Antiqua" w:eastAsia="Book Antiqua" w:cs="Book Antiqua"/>
          <w:b/>
          <w:bCs/>
          <w:color w:val="000000"/>
          <w:sz w:val="24"/>
          <w:szCs w:val="24"/>
          <w:highlight w:val="none"/>
          <w:lang w:val="en-US" w:eastAsia="en-US"/>
        </w:rPr>
        <w:t xml:space="preserve">Conflict-of-interest statement: </w:t>
      </w:r>
      <w:r>
        <w:rPr>
          <w:rFonts w:ascii="Book Antiqua" w:hAnsi="Book Antiqua" w:eastAsia="Book Antiqua" w:cs="Book Antiqua"/>
          <w:color w:val="000000"/>
          <w:sz w:val="24"/>
          <w:szCs w:val="24"/>
          <w:highlight w:val="none"/>
          <w:lang w:eastAsia="en-US"/>
        </w:rPr>
        <w:t>The authors declare that they have no conflict of interest.</w:t>
      </w:r>
    </w:p>
    <w:p>
      <w:pPr>
        <w:spacing w:after="0" w:line="360" w:lineRule="auto"/>
        <w:jc w:val="both"/>
        <w:rPr>
          <w:rFonts w:ascii="Times New Roman" w:hAnsi="Times New Roman"/>
          <w:sz w:val="24"/>
          <w:szCs w:val="24"/>
          <w:highlight w:val="none"/>
          <w:lang w:val="en-US" w:eastAsia="en-US"/>
        </w:rPr>
      </w:pPr>
    </w:p>
    <w:p>
      <w:pPr>
        <w:spacing w:after="0" w:line="360" w:lineRule="auto"/>
        <w:jc w:val="both"/>
        <w:rPr>
          <w:rFonts w:ascii="Times New Roman" w:hAnsi="Times New Roman"/>
          <w:sz w:val="24"/>
          <w:szCs w:val="24"/>
          <w:highlight w:val="none"/>
          <w:lang w:val="en-US" w:eastAsia="en-US"/>
        </w:rPr>
      </w:pPr>
      <w:r>
        <w:rPr>
          <w:rFonts w:ascii="Book Antiqua" w:hAnsi="Book Antiqua" w:eastAsia="Book Antiqua" w:cs="Book Antiqua"/>
          <w:b/>
          <w:bCs/>
          <w:color w:val="000000"/>
          <w:sz w:val="24"/>
          <w:szCs w:val="24"/>
          <w:highlight w:val="none"/>
          <w:lang w:val="en-US" w:eastAsia="en-US"/>
        </w:rPr>
        <w:t xml:space="preserve">Open-Access: </w:t>
      </w:r>
      <w:r>
        <w:rPr>
          <w:rFonts w:ascii="Book Antiqua" w:hAnsi="Book Antiqua" w:eastAsia="Book Antiqua" w:cs="Book Antiqua"/>
          <w:color w:val="000000"/>
          <w:sz w:val="24"/>
          <w:szCs w:val="24"/>
          <w:highlight w:val="none"/>
          <w:lang w:val="en-US" w:eastAsia="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after="0" w:line="360" w:lineRule="auto"/>
        <w:jc w:val="both"/>
        <w:rPr>
          <w:rFonts w:ascii="Times New Roman" w:hAnsi="Times New Roman"/>
          <w:sz w:val="24"/>
          <w:szCs w:val="24"/>
          <w:highlight w:val="none"/>
          <w:lang w:val="en-US" w:eastAsia="en-US"/>
        </w:rPr>
      </w:pPr>
    </w:p>
    <w:p>
      <w:pPr>
        <w:spacing w:line="360" w:lineRule="auto"/>
        <w:jc w:val="both"/>
        <w:rPr>
          <w:rFonts w:hint="default" w:ascii="Book Antiqua" w:hAnsi="Book Antiqua" w:eastAsia="宋体" w:cs="Book Antiqua"/>
          <w:sz w:val="24"/>
          <w:szCs w:val="24"/>
        </w:rPr>
      </w:pPr>
      <w:r>
        <w:rPr>
          <w:rFonts w:hint="default" w:ascii="Book Antiqua" w:hAnsi="Book Antiqua" w:eastAsia="宋体" w:cs="Book Antiqua"/>
          <w:b/>
          <w:bCs/>
          <w:sz w:val="24"/>
          <w:szCs w:val="24"/>
        </w:rPr>
        <w:t>Provenance</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and</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peer</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review:</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Invited</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article;</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Externally</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peer</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reviewed</w:t>
      </w:r>
    </w:p>
    <w:p>
      <w:pPr>
        <w:spacing w:after="0" w:line="360" w:lineRule="auto"/>
        <w:jc w:val="both"/>
        <w:rPr>
          <w:rFonts w:ascii="Times New Roman" w:hAnsi="Times New Roman"/>
          <w:sz w:val="24"/>
          <w:szCs w:val="24"/>
          <w:highlight w:val="none"/>
          <w:lang w:val="en-US" w:eastAsia="en-US"/>
        </w:rPr>
      </w:pPr>
    </w:p>
    <w:p>
      <w:pPr>
        <w:spacing w:after="0" w:line="360" w:lineRule="auto"/>
        <w:jc w:val="both"/>
        <w:rPr>
          <w:rFonts w:ascii="Times New Roman" w:hAnsi="Times New Roman"/>
          <w:sz w:val="24"/>
          <w:szCs w:val="24"/>
          <w:highlight w:val="none"/>
          <w:lang w:val="en-US" w:eastAsia="en-US"/>
        </w:rPr>
      </w:pPr>
      <w:r>
        <w:rPr>
          <w:rFonts w:ascii="Book Antiqua" w:hAnsi="Book Antiqua" w:eastAsia="Book Antiqua" w:cs="Book Antiqua"/>
          <w:b/>
          <w:color w:val="000000"/>
          <w:sz w:val="24"/>
          <w:szCs w:val="24"/>
          <w:highlight w:val="none"/>
          <w:lang w:val="en-US" w:eastAsia="en-US"/>
        </w:rPr>
        <w:t xml:space="preserve">Peer-review started: </w:t>
      </w:r>
      <w:r>
        <w:rPr>
          <w:rFonts w:ascii="Book Antiqua" w:hAnsi="Book Antiqua" w:eastAsia="Book Antiqua" w:cs="Book Antiqua"/>
          <w:color w:val="000000"/>
          <w:sz w:val="24"/>
          <w:szCs w:val="24"/>
          <w:highlight w:val="none"/>
          <w:lang w:val="en-US" w:eastAsia="en-US"/>
        </w:rPr>
        <w:t>February 25, 2021</w:t>
      </w:r>
    </w:p>
    <w:p>
      <w:pPr>
        <w:spacing w:after="0" w:line="360" w:lineRule="auto"/>
        <w:jc w:val="both"/>
        <w:rPr>
          <w:rFonts w:ascii="Times New Roman" w:hAnsi="Times New Roman"/>
          <w:sz w:val="24"/>
          <w:szCs w:val="24"/>
          <w:highlight w:val="none"/>
          <w:lang w:val="en-US" w:eastAsia="en-US"/>
        </w:rPr>
      </w:pPr>
      <w:r>
        <w:rPr>
          <w:rFonts w:ascii="Book Antiqua" w:hAnsi="Book Antiqua" w:eastAsia="Book Antiqua" w:cs="Book Antiqua"/>
          <w:b/>
          <w:color w:val="000000"/>
          <w:sz w:val="24"/>
          <w:szCs w:val="24"/>
          <w:highlight w:val="none"/>
          <w:lang w:val="en-US" w:eastAsia="en-US"/>
        </w:rPr>
        <w:t xml:space="preserve">First decision: </w:t>
      </w:r>
      <w:r>
        <w:rPr>
          <w:rFonts w:ascii="Book Antiqua" w:hAnsi="Book Antiqua" w:eastAsia="Book Antiqua" w:cs="Book Antiqua"/>
          <w:color w:val="000000"/>
          <w:sz w:val="24"/>
          <w:szCs w:val="24"/>
          <w:highlight w:val="none"/>
          <w:lang w:val="en-US" w:eastAsia="en-US"/>
        </w:rPr>
        <w:t>May 3, 2021</w:t>
      </w:r>
    </w:p>
    <w:p>
      <w:pPr>
        <w:spacing w:after="0" w:line="360" w:lineRule="auto"/>
        <w:jc w:val="both"/>
        <w:rPr>
          <w:rFonts w:ascii="Times New Roman" w:hAnsi="Times New Roman"/>
          <w:sz w:val="24"/>
          <w:szCs w:val="24"/>
          <w:highlight w:val="none"/>
          <w:lang w:val="en-US" w:eastAsia="en-US"/>
        </w:rPr>
      </w:pPr>
      <w:r>
        <w:rPr>
          <w:rFonts w:ascii="Book Antiqua" w:hAnsi="Book Antiqua" w:eastAsia="Book Antiqua" w:cs="Book Antiqua"/>
          <w:b/>
          <w:color w:val="000000"/>
          <w:sz w:val="24"/>
          <w:szCs w:val="24"/>
          <w:highlight w:val="none"/>
          <w:lang w:val="en-US" w:eastAsia="en-US"/>
        </w:rPr>
        <w:t xml:space="preserve">Article in press: </w:t>
      </w:r>
      <w:r>
        <w:rPr>
          <w:rFonts w:ascii="Book Antiqua" w:hAnsi="Book Antiqua" w:eastAsia="Book Antiqua" w:cs="Book Antiqua"/>
          <w:bCs/>
          <w:color w:val="000000"/>
          <w:sz w:val="24"/>
          <w:szCs w:val="24"/>
          <w:highlight w:val="none"/>
          <w:lang w:val="en-US" w:eastAsia="en-US"/>
        </w:rPr>
        <w:t>October 11, 2021</w:t>
      </w:r>
    </w:p>
    <w:p>
      <w:pPr>
        <w:spacing w:after="0" w:line="360" w:lineRule="auto"/>
        <w:jc w:val="both"/>
        <w:rPr>
          <w:rFonts w:ascii="Times New Roman" w:hAnsi="Times New Roman"/>
          <w:sz w:val="24"/>
          <w:szCs w:val="24"/>
          <w:highlight w:val="none"/>
          <w:lang w:val="en-US" w:eastAsia="en-US"/>
        </w:rPr>
      </w:pPr>
    </w:p>
    <w:p>
      <w:pPr>
        <w:spacing w:after="0" w:line="360" w:lineRule="auto"/>
        <w:jc w:val="both"/>
        <w:rPr>
          <w:rFonts w:ascii="Times New Roman" w:hAnsi="Times New Roman"/>
          <w:sz w:val="24"/>
          <w:szCs w:val="24"/>
          <w:highlight w:val="none"/>
          <w:lang w:val="en-US" w:eastAsia="en-US"/>
        </w:rPr>
      </w:pPr>
      <w:r>
        <w:rPr>
          <w:rFonts w:ascii="Book Antiqua" w:hAnsi="Book Antiqua" w:eastAsia="Book Antiqua" w:cs="Book Antiqua"/>
          <w:b/>
          <w:color w:val="000000"/>
          <w:sz w:val="24"/>
          <w:szCs w:val="24"/>
          <w:highlight w:val="none"/>
          <w:lang w:val="en-US" w:eastAsia="en-US"/>
        </w:rPr>
        <w:t xml:space="preserve">Specialty type: </w:t>
      </w:r>
      <w:r>
        <w:rPr>
          <w:rFonts w:ascii="Book Antiqua" w:hAnsi="Book Antiqua" w:eastAsia="Book Antiqua" w:cs="Book Antiqua"/>
          <w:color w:val="000000"/>
          <w:sz w:val="24"/>
          <w:szCs w:val="24"/>
          <w:highlight w:val="none"/>
          <w:lang w:val="en-US" w:eastAsia="en-US"/>
        </w:rPr>
        <w:t xml:space="preserve">Gastroenterology and </w:t>
      </w:r>
      <w:r>
        <w:rPr>
          <w:rFonts w:hint="eastAsia" w:ascii="Book Antiqua" w:hAnsi="Book Antiqua" w:cs="Book Antiqua"/>
          <w:color w:val="000000"/>
          <w:sz w:val="24"/>
          <w:szCs w:val="24"/>
          <w:highlight w:val="none"/>
          <w:lang w:val="en-US" w:eastAsia="zh-CN"/>
        </w:rPr>
        <w:t>h</w:t>
      </w:r>
      <w:r>
        <w:rPr>
          <w:rFonts w:ascii="Book Antiqua" w:hAnsi="Book Antiqua" w:eastAsia="Book Antiqua" w:cs="Book Antiqua"/>
          <w:color w:val="000000"/>
          <w:sz w:val="24"/>
          <w:szCs w:val="24"/>
          <w:highlight w:val="none"/>
          <w:lang w:val="en-US" w:eastAsia="en-US"/>
        </w:rPr>
        <w:t>epatology</w:t>
      </w:r>
    </w:p>
    <w:p>
      <w:pPr>
        <w:spacing w:after="0" w:line="360" w:lineRule="auto"/>
        <w:jc w:val="both"/>
        <w:rPr>
          <w:rFonts w:ascii="Times New Roman" w:hAnsi="Times New Roman"/>
          <w:sz w:val="24"/>
          <w:szCs w:val="24"/>
          <w:highlight w:val="none"/>
          <w:lang w:val="en-US" w:eastAsia="en-US"/>
        </w:rPr>
      </w:pPr>
      <w:r>
        <w:rPr>
          <w:rFonts w:ascii="Book Antiqua" w:hAnsi="Book Antiqua" w:eastAsia="Book Antiqua" w:cs="Book Antiqua"/>
          <w:b/>
          <w:color w:val="000000"/>
          <w:sz w:val="24"/>
          <w:szCs w:val="24"/>
          <w:highlight w:val="none"/>
          <w:lang w:val="en-US" w:eastAsia="en-US"/>
        </w:rPr>
        <w:t xml:space="preserve">Country/Territory of origin: </w:t>
      </w:r>
      <w:r>
        <w:rPr>
          <w:rFonts w:ascii="Book Antiqua" w:hAnsi="Book Antiqua" w:eastAsia="Book Antiqua" w:cs="Book Antiqua"/>
          <w:color w:val="000000"/>
          <w:sz w:val="24"/>
          <w:szCs w:val="24"/>
          <w:highlight w:val="none"/>
          <w:lang w:val="en-US" w:eastAsia="en-US"/>
        </w:rPr>
        <w:t>Italy</w:t>
      </w:r>
    </w:p>
    <w:p>
      <w:pPr>
        <w:spacing w:after="0" w:line="360" w:lineRule="auto"/>
        <w:jc w:val="both"/>
        <w:rPr>
          <w:rFonts w:ascii="Times New Roman" w:hAnsi="Times New Roman"/>
          <w:sz w:val="24"/>
          <w:szCs w:val="24"/>
          <w:highlight w:val="none"/>
          <w:lang w:val="en-US" w:eastAsia="en-US"/>
        </w:rPr>
      </w:pPr>
      <w:r>
        <w:rPr>
          <w:rFonts w:ascii="Book Antiqua" w:hAnsi="Book Antiqua" w:eastAsia="Book Antiqua" w:cs="Book Antiqua"/>
          <w:b/>
          <w:color w:val="000000"/>
          <w:sz w:val="24"/>
          <w:szCs w:val="24"/>
          <w:highlight w:val="none"/>
          <w:lang w:val="en-US" w:eastAsia="en-US"/>
        </w:rPr>
        <w:t>Peer-review report’s scientific quality classification</w:t>
      </w:r>
    </w:p>
    <w:p>
      <w:pPr>
        <w:spacing w:after="0" w:line="360" w:lineRule="auto"/>
        <w:jc w:val="both"/>
        <w:rPr>
          <w:rFonts w:ascii="Times New Roman" w:hAnsi="Times New Roman"/>
          <w:sz w:val="24"/>
          <w:szCs w:val="24"/>
          <w:highlight w:val="none"/>
          <w:lang w:val="en-US" w:eastAsia="en-US"/>
        </w:rPr>
      </w:pPr>
      <w:r>
        <w:rPr>
          <w:rFonts w:ascii="Book Antiqua" w:hAnsi="Book Antiqua" w:eastAsia="Book Antiqua" w:cs="Book Antiqua"/>
          <w:color w:val="000000"/>
          <w:sz w:val="24"/>
          <w:szCs w:val="24"/>
          <w:highlight w:val="none"/>
          <w:lang w:val="en-US" w:eastAsia="en-US"/>
        </w:rPr>
        <w:t>Grade A (Excellent): A</w:t>
      </w:r>
    </w:p>
    <w:p>
      <w:pPr>
        <w:spacing w:after="0" w:line="360" w:lineRule="auto"/>
        <w:jc w:val="both"/>
        <w:rPr>
          <w:rFonts w:ascii="Times New Roman" w:hAnsi="Times New Roman"/>
          <w:sz w:val="24"/>
          <w:szCs w:val="24"/>
          <w:highlight w:val="none"/>
          <w:lang w:val="en-US" w:eastAsia="en-US"/>
        </w:rPr>
      </w:pPr>
      <w:r>
        <w:rPr>
          <w:rFonts w:ascii="Book Antiqua" w:hAnsi="Book Antiqua" w:eastAsia="Book Antiqua" w:cs="Book Antiqua"/>
          <w:color w:val="000000"/>
          <w:sz w:val="24"/>
          <w:szCs w:val="24"/>
          <w:highlight w:val="none"/>
          <w:lang w:val="en-US" w:eastAsia="en-US"/>
        </w:rPr>
        <w:t>Grade B (Very good): B, B</w:t>
      </w:r>
    </w:p>
    <w:p>
      <w:pPr>
        <w:spacing w:after="0" w:line="360" w:lineRule="auto"/>
        <w:jc w:val="both"/>
        <w:rPr>
          <w:rFonts w:ascii="Times New Roman" w:hAnsi="Times New Roman"/>
          <w:sz w:val="24"/>
          <w:szCs w:val="24"/>
          <w:highlight w:val="none"/>
          <w:lang w:val="en-US" w:eastAsia="en-US"/>
        </w:rPr>
      </w:pPr>
      <w:r>
        <w:rPr>
          <w:rFonts w:ascii="Book Antiqua" w:hAnsi="Book Antiqua" w:eastAsia="Book Antiqua" w:cs="Book Antiqua"/>
          <w:color w:val="000000"/>
          <w:sz w:val="24"/>
          <w:szCs w:val="24"/>
          <w:highlight w:val="none"/>
          <w:lang w:val="en-US" w:eastAsia="en-US"/>
        </w:rPr>
        <w:t>Grade C (Good): C, C, C</w:t>
      </w:r>
    </w:p>
    <w:p>
      <w:pPr>
        <w:spacing w:after="0" w:line="360" w:lineRule="auto"/>
        <w:jc w:val="both"/>
        <w:rPr>
          <w:rFonts w:ascii="Times New Roman" w:hAnsi="Times New Roman"/>
          <w:sz w:val="24"/>
          <w:szCs w:val="24"/>
          <w:highlight w:val="none"/>
          <w:lang w:val="en-US" w:eastAsia="en-US"/>
        </w:rPr>
      </w:pPr>
      <w:r>
        <w:rPr>
          <w:rFonts w:ascii="Book Antiqua" w:hAnsi="Book Antiqua" w:eastAsia="Book Antiqua" w:cs="Book Antiqua"/>
          <w:color w:val="000000"/>
          <w:sz w:val="24"/>
          <w:szCs w:val="24"/>
          <w:highlight w:val="none"/>
          <w:lang w:val="en-US" w:eastAsia="en-US"/>
        </w:rPr>
        <w:t>Grade D (Fair): 0</w:t>
      </w:r>
    </w:p>
    <w:p>
      <w:pPr>
        <w:spacing w:after="0" w:line="360" w:lineRule="auto"/>
        <w:jc w:val="both"/>
        <w:rPr>
          <w:rFonts w:ascii="Times New Roman" w:hAnsi="Times New Roman"/>
          <w:sz w:val="24"/>
          <w:szCs w:val="24"/>
          <w:highlight w:val="none"/>
          <w:lang w:val="en-US" w:eastAsia="en-US"/>
        </w:rPr>
      </w:pPr>
      <w:r>
        <w:rPr>
          <w:rFonts w:ascii="Book Antiqua" w:hAnsi="Book Antiqua" w:eastAsia="Book Antiqua" w:cs="Book Antiqua"/>
          <w:color w:val="000000"/>
          <w:sz w:val="24"/>
          <w:szCs w:val="24"/>
          <w:highlight w:val="none"/>
          <w:lang w:val="en-US" w:eastAsia="en-US"/>
        </w:rPr>
        <w:t>Grade E (Poor): 0</w:t>
      </w:r>
    </w:p>
    <w:p>
      <w:pPr>
        <w:spacing w:after="0" w:line="360" w:lineRule="auto"/>
        <w:jc w:val="both"/>
        <w:rPr>
          <w:rFonts w:ascii="Times New Roman" w:hAnsi="Times New Roman"/>
          <w:sz w:val="24"/>
          <w:szCs w:val="24"/>
          <w:highlight w:val="none"/>
          <w:lang w:val="en-US" w:eastAsia="en-US"/>
        </w:rPr>
      </w:pPr>
    </w:p>
    <w:p>
      <w:pPr>
        <w:spacing w:after="0" w:line="360" w:lineRule="auto"/>
        <w:jc w:val="both"/>
        <w:rPr>
          <w:rFonts w:ascii="Times New Roman" w:hAnsi="Times New Roman"/>
          <w:sz w:val="24"/>
          <w:szCs w:val="24"/>
          <w:highlight w:val="none"/>
          <w:lang w:val="en-US" w:eastAsia="en-US"/>
        </w:rPr>
      </w:pPr>
      <w:r>
        <w:rPr>
          <w:rFonts w:ascii="Book Antiqua" w:hAnsi="Book Antiqua" w:eastAsia="Book Antiqua" w:cs="Book Antiqua"/>
          <w:b/>
          <w:color w:val="000000"/>
          <w:sz w:val="24"/>
          <w:szCs w:val="24"/>
          <w:highlight w:val="none"/>
          <w:lang w:val="en-US" w:eastAsia="en-US"/>
        </w:rPr>
        <w:t xml:space="preserve">P-Reviewer: </w:t>
      </w:r>
      <w:r>
        <w:rPr>
          <w:rFonts w:ascii="Book Antiqua" w:hAnsi="Book Antiqua" w:eastAsia="Book Antiqua" w:cs="Book Antiqua"/>
          <w:color w:val="000000"/>
          <w:sz w:val="24"/>
          <w:szCs w:val="24"/>
          <w:highlight w:val="none"/>
          <w:lang w:val="en-US" w:eastAsia="en-US"/>
        </w:rPr>
        <w:t>Knudsen T, Mijandrusic-Sincic B, Rodrigues PM, Sitkin S, Volynets GV</w:t>
      </w:r>
      <w:r>
        <w:rPr>
          <w:rFonts w:ascii="Book Antiqua" w:hAnsi="Book Antiqua" w:eastAsia="Book Antiqua" w:cs="Book Antiqua"/>
          <w:b/>
          <w:color w:val="000000"/>
          <w:sz w:val="24"/>
          <w:szCs w:val="24"/>
          <w:highlight w:val="none"/>
          <w:lang w:val="en-US" w:eastAsia="en-US"/>
        </w:rPr>
        <w:t xml:space="preserve"> S-Editor: </w:t>
      </w:r>
      <w:r>
        <w:rPr>
          <w:rFonts w:ascii="Book Antiqua" w:hAnsi="Book Antiqua" w:eastAsia="Book Antiqua" w:cs="Book Antiqua"/>
          <w:color w:val="000000"/>
          <w:sz w:val="24"/>
          <w:szCs w:val="24"/>
          <w:highlight w:val="none"/>
          <w:lang w:val="en-US" w:eastAsia="en-US"/>
        </w:rPr>
        <w:t>Wang LL</w:t>
      </w:r>
      <w:r>
        <w:rPr>
          <w:rFonts w:ascii="Book Antiqua" w:hAnsi="Book Antiqua" w:eastAsia="Book Antiqua" w:cs="Book Antiqua"/>
          <w:b/>
          <w:color w:val="000000"/>
          <w:sz w:val="24"/>
          <w:szCs w:val="24"/>
          <w:highlight w:val="none"/>
          <w:lang w:val="en-US" w:eastAsia="en-US"/>
        </w:rPr>
        <w:t xml:space="preserve"> L-Editor: </w:t>
      </w:r>
      <w:r>
        <w:rPr>
          <w:rFonts w:ascii="Book Antiqua" w:hAnsi="Book Antiqua" w:eastAsia="Book Antiqua" w:cs="Book Antiqua"/>
          <w:color w:val="000000"/>
          <w:sz w:val="24"/>
          <w:szCs w:val="24"/>
          <w:highlight w:val="none"/>
          <w:lang w:val="en-US" w:eastAsia="en-US"/>
        </w:rPr>
        <w:t xml:space="preserve">Webster JR </w:t>
      </w:r>
      <w:r>
        <w:rPr>
          <w:rFonts w:ascii="Book Antiqua" w:hAnsi="Book Antiqua" w:eastAsia="Book Antiqua" w:cs="Book Antiqua"/>
          <w:b/>
          <w:color w:val="000000"/>
          <w:sz w:val="24"/>
          <w:szCs w:val="24"/>
          <w:highlight w:val="none"/>
          <w:lang w:val="en-US" w:eastAsia="en-US"/>
        </w:rPr>
        <w:t xml:space="preserve">P-Editor: </w:t>
      </w:r>
      <w:r>
        <w:rPr>
          <w:rFonts w:ascii="Book Antiqua" w:hAnsi="Book Antiqua" w:eastAsia="Book Antiqua" w:cs="Book Antiqua"/>
          <w:color w:val="000000"/>
          <w:sz w:val="24"/>
          <w:szCs w:val="24"/>
          <w:highlight w:val="none"/>
          <w:lang w:val="en-US" w:eastAsia="en-US"/>
        </w:rPr>
        <w:t>Wang LL</w:t>
      </w:r>
    </w:p>
    <w:p>
      <w:pPr>
        <w:adjustRightInd w:val="0"/>
        <w:snapToGrid w:val="0"/>
        <w:spacing w:after="0" w:line="360" w:lineRule="auto"/>
        <w:jc w:val="both"/>
        <w:rPr>
          <w:rFonts w:ascii="Book Antiqua" w:hAnsi="Book Antiqua" w:eastAsia="Book Antiqua" w:cs="Book Antiqua"/>
          <w:color w:val="000000"/>
          <w:sz w:val="24"/>
          <w:szCs w:val="24"/>
          <w:highlight w:val="none"/>
          <w:lang w:val="en-US"/>
        </w:rPr>
      </w:pPr>
      <w:r>
        <w:rPr>
          <w:rFonts w:ascii="Book Antiqua" w:hAnsi="Book Antiqua" w:eastAsia="Book Antiqua" w:cs="Book Antiqua"/>
          <w:b/>
          <w:color w:val="000000"/>
          <w:sz w:val="24"/>
          <w:szCs w:val="24"/>
          <w:highlight w:val="none"/>
          <w:lang w:val="en-GB"/>
        </w:rPr>
        <w:br w:type="page"/>
      </w:r>
      <w:r>
        <w:rPr>
          <w:rFonts w:ascii="Book Antiqua" w:hAnsi="Book Antiqua"/>
          <w:b/>
          <w:bCs/>
          <w:color w:val="000000"/>
          <w:sz w:val="24"/>
          <w:szCs w:val="24"/>
          <w:highlight w:val="none"/>
          <w:lang w:val="en-US"/>
        </w:rPr>
        <w:t>Table 1</w:t>
      </w:r>
      <w:r>
        <w:rPr>
          <w:rFonts w:ascii="Book Antiqua" w:hAnsi="Book Antiqua"/>
          <w:color w:val="000000"/>
          <w:sz w:val="24"/>
          <w:szCs w:val="24"/>
          <w:highlight w:val="none"/>
          <w:lang w:val="en-US"/>
        </w:rPr>
        <w:t xml:space="preserve"> </w:t>
      </w:r>
      <w:r>
        <w:rPr>
          <w:rFonts w:ascii="Book Antiqua" w:hAnsi="Book Antiqua"/>
          <w:b/>
          <w:bCs/>
          <w:color w:val="000000"/>
          <w:sz w:val="24"/>
          <w:szCs w:val="24"/>
          <w:highlight w:val="none"/>
          <w:lang w:val="en-US"/>
        </w:rPr>
        <w:t>Main liver comorbidities associated with inflammatory bowel disease</w:t>
      </w:r>
    </w:p>
    <w:tbl>
      <w:tblPr>
        <w:tblStyle w:val="8"/>
        <w:tblW w:w="4899"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28" w:type="dxa"/>
          <w:left w:w="57" w:type="dxa"/>
          <w:bottom w:w="28" w:type="dxa"/>
          <w:right w:w="57" w:type="dxa"/>
        </w:tblCellMar>
      </w:tblPr>
      <w:tblGrid>
        <w:gridCol w:w="3415"/>
        <w:gridCol w:w="2454"/>
        <w:gridCol w:w="368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28" w:type="dxa"/>
            <w:left w:w="57" w:type="dxa"/>
            <w:bottom w:w="28" w:type="dxa"/>
            <w:right w:w="57" w:type="dxa"/>
          </w:tblCellMar>
        </w:tblPrEx>
        <w:trPr>
          <w:trHeight w:val="674" w:hRule="atLeast"/>
        </w:trPr>
        <w:tc>
          <w:tcPr>
            <w:tcW w:w="1787" w:type="pct"/>
            <w:tcBorders>
              <w:top w:val="single" w:color="auto" w:sz="4" w:space="0"/>
              <w:bottom w:val="single" w:color="auto" w:sz="4" w:space="0"/>
            </w:tcBorders>
            <w:shd w:val="clear" w:color="auto" w:fill="auto"/>
          </w:tcPr>
          <w:p>
            <w:pPr>
              <w:spacing w:after="0" w:line="360" w:lineRule="auto"/>
              <w:jc w:val="both"/>
              <w:rPr>
                <w:rFonts w:ascii="Book Antiqua" w:hAnsi="Book Antiqua"/>
                <w:b/>
                <w:bCs/>
                <w:color w:val="000000"/>
                <w:sz w:val="24"/>
                <w:szCs w:val="24"/>
                <w:highlight w:val="none"/>
              </w:rPr>
            </w:pPr>
            <w:r>
              <w:rPr>
                <w:rFonts w:ascii="Book Antiqua" w:hAnsi="Book Antiqua"/>
                <w:b/>
                <w:bCs/>
                <w:color w:val="000000"/>
                <w:sz w:val="24"/>
                <w:szCs w:val="24"/>
                <w:highlight w:val="none"/>
                <w:lang w:val="en-US"/>
              </w:rPr>
              <w:t>Associated diseases</w:t>
            </w:r>
          </w:p>
        </w:tc>
        <w:tc>
          <w:tcPr>
            <w:tcW w:w="1284" w:type="pct"/>
            <w:tcBorders>
              <w:top w:val="single" w:color="auto" w:sz="4" w:space="0"/>
              <w:bottom w:val="single" w:color="auto" w:sz="4" w:space="0"/>
            </w:tcBorders>
            <w:shd w:val="clear" w:color="auto" w:fill="auto"/>
          </w:tcPr>
          <w:p>
            <w:pPr>
              <w:spacing w:after="0" w:line="360" w:lineRule="auto"/>
              <w:jc w:val="both"/>
              <w:rPr>
                <w:rFonts w:ascii="Book Antiqua" w:hAnsi="Book Antiqua"/>
                <w:b/>
                <w:bCs/>
                <w:color w:val="000000"/>
                <w:sz w:val="24"/>
                <w:szCs w:val="24"/>
                <w:highlight w:val="none"/>
                <w:lang w:eastAsia="zh-CN"/>
              </w:rPr>
            </w:pPr>
            <w:r>
              <w:rPr>
                <w:rFonts w:ascii="Book Antiqua" w:hAnsi="Book Antiqua"/>
                <w:b/>
                <w:bCs/>
                <w:color w:val="000000"/>
                <w:sz w:val="24"/>
                <w:szCs w:val="24"/>
                <w:highlight w:val="none"/>
                <w:lang w:val="en-US"/>
              </w:rPr>
              <w:t>Prevalence in IBD</w:t>
            </w:r>
            <w:r>
              <w:rPr>
                <w:rFonts w:hint="eastAsia" w:ascii="Book Antiqua" w:hAnsi="Book Antiqua"/>
                <w:b/>
                <w:bCs/>
                <w:color w:val="000000"/>
                <w:sz w:val="24"/>
                <w:szCs w:val="24"/>
                <w:highlight w:val="none"/>
                <w:lang w:val="en-US" w:eastAsia="zh-CN"/>
              </w:rPr>
              <w:t xml:space="preserve"> (%)</w:t>
            </w:r>
          </w:p>
        </w:tc>
        <w:tc>
          <w:tcPr>
            <w:tcW w:w="1929" w:type="pct"/>
            <w:tcBorders>
              <w:top w:val="single" w:color="auto" w:sz="4" w:space="0"/>
              <w:bottom w:val="single" w:color="auto" w:sz="4" w:space="0"/>
            </w:tcBorders>
            <w:shd w:val="clear" w:color="auto" w:fill="auto"/>
          </w:tcPr>
          <w:p>
            <w:pPr>
              <w:spacing w:after="0" w:line="360" w:lineRule="auto"/>
              <w:jc w:val="both"/>
              <w:rPr>
                <w:rFonts w:ascii="Book Antiqua" w:hAnsi="Book Antiqua"/>
                <w:b/>
                <w:bCs/>
                <w:color w:val="000000"/>
                <w:sz w:val="24"/>
                <w:szCs w:val="24"/>
                <w:highlight w:val="none"/>
              </w:rPr>
            </w:pPr>
            <w:r>
              <w:rPr>
                <w:rFonts w:ascii="Book Antiqua" w:hAnsi="Book Antiqua"/>
                <w:b/>
                <w:bCs/>
                <w:color w:val="000000"/>
                <w:sz w:val="24"/>
                <w:szCs w:val="24"/>
                <w:highlight w:val="none"/>
                <w:lang w:val="en-US"/>
              </w:rPr>
              <w:t xml:space="preserve">Notes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28" w:type="dxa"/>
            <w:left w:w="57" w:type="dxa"/>
            <w:bottom w:w="28" w:type="dxa"/>
            <w:right w:w="57" w:type="dxa"/>
          </w:tblCellMar>
        </w:tblPrEx>
        <w:trPr>
          <w:trHeight w:val="674" w:hRule="atLeast"/>
        </w:trPr>
        <w:tc>
          <w:tcPr>
            <w:tcW w:w="1787" w:type="pct"/>
            <w:tcBorders>
              <w:top w:val="single" w:color="auto" w:sz="4" w:space="0"/>
            </w:tcBorders>
            <w:shd w:val="clear" w:color="auto" w:fill="auto"/>
          </w:tcPr>
          <w:p>
            <w:pPr>
              <w:spacing w:after="0" w:line="360" w:lineRule="auto"/>
              <w:jc w:val="both"/>
              <w:rPr>
                <w:rFonts w:ascii="Book Antiqua" w:hAnsi="Book Antiqua"/>
                <w:color w:val="000000"/>
                <w:sz w:val="24"/>
                <w:szCs w:val="24"/>
                <w:highlight w:val="none"/>
              </w:rPr>
            </w:pPr>
            <w:r>
              <w:rPr>
                <w:rFonts w:ascii="Book Antiqua" w:hAnsi="Book Antiqua"/>
                <w:color w:val="000000"/>
                <w:sz w:val="24"/>
                <w:szCs w:val="24"/>
                <w:highlight w:val="none"/>
                <w:lang w:val="en-US"/>
              </w:rPr>
              <w:t>PSC</w:t>
            </w:r>
          </w:p>
        </w:tc>
        <w:tc>
          <w:tcPr>
            <w:tcW w:w="1284" w:type="pct"/>
            <w:tcBorders>
              <w:top w:val="single" w:color="auto" w:sz="4" w:space="0"/>
            </w:tcBorders>
            <w:shd w:val="clear" w:color="auto" w:fill="auto"/>
          </w:tcPr>
          <w:p>
            <w:pPr>
              <w:spacing w:after="0" w:line="360" w:lineRule="auto"/>
              <w:jc w:val="both"/>
              <w:rPr>
                <w:rFonts w:ascii="Book Antiqua" w:hAnsi="Book Antiqua"/>
                <w:color w:val="000000"/>
                <w:sz w:val="24"/>
                <w:szCs w:val="24"/>
                <w:highlight w:val="none"/>
                <w:lang w:eastAsia="zh-CN"/>
              </w:rPr>
            </w:pPr>
            <w:r>
              <w:rPr>
                <w:rFonts w:ascii="Book Antiqua" w:hAnsi="Book Antiqua"/>
                <w:color w:val="000000"/>
                <w:sz w:val="24"/>
                <w:szCs w:val="24"/>
                <w:highlight w:val="none"/>
                <w:lang w:val="en-US"/>
              </w:rPr>
              <w:t>0.024-0.041</w:t>
            </w:r>
          </w:p>
        </w:tc>
        <w:tc>
          <w:tcPr>
            <w:tcW w:w="1929" w:type="pct"/>
            <w:tcBorders>
              <w:top w:val="single" w:color="auto" w:sz="4" w:space="0"/>
            </w:tcBorders>
            <w:shd w:val="clear" w:color="auto" w:fill="auto"/>
          </w:tcPr>
          <w:p>
            <w:pPr>
              <w:spacing w:after="0" w:line="360" w:lineRule="auto"/>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Higher risk of cholangiocarcinoma and colorectal cancer</w:t>
            </w:r>
            <w:r>
              <w:rPr>
                <w:rFonts w:hint="eastAsia" w:ascii="Book Antiqua" w:hAnsi="Book Antiqua"/>
                <w:color w:val="000000"/>
                <w:sz w:val="24"/>
                <w:szCs w:val="24"/>
                <w:highlight w:val="none"/>
                <w:lang w:val="en-US" w:eastAsia="zh-CN"/>
              </w:rPr>
              <w:t xml:space="preserve">; </w:t>
            </w:r>
            <w:r>
              <w:rPr>
                <w:rFonts w:ascii="Book Antiqua" w:hAnsi="Book Antiqua"/>
                <w:color w:val="000000"/>
                <w:sz w:val="24"/>
                <w:szCs w:val="24"/>
                <w:highlight w:val="none"/>
                <w:lang w:val="en-US"/>
              </w:rPr>
              <w:t>IBD shows less severe lesions than IBD alone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28" w:type="dxa"/>
            <w:left w:w="57" w:type="dxa"/>
            <w:bottom w:w="28" w:type="dxa"/>
            <w:right w:w="57" w:type="dxa"/>
          </w:tblCellMar>
        </w:tblPrEx>
        <w:trPr>
          <w:trHeight w:val="674" w:hRule="atLeast"/>
        </w:trPr>
        <w:tc>
          <w:tcPr>
            <w:tcW w:w="1787" w:type="pct"/>
            <w:shd w:val="clear" w:color="auto" w:fill="auto"/>
          </w:tcPr>
          <w:p>
            <w:pPr>
              <w:spacing w:after="0" w:line="360" w:lineRule="auto"/>
              <w:jc w:val="both"/>
              <w:rPr>
                <w:rFonts w:ascii="Book Antiqua" w:hAnsi="Book Antiqua"/>
                <w:color w:val="000000"/>
                <w:sz w:val="24"/>
                <w:szCs w:val="24"/>
                <w:highlight w:val="none"/>
              </w:rPr>
            </w:pPr>
            <w:r>
              <w:rPr>
                <w:rFonts w:ascii="Book Antiqua" w:hAnsi="Book Antiqua"/>
                <w:color w:val="000000"/>
                <w:sz w:val="24"/>
                <w:szCs w:val="24"/>
                <w:highlight w:val="none"/>
                <w:lang w:val="en-US"/>
              </w:rPr>
              <w:t>NAFLD</w:t>
            </w:r>
          </w:p>
        </w:tc>
        <w:tc>
          <w:tcPr>
            <w:tcW w:w="1284" w:type="pct"/>
            <w:shd w:val="clear" w:color="auto" w:fill="auto"/>
          </w:tcPr>
          <w:p>
            <w:pPr>
              <w:spacing w:after="0" w:line="360" w:lineRule="auto"/>
              <w:jc w:val="both"/>
              <w:rPr>
                <w:rFonts w:ascii="Book Antiqua" w:hAnsi="Book Antiqua"/>
                <w:color w:val="000000"/>
                <w:sz w:val="24"/>
                <w:szCs w:val="24"/>
                <w:highlight w:val="none"/>
                <w:lang w:eastAsia="zh-CN"/>
              </w:rPr>
            </w:pPr>
            <w:r>
              <w:rPr>
                <w:rFonts w:ascii="Book Antiqua" w:hAnsi="Book Antiqua"/>
                <w:color w:val="000000"/>
                <w:sz w:val="24"/>
                <w:szCs w:val="24"/>
                <w:highlight w:val="none"/>
                <w:lang w:val="en-US"/>
              </w:rPr>
              <w:t>20-30</w:t>
            </w:r>
          </w:p>
        </w:tc>
        <w:tc>
          <w:tcPr>
            <w:tcW w:w="1929" w:type="pct"/>
            <w:shd w:val="clear" w:color="auto" w:fill="auto"/>
          </w:tcPr>
          <w:p>
            <w:pPr>
              <w:spacing w:after="0" w:line="360" w:lineRule="auto"/>
              <w:jc w:val="both"/>
              <w:rPr>
                <w:rFonts w:ascii="Book Antiqua" w:hAnsi="Book Antiqua"/>
                <w:color w:val="000000"/>
                <w:sz w:val="24"/>
                <w:szCs w:val="24"/>
                <w:highlight w:val="none"/>
              </w:rPr>
            </w:pPr>
            <w:r>
              <w:rPr>
                <w:rFonts w:ascii="Book Antiqua" w:hAnsi="Book Antiqua"/>
                <w:color w:val="000000"/>
                <w:sz w:val="24"/>
                <w:szCs w:val="24"/>
                <w:highlight w:val="none"/>
                <w:lang w:val="en-US"/>
              </w:rPr>
              <w:t>Associated with the use of corticosteroids, long disease duration, severe disease course</w:t>
            </w:r>
            <w:r>
              <w:rPr>
                <w:rFonts w:hint="eastAsia" w:ascii="Book Antiqua" w:hAnsi="Book Antiqua"/>
                <w:color w:val="000000"/>
                <w:sz w:val="24"/>
                <w:szCs w:val="24"/>
                <w:highlight w:val="none"/>
                <w:lang w:val="en-US" w:eastAsia="zh-CN"/>
              </w:rPr>
              <w:t xml:space="preserve">; </w:t>
            </w:r>
            <w:r>
              <w:rPr>
                <w:rFonts w:ascii="Book Antiqua" w:hAnsi="Book Antiqua"/>
                <w:color w:val="000000"/>
                <w:sz w:val="24"/>
                <w:szCs w:val="24"/>
                <w:highlight w:val="none"/>
                <w:lang w:val="en-US"/>
              </w:rPr>
              <w:t>Associated with metabolic syndrome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28" w:type="dxa"/>
            <w:left w:w="57" w:type="dxa"/>
            <w:bottom w:w="28" w:type="dxa"/>
            <w:right w:w="57" w:type="dxa"/>
          </w:tblCellMar>
        </w:tblPrEx>
        <w:trPr>
          <w:trHeight w:val="674" w:hRule="atLeast"/>
        </w:trPr>
        <w:tc>
          <w:tcPr>
            <w:tcW w:w="1787" w:type="pct"/>
            <w:shd w:val="clear" w:color="auto" w:fill="auto"/>
          </w:tcPr>
          <w:p>
            <w:pPr>
              <w:spacing w:after="0" w:line="360" w:lineRule="auto"/>
              <w:jc w:val="both"/>
              <w:rPr>
                <w:rFonts w:ascii="Book Antiqua" w:hAnsi="Book Antiqua"/>
                <w:color w:val="000000"/>
                <w:sz w:val="24"/>
                <w:szCs w:val="24"/>
                <w:highlight w:val="none"/>
              </w:rPr>
            </w:pPr>
            <w:r>
              <w:rPr>
                <w:rFonts w:ascii="Book Antiqua" w:hAnsi="Book Antiqua"/>
                <w:color w:val="000000"/>
                <w:sz w:val="24"/>
                <w:szCs w:val="24"/>
                <w:highlight w:val="none"/>
                <w:lang w:val="en-US"/>
              </w:rPr>
              <w:t>Viral hepatitis</w:t>
            </w:r>
          </w:p>
        </w:tc>
        <w:tc>
          <w:tcPr>
            <w:tcW w:w="1284" w:type="pct"/>
            <w:shd w:val="clear" w:color="auto" w:fill="auto"/>
          </w:tcPr>
          <w:p>
            <w:pPr>
              <w:spacing w:after="0" w:line="360" w:lineRule="auto"/>
              <w:jc w:val="both"/>
              <w:rPr>
                <w:rFonts w:ascii="Book Antiqua" w:hAnsi="Book Antiqua"/>
                <w:color w:val="000000"/>
                <w:sz w:val="24"/>
                <w:szCs w:val="24"/>
                <w:highlight w:val="none"/>
                <w:lang w:eastAsia="zh-CN"/>
              </w:rPr>
            </w:pPr>
            <w:r>
              <w:rPr>
                <w:rFonts w:ascii="Book Antiqua" w:hAnsi="Book Antiqua"/>
                <w:color w:val="000000"/>
                <w:sz w:val="24"/>
                <w:szCs w:val="24"/>
                <w:highlight w:val="none"/>
                <w:lang w:val="en-US"/>
              </w:rPr>
              <w:t>1-9</w:t>
            </w:r>
          </w:p>
        </w:tc>
        <w:tc>
          <w:tcPr>
            <w:tcW w:w="1929" w:type="pct"/>
            <w:shd w:val="clear" w:color="auto" w:fill="auto"/>
          </w:tcPr>
          <w:p>
            <w:pPr>
              <w:spacing w:after="0" w:line="360" w:lineRule="auto"/>
              <w:jc w:val="both"/>
              <w:rPr>
                <w:rFonts w:ascii="Book Antiqua" w:hAnsi="Book Antiqua"/>
                <w:color w:val="000000"/>
                <w:sz w:val="24"/>
                <w:szCs w:val="24"/>
                <w:highlight w:val="none"/>
              </w:rPr>
            </w:pPr>
            <w:r>
              <w:rPr>
                <w:rFonts w:ascii="Book Antiqua" w:hAnsi="Book Antiqua"/>
                <w:color w:val="000000"/>
                <w:sz w:val="24"/>
                <w:szCs w:val="24"/>
                <w:highlight w:val="none"/>
                <w:lang w:val="en-US"/>
              </w:rPr>
              <w:t>More common in the elderly</w:t>
            </w:r>
            <w:r>
              <w:rPr>
                <w:rFonts w:hint="eastAsia" w:ascii="Book Antiqua" w:hAnsi="Book Antiqua"/>
                <w:color w:val="000000"/>
                <w:sz w:val="24"/>
                <w:szCs w:val="24"/>
                <w:highlight w:val="none"/>
                <w:lang w:val="en-US" w:eastAsia="zh-CN"/>
              </w:rPr>
              <w:t xml:space="preserve">; </w:t>
            </w:r>
            <w:r>
              <w:rPr>
                <w:rFonts w:ascii="Book Antiqua" w:hAnsi="Book Antiqua"/>
                <w:color w:val="000000"/>
                <w:sz w:val="24"/>
                <w:szCs w:val="24"/>
                <w:highlight w:val="none"/>
                <w:lang w:val="en-US"/>
              </w:rPr>
              <w:t>Association with advanced liver fibrosis</w:t>
            </w:r>
            <w:r>
              <w:rPr>
                <w:rFonts w:hint="eastAsia" w:ascii="Book Antiqua" w:hAnsi="Book Antiqua"/>
                <w:color w:val="000000"/>
                <w:sz w:val="24"/>
                <w:szCs w:val="24"/>
                <w:highlight w:val="none"/>
                <w:lang w:val="en-US" w:eastAsia="zh-CN"/>
              </w:rPr>
              <w:t xml:space="preserve">; </w:t>
            </w:r>
            <w:r>
              <w:rPr>
                <w:rFonts w:ascii="Book Antiqua" w:hAnsi="Book Antiqua"/>
                <w:color w:val="000000"/>
                <w:sz w:val="24"/>
                <w:szCs w:val="24"/>
                <w:highlight w:val="none"/>
                <w:lang w:val="en-US"/>
              </w:rPr>
              <w:t>Need for anti-viral treatment before starting immunosuppressive drugs</w:t>
            </w:r>
            <w:r>
              <w:rPr>
                <w:rFonts w:hint="eastAsia" w:ascii="Book Antiqua" w:hAnsi="Book Antiqua"/>
                <w:color w:val="000000"/>
                <w:sz w:val="24"/>
                <w:szCs w:val="24"/>
                <w:highlight w:val="none"/>
                <w:lang w:val="en-US" w:eastAsia="zh-CN"/>
              </w:rPr>
              <w:t xml:space="preserve">; </w:t>
            </w:r>
            <w:r>
              <w:rPr>
                <w:rFonts w:ascii="Book Antiqua" w:hAnsi="Book Antiqua"/>
                <w:color w:val="000000"/>
                <w:sz w:val="24"/>
                <w:szCs w:val="24"/>
                <w:highlight w:val="none"/>
                <w:lang w:val="en-US"/>
              </w:rPr>
              <w:t>HBV vaccine recommended</w:t>
            </w:r>
          </w:p>
        </w:tc>
      </w:tr>
    </w:tbl>
    <w:p>
      <w:pPr>
        <w:spacing w:after="0" w:line="360" w:lineRule="auto"/>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HBV: Hepatitis B virus; NAFLD: Non-alcoholic fatty liver disease; PSC: Primary sclerosing cholangitis; IBD: Inflammatory bowel disease.</w:t>
      </w:r>
    </w:p>
    <w:p>
      <w:pPr>
        <w:spacing w:after="0" w:line="360" w:lineRule="auto"/>
        <w:jc w:val="both"/>
        <w:rPr>
          <w:rFonts w:ascii="Book Antiqua" w:hAnsi="Book Antiqua"/>
          <w:b/>
          <w:bCs/>
          <w:color w:val="000000"/>
          <w:sz w:val="24"/>
          <w:szCs w:val="24"/>
          <w:highlight w:val="none"/>
          <w:lang w:val="en-US"/>
        </w:rPr>
      </w:pPr>
    </w:p>
    <w:p>
      <w:pPr>
        <w:spacing w:after="0" w:line="360" w:lineRule="auto"/>
        <w:jc w:val="both"/>
        <w:rPr>
          <w:rFonts w:ascii="Book Antiqua" w:hAnsi="Book Antiqua"/>
          <w:b/>
          <w:bCs/>
          <w:color w:val="000000"/>
          <w:sz w:val="24"/>
          <w:szCs w:val="24"/>
          <w:highlight w:val="none"/>
          <w:lang w:val="en-US"/>
        </w:rPr>
      </w:pPr>
    </w:p>
    <w:p>
      <w:pPr>
        <w:spacing w:after="0" w:line="360" w:lineRule="auto"/>
        <w:jc w:val="both"/>
        <w:rPr>
          <w:rFonts w:ascii="Book Antiqua" w:hAnsi="Book Antiqua"/>
          <w:b/>
          <w:bCs/>
          <w:color w:val="000000"/>
          <w:sz w:val="24"/>
          <w:szCs w:val="24"/>
          <w:highlight w:val="none"/>
          <w:lang w:val="en-US"/>
        </w:rPr>
      </w:pPr>
      <w:r>
        <w:rPr>
          <w:rFonts w:ascii="Book Antiqua" w:hAnsi="Book Antiqua"/>
          <w:b/>
          <w:bCs/>
          <w:color w:val="000000"/>
          <w:sz w:val="24"/>
          <w:szCs w:val="24"/>
          <w:highlight w:val="none"/>
          <w:lang w:val="en-US"/>
        </w:rPr>
        <w:br w:type="page"/>
      </w:r>
      <w:r>
        <w:rPr>
          <w:rFonts w:ascii="Book Antiqua" w:hAnsi="Book Antiqua"/>
          <w:b/>
          <w:bCs/>
          <w:color w:val="000000"/>
          <w:sz w:val="24"/>
          <w:szCs w:val="24"/>
          <w:highlight w:val="none"/>
          <w:lang w:val="en-US"/>
        </w:rPr>
        <w:t>Table 2</w:t>
      </w:r>
      <w:r>
        <w:rPr>
          <w:rFonts w:ascii="Book Antiqua" w:hAnsi="Book Antiqua"/>
          <w:color w:val="000000"/>
          <w:sz w:val="24"/>
          <w:szCs w:val="24"/>
          <w:highlight w:val="none"/>
          <w:lang w:val="en-US"/>
        </w:rPr>
        <w:t xml:space="preserve"> </w:t>
      </w:r>
      <w:r>
        <w:rPr>
          <w:rFonts w:ascii="Book Antiqua" w:hAnsi="Book Antiqua"/>
          <w:b/>
          <w:bCs/>
          <w:color w:val="000000"/>
          <w:sz w:val="24"/>
          <w:szCs w:val="24"/>
          <w:highlight w:val="none"/>
          <w:lang w:val="en-US"/>
        </w:rPr>
        <w:t>Main features of drug-induced liver injury in inflammatory bowel disease</w:t>
      </w:r>
    </w:p>
    <w:tbl>
      <w:tblPr>
        <w:tblStyle w:val="8"/>
        <w:tblW w:w="4899"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28" w:type="dxa"/>
          <w:left w:w="57" w:type="dxa"/>
          <w:bottom w:w="28" w:type="dxa"/>
          <w:right w:w="57" w:type="dxa"/>
        </w:tblCellMar>
      </w:tblPr>
      <w:tblGrid>
        <w:gridCol w:w="4735"/>
        <w:gridCol w:w="48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28" w:type="dxa"/>
            <w:left w:w="57" w:type="dxa"/>
            <w:bottom w:w="28" w:type="dxa"/>
            <w:right w:w="57" w:type="dxa"/>
          </w:tblCellMar>
        </w:tblPrEx>
        <w:trPr>
          <w:trHeight w:val="1336" w:hRule="atLeast"/>
        </w:trPr>
        <w:tc>
          <w:tcPr>
            <w:tcW w:w="2478" w:type="pct"/>
            <w:tcBorders>
              <w:top w:val="single" w:color="auto" w:sz="4" w:space="0"/>
              <w:bottom w:val="single" w:color="auto" w:sz="4" w:space="0"/>
            </w:tcBorders>
            <w:shd w:val="clear" w:color="auto" w:fill="auto"/>
          </w:tcPr>
          <w:p>
            <w:pPr>
              <w:spacing w:after="0" w:line="360" w:lineRule="auto"/>
              <w:jc w:val="both"/>
              <w:rPr>
                <w:rFonts w:ascii="Book Antiqua" w:hAnsi="Book Antiqua"/>
                <w:b/>
                <w:bCs/>
                <w:color w:val="000000"/>
                <w:sz w:val="24"/>
                <w:szCs w:val="24"/>
                <w:highlight w:val="none"/>
              </w:rPr>
            </w:pPr>
            <w:r>
              <w:rPr>
                <w:rFonts w:ascii="Book Antiqua" w:hAnsi="Book Antiqua"/>
                <w:b/>
                <w:bCs/>
                <w:color w:val="000000"/>
                <w:sz w:val="24"/>
                <w:szCs w:val="24"/>
                <w:highlight w:val="none"/>
                <w:lang w:val="en-US"/>
              </w:rPr>
              <w:t xml:space="preserve">Drug </w:t>
            </w:r>
          </w:p>
        </w:tc>
        <w:tc>
          <w:tcPr>
            <w:tcW w:w="2522" w:type="pct"/>
            <w:tcBorders>
              <w:top w:val="single" w:color="auto" w:sz="4" w:space="0"/>
              <w:bottom w:val="single" w:color="auto" w:sz="4" w:space="0"/>
            </w:tcBorders>
            <w:shd w:val="clear" w:color="auto" w:fill="auto"/>
          </w:tcPr>
          <w:p>
            <w:pPr>
              <w:spacing w:after="0" w:line="360" w:lineRule="auto"/>
              <w:jc w:val="both"/>
              <w:rPr>
                <w:rFonts w:ascii="Book Antiqua" w:hAnsi="Book Antiqua"/>
                <w:b/>
                <w:bCs/>
                <w:color w:val="000000"/>
                <w:sz w:val="24"/>
                <w:szCs w:val="24"/>
                <w:highlight w:val="none"/>
                <w:lang w:val="en-US"/>
              </w:rPr>
            </w:pPr>
            <w:r>
              <w:rPr>
                <w:rFonts w:ascii="Book Antiqua" w:hAnsi="Book Antiqua"/>
                <w:b/>
                <w:bCs/>
                <w:color w:val="000000"/>
                <w:sz w:val="24"/>
                <w:szCs w:val="24"/>
                <w:highlight w:val="none"/>
                <w:lang w:val="en-US"/>
              </w:rPr>
              <w:t>Characteristics of drug induced liver injury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28" w:type="dxa"/>
            <w:left w:w="57" w:type="dxa"/>
            <w:bottom w:w="28" w:type="dxa"/>
            <w:right w:w="57" w:type="dxa"/>
          </w:tblCellMar>
        </w:tblPrEx>
        <w:trPr>
          <w:trHeight w:val="1336" w:hRule="atLeast"/>
        </w:trPr>
        <w:tc>
          <w:tcPr>
            <w:tcW w:w="2478" w:type="pct"/>
            <w:tcBorders>
              <w:top w:val="single" w:color="auto" w:sz="4" w:space="0"/>
            </w:tcBorders>
            <w:shd w:val="clear" w:color="auto" w:fill="auto"/>
          </w:tcPr>
          <w:p>
            <w:pPr>
              <w:spacing w:after="0" w:line="360" w:lineRule="auto"/>
              <w:jc w:val="both"/>
              <w:rPr>
                <w:rFonts w:ascii="Book Antiqua" w:hAnsi="Book Antiqua"/>
                <w:color w:val="000000"/>
                <w:sz w:val="24"/>
                <w:szCs w:val="24"/>
                <w:highlight w:val="none"/>
              </w:rPr>
            </w:pPr>
            <w:r>
              <w:rPr>
                <w:rFonts w:ascii="Book Antiqua" w:hAnsi="Book Antiqua"/>
                <w:bCs/>
                <w:color w:val="000000"/>
                <w:sz w:val="24"/>
                <w:szCs w:val="24"/>
                <w:highlight w:val="none"/>
                <w:lang w:val="en-US"/>
              </w:rPr>
              <w:t xml:space="preserve">Aminosalicylates </w:t>
            </w:r>
          </w:p>
        </w:tc>
        <w:tc>
          <w:tcPr>
            <w:tcW w:w="2522" w:type="pct"/>
            <w:tcBorders>
              <w:top w:val="single" w:color="auto" w:sz="4" w:space="0"/>
            </w:tcBorders>
            <w:shd w:val="clear" w:color="auto" w:fill="auto"/>
          </w:tcPr>
          <w:p>
            <w:pPr>
              <w:spacing w:after="0" w:line="360" w:lineRule="auto"/>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Increases in LFT</w:t>
            </w:r>
            <w:r>
              <w:rPr>
                <w:rFonts w:hint="eastAsia" w:ascii="Book Antiqua" w:hAnsi="Book Antiqua"/>
                <w:color w:val="000000"/>
                <w:sz w:val="24"/>
                <w:szCs w:val="24"/>
                <w:highlight w:val="none"/>
                <w:lang w:val="en-US" w:eastAsia="zh-CN"/>
              </w:rPr>
              <w:t xml:space="preserve">; </w:t>
            </w:r>
            <w:r>
              <w:rPr>
                <w:rFonts w:ascii="Book Antiqua" w:hAnsi="Book Antiqua"/>
                <w:color w:val="000000"/>
                <w:sz w:val="24"/>
                <w:szCs w:val="24"/>
                <w:highlight w:val="none"/>
                <w:lang w:val="en-US"/>
              </w:rPr>
              <w:t>Cholestatic pattern</w:t>
            </w:r>
            <w:r>
              <w:rPr>
                <w:rFonts w:hint="eastAsia" w:ascii="Book Antiqua" w:hAnsi="Book Antiqua"/>
                <w:color w:val="000000"/>
                <w:sz w:val="24"/>
                <w:szCs w:val="24"/>
                <w:highlight w:val="none"/>
                <w:lang w:val="en-US" w:eastAsia="zh-CN"/>
              </w:rPr>
              <w:t xml:space="preserve">; </w:t>
            </w:r>
            <w:r>
              <w:rPr>
                <w:rFonts w:ascii="Book Antiqua" w:hAnsi="Book Antiqua"/>
                <w:color w:val="000000"/>
                <w:sz w:val="24"/>
                <w:szCs w:val="24"/>
                <w:highlight w:val="none"/>
                <w:lang w:val="en-US"/>
              </w:rPr>
              <w:t>Rarely eosinophilia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28" w:type="dxa"/>
            <w:left w:w="57" w:type="dxa"/>
            <w:bottom w:w="28" w:type="dxa"/>
            <w:right w:w="57" w:type="dxa"/>
          </w:tblCellMar>
        </w:tblPrEx>
        <w:trPr>
          <w:trHeight w:val="1336" w:hRule="atLeast"/>
        </w:trPr>
        <w:tc>
          <w:tcPr>
            <w:tcW w:w="2478" w:type="pct"/>
            <w:shd w:val="clear" w:color="auto" w:fill="auto"/>
          </w:tcPr>
          <w:p>
            <w:pPr>
              <w:spacing w:after="0" w:line="360" w:lineRule="auto"/>
              <w:jc w:val="both"/>
              <w:rPr>
                <w:rFonts w:ascii="Book Antiqua" w:hAnsi="Book Antiqua"/>
                <w:color w:val="000000"/>
                <w:sz w:val="24"/>
                <w:szCs w:val="24"/>
                <w:highlight w:val="none"/>
              </w:rPr>
            </w:pPr>
            <w:r>
              <w:rPr>
                <w:rFonts w:ascii="Book Antiqua" w:hAnsi="Book Antiqua"/>
                <w:bCs/>
                <w:color w:val="000000"/>
                <w:sz w:val="24"/>
                <w:szCs w:val="24"/>
                <w:highlight w:val="none"/>
                <w:lang w:val="en-US"/>
              </w:rPr>
              <w:t xml:space="preserve">Thiopurines </w:t>
            </w:r>
          </w:p>
        </w:tc>
        <w:tc>
          <w:tcPr>
            <w:tcW w:w="2522" w:type="pct"/>
            <w:shd w:val="clear" w:color="auto" w:fill="auto"/>
          </w:tcPr>
          <w:p>
            <w:pPr>
              <w:spacing w:after="0" w:line="360" w:lineRule="auto"/>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Influenced by TMPT polymorphisms &gt; increase in 6-MMP, the hepatotoxic molecule</w:t>
            </w:r>
            <w:r>
              <w:rPr>
                <w:rFonts w:hint="eastAsia" w:ascii="Book Antiqua" w:hAnsi="Book Antiqua"/>
                <w:color w:val="000000"/>
                <w:sz w:val="24"/>
                <w:szCs w:val="24"/>
                <w:highlight w:val="none"/>
                <w:lang w:val="en-US" w:eastAsia="zh-CN"/>
              </w:rPr>
              <w:t xml:space="preserve">; </w:t>
            </w:r>
            <w:r>
              <w:rPr>
                <w:rFonts w:ascii="Book Antiqua" w:hAnsi="Book Antiqua"/>
                <w:color w:val="000000"/>
                <w:sz w:val="24"/>
                <w:szCs w:val="24"/>
                <w:highlight w:val="none"/>
                <w:lang w:val="en-US"/>
              </w:rPr>
              <w:t>Increases in LFT</w:t>
            </w:r>
            <w:r>
              <w:rPr>
                <w:rFonts w:hint="eastAsia" w:ascii="Book Antiqua" w:hAnsi="Book Antiqua"/>
                <w:color w:val="000000"/>
                <w:sz w:val="24"/>
                <w:szCs w:val="24"/>
                <w:highlight w:val="none"/>
                <w:lang w:val="en-US" w:eastAsia="zh-CN"/>
              </w:rPr>
              <w:t xml:space="preserve">; </w:t>
            </w:r>
            <w:r>
              <w:rPr>
                <w:rFonts w:ascii="Book Antiqua" w:hAnsi="Book Antiqua"/>
                <w:color w:val="000000"/>
                <w:sz w:val="24"/>
                <w:szCs w:val="24"/>
                <w:highlight w:val="none"/>
                <w:lang w:val="en-US"/>
              </w:rPr>
              <w:t>Idiosyncratic cholestatic reaction</w:t>
            </w:r>
            <w:r>
              <w:rPr>
                <w:rFonts w:hint="eastAsia" w:ascii="Book Antiqua" w:hAnsi="Book Antiqua"/>
                <w:color w:val="000000"/>
                <w:sz w:val="24"/>
                <w:szCs w:val="24"/>
                <w:highlight w:val="none"/>
                <w:lang w:val="en-US" w:eastAsia="zh-CN"/>
              </w:rPr>
              <w:t>;</w:t>
            </w:r>
            <w:r>
              <w:rPr>
                <w:rFonts w:ascii="Book Antiqua" w:hAnsi="Book Antiqua"/>
                <w:color w:val="000000"/>
                <w:sz w:val="24"/>
                <w:szCs w:val="24"/>
                <w:highlight w:val="none"/>
                <w:lang w:val="en-US"/>
              </w:rPr>
              <w:t xml:space="preserve"> Fever, rash, lymphadenopathy and hepatomegaly</w:t>
            </w:r>
            <w:r>
              <w:rPr>
                <w:rFonts w:hint="eastAsia" w:ascii="Book Antiqua" w:hAnsi="Book Antiqua"/>
                <w:color w:val="000000"/>
                <w:sz w:val="24"/>
                <w:szCs w:val="24"/>
                <w:highlight w:val="none"/>
                <w:lang w:val="en-US" w:eastAsia="zh-CN"/>
              </w:rPr>
              <w:t xml:space="preserve">; </w:t>
            </w:r>
            <w:r>
              <w:rPr>
                <w:rFonts w:ascii="Book Antiqua" w:hAnsi="Book Antiqua"/>
                <w:color w:val="000000"/>
                <w:sz w:val="24"/>
                <w:szCs w:val="24"/>
                <w:highlight w:val="none"/>
                <w:lang w:val="en-US"/>
              </w:rPr>
              <w:t>Nodular regenerative hyperplasia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28" w:type="dxa"/>
            <w:left w:w="57" w:type="dxa"/>
            <w:bottom w:w="28" w:type="dxa"/>
            <w:right w:w="57" w:type="dxa"/>
          </w:tblCellMar>
        </w:tblPrEx>
        <w:trPr>
          <w:trHeight w:val="1336" w:hRule="atLeast"/>
        </w:trPr>
        <w:tc>
          <w:tcPr>
            <w:tcW w:w="2478" w:type="pct"/>
            <w:shd w:val="clear" w:color="auto" w:fill="auto"/>
          </w:tcPr>
          <w:p>
            <w:pPr>
              <w:spacing w:after="0" w:line="360" w:lineRule="auto"/>
              <w:jc w:val="both"/>
              <w:rPr>
                <w:rFonts w:ascii="Book Antiqua" w:hAnsi="Book Antiqua"/>
                <w:color w:val="000000"/>
                <w:sz w:val="24"/>
                <w:szCs w:val="24"/>
                <w:highlight w:val="none"/>
                <w:lang w:val="en-US" w:eastAsia="zh-CN"/>
              </w:rPr>
            </w:pPr>
            <w:r>
              <w:rPr>
                <w:rFonts w:ascii="Book Antiqua" w:hAnsi="Book Antiqua"/>
                <w:color w:val="000000"/>
                <w:sz w:val="24"/>
                <w:szCs w:val="24"/>
                <w:highlight w:val="none"/>
                <w:lang w:val="en-US"/>
              </w:rPr>
              <w:t>Anti-</w:t>
            </w:r>
            <w:r>
              <w:rPr>
                <w:rFonts w:hint="eastAsia" w:ascii="Book Antiqua" w:hAnsi="Book Antiqua"/>
                <w:color w:val="000000"/>
                <w:sz w:val="24"/>
                <w:szCs w:val="24"/>
                <w:highlight w:val="none"/>
                <w:lang w:val="en-US" w:eastAsia="zh-CN"/>
              </w:rPr>
              <w:t>TNF</w:t>
            </w:r>
          </w:p>
        </w:tc>
        <w:tc>
          <w:tcPr>
            <w:tcW w:w="2522" w:type="pct"/>
            <w:shd w:val="clear" w:color="auto" w:fill="auto"/>
          </w:tcPr>
          <w:p>
            <w:pPr>
              <w:spacing w:after="0" w:line="360" w:lineRule="auto"/>
              <w:jc w:val="both"/>
              <w:rPr>
                <w:rFonts w:ascii="Book Antiqua" w:hAnsi="Book Antiqua"/>
                <w:color w:val="000000"/>
                <w:sz w:val="24"/>
                <w:szCs w:val="24"/>
                <w:highlight w:val="none"/>
              </w:rPr>
            </w:pPr>
            <w:r>
              <w:rPr>
                <w:rFonts w:ascii="Book Antiqua" w:hAnsi="Book Antiqua"/>
                <w:color w:val="000000"/>
                <w:sz w:val="24"/>
                <w:szCs w:val="24"/>
                <w:highlight w:val="none"/>
                <w:lang w:val="en-US"/>
              </w:rPr>
              <w:t>Idiosyncratic reaction &gt; dose-dependent mechanism</w:t>
            </w:r>
            <w:r>
              <w:rPr>
                <w:rFonts w:hint="eastAsia" w:ascii="Book Antiqua" w:hAnsi="Book Antiqua"/>
                <w:color w:val="000000"/>
                <w:sz w:val="24"/>
                <w:szCs w:val="24"/>
                <w:highlight w:val="none"/>
                <w:lang w:val="en-US" w:eastAsia="zh-CN"/>
              </w:rPr>
              <w:t xml:space="preserve">; </w:t>
            </w:r>
            <w:r>
              <w:rPr>
                <w:rFonts w:ascii="Book Antiqua" w:hAnsi="Book Antiqua"/>
                <w:color w:val="000000"/>
                <w:sz w:val="24"/>
                <w:szCs w:val="24"/>
                <w:highlight w:val="none"/>
                <w:lang w:val="en-US"/>
              </w:rPr>
              <w:t>Hepatocellular injury &gt; cholestasis</w:t>
            </w:r>
            <w:r>
              <w:rPr>
                <w:rFonts w:hint="eastAsia" w:ascii="Book Antiqua" w:hAnsi="Book Antiqua"/>
                <w:color w:val="000000"/>
                <w:sz w:val="24"/>
                <w:szCs w:val="24"/>
                <w:highlight w:val="none"/>
                <w:lang w:val="en-US" w:eastAsia="zh-CN"/>
              </w:rPr>
              <w:t xml:space="preserve">; </w:t>
            </w:r>
            <w:r>
              <w:rPr>
                <w:rFonts w:ascii="Book Antiqua" w:hAnsi="Book Antiqua"/>
                <w:color w:val="000000"/>
                <w:sz w:val="24"/>
                <w:szCs w:val="24"/>
                <w:highlight w:val="none"/>
                <w:lang w:val="en-US"/>
              </w:rPr>
              <w:t>Autoimmune phenomena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28" w:type="dxa"/>
            <w:left w:w="57" w:type="dxa"/>
            <w:bottom w:w="28" w:type="dxa"/>
            <w:right w:w="57" w:type="dxa"/>
          </w:tblCellMar>
        </w:tblPrEx>
        <w:trPr>
          <w:trHeight w:val="1336" w:hRule="atLeast"/>
        </w:trPr>
        <w:tc>
          <w:tcPr>
            <w:tcW w:w="2478" w:type="pct"/>
            <w:shd w:val="clear" w:color="auto" w:fill="auto"/>
          </w:tcPr>
          <w:p>
            <w:pPr>
              <w:spacing w:after="0" w:line="360" w:lineRule="auto"/>
              <w:jc w:val="both"/>
              <w:rPr>
                <w:rFonts w:ascii="Book Antiqua" w:hAnsi="Book Antiqua"/>
                <w:color w:val="000000"/>
                <w:sz w:val="24"/>
                <w:szCs w:val="24"/>
                <w:highlight w:val="none"/>
                <w:lang w:val="en-US"/>
              </w:rPr>
            </w:pPr>
            <w:r>
              <w:rPr>
                <w:rFonts w:ascii="Book Antiqua" w:hAnsi="Book Antiqua"/>
                <w:bCs/>
                <w:color w:val="000000"/>
                <w:sz w:val="24"/>
                <w:szCs w:val="24"/>
                <w:highlight w:val="none"/>
                <w:lang w:val="en-US"/>
              </w:rPr>
              <w:t>Anti-integrins</w:t>
            </w:r>
          </w:p>
        </w:tc>
        <w:tc>
          <w:tcPr>
            <w:tcW w:w="2522" w:type="pct"/>
            <w:shd w:val="clear" w:color="auto" w:fill="auto"/>
          </w:tcPr>
          <w:p>
            <w:pPr>
              <w:spacing w:after="0" w:line="360" w:lineRule="auto"/>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Rare</w:t>
            </w:r>
            <w:r>
              <w:rPr>
                <w:rFonts w:hint="eastAsia" w:ascii="Book Antiqua" w:hAnsi="Book Antiqua"/>
                <w:color w:val="000000"/>
                <w:sz w:val="24"/>
                <w:szCs w:val="24"/>
                <w:highlight w:val="none"/>
                <w:lang w:val="en-US" w:eastAsia="zh-CN"/>
              </w:rPr>
              <w:t xml:space="preserve">; </w:t>
            </w:r>
            <w:r>
              <w:rPr>
                <w:rFonts w:ascii="Book Antiqua" w:hAnsi="Book Antiqua"/>
                <w:color w:val="000000"/>
                <w:sz w:val="24"/>
                <w:szCs w:val="24"/>
                <w:highlight w:val="none"/>
                <w:lang w:val="en-US"/>
              </w:rPr>
              <w:t>Asymptomatic LFT increase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28" w:type="dxa"/>
            <w:left w:w="57" w:type="dxa"/>
            <w:bottom w:w="28" w:type="dxa"/>
            <w:right w:w="57" w:type="dxa"/>
          </w:tblCellMar>
        </w:tblPrEx>
        <w:trPr>
          <w:trHeight w:val="1336" w:hRule="atLeast"/>
        </w:trPr>
        <w:tc>
          <w:tcPr>
            <w:tcW w:w="2478" w:type="pct"/>
            <w:shd w:val="clear" w:color="auto" w:fill="auto"/>
          </w:tcPr>
          <w:p>
            <w:pPr>
              <w:spacing w:after="0" w:line="360" w:lineRule="auto"/>
              <w:jc w:val="both"/>
              <w:rPr>
                <w:rFonts w:ascii="Book Antiqua" w:hAnsi="Book Antiqua"/>
                <w:bCs/>
                <w:color w:val="000000"/>
                <w:sz w:val="24"/>
                <w:szCs w:val="24"/>
                <w:highlight w:val="none"/>
                <w:lang w:val="en-US"/>
              </w:rPr>
            </w:pPr>
            <w:r>
              <w:rPr>
                <w:rFonts w:ascii="Book Antiqua" w:hAnsi="Book Antiqua"/>
                <w:color w:val="000000"/>
                <w:sz w:val="24"/>
                <w:szCs w:val="24"/>
                <w:highlight w:val="none"/>
                <w:lang w:val="en-US"/>
              </w:rPr>
              <w:t>Anti IL12/23</w:t>
            </w:r>
          </w:p>
        </w:tc>
        <w:tc>
          <w:tcPr>
            <w:tcW w:w="2522" w:type="pct"/>
            <w:shd w:val="clear" w:color="auto" w:fill="auto"/>
          </w:tcPr>
          <w:p>
            <w:pPr>
              <w:spacing w:after="0" w:line="360" w:lineRule="auto"/>
              <w:jc w:val="both"/>
              <w:rPr>
                <w:rFonts w:ascii="Book Antiqua" w:hAnsi="Book Antiqua"/>
                <w:color w:val="000000"/>
                <w:sz w:val="24"/>
                <w:szCs w:val="24"/>
                <w:highlight w:val="none"/>
                <w:lang w:val="en-US"/>
              </w:rPr>
            </w:pPr>
            <w:r>
              <w:rPr>
                <w:rFonts w:ascii="Book Antiqua" w:hAnsi="Book Antiqua"/>
                <w:color w:val="000000"/>
                <w:sz w:val="24"/>
                <w:szCs w:val="24"/>
                <w:highlight w:val="none"/>
                <w:lang w:val="en-US"/>
              </w:rPr>
              <w:t>Mild LFT increase</w:t>
            </w:r>
          </w:p>
        </w:tc>
      </w:tr>
    </w:tbl>
    <w:p>
      <w:pPr>
        <w:spacing w:after="0" w:line="360" w:lineRule="auto"/>
        <w:jc w:val="both"/>
        <w:rPr>
          <w:rFonts w:ascii="Book Antiqua" w:hAnsi="Book Antiqua"/>
          <w:color w:val="000000"/>
          <w:sz w:val="24"/>
          <w:szCs w:val="24"/>
          <w:highlight w:val="none"/>
          <w:lang w:val="en-US" w:eastAsia="zh-CN"/>
        </w:rPr>
      </w:pPr>
      <w:r>
        <w:rPr>
          <w:rFonts w:ascii="Book Antiqua" w:hAnsi="Book Antiqua"/>
          <w:color w:val="000000"/>
          <w:sz w:val="24"/>
          <w:szCs w:val="24"/>
          <w:highlight w:val="none"/>
          <w:lang w:val="en-US"/>
        </w:rPr>
        <w:t>LFT: Liver function test; TMPT: Thiopurine S-methyltransferase</w:t>
      </w:r>
      <w:r>
        <w:rPr>
          <w:rFonts w:hint="eastAsia" w:ascii="Book Antiqua" w:hAnsi="Book Antiqua"/>
          <w:color w:val="000000"/>
          <w:sz w:val="24"/>
          <w:szCs w:val="24"/>
          <w:highlight w:val="none"/>
          <w:lang w:val="en-US" w:eastAsia="zh-CN"/>
        </w:rPr>
        <w:t>;</w:t>
      </w:r>
      <w:r>
        <w:rPr>
          <w:rFonts w:ascii="Book Antiqua" w:hAnsi="Book Antiqua"/>
          <w:color w:val="000000"/>
          <w:sz w:val="24"/>
          <w:szCs w:val="24"/>
          <w:highlight w:val="none"/>
          <w:lang w:val="en-US"/>
        </w:rPr>
        <w:t xml:space="preserve"> TNF</w:t>
      </w:r>
      <w:r>
        <w:rPr>
          <w:rFonts w:hint="eastAsia" w:ascii="Book Antiqua" w:hAnsi="Book Antiqua"/>
          <w:color w:val="000000"/>
          <w:sz w:val="24"/>
          <w:szCs w:val="24"/>
          <w:highlight w:val="none"/>
          <w:lang w:val="en-US" w:eastAsia="zh-CN"/>
        </w:rPr>
        <w:t>: T</w:t>
      </w:r>
      <w:r>
        <w:rPr>
          <w:rFonts w:ascii="Book Antiqua" w:hAnsi="Book Antiqua"/>
          <w:color w:val="000000"/>
          <w:sz w:val="24"/>
          <w:szCs w:val="24"/>
          <w:highlight w:val="none"/>
          <w:lang w:val="en-US"/>
        </w:rPr>
        <w:t>umor necrosis factor</w:t>
      </w:r>
      <w:r>
        <w:rPr>
          <w:rFonts w:hint="eastAsia" w:ascii="Book Antiqua" w:hAnsi="Book Antiqua"/>
          <w:color w:val="000000"/>
          <w:sz w:val="24"/>
          <w:szCs w:val="24"/>
          <w:highlight w:val="none"/>
          <w:lang w:val="en-US" w:eastAsia="zh-CN"/>
        </w:rPr>
        <w:t>.</w:t>
      </w:r>
    </w:p>
    <w:p>
      <w:pPr>
        <w:spacing w:after="0" w:line="240" w:lineRule="auto"/>
        <w:jc w:val="left"/>
        <w:rPr>
          <w:rFonts w:ascii="Book Antiqua" w:hAnsi="Book Antiqua"/>
          <w:color w:val="000000"/>
          <w:sz w:val="24"/>
          <w:szCs w:val="24"/>
          <w:highlight w:val="none"/>
          <w:lang w:val="en-US"/>
        </w:rPr>
        <w:sectPr>
          <w:footerReference r:id="rId5" w:type="default"/>
          <w:pgSz w:w="11906" w:h="16838"/>
          <w:pgMar w:top="1417" w:right="1134" w:bottom="1134" w:left="1134" w:header="708" w:footer="709" w:gutter="0"/>
          <w:paperSrc/>
          <w:cols w:space="0" w:num="1"/>
          <w:rtlGutter w:val="0"/>
          <w:docGrid w:linePitch="360" w:charSpace="0"/>
        </w:sectPr>
      </w:pPr>
    </w:p>
    <w:p>
      <w:pPr>
        <w:keepNext w:val="0"/>
        <w:keepLines w:val="0"/>
        <w:pageBreakBefore w:val="0"/>
        <w:widowControl/>
        <w:kinsoku/>
        <w:wordWrap/>
        <w:overflowPunct/>
        <w:topLinePunct w:val="0"/>
        <w:bidi w:val="0"/>
        <w:snapToGrid w:val="0"/>
        <w:spacing w:after="0" w:line="240" w:lineRule="auto"/>
        <w:ind w:left="0" w:leftChars="0"/>
        <w:jc w:val="center"/>
        <w:textAlignment w:val="auto"/>
        <w:rPr>
          <w:rFonts w:ascii="Book Antiqua" w:hAnsi="Book Antiqua"/>
          <w:lang w:eastAsia="zh-CN"/>
        </w:rPr>
      </w:pPr>
      <w:bookmarkStart w:id="2" w:name="_GoBack"/>
    </w:p>
    <w:bookmarkEnd w:id="2"/>
    <w:p>
      <w:pPr>
        <w:keepNext w:val="0"/>
        <w:keepLines w:val="0"/>
        <w:pageBreakBefore w:val="0"/>
        <w:widowControl/>
        <w:kinsoku/>
        <w:wordWrap/>
        <w:overflowPunct/>
        <w:topLinePunct w:val="0"/>
        <w:bidi w:val="0"/>
        <w:snapToGrid w:val="0"/>
        <w:spacing w:after="0" w:line="240" w:lineRule="auto"/>
        <w:ind w:left="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2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spacing w:after="0" w:line="240" w:lineRule="auto"/>
        <w:ind w:left="0" w:leftChars="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after="0" w:line="240" w:lineRule="auto"/>
        <w:ind w:left="0" w:leftChars="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spacing w:after="0" w:line="240" w:lineRule="auto"/>
        <w:ind w:left="0" w:leftChars="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spacing w:after="0" w:line="240" w:lineRule="auto"/>
        <w:ind w:left="0" w:leftChars="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spacing w:after="0" w:line="240" w:lineRule="auto"/>
        <w:ind w:left="0" w:leftChars="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spacing w:after="0" w:line="240" w:lineRule="auto"/>
        <w:ind w:left="0" w:leftChars="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spacing w:after="0" w:line="240" w:lineRule="auto"/>
        <w:ind w:left="0" w:leftChars="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spacing w:after="0" w:line="240" w:lineRule="auto"/>
        <w:ind w:left="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2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spacing w:after="0" w:line="240" w:lineRule="auto"/>
        <w:ind w:left="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2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spacing w:after="0" w:line="240" w:lineRule="auto"/>
        <w:rPr>
          <w:rFonts w:hint="eastAsia" w:ascii="Book Antiqua" w:hAnsi="Book Antiqua" w:eastAsia="宋体" w:cs="Book Antiqua"/>
          <w:b/>
          <w:bCs/>
          <w:color w:val="000000"/>
          <w:lang w:val="en-US" w:eastAsia="zh-CN"/>
        </w:rPr>
      </w:pPr>
    </w:p>
    <w:p>
      <w:pPr>
        <w:spacing w:after="0" w:line="240" w:lineRule="auto"/>
        <w:jc w:val="left"/>
        <w:rPr>
          <w:rFonts w:ascii="Book Antiqua" w:hAnsi="Book Antiqua"/>
          <w:color w:val="000000"/>
          <w:sz w:val="24"/>
          <w:szCs w:val="24"/>
          <w:highlight w:val="none"/>
          <w:lang w:val="en-US"/>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NewRomanPS-BoldMT">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swiss"/>
    <w:pitch w:val="default"/>
    <w:sig w:usb0="00000000" w:usb1="00000000" w:usb2="00000000" w:usb3="00000000" w:csb0="0000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708"/>
  <w:hyphenationZone w:val="283"/>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98"/>
    <w:rsid w:val="00030567"/>
    <w:rsid w:val="000374AF"/>
    <w:rsid w:val="0004116A"/>
    <w:rsid w:val="000444B1"/>
    <w:rsid w:val="00045C89"/>
    <w:rsid w:val="00045F7B"/>
    <w:rsid w:val="000557E8"/>
    <w:rsid w:val="00057214"/>
    <w:rsid w:val="0008047F"/>
    <w:rsid w:val="00084146"/>
    <w:rsid w:val="00090244"/>
    <w:rsid w:val="000932F8"/>
    <w:rsid w:val="00096ABB"/>
    <w:rsid w:val="000A1473"/>
    <w:rsid w:val="000A5669"/>
    <w:rsid w:val="000A65C7"/>
    <w:rsid w:val="000D704E"/>
    <w:rsid w:val="000F00F0"/>
    <w:rsid w:val="000F7830"/>
    <w:rsid w:val="00106252"/>
    <w:rsid w:val="00107C85"/>
    <w:rsid w:val="001110B4"/>
    <w:rsid w:val="001319A9"/>
    <w:rsid w:val="00134893"/>
    <w:rsid w:val="001410E1"/>
    <w:rsid w:val="0014311B"/>
    <w:rsid w:val="00146132"/>
    <w:rsid w:val="00150403"/>
    <w:rsid w:val="00156C8D"/>
    <w:rsid w:val="00156EB7"/>
    <w:rsid w:val="00161648"/>
    <w:rsid w:val="0016721A"/>
    <w:rsid w:val="00183313"/>
    <w:rsid w:val="0018491F"/>
    <w:rsid w:val="00184FD5"/>
    <w:rsid w:val="00185F50"/>
    <w:rsid w:val="00186D4F"/>
    <w:rsid w:val="001A7B1C"/>
    <w:rsid w:val="001C6056"/>
    <w:rsid w:val="001D0EBD"/>
    <w:rsid w:val="001E5A0F"/>
    <w:rsid w:val="001F6F07"/>
    <w:rsid w:val="002022F3"/>
    <w:rsid w:val="002115A5"/>
    <w:rsid w:val="002153DE"/>
    <w:rsid w:val="00223EB8"/>
    <w:rsid w:val="00231B4D"/>
    <w:rsid w:val="00232AEF"/>
    <w:rsid w:val="00242A73"/>
    <w:rsid w:val="002446FF"/>
    <w:rsid w:val="0026197E"/>
    <w:rsid w:val="00267A17"/>
    <w:rsid w:val="0027075E"/>
    <w:rsid w:val="002800F4"/>
    <w:rsid w:val="00283261"/>
    <w:rsid w:val="00287FF4"/>
    <w:rsid w:val="0029208C"/>
    <w:rsid w:val="00297DD5"/>
    <w:rsid w:val="002A0AAE"/>
    <w:rsid w:val="002B2C5B"/>
    <w:rsid w:val="002D174B"/>
    <w:rsid w:val="002D4A24"/>
    <w:rsid w:val="002D4F47"/>
    <w:rsid w:val="002D5482"/>
    <w:rsid w:val="002D5602"/>
    <w:rsid w:val="002E132B"/>
    <w:rsid w:val="002E2F1B"/>
    <w:rsid w:val="002F0993"/>
    <w:rsid w:val="002F6FE8"/>
    <w:rsid w:val="00323F2C"/>
    <w:rsid w:val="003358CB"/>
    <w:rsid w:val="0034116F"/>
    <w:rsid w:val="00351D37"/>
    <w:rsid w:val="00356A06"/>
    <w:rsid w:val="00364B03"/>
    <w:rsid w:val="0037071D"/>
    <w:rsid w:val="00372FB2"/>
    <w:rsid w:val="003A2EF4"/>
    <w:rsid w:val="003A39EB"/>
    <w:rsid w:val="003A4454"/>
    <w:rsid w:val="003A673A"/>
    <w:rsid w:val="003C3F4A"/>
    <w:rsid w:val="003D24E1"/>
    <w:rsid w:val="003E3D7F"/>
    <w:rsid w:val="003E4500"/>
    <w:rsid w:val="003F76B8"/>
    <w:rsid w:val="00403333"/>
    <w:rsid w:val="004104A4"/>
    <w:rsid w:val="0041662C"/>
    <w:rsid w:val="00420BF7"/>
    <w:rsid w:val="00422587"/>
    <w:rsid w:val="004341A1"/>
    <w:rsid w:val="00452E55"/>
    <w:rsid w:val="0046181F"/>
    <w:rsid w:val="0046395E"/>
    <w:rsid w:val="004659E3"/>
    <w:rsid w:val="00491EC0"/>
    <w:rsid w:val="0049416F"/>
    <w:rsid w:val="004A1605"/>
    <w:rsid w:val="004B0B66"/>
    <w:rsid w:val="004B3506"/>
    <w:rsid w:val="004B53FF"/>
    <w:rsid w:val="004B743D"/>
    <w:rsid w:val="004C2A30"/>
    <w:rsid w:val="004C30EB"/>
    <w:rsid w:val="004E07C4"/>
    <w:rsid w:val="00501728"/>
    <w:rsid w:val="00510A7B"/>
    <w:rsid w:val="005144DB"/>
    <w:rsid w:val="00560B9C"/>
    <w:rsid w:val="00561B4E"/>
    <w:rsid w:val="005705F4"/>
    <w:rsid w:val="00582074"/>
    <w:rsid w:val="00584C3D"/>
    <w:rsid w:val="005E020B"/>
    <w:rsid w:val="005E575B"/>
    <w:rsid w:val="00600EF9"/>
    <w:rsid w:val="00604C5D"/>
    <w:rsid w:val="006106FE"/>
    <w:rsid w:val="006150D3"/>
    <w:rsid w:val="0064134B"/>
    <w:rsid w:val="006467A9"/>
    <w:rsid w:val="00673E8E"/>
    <w:rsid w:val="00680527"/>
    <w:rsid w:val="006B13E8"/>
    <w:rsid w:val="006B5951"/>
    <w:rsid w:val="006B7A6C"/>
    <w:rsid w:val="006C326B"/>
    <w:rsid w:val="006D03E8"/>
    <w:rsid w:val="006D1C7E"/>
    <w:rsid w:val="006E731B"/>
    <w:rsid w:val="006F14DF"/>
    <w:rsid w:val="006F28CC"/>
    <w:rsid w:val="006F39A2"/>
    <w:rsid w:val="006F4DA6"/>
    <w:rsid w:val="00711D86"/>
    <w:rsid w:val="0073433A"/>
    <w:rsid w:val="00735C74"/>
    <w:rsid w:val="00754170"/>
    <w:rsid w:val="0075611C"/>
    <w:rsid w:val="00762E00"/>
    <w:rsid w:val="0078638A"/>
    <w:rsid w:val="007A34EF"/>
    <w:rsid w:val="007C0D18"/>
    <w:rsid w:val="007C26A4"/>
    <w:rsid w:val="007D04FB"/>
    <w:rsid w:val="007E0934"/>
    <w:rsid w:val="007E0D6B"/>
    <w:rsid w:val="007F11AF"/>
    <w:rsid w:val="007F2F5F"/>
    <w:rsid w:val="00800469"/>
    <w:rsid w:val="00817FAE"/>
    <w:rsid w:val="00822A0D"/>
    <w:rsid w:val="0082566A"/>
    <w:rsid w:val="008315C9"/>
    <w:rsid w:val="0083506E"/>
    <w:rsid w:val="00850592"/>
    <w:rsid w:val="008515FA"/>
    <w:rsid w:val="008613B5"/>
    <w:rsid w:val="00864231"/>
    <w:rsid w:val="008660A2"/>
    <w:rsid w:val="00877D77"/>
    <w:rsid w:val="0088050A"/>
    <w:rsid w:val="00880B94"/>
    <w:rsid w:val="008843FD"/>
    <w:rsid w:val="00887981"/>
    <w:rsid w:val="00895EDA"/>
    <w:rsid w:val="008A56B2"/>
    <w:rsid w:val="008A7AA4"/>
    <w:rsid w:val="008C5715"/>
    <w:rsid w:val="008C6B74"/>
    <w:rsid w:val="008D27F7"/>
    <w:rsid w:val="008D291B"/>
    <w:rsid w:val="008D3820"/>
    <w:rsid w:val="008D568A"/>
    <w:rsid w:val="008E31E2"/>
    <w:rsid w:val="008E42BE"/>
    <w:rsid w:val="008F3472"/>
    <w:rsid w:val="008F6C21"/>
    <w:rsid w:val="0090170A"/>
    <w:rsid w:val="00904AB5"/>
    <w:rsid w:val="009108D5"/>
    <w:rsid w:val="00911618"/>
    <w:rsid w:val="009145A8"/>
    <w:rsid w:val="00916576"/>
    <w:rsid w:val="00930664"/>
    <w:rsid w:val="009356B3"/>
    <w:rsid w:val="00942209"/>
    <w:rsid w:val="00947359"/>
    <w:rsid w:val="0095282F"/>
    <w:rsid w:val="0096335C"/>
    <w:rsid w:val="009737C4"/>
    <w:rsid w:val="0097536F"/>
    <w:rsid w:val="00980B99"/>
    <w:rsid w:val="009831CD"/>
    <w:rsid w:val="0098550E"/>
    <w:rsid w:val="00991FCF"/>
    <w:rsid w:val="009C0AF7"/>
    <w:rsid w:val="009D264C"/>
    <w:rsid w:val="009E2323"/>
    <w:rsid w:val="009E5316"/>
    <w:rsid w:val="009F5C0E"/>
    <w:rsid w:val="00A112F8"/>
    <w:rsid w:val="00A14469"/>
    <w:rsid w:val="00A240C0"/>
    <w:rsid w:val="00A51E7F"/>
    <w:rsid w:val="00A5301E"/>
    <w:rsid w:val="00A56108"/>
    <w:rsid w:val="00A6067C"/>
    <w:rsid w:val="00A61577"/>
    <w:rsid w:val="00A6263F"/>
    <w:rsid w:val="00A80F7A"/>
    <w:rsid w:val="00A90236"/>
    <w:rsid w:val="00AA5188"/>
    <w:rsid w:val="00AA6454"/>
    <w:rsid w:val="00AB1BCE"/>
    <w:rsid w:val="00AB22FD"/>
    <w:rsid w:val="00AB4A20"/>
    <w:rsid w:val="00AD37C5"/>
    <w:rsid w:val="00AE2CC8"/>
    <w:rsid w:val="00AE33FC"/>
    <w:rsid w:val="00AF5453"/>
    <w:rsid w:val="00B02F52"/>
    <w:rsid w:val="00B0512D"/>
    <w:rsid w:val="00B05C33"/>
    <w:rsid w:val="00B22F33"/>
    <w:rsid w:val="00B30070"/>
    <w:rsid w:val="00B30812"/>
    <w:rsid w:val="00B36D54"/>
    <w:rsid w:val="00B6319A"/>
    <w:rsid w:val="00B815A0"/>
    <w:rsid w:val="00B93539"/>
    <w:rsid w:val="00B93D98"/>
    <w:rsid w:val="00B945D8"/>
    <w:rsid w:val="00B9604A"/>
    <w:rsid w:val="00BB0E58"/>
    <w:rsid w:val="00BD05BF"/>
    <w:rsid w:val="00BD2150"/>
    <w:rsid w:val="00BD3C24"/>
    <w:rsid w:val="00BF0633"/>
    <w:rsid w:val="00C12F93"/>
    <w:rsid w:val="00C53403"/>
    <w:rsid w:val="00C67998"/>
    <w:rsid w:val="00C75396"/>
    <w:rsid w:val="00CA5259"/>
    <w:rsid w:val="00CB0D40"/>
    <w:rsid w:val="00CB14F7"/>
    <w:rsid w:val="00CD2A60"/>
    <w:rsid w:val="00CD2B1C"/>
    <w:rsid w:val="00CD5BA3"/>
    <w:rsid w:val="00CF1420"/>
    <w:rsid w:val="00CF3E86"/>
    <w:rsid w:val="00D21FAA"/>
    <w:rsid w:val="00D24F2A"/>
    <w:rsid w:val="00D25164"/>
    <w:rsid w:val="00D32F68"/>
    <w:rsid w:val="00D36105"/>
    <w:rsid w:val="00D50B47"/>
    <w:rsid w:val="00D83244"/>
    <w:rsid w:val="00D956DF"/>
    <w:rsid w:val="00DB6289"/>
    <w:rsid w:val="00DD38BD"/>
    <w:rsid w:val="00DD72B7"/>
    <w:rsid w:val="00DE15DC"/>
    <w:rsid w:val="00DF2B43"/>
    <w:rsid w:val="00DF2DF2"/>
    <w:rsid w:val="00DF7EE2"/>
    <w:rsid w:val="00E000C1"/>
    <w:rsid w:val="00E1226F"/>
    <w:rsid w:val="00E163C8"/>
    <w:rsid w:val="00E406C0"/>
    <w:rsid w:val="00E53BB3"/>
    <w:rsid w:val="00E5626C"/>
    <w:rsid w:val="00E8123A"/>
    <w:rsid w:val="00E82798"/>
    <w:rsid w:val="00E82F97"/>
    <w:rsid w:val="00E86227"/>
    <w:rsid w:val="00EB5827"/>
    <w:rsid w:val="00EC0CB7"/>
    <w:rsid w:val="00ED654B"/>
    <w:rsid w:val="00EE2837"/>
    <w:rsid w:val="00F25DAD"/>
    <w:rsid w:val="00F27782"/>
    <w:rsid w:val="00F45991"/>
    <w:rsid w:val="00F46080"/>
    <w:rsid w:val="00F5193E"/>
    <w:rsid w:val="00F54A14"/>
    <w:rsid w:val="00F567B1"/>
    <w:rsid w:val="00F75CA5"/>
    <w:rsid w:val="00F77486"/>
    <w:rsid w:val="00F8654A"/>
    <w:rsid w:val="00F97C5E"/>
    <w:rsid w:val="00FC17C8"/>
    <w:rsid w:val="00FC460F"/>
    <w:rsid w:val="00FE18C9"/>
    <w:rsid w:val="00FE3BEC"/>
    <w:rsid w:val="00FF002F"/>
    <w:rsid w:val="01714809"/>
    <w:rsid w:val="577233F0"/>
    <w:rsid w:val="613907E8"/>
    <w:rsid w:val="769A744B"/>
    <w:rsid w:val="7FAE6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sz w:val="22"/>
      <w:szCs w:val="22"/>
      <w:lang w:val="it-IT" w:eastAsia="it-IT"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30"/>
    <w:semiHidden/>
    <w:unhideWhenUsed/>
    <w:qFormat/>
    <w:uiPriority w:val="99"/>
    <w:rPr>
      <w:sz w:val="20"/>
      <w:szCs w:val="20"/>
    </w:rPr>
  </w:style>
  <w:style w:type="paragraph" w:styleId="3">
    <w:name w:val="Balloon Text"/>
    <w:basedOn w:val="1"/>
    <w:link w:val="24"/>
    <w:semiHidden/>
    <w:unhideWhenUsed/>
    <w:qFormat/>
    <w:uiPriority w:val="99"/>
    <w:pPr>
      <w:spacing w:after="0" w:line="240" w:lineRule="auto"/>
    </w:pPr>
    <w:rPr>
      <w:rFonts w:ascii="Tahoma" w:hAnsi="Tahoma"/>
      <w:sz w:val="16"/>
      <w:szCs w:val="16"/>
      <w:lang w:val="zh-CN" w:eastAsia="zh-CN"/>
    </w:rPr>
  </w:style>
  <w:style w:type="paragraph" w:styleId="4">
    <w:name w:val="footer"/>
    <w:basedOn w:val="1"/>
    <w:link w:val="15"/>
    <w:unhideWhenUsed/>
    <w:qFormat/>
    <w:uiPriority w:val="99"/>
    <w:pPr>
      <w:tabs>
        <w:tab w:val="center" w:pos="4819"/>
        <w:tab w:val="right" w:pos="9638"/>
      </w:tabs>
      <w:spacing w:after="0" w:line="240" w:lineRule="auto"/>
    </w:pPr>
  </w:style>
  <w:style w:type="paragraph" w:styleId="5">
    <w:name w:val="header"/>
    <w:basedOn w:val="1"/>
    <w:link w:val="14"/>
    <w:unhideWhenUsed/>
    <w:qFormat/>
    <w:uiPriority w:val="99"/>
    <w:pPr>
      <w:tabs>
        <w:tab w:val="center" w:pos="4819"/>
        <w:tab w:val="right" w:pos="9638"/>
      </w:tabs>
      <w:spacing w:after="0" w:line="240" w:lineRule="auto"/>
    </w:p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lang w:val="en-US" w:eastAsia="zh-CN"/>
    </w:rPr>
  </w:style>
  <w:style w:type="paragraph" w:styleId="7">
    <w:name w:val="annotation subject"/>
    <w:basedOn w:val="2"/>
    <w:next w:val="2"/>
    <w:link w:val="31"/>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22"/>
    <w:rPr>
      <w:rFonts w:cs="Times New Roman"/>
      <w:b/>
    </w:rPr>
  </w:style>
  <w:style w:type="character" w:styleId="12">
    <w:name w:val="Hyperlink"/>
    <w:unhideWhenUsed/>
    <w:qFormat/>
    <w:uiPriority w:val="99"/>
    <w:rPr>
      <w:color w:val="0000FF"/>
      <w:u w:val="single"/>
    </w:rPr>
  </w:style>
  <w:style w:type="character" w:styleId="13">
    <w:name w:val="annotation reference"/>
    <w:semiHidden/>
    <w:unhideWhenUsed/>
    <w:qFormat/>
    <w:uiPriority w:val="99"/>
    <w:rPr>
      <w:sz w:val="16"/>
      <w:szCs w:val="16"/>
    </w:rPr>
  </w:style>
  <w:style w:type="character" w:customStyle="1" w:styleId="14">
    <w:name w:val="页眉 字符"/>
    <w:basedOn w:val="10"/>
    <w:link w:val="5"/>
    <w:qFormat/>
    <w:uiPriority w:val="99"/>
  </w:style>
  <w:style w:type="character" w:customStyle="1" w:styleId="15">
    <w:name w:val="页脚 字符"/>
    <w:basedOn w:val="10"/>
    <w:link w:val="4"/>
    <w:qFormat/>
    <w:uiPriority w:val="99"/>
  </w:style>
  <w:style w:type="character" w:customStyle="1" w:styleId="16">
    <w:name w:val="element-citation"/>
    <w:basedOn w:val="10"/>
    <w:qFormat/>
    <w:uiPriority w:val="0"/>
  </w:style>
  <w:style w:type="character" w:customStyle="1" w:styleId="17">
    <w:name w:val="ref-journal"/>
    <w:basedOn w:val="10"/>
    <w:qFormat/>
    <w:uiPriority w:val="0"/>
  </w:style>
  <w:style w:type="character" w:customStyle="1" w:styleId="18">
    <w:name w:val="ref-vol"/>
    <w:basedOn w:val="10"/>
    <w:qFormat/>
    <w:uiPriority w:val="0"/>
  </w:style>
  <w:style w:type="character" w:customStyle="1" w:styleId="19">
    <w:name w:val="italic"/>
    <w:qFormat/>
    <w:uiPriority w:val="99"/>
    <w:rPr>
      <w:i/>
      <w:lang w:val="en-GB" w:eastAsia="zh-CN"/>
    </w:rPr>
  </w:style>
  <w:style w:type="character" w:customStyle="1" w:styleId="20">
    <w:name w:val="bold"/>
    <w:qFormat/>
    <w:uiPriority w:val="99"/>
    <w:rPr>
      <w:b/>
    </w:rPr>
  </w:style>
  <w:style w:type="character" w:customStyle="1" w:styleId="21">
    <w:name w:val="doi"/>
    <w:basedOn w:val="10"/>
    <w:qFormat/>
    <w:uiPriority w:val="0"/>
  </w:style>
  <w:style w:type="character" w:customStyle="1" w:styleId="22">
    <w:name w:val="fm-vol-iss-date"/>
    <w:basedOn w:val="10"/>
    <w:qFormat/>
    <w:uiPriority w:val="0"/>
  </w:style>
  <w:style w:type="character" w:customStyle="1" w:styleId="23">
    <w:name w:val="ref-title"/>
    <w:basedOn w:val="10"/>
    <w:qFormat/>
    <w:uiPriority w:val="0"/>
  </w:style>
  <w:style w:type="character" w:customStyle="1" w:styleId="24">
    <w:name w:val="批注框文本 字符"/>
    <w:link w:val="3"/>
    <w:semiHidden/>
    <w:qFormat/>
    <w:uiPriority w:val="99"/>
    <w:rPr>
      <w:rFonts w:ascii="Tahoma" w:hAnsi="Tahoma" w:cs="Tahoma"/>
      <w:sz w:val="16"/>
      <w:szCs w:val="16"/>
    </w:rPr>
  </w:style>
  <w:style w:type="character" w:customStyle="1" w:styleId="25">
    <w:name w:val="fontstyle01"/>
    <w:qFormat/>
    <w:uiPriority w:val="0"/>
    <w:rPr>
      <w:rFonts w:hint="default" w:ascii="TimesNewRomanPS-BoldMT" w:hAnsi="TimesNewRomanPS-BoldMT"/>
      <w:b/>
      <w:bCs/>
      <w:color w:val="000000"/>
      <w:sz w:val="16"/>
      <w:szCs w:val="16"/>
    </w:rPr>
  </w:style>
  <w:style w:type="character" w:customStyle="1" w:styleId="26">
    <w:name w:val="fontstyle11"/>
    <w:qFormat/>
    <w:uiPriority w:val="0"/>
    <w:rPr>
      <w:rFonts w:hint="default" w:ascii="TimesNewRomanPSMT" w:hAnsi="TimesNewRomanPSMT"/>
      <w:color w:val="000000"/>
      <w:sz w:val="16"/>
      <w:szCs w:val="16"/>
    </w:rPr>
  </w:style>
  <w:style w:type="character" w:customStyle="1" w:styleId="27">
    <w:name w:val="fontstyle21"/>
    <w:qFormat/>
    <w:uiPriority w:val="0"/>
    <w:rPr>
      <w:rFonts w:hint="default" w:ascii="TimesNewRomanPSMT" w:hAnsi="TimesNewRomanPSMT"/>
      <w:color w:val="000000"/>
      <w:sz w:val="16"/>
      <w:szCs w:val="16"/>
    </w:rPr>
  </w:style>
  <w:style w:type="character" w:customStyle="1" w:styleId="28">
    <w:name w:val="fontstyle31"/>
    <w:qFormat/>
    <w:uiPriority w:val="0"/>
    <w:rPr>
      <w:rFonts w:hint="default" w:ascii="TimesNewRomanPS-ItalicMT" w:hAnsi="TimesNewRomanPS-ItalicMT"/>
      <w:i/>
      <w:iCs/>
      <w:color w:val="000000"/>
      <w:sz w:val="16"/>
      <w:szCs w:val="16"/>
    </w:rPr>
  </w:style>
  <w:style w:type="character" w:customStyle="1" w:styleId="29">
    <w:name w:val="fontstyle61"/>
    <w:qFormat/>
    <w:uiPriority w:val="0"/>
    <w:rPr>
      <w:rFonts w:hint="default" w:ascii="TimesNewRomanPS-ItalicMT" w:hAnsi="TimesNewRomanPS-ItalicMT"/>
      <w:i/>
      <w:iCs/>
      <w:color w:val="000000"/>
      <w:sz w:val="16"/>
      <w:szCs w:val="16"/>
    </w:rPr>
  </w:style>
  <w:style w:type="character" w:customStyle="1" w:styleId="30">
    <w:name w:val="批注文字 字符"/>
    <w:link w:val="2"/>
    <w:semiHidden/>
    <w:qFormat/>
    <w:uiPriority w:val="99"/>
    <w:rPr>
      <w:lang w:val="it-IT" w:eastAsia="it-IT"/>
    </w:rPr>
  </w:style>
  <w:style w:type="character" w:customStyle="1" w:styleId="31">
    <w:name w:val="批注主题 字符"/>
    <w:link w:val="7"/>
    <w:semiHidden/>
    <w:qFormat/>
    <w:uiPriority w:val="99"/>
    <w:rPr>
      <w:b/>
      <w:bCs/>
      <w:lang w:val="it-IT" w:eastAsia="it-IT"/>
    </w:rPr>
  </w:style>
  <w:style w:type="character" w:customStyle="1" w:styleId="32">
    <w:name w:val="Çözümlenmeyen Bahsetme"/>
    <w:semiHidden/>
    <w:unhideWhenUsed/>
    <w:qFormat/>
    <w:uiPriority w:val="99"/>
    <w:rPr>
      <w:color w:val="605E5C"/>
      <w:shd w:val="clear" w:color="auto" w:fill="E1DFDD"/>
    </w:rPr>
  </w:style>
  <w:style w:type="table" w:customStyle="1" w:styleId="33">
    <w:name w:val="Düz Tablo 2"/>
    <w:basedOn w:val="8"/>
    <w:qFormat/>
    <w:uiPriority w:val="42"/>
    <w:tblPr>
      <w:tblBorders>
        <w:top w:val="single" w:color="7F7F7F" w:sz="4" w:space="0"/>
        <w:bottom w:val="single" w:color="7F7F7F" w:sz="4" w:space="0"/>
      </w:tblBorders>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paragraph" w:styleId="34">
    <w:name w:val="List Paragraph"/>
    <w:basedOn w:val="1"/>
    <w:qFormat/>
    <w:uiPriority w:val="34"/>
    <w:pPr>
      <w:ind w:firstLine="420" w:firstLineChars="200"/>
    </w:pPr>
    <w:rPr>
      <w:lang w:val="en-GB" w:eastAsia="en-US"/>
    </w:rPr>
  </w:style>
  <w:style w:type="character" w:customStyle="1" w:styleId="35">
    <w:name w:val="commentauthor"/>
    <w:basedOn w:val="10"/>
    <w:qFormat/>
    <w:uiPriority w:val="0"/>
  </w:style>
  <w:style w:type="paragraph" w:customStyle="1" w:styleId="36">
    <w:name w:val="commentcontentpara"/>
    <w:basedOn w:val="1"/>
    <w:qFormat/>
    <w:uiPriority w:val="0"/>
    <w:pPr>
      <w:spacing w:before="100" w:beforeAutospacing="1" w:after="100" w:afterAutospacing="1" w:line="240" w:lineRule="auto"/>
    </w:pPr>
    <w:rPr>
      <w:rFonts w:ascii="Times New Roman" w:hAnsi="Times New Roman" w:eastAsia="Times New Roman"/>
      <w:sz w:val="24"/>
      <w:szCs w:val="24"/>
      <w:lang w:val="tr-TR" w:eastAsia="tr-TR"/>
    </w:rPr>
  </w:style>
  <w:style w:type="paragraph" w:customStyle="1" w:styleId="37">
    <w:name w:val="Revision"/>
    <w:hidden/>
    <w:semiHidden/>
    <w:qFormat/>
    <w:uiPriority w:val="99"/>
    <w:rPr>
      <w:rFonts w:ascii="Calibri" w:hAnsi="Calibri" w:eastAsia="宋体" w:cs="Times New Roman"/>
      <w:sz w:val="22"/>
      <w:szCs w:val="22"/>
      <w:lang w:val="it-IT" w:eastAsia="it-IT"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1465B6-6222-4B32-B8D8-1168AA2ADCE2}">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13222</Words>
  <Characters>75366</Characters>
  <Lines>628</Lines>
  <Paragraphs>176</Paragraphs>
  <TotalTime>10</TotalTime>
  <ScaleCrop>false</ScaleCrop>
  <LinksUpToDate>false</LinksUpToDate>
  <CharactersWithSpaces>88412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2021-10-10T23:26:00Z</dcterms:created>
  <dc:creator>Giuseppe</dc:creator>
  <cp:lastModifiedBy>晓晨</cp:lastModifiedBy>
  <dcterms:modified xsi:type="dcterms:W3CDTF">2021-11-19T07:03:23Z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AEBB33AD33314A38BF3449836FD424CE</vt:lpwstr>
  </property>
</Properties>
</file>