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E452"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 xml:space="preserve">Name of Journal: </w:t>
      </w:r>
      <w:r w:rsidRPr="00E940C3">
        <w:rPr>
          <w:rFonts w:ascii="Book Antiqua" w:eastAsia="Book Antiqua" w:hAnsi="Book Antiqua" w:cs="Book Antiqua"/>
          <w:i/>
          <w:color w:val="000000"/>
        </w:rPr>
        <w:t>World Journal of Clinical Oncology</w:t>
      </w:r>
    </w:p>
    <w:p w14:paraId="053ECE32"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 xml:space="preserve">Manuscript NO: </w:t>
      </w:r>
      <w:r w:rsidRPr="00E940C3">
        <w:rPr>
          <w:rFonts w:ascii="Book Antiqua" w:eastAsia="Book Antiqua" w:hAnsi="Book Antiqua" w:cs="Book Antiqua"/>
          <w:color w:val="000000"/>
        </w:rPr>
        <w:t>65092</w:t>
      </w:r>
    </w:p>
    <w:p w14:paraId="557914AD"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 xml:space="preserve">Manuscript Type: </w:t>
      </w:r>
      <w:r w:rsidRPr="00E940C3">
        <w:rPr>
          <w:rFonts w:ascii="Book Antiqua" w:eastAsia="Book Antiqua" w:hAnsi="Book Antiqua" w:cs="Book Antiqua"/>
          <w:color w:val="000000"/>
        </w:rPr>
        <w:t>MINIREVIEWS</w:t>
      </w:r>
    </w:p>
    <w:p w14:paraId="211B19C0" w14:textId="77777777" w:rsidR="00A77B3E" w:rsidRPr="00E940C3" w:rsidRDefault="00A77B3E" w:rsidP="00265AC6">
      <w:pPr>
        <w:snapToGrid w:val="0"/>
        <w:spacing w:line="360" w:lineRule="auto"/>
        <w:jc w:val="both"/>
        <w:rPr>
          <w:rFonts w:ascii="Book Antiqua" w:hAnsi="Book Antiqua"/>
        </w:rPr>
      </w:pPr>
    </w:p>
    <w:p w14:paraId="27B7999E" w14:textId="141F09F3"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Real</w:t>
      </w:r>
      <w:r w:rsidR="00975653" w:rsidRPr="00E940C3">
        <w:rPr>
          <w:rFonts w:ascii="Book Antiqua" w:eastAsia="Book Antiqua" w:hAnsi="Book Antiqua" w:cs="Book Antiqua"/>
          <w:b/>
          <w:color w:val="000000"/>
        </w:rPr>
        <w:t>-</w:t>
      </w:r>
      <w:r w:rsidR="00E05DBF" w:rsidRPr="00E940C3">
        <w:rPr>
          <w:rFonts w:ascii="Book Antiqua" w:eastAsia="Book Antiqua" w:hAnsi="Book Antiqua" w:cs="Book Antiqua"/>
          <w:b/>
          <w:color w:val="000000"/>
        </w:rPr>
        <w:t>world evidence on first</w:t>
      </w:r>
      <w:r w:rsidR="005517C9" w:rsidRPr="00E940C3">
        <w:rPr>
          <w:rFonts w:ascii="Book Antiqua" w:eastAsia="Book Antiqua" w:hAnsi="Book Antiqua" w:cs="Book Antiqua"/>
          <w:b/>
          <w:color w:val="000000"/>
        </w:rPr>
        <w:t>-</w:t>
      </w:r>
      <w:r w:rsidR="00E05DBF" w:rsidRPr="00E940C3">
        <w:rPr>
          <w:rFonts w:ascii="Book Antiqua" w:eastAsia="Book Antiqua" w:hAnsi="Book Antiqua" w:cs="Book Antiqua"/>
          <w:b/>
          <w:color w:val="000000"/>
        </w:rPr>
        <w:t xml:space="preserve"> and second</w:t>
      </w:r>
      <w:r w:rsidR="005517C9" w:rsidRPr="00E940C3">
        <w:rPr>
          <w:rFonts w:ascii="Book Antiqua" w:eastAsia="Book Antiqua" w:hAnsi="Book Antiqua" w:cs="Book Antiqua"/>
          <w:b/>
          <w:color w:val="000000"/>
        </w:rPr>
        <w:t>-</w:t>
      </w:r>
      <w:r w:rsidR="00E05DBF" w:rsidRPr="00E940C3">
        <w:rPr>
          <w:rFonts w:ascii="Book Antiqua" w:eastAsia="Book Antiqua" w:hAnsi="Book Antiqua" w:cs="Book Antiqua"/>
          <w:b/>
          <w:color w:val="000000"/>
        </w:rPr>
        <w:t>line palliative chemotherapy in advanced pancreatic cancer</w:t>
      </w:r>
    </w:p>
    <w:p w14:paraId="498D0516" w14:textId="77777777" w:rsidR="00A77B3E" w:rsidRPr="00E940C3" w:rsidRDefault="00A77B3E" w:rsidP="00265AC6">
      <w:pPr>
        <w:snapToGrid w:val="0"/>
        <w:spacing w:line="360" w:lineRule="auto"/>
        <w:jc w:val="both"/>
        <w:rPr>
          <w:rFonts w:ascii="Book Antiqua" w:hAnsi="Book Antiqua"/>
        </w:rPr>
      </w:pPr>
    </w:p>
    <w:p w14:paraId="4208E9CB" w14:textId="05CD5EDC" w:rsidR="00A77B3E" w:rsidRPr="00E940C3" w:rsidRDefault="00E05DBF"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Blomstrand H </w:t>
      </w:r>
      <w:r w:rsidRPr="00E940C3">
        <w:rPr>
          <w:rFonts w:ascii="Book Antiqua" w:eastAsia="Book Antiqua" w:hAnsi="Book Antiqua" w:cs="Book Antiqua"/>
          <w:i/>
          <w:color w:val="000000"/>
        </w:rPr>
        <w:t>et al</w:t>
      </w:r>
      <w:r w:rsidRPr="00E940C3">
        <w:rPr>
          <w:rFonts w:ascii="Book Antiqua" w:eastAsia="Book Antiqua" w:hAnsi="Book Antiqua" w:cs="Book Antiqua"/>
          <w:color w:val="000000"/>
        </w:rPr>
        <w:t xml:space="preserve">. </w:t>
      </w:r>
      <w:r w:rsidR="00B70BAD" w:rsidRPr="00E940C3">
        <w:rPr>
          <w:rFonts w:ascii="Book Antiqua" w:eastAsia="Book Antiqua" w:hAnsi="Book Antiqua" w:cs="Book Antiqua"/>
          <w:color w:val="000000"/>
        </w:rPr>
        <w:t>Real</w:t>
      </w:r>
      <w:r w:rsidR="005517C9" w:rsidRPr="00E940C3">
        <w:rPr>
          <w:rFonts w:ascii="Book Antiqua" w:eastAsia="Book Antiqua" w:hAnsi="Book Antiqua" w:cs="Book Antiqua"/>
          <w:color w:val="000000"/>
        </w:rPr>
        <w:t>-</w:t>
      </w:r>
      <w:r w:rsidRPr="00E940C3">
        <w:rPr>
          <w:rFonts w:ascii="Book Antiqua" w:eastAsia="Book Antiqua" w:hAnsi="Book Antiqua" w:cs="Book Antiqua"/>
          <w:color w:val="000000"/>
        </w:rPr>
        <w:t>wor</w:t>
      </w:r>
      <w:r w:rsidR="005517C9" w:rsidRPr="00E940C3">
        <w:rPr>
          <w:rFonts w:ascii="Book Antiqua" w:eastAsia="Book Antiqua" w:hAnsi="Book Antiqua" w:cs="Book Antiqua"/>
          <w:color w:val="000000"/>
        </w:rPr>
        <w:t>l</w:t>
      </w:r>
      <w:r w:rsidRPr="00E940C3">
        <w:rPr>
          <w:rFonts w:ascii="Book Antiqua" w:eastAsia="Book Antiqua" w:hAnsi="Book Antiqua" w:cs="Book Antiqua"/>
          <w:color w:val="000000"/>
        </w:rPr>
        <w:t>d evidence in pancreatic cancer</w:t>
      </w:r>
    </w:p>
    <w:p w14:paraId="6AFDF18D" w14:textId="77777777" w:rsidR="00A77B3E" w:rsidRPr="00E940C3" w:rsidRDefault="00A77B3E" w:rsidP="00265AC6">
      <w:pPr>
        <w:snapToGrid w:val="0"/>
        <w:spacing w:line="360" w:lineRule="auto"/>
        <w:jc w:val="both"/>
        <w:rPr>
          <w:rFonts w:ascii="Book Antiqua" w:hAnsi="Book Antiqua"/>
        </w:rPr>
      </w:pPr>
    </w:p>
    <w:p w14:paraId="2B28A223"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Hakon Blomstrand, Atul Batra, Winson Y Cheung, Nils Oskar Elander</w:t>
      </w:r>
    </w:p>
    <w:p w14:paraId="50E0F28E" w14:textId="77777777" w:rsidR="00A77B3E" w:rsidRPr="00E940C3" w:rsidRDefault="00A77B3E" w:rsidP="00265AC6">
      <w:pPr>
        <w:snapToGrid w:val="0"/>
        <w:spacing w:line="360" w:lineRule="auto"/>
        <w:jc w:val="both"/>
        <w:rPr>
          <w:rFonts w:ascii="Book Antiqua" w:hAnsi="Book Antiqua"/>
        </w:rPr>
      </w:pPr>
    </w:p>
    <w:p w14:paraId="60C60342"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Hakon Blomstrand, Nils Oskar Elander, </w:t>
      </w:r>
      <w:r w:rsidRPr="00E940C3">
        <w:rPr>
          <w:rFonts w:ascii="Book Antiqua" w:eastAsia="Book Antiqua" w:hAnsi="Book Antiqua" w:cs="Book Antiqua"/>
          <w:color w:val="000000"/>
        </w:rPr>
        <w:t>Department of Biomedical and Clinical Sciences, Linköping University, Linköping 58185, Sweden</w:t>
      </w:r>
    </w:p>
    <w:p w14:paraId="2777D45E" w14:textId="77777777" w:rsidR="00A77B3E" w:rsidRPr="00E940C3" w:rsidRDefault="00A77B3E" w:rsidP="00265AC6">
      <w:pPr>
        <w:snapToGrid w:val="0"/>
        <w:spacing w:line="360" w:lineRule="auto"/>
        <w:jc w:val="both"/>
        <w:rPr>
          <w:rFonts w:ascii="Book Antiqua" w:hAnsi="Book Antiqua"/>
        </w:rPr>
      </w:pPr>
    </w:p>
    <w:p w14:paraId="3B1AE860"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Atul Batra, </w:t>
      </w:r>
      <w:r w:rsidR="0032277E" w:rsidRPr="00E940C3">
        <w:rPr>
          <w:rFonts w:ascii="Book Antiqua" w:eastAsia="Book Antiqua" w:hAnsi="Book Antiqua" w:cs="Book Antiqua"/>
          <w:color w:val="000000"/>
        </w:rPr>
        <w:t xml:space="preserve">Departments of </w:t>
      </w:r>
      <w:r w:rsidRPr="00E940C3">
        <w:rPr>
          <w:rFonts w:ascii="Book Antiqua" w:eastAsia="Book Antiqua" w:hAnsi="Book Antiqua" w:cs="Book Antiqua"/>
          <w:color w:val="000000"/>
        </w:rPr>
        <w:t xml:space="preserve">Medical Oncology, All India Institute </w:t>
      </w:r>
      <w:r w:rsidR="00AC2060" w:rsidRPr="00E940C3">
        <w:rPr>
          <w:rFonts w:ascii="Book Antiqua" w:eastAsia="Book Antiqua" w:hAnsi="Book Antiqua" w:cs="Book Antiqua"/>
          <w:color w:val="000000"/>
        </w:rPr>
        <w:t>o</w:t>
      </w:r>
      <w:r w:rsidRPr="00E940C3">
        <w:rPr>
          <w:rFonts w:ascii="Book Antiqua" w:eastAsia="Book Antiqua" w:hAnsi="Book Antiqua" w:cs="Book Antiqua"/>
          <w:color w:val="000000"/>
        </w:rPr>
        <w:t>f Medical Sciences, New Delhi 110029,</w:t>
      </w:r>
      <w:r w:rsidR="004E7FB1"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India</w:t>
      </w:r>
    </w:p>
    <w:p w14:paraId="125176A1" w14:textId="77777777" w:rsidR="00A77B3E" w:rsidRPr="00E940C3" w:rsidRDefault="00A77B3E" w:rsidP="00265AC6">
      <w:pPr>
        <w:snapToGrid w:val="0"/>
        <w:spacing w:line="360" w:lineRule="auto"/>
        <w:jc w:val="both"/>
        <w:rPr>
          <w:rFonts w:ascii="Book Antiqua" w:hAnsi="Book Antiqua"/>
        </w:rPr>
      </w:pPr>
    </w:p>
    <w:p w14:paraId="5A40CA77" w14:textId="41B55188"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Winson Y Cheung, </w:t>
      </w:r>
      <w:r w:rsidRPr="00E940C3">
        <w:rPr>
          <w:rFonts w:ascii="Book Antiqua" w:eastAsia="Book Antiqua" w:hAnsi="Book Antiqua" w:cs="Book Antiqua"/>
          <w:color w:val="000000"/>
        </w:rPr>
        <w:t>Depar</w:t>
      </w:r>
      <w:r w:rsidR="00EB7424" w:rsidRPr="00E940C3">
        <w:rPr>
          <w:rFonts w:ascii="Book Antiqua" w:eastAsia="Book Antiqua" w:hAnsi="Book Antiqua" w:cs="Book Antiqua"/>
          <w:color w:val="000000"/>
        </w:rPr>
        <w:t>tments of Medicine and Oncology</w:t>
      </w:r>
      <w:r w:rsidRPr="00E940C3">
        <w:rPr>
          <w:rFonts w:ascii="Book Antiqua" w:eastAsia="Book Antiqua" w:hAnsi="Book Antiqua" w:cs="Book Antiqua"/>
          <w:color w:val="000000"/>
        </w:rPr>
        <w:t>, University of Calgary, Calgary T2N 4N1, Canada</w:t>
      </w:r>
    </w:p>
    <w:p w14:paraId="02A4181E" w14:textId="77777777" w:rsidR="00A77B3E" w:rsidRPr="00E940C3" w:rsidRDefault="00A77B3E" w:rsidP="00265AC6">
      <w:pPr>
        <w:snapToGrid w:val="0"/>
        <w:spacing w:line="360" w:lineRule="auto"/>
        <w:jc w:val="both"/>
        <w:rPr>
          <w:rFonts w:ascii="Book Antiqua" w:hAnsi="Book Antiqua"/>
        </w:rPr>
      </w:pPr>
    </w:p>
    <w:p w14:paraId="6C3DE50D" w14:textId="0A43A0E0"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Author contributions: </w:t>
      </w:r>
      <w:r w:rsidR="00D479FA" w:rsidRPr="00E940C3">
        <w:rPr>
          <w:rFonts w:ascii="Book Antiqua" w:eastAsia="Book Antiqua" w:hAnsi="Book Antiqua" w:cs="Book Antiqua"/>
          <w:bCs/>
          <w:color w:val="000000"/>
        </w:rPr>
        <w:t>Blomstrand</w:t>
      </w:r>
      <w:r w:rsidR="00D479FA" w:rsidRPr="00E940C3">
        <w:rPr>
          <w:rFonts w:ascii="Book Antiqua" w:eastAsia="Book Antiqua" w:hAnsi="Book Antiqua" w:cs="Book Antiqua"/>
          <w:color w:val="000000"/>
          <w:shd w:val="clear" w:color="auto" w:fill="FFFFFF"/>
        </w:rPr>
        <w:t xml:space="preserve"> H</w:t>
      </w:r>
      <w:r w:rsidRPr="00E940C3">
        <w:rPr>
          <w:rFonts w:ascii="Book Antiqua" w:eastAsia="Book Antiqua" w:hAnsi="Book Antiqua" w:cs="Book Antiqua"/>
          <w:color w:val="000000"/>
          <w:shd w:val="clear" w:color="auto" w:fill="FFFFFF"/>
        </w:rPr>
        <w:t xml:space="preserve">, </w:t>
      </w:r>
      <w:r w:rsidR="00D479FA" w:rsidRPr="00E940C3">
        <w:rPr>
          <w:rFonts w:ascii="Book Antiqua" w:eastAsia="Book Antiqua" w:hAnsi="Book Antiqua" w:cs="Book Antiqua"/>
          <w:color w:val="000000"/>
        </w:rPr>
        <w:t>Cheung</w:t>
      </w:r>
      <w:r w:rsidR="00D479FA" w:rsidRPr="00E940C3">
        <w:rPr>
          <w:rFonts w:ascii="Book Antiqua" w:eastAsia="Book Antiqua" w:hAnsi="Book Antiqua" w:cs="Book Antiqua"/>
          <w:color w:val="000000"/>
          <w:shd w:val="clear" w:color="auto" w:fill="FFFFFF"/>
        </w:rPr>
        <w:t xml:space="preserve"> </w:t>
      </w:r>
      <w:r w:rsidRPr="00E940C3">
        <w:rPr>
          <w:rFonts w:ascii="Book Antiqua" w:eastAsia="Book Antiqua" w:hAnsi="Book Antiqua" w:cs="Book Antiqua"/>
          <w:color w:val="000000"/>
          <w:shd w:val="clear" w:color="auto" w:fill="FFFFFF"/>
        </w:rPr>
        <w:t>WY</w:t>
      </w:r>
      <w:r w:rsidR="00D479FA" w:rsidRPr="00E940C3">
        <w:rPr>
          <w:rFonts w:ascii="Book Antiqua" w:eastAsia="Book Antiqua" w:hAnsi="Book Antiqua" w:cs="Book Antiqua"/>
          <w:color w:val="000000"/>
          <w:shd w:val="clear" w:color="auto" w:fill="FFFFFF"/>
        </w:rPr>
        <w:t xml:space="preserve"> </w:t>
      </w:r>
      <w:r w:rsidRPr="00E940C3">
        <w:rPr>
          <w:rFonts w:ascii="Book Antiqua" w:eastAsia="Book Antiqua" w:hAnsi="Book Antiqua" w:cs="Book Antiqua"/>
          <w:color w:val="000000"/>
          <w:shd w:val="clear" w:color="auto" w:fill="FFFFFF"/>
        </w:rPr>
        <w:t xml:space="preserve">and </w:t>
      </w:r>
      <w:r w:rsidR="00D479FA" w:rsidRPr="00E940C3">
        <w:rPr>
          <w:rFonts w:ascii="Book Antiqua" w:eastAsia="Book Antiqua" w:hAnsi="Book Antiqua" w:cs="Book Antiqua"/>
          <w:color w:val="000000"/>
        </w:rPr>
        <w:t>Elander</w:t>
      </w:r>
      <w:r w:rsidR="00D479FA" w:rsidRPr="00E940C3">
        <w:rPr>
          <w:rFonts w:ascii="Book Antiqua" w:eastAsia="Book Antiqua" w:hAnsi="Book Antiqua" w:cs="Book Antiqua"/>
          <w:color w:val="000000"/>
          <w:shd w:val="clear" w:color="auto" w:fill="FFFFFF"/>
        </w:rPr>
        <w:t xml:space="preserve"> </w:t>
      </w:r>
      <w:r w:rsidRPr="00E940C3">
        <w:rPr>
          <w:rFonts w:ascii="Book Antiqua" w:eastAsia="Book Antiqua" w:hAnsi="Book Antiqua" w:cs="Book Antiqua"/>
          <w:color w:val="000000"/>
          <w:shd w:val="clear" w:color="auto" w:fill="FFFFFF"/>
        </w:rPr>
        <w:t>NO</w:t>
      </w:r>
      <w:r w:rsidR="00D479FA" w:rsidRPr="00E940C3">
        <w:rPr>
          <w:rFonts w:ascii="Book Antiqua" w:eastAsia="Book Antiqua" w:hAnsi="Book Antiqua" w:cs="Book Antiqua"/>
          <w:color w:val="000000"/>
          <w:shd w:val="clear" w:color="auto" w:fill="FFFFFF"/>
        </w:rPr>
        <w:t xml:space="preserve"> </w:t>
      </w:r>
      <w:r w:rsidRPr="00E940C3">
        <w:rPr>
          <w:rFonts w:ascii="Book Antiqua" w:eastAsia="Book Antiqua" w:hAnsi="Book Antiqua" w:cs="Book Antiqua"/>
          <w:color w:val="000000"/>
          <w:shd w:val="clear" w:color="auto" w:fill="FFFFFF"/>
        </w:rPr>
        <w:t>planned the study</w:t>
      </w:r>
      <w:r w:rsidR="00F24C02" w:rsidRPr="00E940C3">
        <w:rPr>
          <w:rFonts w:ascii="Book Antiqua" w:eastAsia="Book Antiqua" w:hAnsi="Book Antiqua" w:cs="Book Antiqua"/>
          <w:color w:val="000000"/>
          <w:shd w:val="clear" w:color="auto" w:fill="FFFFFF"/>
        </w:rPr>
        <w:t xml:space="preserve">; </w:t>
      </w:r>
      <w:r w:rsidR="00F24C02" w:rsidRPr="00E940C3">
        <w:rPr>
          <w:rFonts w:ascii="Book Antiqua" w:eastAsia="Book Antiqua" w:hAnsi="Book Antiqua" w:cs="Book Antiqua"/>
          <w:bCs/>
          <w:color w:val="000000"/>
        </w:rPr>
        <w:t>Blomstrand</w:t>
      </w:r>
      <w:r w:rsidR="00F24C02" w:rsidRPr="00E940C3">
        <w:rPr>
          <w:rFonts w:ascii="Book Antiqua" w:eastAsia="Book Antiqua" w:hAnsi="Book Antiqua" w:cs="Book Antiqua"/>
          <w:color w:val="000000"/>
          <w:shd w:val="clear" w:color="auto" w:fill="FFFFFF"/>
        </w:rPr>
        <w:t xml:space="preserve"> </w:t>
      </w:r>
      <w:r w:rsidRPr="00E940C3">
        <w:rPr>
          <w:rFonts w:ascii="Book Antiqua" w:eastAsia="Book Antiqua" w:hAnsi="Book Antiqua" w:cs="Book Antiqua"/>
          <w:color w:val="000000"/>
          <w:shd w:val="clear" w:color="auto" w:fill="FFFFFF"/>
        </w:rPr>
        <w:t>H</w:t>
      </w:r>
      <w:r w:rsidR="00F24C02" w:rsidRPr="00E940C3">
        <w:rPr>
          <w:rFonts w:ascii="Book Antiqua" w:eastAsia="Book Antiqua" w:hAnsi="Book Antiqua" w:cs="Book Antiqua"/>
          <w:color w:val="000000"/>
          <w:shd w:val="clear" w:color="auto" w:fill="FFFFFF"/>
        </w:rPr>
        <w:t xml:space="preserve"> </w:t>
      </w:r>
      <w:r w:rsidRPr="00E940C3">
        <w:rPr>
          <w:rFonts w:ascii="Book Antiqua" w:eastAsia="Book Antiqua" w:hAnsi="Book Antiqua" w:cs="Book Antiqua"/>
          <w:color w:val="000000"/>
          <w:shd w:val="clear" w:color="auto" w:fill="FFFFFF"/>
        </w:rPr>
        <w:t xml:space="preserve">and </w:t>
      </w:r>
      <w:r w:rsidR="00F24C02" w:rsidRPr="00E940C3">
        <w:rPr>
          <w:rFonts w:ascii="Book Antiqua" w:eastAsia="Book Antiqua" w:hAnsi="Book Antiqua" w:cs="Book Antiqua"/>
          <w:color w:val="000000"/>
        </w:rPr>
        <w:t>Batra</w:t>
      </w:r>
      <w:r w:rsidR="00F24C02" w:rsidRPr="00E940C3">
        <w:rPr>
          <w:rFonts w:ascii="Book Antiqua" w:eastAsia="Book Antiqua" w:hAnsi="Book Antiqua" w:cs="Book Antiqua"/>
          <w:color w:val="000000"/>
          <w:shd w:val="clear" w:color="auto" w:fill="FFFFFF"/>
        </w:rPr>
        <w:t xml:space="preserve"> </w:t>
      </w:r>
      <w:r w:rsidRPr="00E940C3">
        <w:rPr>
          <w:rFonts w:ascii="Book Antiqua" w:eastAsia="Book Antiqua" w:hAnsi="Book Antiqua" w:cs="Book Antiqua"/>
          <w:color w:val="000000"/>
          <w:shd w:val="clear" w:color="auto" w:fill="FFFFFF"/>
        </w:rPr>
        <w:t>A</w:t>
      </w:r>
      <w:r w:rsidR="00F24C02" w:rsidRPr="00E940C3">
        <w:rPr>
          <w:rFonts w:ascii="Book Antiqua" w:eastAsia="Book Antiqua" w:hAnsi="Book Antiqua" w:cs="Book Antiqua"/>
          <w:color w:val="000000"/>
          <w:shd w:val="clear" w:color="auto" w:fill="FFFFFF"/>
        </w:rPr>
        <w:t xml:space="preserve"> </w:t>
      </w:r>
      <w:r w:rsidRPr="00E940C3">
        <w:rPr>
          <w:rFonts w:ascii="Book Antiqua" w:eastAsia="Book Antiqua" w:hAnsi="Book Antiqua" w:cs="Book Antiqua"/>
          <w:color w:val="000000"/>
          <w:shd w:val="clear" w:color="auto" w:fill="FFFFFF"/>
        </w:rPr>
        <w:t>performed the literature search</w:t>
      </w:r>
      <w:r w:rsidR="00B411CC" w:rsidRPr="00E940C3">
        <w:rPr>
          <w:rFonts w:ascii="Book Antiqua" w:eastAsia="Book Antiqua" w:hAnsi="Book Antiqua" w:cs="Book Antiqua"/>
          <w:color w:val="000000"/>
          <w:shd w:val="clear" w:color="auto" w:fill="FFFFFF"/>
        </w:rPr>
        <w:t xml:space="preserve">; </w:t>
      </w:r>
      <w:r w:rsidR="00B411CC" w:rsidRPr="00E940C3">
        <w:rPr>
          <w:rFonts w:ascii="Book Antiqua" w:eastAsia="Book Antiqua" w:hAnsi="Book Antiqua" w:cs="Book Antiqua"/>
          <w:bCs/>
          <w:color w:val="000000"/>
        </w:rPr>
        <w:t>Blomstrand</w:t>
      </w:r>
      <w:r w:rsidR="00B411CC" w:rsidRPr="00E940C3">
        <w:rPr>
          <w:rFonts w:ascii="Book Antiqua" w:eastAsia="Book Antiqua" w:hAnsi="Book Antiqua" w:cs="Book Antiqua"/>
          <w:color w:val="000000"/>
          <w:shd w:val="clear" w:color="auto" w:fill="FFFFFF"/>
        </w:rPr>
        <w:t xml:space="preserve"> H, </w:t>
      </w:r>
      <w:r w:rsidR="00B411CC" w:rsidRPr="00E940C3">
        <w:rPr>
          <w:rFonts w:ascii="Book Antiqua" w:eastAsia="Book Antiqua" w:hAnsi="Book Antiqua" w:cs="Book Antiqua"/>
          <w:color w:val="000000"/>
        </w:rPr>
        <w:t>Batra</w:t>
      </w:r>
      <w:r w:rsidR="00B411CC" w:rsidRPr="00E940C3">
        <w:rPr>
          <w:rFonts w:ascii="Book Antiqua" w:eastAsia="Book Antiqua" w:hAnsi="Book Antiqua" w:cs="Book Antiqua"/>
          <w:color w:val="000000"/>
          <w:shd w:val="clear" w:color="auto" w:fill="FFFFFF"/>
        </w:rPr>
        <w:t xml:space="preserve"> A</w:t>
      </w:r>
      <w:r w:rsidR="00B411CC" w:rsidRPr="00E940C3">
        <w:rPr>
          <w:rFonts w:ascii="Book Antiqua" w:eastAsia="Book Antiqua" w:hAnsi="Book Antiqua" w:cs="Book Antiqua"/>
          <w:color w:val="000000"/>
        </w:rPr>
        <w:t>, Cheung</w:t>
      </w:r>
      <w:r w:rsidR="00B411CC" w:rsidRPr="00E940C3">
        <w:rPr>
          <w:rFonts w:ascii="Book Antiqua" w:eastAsia="Book Antiqua" w:hAnsi="Book Antiqua" w:cs="Book Antiqua"/>
          <w:color w:val="000000"/>
          <w:shd w:val="clear" w:color="auto" w:fill="FFFFFF"/>
        </w:rPr>
        <w:t xml:space="preserve"> WY and </w:t>
      </w:r>
      <w:r w:rsidR="00B411CC" w:rsidRPr="00E940C3">
        <w:rPr>
          <w:rFonts w:ascii="Book Antiqua" w:eastAsia="Book Antiqua" w:hAnsi="Book Antiqua" w:cs="Book Antiqua"/>
          <w:color w:val="000000"/>
        </w:rPr>
        <w:t>Elander</w:t>
      </w:r>
      <w:r w:rsidR="00B411CC" w:rsidRPr="00E940C3">
        <w:rPr>
          <w:rFonts w:ascii="Book Antiqua" w:eastAsia="Book Antiqua" w:hAnsi="Book Antiqua" w:cs="Book Antiqua"/>
          <w:color w:val="000000"/>
          <w:shd w:val="clear" w:color="auto" w:fill="FFFFFF"/>
        </w:rPr>
        <w:t xml:space="preserve"> NO</w:t>
      </w:r>
      <w:r w:rsidRPr="00E940C3">
        <w:rPr>
          <w:rFonts w:ascii="Book Antiqua" w:eastAsia="Book Antiqua" w:hAnsi="Book Antiqua" w:cs="Book Antiqua"/>
          <w:color w:val="000000"/>
          <w:shd w:val="clear" w:color="auto" w:fill="FFFFFF"/>
        </w:rPr>
        <w:t xml:space="preserve"> assessed and interpreted the search results</w:t>
      </w:r>
      <w:r w:rsidR="003830C8" w:rsidRPr="00E940C3">
        <w:rPr>
          <w:rFonts w:ascii="Book Antiqua" w:eastAsia="Book Antiqua" w:hAnsi="Book Antiqua" w:cs="Book Antiqua"/>
          <w:color w:val="000000"/>
          <w:shd w:val="clear" w:color="auto" w:fill="FFFFFF"/>
        </w:rPr>
        <w:t>,</w:t>
      </w:r>
      <w:r w:rsidRPr="00E940C3">
        <w:rPr>
          <w:rFonts w:ascii="Book Antiqua" w:eastAsia="Book Antiqua" w:hAnsi="Book Antiqua" w:cs="Book Antiqua"/>
          <w:color w:val="000000"/>
          <w:shd w:val="clear" w:color="auto" w:fill="FFFFFF"/>
        </w:rPr>
        <w:t xml:space="preserve"> and all were major contributors to the manuscript</w:t>
      </w:r>
      <w:r w:rsidR="00F24C02" w:rsidRPr="00E940C3">
        <w:rPr>
          <w:rFonts w:ascii="Book Antiqua" w:eastAsia="Book Antiqua" w:hAnsi="Book Antiqua" w:cs="Book Antiqua"/>
          <w:color w:val="000000"/>
          <w:shd w:val="clear" w:color="auto" w:fill="FFFFFF"/>
        </w:rPr>
        <w:t>;</w:t>
      </w:r>
      <w:r w:rsidRPr="00E940C3">
        <w:rPr>
          <w:rFonts w:ascii="Book Antiqua" w:eastAsia="Book Antiqua" w:hAnsi="Book Antiqua" w:cs="Book Antiqua"/>
          <w:color w:val="000000"/>
          <w:shd w:val="clear" w:color="auto" w:fill="FFFFFF"/>
        </w:rPr>
        <w:t xml:space="preserve"> </w:t>
      </w:r>
      <w:r w:rsidR="00F24C02" w:rsidRPr="00E940C3">
        <w:rPr>
          <w:rFonts w:ascii="Book Antiqua" w:eastAsia="Book Antiqua" w:hAnsi="Book Antiqua" w:cs="Book Antiqua"/>
          <w:color w:val="000000"/>
          <w:shd w:val="clear" w:color="auto" w:fill="FFFFFF"/>
        </w:rPr>
        <w:t>a</w:t>
      </w:r>
      <w:r w:rsidRPr="00E940C3">
        <w:rPr>
          <w:rFonts w:ascii="Book Antiqua" w:eastAsia="Book Antiqua" w:hAnsi="Book Antiqua" w:cs="Book Antiqua"/>
          <w:color w:val="000000"/>
          <w:shd w:val="clear" w:color="auto" w:fill="FFFFFF"/>
        </w:rPr>
        <w:t>ll authors read and approved the final manuscript</w:t>
      </w:r>
      <w:r w:rsidR="00117B7B" w:rsidRPr="00E940C3">
        <w:rPr>
          <w:rFonts w:ascii="Book Antiqua" w:eastAsia="Book Antiqua" w:hAnsi="Book Antiqua" w:cs="Book Antiqua"/>
          <w:color w:val="000000"/>
          <w:shd w:val="clear" w:color="auto" w:fill="FFFFFF"/>
        </w:rPr>
        <w:t>.</w:t>
      </w:r>
    </w:p>
    <w:p w14:paraId="1D891FBC" w14:textId="77777777" w:rsidR="00A77B3E" w:rsidRPr="00E940C3" w:rsidRDefault="00A77B3E" w:rsidP="00265AC6">
      <w:pPr>
        <w:snapToGrid w:val="0"/>
        <w:spacing w:line="360" w:lineRule="auto"/>
        <w:jc w:val="both"/>
        <w:rPr>
          <w:rFonts w:ascii="Book Antiqua" w:hAnsi="Book Antiqua"/>
        </w:rPr>
      </w:pPr>
    </w:p>
    <w:p w14:paraId="30932B04"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Corresponding author: Nils Oskar Elander, MD, PhD, Doctor, </w:t>
      </w:r>
      <w:r w:rsidRPr="00E940C3">
        <w:rPr>
          <w:rFonts w:ascii="Book Antiqua" w:eastAsia="Book Antiqua" w:hAnsi="Book Antiqua" w:cs="Book Antiqua"/>
          <w:color w:val="000000"/>
        </w:rPr>
        <w:t>Department of Biomedical and Clinical Sciences, Linköping University, Linköping University Hospital, Linköping 58185, Sweden. nils.elander@liu.se</w:t>
      </w:r>
    </w:p>
    <w:p w14:paraId="18E60961" w14:textId="77777777" w:rsidR="00A77B3E" w:rsidRPr="00E940C3" w:rsidRDefault="00A77B3E" w:rsidP="00265AC6">
      <w:pPr>
        <w:snapToGrid w:val="0"/>
        <w:spacing w:line="360" w:lineRule="auto"/>
        <w:jc w:val="both"/>
        <w:rPr>
          <w:rFonts w:ascii="Book Antiqua" w:hAnsi="Book Antiqua"/>
        </w:rPr>
      </w:pPr>
    </w:p>
    <w:p w14:paraId="4C02884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Received: </w:t>
      </w:r>
      <w:r w:rsidRPr="00E940C3">
        <w:rPr>
          <w:rFonts w:ascii="Book Antiqua" w:eastAsia="Book Antiqua" w:hAnsi="Book Antiqua" w:cs="Book Antiqua"/>
          <w:color w:val="000000"/>
        </w:rPr>
        <w:t>February 28, 2021</w:t>
      </w:r>
    </w:p>
    <w:p w14:paraId="18340FC6"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lastRenderedPageBreak/>
        <w:t xml:space="preserve">Revised: </w:t>
      </w:r>
      <w:r w:rsidRPr="00E940C3">
        <w:rPr>
          <w:rFonts w:ascii="Book Antiqua" w:eastAsia="Book Antiqua" w:hAnsi="Book Antiqua" w:cs="Book Antiqua"/>
          <w:color w:val="000000"/>
        </w:rPr>
        <w:t>May 9, 2021</w:t>
      </w:r>
    </w:p>
    <w:p w14:paraId="204DE6F0" w14:textId="741CAA72"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Accepted: </w:t>
      </w:r>
      <w:bookmarkStart w:id="0" w:name="OLE_LINK15"/>
      <w:bookmarkStart w:id="1" w:name="OLE_LINK33"/>
      <w:bookmarkStart w:id="2" w:name="OLE_LINK48"/>
      <w:r w:rsidR="00A82ECA" w:rsidRPr="00E940C3">
        <w:rPr>
          <w:rFonts w:ascii="Book Antiqua" w:eastAsia="SimSun" w:hAnsi="Book Antiqua"/>
          <w:color w:val="000000" w:themeColor="text1"/>
        </w:rPr>
        <w:t>August 12, 2021</w:t>
      </w:r>
      <w:bookmarkEnd w:id="0"/>
      <w:bookmarkEnd w:id="1"/>
      <w:bookmarkEnd w:id="2"/>
    </w:p>
    <w:p w14:paraId="67A14E04" w14:textId="41A922FD"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Published online:</w:t>
      </w:r>
    </w:p>
    <w:p w14:paraId="323ADE93" w14:textId="77777777" w:rsidR="00A77B3E" w:rsidRPr="00E940C3" w:rsidRDefault="00A77B3E" w:rsidP="00265AC6">
      <w:pPr>
        <w:snapToGrid w:val="0"/>
        <w:spacing w:line="360" w:lineRule="auto"/>
        <w:jc w:val="both"/>
        <w:rPr>
          <w:rFonts w:ascii="Book Antiqua" w:hAnsi="Book Antiqua"/>
        </w:rPr>
        <w:sectPr w:rsidR="00A77B3E" w:rsidRPr="00E940C3">
          <w:footerReference w:type="default" r:id="rId6"/>
          <w:pgSz w:w="12240" w:h="15840"/>
          <w:pgMar w:top="1440" w:right="1440" w:bottom="1440" w:left="1440" w:header="720" w:footer="720" w:gutter="0"/>
          <w:cols w:space="720"/>
          <w:docGrid w:linePitch="360"/>
        </w:sectPr>
      </w:pPr>
    </w:p>
    <w:p w14:paraId="17796F31"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lastRenderedPageBreak/>
        <w:t>Abstract</w:t>
      </w:r>
    </w:p>
    <w:p w14:paraId="28AB70B6" w14:textId="393E55AA"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In spite of recent diagnostic and therapeutic advances, the prognosis of pancreatic ductal adenocarcinoma (PDAC) remains very poor. As most patients are not amenable to curative intent treatments, </w:t>
      </w:r>
      <w:r w:rsidR="00E940C3" w:rsidRPr="00E940C3">
        <w:rPr>
          <w:rFonts w:ascii="Book Antiqua" w:eastAsia="Book Antiqua" w:hAnsi="Book Antiqua" w:cs="Book Antiqua"/>
          <w:color w:val="000000"/>
        </w:rPr>
        <w:t>optimized</w:t>
      </w:r>
      <w:r w:rsidRPr="00E940C3">
        <w:rPr>
          <w:rFonts w:ascii="Book Antiqua" w:eastAsia="Book Antiqua" w:hAnsi="Book Antiqua" w:cs="Book Antiqua"/>
          <w:color w:val="000000"/>
        </w:rPr>
        <w:t xml:space="preserve"> palliative management is highly needed. One key question is to what extent promising results produced by </w:t>
      </w:r>
      <w:r w:rsidR="00E940C3" w:rsidRPr="00E940C3">
        <w:rPr>
          <w:rFonts w:ascii="Book Antiqua" w:eastAsia="Book Antiqua" w:hAnsi="Book Antiqua" w:cs="Book Antiqua"/>
          <w:color w:val="000000"/>
        </w:rPr>
        <w:t>randomized</w:t>
      </w:r>
      <w:r w:rsidRPr="00E940C3">
        <w:rPr>
          <w:rFonts w:ascii="Book Antiqua" w:eastAsia="Book Antiqua" w:hAnsi="Book Antiqua" w:cs="Book Antiqua"/>
          <w:color w:val="000000"/>
        </w:rPr>
        <w:t xml:space="preserve"> controlled trials (RCTs) correspond to clinically meaningful outcomes in patients treated outside the strict frames of a clinical trial. To answer such questions, real</w:t>
      </w:r>
      <w:r w:rsidR="008C19B4">
        <w:rPr>
          <w:rFonts w:ascii="Book Antiqua" w:eastAsia="Book Antiqua" w:hAnsi="Book Antiqua" w:cs="Book Antiqua"/>
          <w:color w:val="000000"/>
        </w:rPr>
        <w:t>-</w:t>
      </w:r>
      <w:r w:rsidRPr="00E940C3">
        <w:rPr>
          <w:rFonts w:ascii="Book Antiqua" w:eastAsia="Book Antiqua" w:hAnsi="Book Antiqua" w:cs="Book Antiqua"/>
          <w:color w:val="000000"/>
        </w:rPr>
        <w:t>world evidence is necessary. The present paper reviews and discusses the current literature on first</w:t>
      </w:r>
      <w:r w:rsidR="00724E0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second</w:t>
      </w:r>
      <w:r w:rsidR="00724E0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palliative chemotherapy in PDAC. Notably, a growing </w:t>
      </w:r>
      <w:r w:rsidR="00C55F7C" w:rsidRPr="00E940C3">
        <w:rPr>
          <w:rFonts w:ascii="Book Antiqua" w:eastAsia="Book Antiqua" w:hAnsi="Book Antiqua" w:cs="Book Antiqua"/>
          <w:color w:val="000000"/>
        </w:rPr>
        <w:t>number</w:t>
      </w:r>
      <w:r w:rsidRPr="00E940C3">
        <w:rPr>
          <w:rFonts w:ascii="Book Antiqua" w:eastAsia="Book Antiqua" w:hAnsi="Book Antiqua" w:cs="Book Antiqua"/>
          <w:color w:val="000000"/>
        </w:rPr>
        <w:t xml:space="preserve"> of studies report that the outcome</w:t>
      </w:r>
      <w:r w:rsidR="00475125">
        <w:rPr>
          <w:rFonts w:ascii="Book Antiqua" w:eastAsia="Book Antiqua" w:hAnsi="Book Antiqua" w:cs="Book Antiqua"/>
          <w:color w:val="000000"/>
        </w:rPr>
        <w:t>s</w:t>
      </w:r>
      <w:r w:rsidRPr="00E940C3">
        <w:rPr>
          <w:rFonts w:ascii="Book Antiqua" w:eastAsia="Book Antiqua" w:hAnsi="Book Antiqua" w:cs="Book Antiqua"/>
          <w:color w:val="000000"/>
        </w:rPr>
        <w:t xml:space="preserve"> of the two predominant </w:t>
      </w:r>
      <w:r w:rsidR="00C1337A" w:rsidRPr="00E940C3">
        <w:rPr>
          <w:rFonts w:ascii="Book Antiqua" w:eastAsia="Book Antiqua" w:hAnsi="Book Antiqua" w:cs="Book Antiqua"/>
          <w:color w:val="000000"/>
        </w:rPr>
        <w:t>first</w:t>
      </w:r>
      <w:r w:rsidR="00724E06" w:rsidRPr="00E940C3">
        <w:rPr>
          <w:rFonts w:ascii="Book Antiqua" w:eastAsia="Book Antiqua" w:hAnsi="Book Antiqua" w:cs="Book Antiqua"/>
          <w:color w:val="000000"/>
        </w:rPr>
        <w:t>-</w:t>
      </w:r>
      <w:r w:rsidR="00C1337A" w:rsidRPr="00E940C3">
        <w:rPr>
          <w:rFonts w:ascii="Book Antiqua" w:eastAsia="Book Antiqua" w:hAnsi="Book Antiqua" w:cs="Book Antiqua"/>
          <w:color w:val="000000"/>
        </w:rPr>
        <w:t xml:space="preserve">line </w:t>
      </w:r>
      <w:r w:rsidRPr="00E940C3">
        <w:rPr>
          <w:rFonts w:ascii="Book Antiqua" w:eastAsia="Book Antiqua" w:hAnsi="Book Antiqua" w:cs="Book Antiqua"/>
          <w:color w:val="000000"/>
        </w:rPr>
        <w:t xml:space="preserve">multidrug regimens, </w:t>
      </w:r>
      <w:r w:rsidRPr="00E940C3">
        <w:rPr>
          <w:rFonts w:ascii="Book Antiqua" w:eastAsia="Book Antiqua" w:hAnsi="Book Antiqua" w:cs="Book Antiqua"/>
          <w:i/>
          <w:color w:val="000000"/>
        </w:rPr>
        <w:t>i.e.</w:t>
      </w:r>
      <w:r w:rsidR="005351E2"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gemcitabine plus nab-paclitaxel (GnP) and </w:t>
      </w:r>
      <w:r w:rsidR="0022296B" w:rsidRPr="00E940C3">
        <w:rPr>
          <w:rFonts w:ascii="Book Antiqua" w:eastAsia="Book Antiqua" w:hAnsi="Book Antiqua" w:cs="Book Antiqua"/>
          <w:color w:val="000000"/>
        </w:rPr>
        <w:t>f</w:t>
      </w:r>
      <w:r w:rsidR="00790BE3" w:rsidRPr="00E940C3">
        <w:rPr>
          <w:rFonts w:ascii="Book Antiqua" w:eastAsia="Book Antiqua" w:hAnsi="Book Antiqua" w:cs="Book Antiqua"/>
          <w:color w:val="000000"/>
        </w:rPr>
        <w:t>olfirinox</w:t>
      </w:r>
      <w:r w:rsidRPr="00E940C3">
        <w:rPr>
          <w:rFonts w:ascii="Book Antiqua" w:eastAsia="Book Antiqua" w:hAnsi="Book Antiqua" w:cs="Book Antiqua"/>
          <w:color w:val="000000"/>
        </w:rPr>
        <w:t xml:space="preserve"> (FFX), is similar in RCTs and real</w:t>
      </w:r>
      <w:r w:rsidR="006316C5" w:rsidRPr="00E940C3">
        <w:rPr>
          <w:rFonts w:ascii="Book Antiqua" w:eastAsia="Book Antiqua" w:hAnsi="Book Antiqua" w:cs="Book Antiqua"/>
          <w:color w:val="000000"/>
        </w:rPr>
        <w:t>-</w:t>
      </w:r>
      <w:r w:rsidRPr="00E940C3">
        <w:rPr>
          <w:rFonts w:ascii="Book Antiqua" w:eastAsia="Book Antiqua" w:hAnsi="Book Antiqua" w:cs="Book Antiqua"/>
          <w:color w:val="000000"/>
        </w:rPr>
        <w:t>life populations. O</w:t>
      </w:r>
      <w:r w:rsidR="009B7EAD" w:rsidRPr="00E940C3">
        <w:rPr>
          <w:rFonts w:ascii="Book Antiqua" w:eastAsia="Book Antiqua" w:hAnsi="Book Antiqua" w:cs="Book Antiqua"/>
          <w:color w:val="000000"/>
        </w:rPr>
        <w:t>utcomes of</w:t>
      </w:r>
      <w:r w:rsidRPr="00E940C3">
        <w:rPr>
          <w:rFonts w:ascii="Book Antiqua" w:eastAsia="Book Antiqua" w:hAnsi="Book Antiqua" w:cs="Book Antiqua"/>
          <w:color w:val="000000"/>
        </w:rPr>
        <w:t xml:space="preserve"> second</w:t>
      </w:r>
      <w:r w:rsidR="00913A57" w:rsidRPr="00E940C3">
        <w:rPr>
          <w:rFonts w:ascii="Book Antiqua" w:eastAsia="Book Antiqua" w:hAnsi="Book Antiqua" w:cs="Book Antiqua"/>
          <w:color w:val="000000"/>
        </w:rPr>
        <w:t>-</w:t>
      </w:r>
      <w:r w:rsidRPr="00E940C3">
        <w:rPr>
          <w:rFonts w:ascii="Book Antiqua" w:eastAsia="Book Antiqua" w:hAnsi="Book Antiqua" w:cs="Book Antiqua"/>
          <w:color w:val="000000"/>
        </w:rPr>
        <w:t>line therapy following failure of first</w:t>
      </w:r>
      <w:r w:rsidR="00913A57" w:rsidRPr="00E940C3">
        <w:rPr>
          <w:rFonts w:ascii="Book Antiqua" w:eastAsia="Book Antiqua" w:hAnsi="Book Antiqua" w:cs="Book Antiqua"/>
          <w:color w:val="000000"/>
        </w:rPr>
        <w:t>-</w:t>
      </w:r>
      <w:r w:rsidRPr="00E940C3">
        <w:rPr>
          <w:rFonts w:ascii="Book Antiqua" w:eastAsia="Book Antiqua" w:hAnsi="Book Antiqua" w:cs="Book Antiqua"/>
          <w:color w:val="000000"/>
        </w:rPr>
        <w:t>line regimen</w:t>
      </w:r>
      <w:r w:rsidR="00913A57" w:rsidRPr="00E940C3">
        <w:rPr>
          <w:rFonts w:ascii="Book Antiqua" w:eastAsia="Book Antiqua" w:hAnsi="Book Antiqua" w:cs="Book Antiqua"/>
          <w:color w:val="000000"/>
        </w:rPr>
        <w:t>s are</w:t>
      </w:r>
      <w:r w:rsidRPr="00E940C3">
        <w:rPr>
          <w:rFonts w:ascii="Book Antiqua" w:eastAsia="Book Antiqua" w:hAnsi="Book Antiqua" w:cs="Book Antiqua"/>
          <w:color w:val="000000"/>
        </w:rPr>
        <w:t xml:space="preserve"> still dismal</w:t>
      </w:r>
      <w:r w:rsidR="00913A57"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considerable uncertaint</w:t>
      </w:r>
      <w:r w:rsidR="00913A57" w:rsidRPr="00E940C3">
        <w:rPr>
          <w:rFonts w:ascii="Book Antiqua" w:eastAsia="Book Antiqua" w:hAnsi="Book Antiqua" w:cs="Book Antiqua"/>
          <w:color w:val="000000"/>
        </w:rPr>
        <w:t>y</w:t>
      </w:r>
      <w:r w:rsidRPr="00E940C3">
        <w:rPr>
          <w:rFonts w:ascii="Book Antiqua" w:eastAsia="Book Antiqua" w:hAnsi="Book Antiqua" w:cs="Book Antiqua"/>
          <w:color w:val="000000"/>
        </w:rPr>
        <w:t xml:space="preserve"> </w:t>
      </w:r>
      <w:r w:rsidR="00913A57" w:rsidRPr="00E940C3">
        <w:rPr>
          <w:rFonts w:ascii="Book Antiqua" w:eastAsia="Book Antiqua" w:hAnsi="Book Antiqua" w:cs="Book Antiqua"/>
          <w:color w:val="000000"/>
        </w:rPr>
        <w:t>of</w:t>
      </w:r>
      <w:r w:rsidRPr="00E940C3">
        <w:rPr>
          <w:rFonts w:ascii="Book Antiqua" w:eastAsia="Book Antiqua" w:hAnsi="Book Antiqua" w:cs="Book Antiqua"/>
          <w:color w:val="000000"/>
        </w:rPr>
        <w:t xml:space="preserve"> the optimal management remain</w:t>
      </w:r>
      <w:r w:rsidR="00FA13A7"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 Additional RCTs and </w:t>
      </w:r>
      <w:r w:rsidR="00066A24">
        <w:rPr>
          <w:rFonts w:ascii="Book Antiqua" w:eastAsia="Book Antiqua" w:hAnsi="Book Antiqua" w:cs="Book Antiqua"/>
          <w:color w:val="000000"/>
        </w:rPr>
        <w:t>real-world evidence</w:t>
      </w:r>
      <w:r w:rsidRPr="00E940C3">
        <w:rPr>
          <w:rFonts w:ascii="Book Antiqua" w:eastAsia="Book Antiqua" w:hAnsi="Book Antiqua" w:cs="Book Antiqua"/>
          <w:color w:val="000000"/>
        </w:rPr>
        <w:t xml:space="preserve"> studies focusing on </w:t>
      </w:r>
      <w:r w:rsidR="002A383B" w:rsidRPr="00E940C3">
        <w:rPr>
          <w:rFonts w:ascii="Book Antiqua" w:eastAsia="Book Antiqua" w:hAnsi="Book Antiqua" w:cs="Book Antiqua"/>
          <w:color w:val="000000"/>
        </w:rPr>
        <w:t xml:space="preserve">the </w:t>
      </w:r>
      <w:r w:rsidRPr="00E940C3">
        <w:rPr>
          <w:rFonts w:ascii="Book Antiqua" w:eastAsia="Book Antiqua" w:hAnsi="Book Antiqua" w:cs="Book Antiqua"/>
          <w:color w:val="000000"/>
        </w:rPr>
        <w:t xml:space="preserve">optimal </w:t>
      </w:r>
      <w:r w:rsidR="002A383B" w:rsidRPr="00E940C3">
        <w:rPr>
          <w:rFonts w:ascii="Book Antiqua" w:eastAsia="Book Antiqua" w:hAnsi="Book Antiqua" w:cs="Book Antiqua"/>
          <w:color w:val="000000"/>
        </w:rPr>
        <w:t xml:space="preserve">treatment </w:t>
      </w:r>
      <w:r w:rsidRPr="00E940C3">
        <w:rPr>
          <w:rFonts w:ascii="Book Antiqua" w:eastAsia="Book Antiqua" w:hAnsi="Book Antiqua" w:cs="Book Antiqua"/>
          <w:color w:val="000000"/>
        </w:rPr>
        <w:t xml:space="preserve">sequence, such as FFX followed by GnP or vice versa, are </w:t>
      </w:r>
      <w:r w:rsidR="00340809" w:rsidRPr="00E940C3">
        <w:rPr>
          <w:rFonts w:ascii="Book Antiqua" w:eastAsia="Book Antiqua" w:hAnsi="Book Antiqua" w:cs="Book Antiqua"/>
          <w:color w:val="000000"/>
        </w:rPr>
        <w:t>urgently</w:t>
      </w:r>
      <w:r w:rsidRPr="00E940C3">
        <w:rPr>
          <w:rFonts w:ascii="Book Antiqua" w:eastAsia="Book Antiqua" w:hAnsi="Book Antiqua" w:cs="Book Antiqua"/>
          <w:color w:val="000000"/>
        </w:rPr>
        <w:t xml:space="preserve"> needed. Finally, th</w:t>
      </w:r>
      <w:r w:rsidR="00340809" w:rsidRPr="00E940C3">
        <w:rPr>
          <w:rFonts w:ascii="Book Antiqua" w:eastAsia="Book Antiqua" w:hAnsi="Book Antiqua" w:cs="Book Antiqua"/>
          <w:color w:val="000000"/>
        </w:rPr>
        <w:t>e review</w:t>
      </w:r>
      <w:r w:rsidRPr="00E940C3">
        <w:rPr>
          <w:rFonts w:ascii="Book Antiqua" w:eastAsia="Book Antiqua" w:hAnsi="Book Antiqua" w:cs="Book Antiqua"/>
          <w:color w:val="000000"/>
        </w:rPr>
        <w:t xml:space="preserve"> highlights the need for prognostic and predictive biomarkers to inform clinical decision making and enable </w:t>
      </w:r>
      <w:r w:rsidR="00E940C3" w:rsidRPr="00E940C3">
        <w:rPr>
          <w:rFonts w:ascii="Book Antiqua" w:eastAsia="Book Antiqua" w:hAnsi="Book Antiqua" w:cs="Book Antiqua"/>
          <w:color w:val="000000"/>
        </w:rPr>
        <w:t>personalized</w:t>
      </w:r>
      <w:r w:rsidRPr="00E940C3">
        <w:rPr>
          <w:rFonts w:ascii="Book Antiqua" w:eastAsia="Book Antiqua" w:hAnsi="Book Antiqua" w:cs="Book Antiqua"/>
          <w:color w:val="000000"/>
        </w:rPr>
        <w:t xml:space="preserve"> management in advanced PDAC.</w:t>
      </w:r>
    </w:p>
    <w:p w14:paraId="540FBBA6" w14:textId="77777777" w:rsidR="00A77B3E" w:rsidRPr="00E940C3" w:rsidRDefault="00A77B3E" w:rsidP="00265AC6">
      <w:pPr>
        <w:snapToGrid w:val="0"/>
        <w:spacing w:line="360" w:lineRule="auto"/>
        <w:jc w:val="both"/>
        <w:rPr>
          <w:rFonts w:ascii="Book Antiqua" w:hAnsi="Book Antiqua"/>
        </w:rPr>
      </w:pPr>
    </w:p>
    <w:p w14:paraId="7A9EBEB8" w14:textId="1250E706"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Key Words: </w:t>
      </w:r>
      <w:r w:rsidRPr="00E940C3">
        <w:rPr>
          <w:rFonts w:ascii="Book Antiqua" w:eastAsia="Book Antiqua" w:hAnsi="Book Antiqua" w:cs="Book Antiqua"/>
          <w:color w:val="000000"/>
        </w:rPr>
        <w:t xml:space="preserve">Pancreatic </w:t>
      </w:r>
      <w:r w:rsidR="00756E54" w:rsidRPr="00E940C3">
        <w:rPr>
          <w:rFonts w:ascii="Book Antiqua" w:eastAsia="Book Antiqua" w:hAnsi="Book Antiqua" w:cs="Book Antiqua"/>
          <w:color w:val="000000"/>
        </w:rPr>
        <w:t>c</w:t>
      </w:r>
      <w:r w:rsidRPr="00E940C3">
        <w:rPr>
          <w:rFonts w:ascii="Book Antiqua" w:eastAsia="Book Antiqua" w:hAnsi="Book Antiqua" w:cs="Book Antiqua"/>
          <w:color w:val="000000"/>
        </w:rPr>
        <w:t>ancer; Palliative therapy; Cancer chemotherapy; Gemcitabine; Paclitaxel, nano albumin-bound; Folfirinox</w:t>
      </w:r>
    </w:p>
    <w:p w14:paraId="37079CDE" w14:textId="77777777" w:rsidR="00A77B3E" w:rsidRPr="00E940C3" w:rsidRDefault="00A77B3E" w:rsidP="00265AC6">
      <w:pPr>
        <w:snapToGrid w:val="0"/>
        <w:spacing w:line="360" w:lineRule="auto"/>
        <w:jc w:val="both"/>
        <w:rPr>
          <w:rFonts w:ascii="Book Antiqua" w:hAnsi="Book Antiqua"/>
        </w:rPr>
      </w:pPr>
    </w:p>
    <w:p w14:paraId="3A19CC96" w14:textId="7C70654A"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Blomstrand H, Batra A, Cheung WY, Elander NO. Real </w:t>
      </w:r>
      <w:r w:rsidR="00DC44E3" w:rsidRPr="00E940C3">
        <w:rPr>
          <w:rFonts w:ascii="Book Antiqua" w:eastAsia="Book Antiqua" w:hAnsi="Book Antiqua" w:cs="Book Antiqua"/>
          <w:color w:val="000000"/>
        </w:rPr>
        <w:t>world evidence on first</w:t>
      </w:r>
      <w:r w:rsidR="00A25CB3">
        <w:rPr>
          <w:rFonts w:ascii="Book Antiqua" w:eastAsia="Book Antiqua" w:hAnsi="Book Antiqua" w:cs="Book Antiqua"/>
          <w:color w:val="000000"/>
        </w:rPr>
        <w:t>-</w:t>
      </w:r>
      <w:r w:rsidR="00DC44E3" w:rsidRPr="00E940C3">
        <w:rPr>
          <w:rFonts w:ascii="Book Antiqua" w:eastAsia="Book Antiqua" w:hAnsi="Book Antiqua" w:cs="Book Antiqua"/>
          <w:color w:val="000000"/>
        </w:rPr>
        <w:t xml:space="preserve"> and second</w:t>
      </w:r>
      <w:r w:rsidR="00A25CB3">
        <w:rPr>
          <w:rFonts w:ascii="Book Antiqua" w:eastAsia="Book Antiqua" w:hAnsi="Book Antiqua" w:cs="Book Antiqua"/>
          <w:color w:val="000000"/>
        </w:rPr>
        <w:t>-</w:t>
      </w:r>
      <w:r w:rsidR="00DC44E3" w:rsidRPr="00E940C3">
        <w:rPr>
          <w:rFonts w:ascii="Book Antiqua" w:eastAsia="Book Antiqua" w:hAnsi="Book Antiqua" w:cs="Book Antiqua"/>
          <w:color w:val="000000"/>
        </w:rPr>
        <w:t>line palliative chemotherapy in advanced pancreatic cancer</w:t>
      </w:r>
      <w:r w:rsidRPr="00E940C3">
        <w:rPr>
          <w:rFonts w:ascii="Book Antiqua" w:eastAsia="Book Antiqua" w:hAnsi="Book Antiqua" w:cs="Book Antiqua"/>
          <w:color w:val="000000"/>
        </w:rPr>
        <w:t xml:space="preserve">. </w:t>
      </w:r>
      <w:r w:rsidRPr="00E940C3">
        <w:rPr>
          <w:rFonts w:ascii="Book Antiqua" w:eastAsia="Book Antiqua" w:hAnsi="Book Antiqua" w:cs="Book Antiqua"/>
          <w:i/>
          <w:iCs/>
          <w:color w:val="000000"/>
        </w:rPr>
        <w:t>World J Clin Oncol</w:t>
      </w:r>
      <w:r w:rsidRPr="00E940C3">
        <w:rPr>
          <w:rFonts w:ascii="Book Antiqua" w:eastAsia="Book Antiqua" w:hAnsi="Book Antiqua" w:cs="Book Antiqua"/>
          <w:color w:val="000000"/>
        </w:rPr>
        <w:t xml:space="preserve"> 2021; In press</w:t>
      </w:r>
    </w:p>
    <w:p w14:paraId="0ACA6B77" w14:textId="77777777" w:rsidR="00A77B3E" w:rsidRPr="00E940C3" w:rsidRDefault="00A77B3E" w:rsidP="00265AC6">
      <w:pPr>
        <w:snapToGrid w:val="0"/>
        <w:spacing w:line="360" w:lineRule="auto"/>
        <w:jc w:val="both"/>
        <w:rPr>
          <w:rFonts w:ascii="Book Antiqua" w:hAnsi="Book Antiqua"/>
        </w:rPr>
      </w:pPr>
    </w:p>
    <w:p w14:paraId="128966F6" w14:textId="6A4D899B"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Core Tip: </w:t>
      </w:r>
      <w:r w:rsidRPr="00E940C3">
        <w:rPr>
          <w:rFonts w:ascii="Book Antiqua" w:eastAsia="Book Antiqua" w:hAnsi="Book Antiqua" w:cs="Book Antiqua"/>
          <w:color w:val="000000"/>
        </w:rPr>
        <w:t xml:space="preserve">This </w:t>
      </w:r>
      <w:r w:rsidR="003347D9" w:rsidRPr="00E940C3">
        <w:rPr>
          <w:rFonts w:ascii="Book Antiqua" w:eastAsia="Book Antiqua" w:hAnsi="Book Antiqua" w:cs="Book Antiqua"/>
          <w:color w:val="000000"/>
        </w:rPr>
        <w:t>review</w:t>
      </w:r>
      <w:r w:rsidRPr="00E940C3">
        <w:rPr>
          <w:rFonts w:ascii="Book Antiqua" w:eastAsia="Book Antiqua" w:hAnsi="Book Antiqua" w:cs="Book Antiqua"/>
          <w:color w:val="000000"/>
        </w:rPr>
        <w:t xml:space="preserve"> summarizes and interprets published real</w:t>
      </w:r>
      <w:r w:rsidR="003347D9" w:rsidRPr="00E940C3">
        <w:rPr>
          <w:rFonts w:ascii="Book Antiqua" w:eastAsia="Book Antiqua" w:hAnsi="Book Antiqua" w:cs="Book Antiqua"/>
          <w:color w:val="000000"/>
        </w:rPr>
        <w:t>-</w:t>
      </w:r>
      <w:r w:rsidRPr="00E940C3">
        <w:rPr>
          <w:rFonts w:ascii="Book Antiqua" w:eastAsia="Book Antiqua" w:hAnsi="Book Antiqua" w:cs="Book Antiqua"/>
          <w:color w:val="000000"/>
        </w:rPr>
        <w:t>world evidence o</w:t>
      </w:r>
      <w:r w:rsidR="008C19B4">
        <w:rPr>
          <w:rFonts w:ascii="Book Antiqua" w:eastAsia="Book Antiqua" w:hAnsi="Book Antiqua" w:cs="Book Antiqua"/>
          <w:color w:val="000000"/>
        </w:rPr>
        <w:t>f</w:t>
      </w:r>
      <w:r w:rsidRPr="00E940C3">
        <w:rPr>
          <w:rFonts w:ascii="Book Antiqua" w:eastAsia="Book Antiqua" w:hAnsi="Book Antiqua" w:cs="Book Antiqua"/>
          <w:color w:val="000000"/>
        </w:rPr>
        <w:t xml:space="preserve"> </w:t>
      </w:r>
      <w:r w:rsidR="008C19B4">
        <w:rPr>
          <w:rFonts w:ascii="Book Antiqua" w:eastAsia="Book Antiqua" w:hAnsi="Book Antiqua" w:cs="Book Antiqua"/>
          <w:color w:val="000000"/>
        </w:rPr>
        <w:t xml:space="preserve">the effectiveness and safety of </w:t>
      </w:r>
      <w:r w:rsidRPr="00E940C3">
        <w:rPr>
          <w:rFonts w:ascii="Book Antiqua" w:eastAsia="Book Antiqua" w:hAnsi="Book Antiqua" w:cs="Book Antiqua"/>
          <w:color w:val="000000"/>
        </w:rPr>
        <w:t>treatment strategies in advanced pancreatic cancer. The real</w:t>
      </w:r>
      <w:r w:rsidR="003347D9" w:rsidRPr="00E940C3">
        <w:rPr>
          <w:rFonts w:ascii="Book Antiqua" w:eastAsia="Book Antiqua" w:hAnsi="Book Antiqua" w:cs="Book Antiqua"/>
          <w:color w:val="000000"/>
        </w:rPr>
        <w:t>-</w:t>
      </w:r>
      <w:r w:rsidRPr="00E940C3">
        <w:rPr>
          <w:rFonts w:ascii="Book Antiqua" w:eastAsia="Book Antiqua" w:hAnsi="Book Antiqua" w:cs="Book Antiqua"/>
          <w:color w:val="000000"/>
        </w:rPr>
        <w:t>world outcomes of first</w:t>
      </w:r>
      <w:r w:rsidR="003347D9"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chemotherapy regimens such as </w:t>
      </w:r>
      <w:r w:rsidR="00D34CA5">
        <w:rPr>
          <w:rFonts w:ascii="Book Antiqua" w:eastAsia="Book Antiqua" w:hAnsi="Book Antiqua" w:cs="Book Antiqua"/>
          <w:color w:val="000000"/>
        </w:rPr>
        <w:t>f</w:t>
      </w:r>
      <w:r w:rsidRPr="00E940C3">
        <w:rPr>
          <w:rFonts w:ascii="Book Antiqua" w:eastAsia="Book Antiqua" w:hAnsi="Book Antiqua" w:cs="Book Antiqua"/>
          <w:color w:val="000000"/>
        </w:rPr>
        <w:t>olfirinox and gemcitabine/nab-paclitaxel are thoroughly reviewed. The results of randomized controlled trials (RCTs) exploring the regimens seem to be largely generalizable in a real</w:t>
      </w:r>
      <w:r w:rsidR="008C19B4">
        <w:rPr>
          <w:rFonts w:ascii="Book Antiqua" w:eastAsia="Book Antiqua" w:hAnsi="Book Antiqua" w:cs="Book Antiqua"/>
          <w:color w:val="000000"/>
        </w:rPr>
        <w:t>-</w:t>
      </w:r>
      <w:r w:rsidRPr="00E940C3">
        <w:rPr>
          <w:rFonts w:ascii="Book Antiqua" w:eastAsia="Book Antiqua" w:hAnsi="Book Antiqua" w:cs="Book Antiqua"/>
          <w:color w:val="000000"/>
        </w:rPr>
        <w:lastRenderedPageBreak/>
        <w:t>world context. On second</w:t>
      </w:r>
      <w:r w:rsidR="00112DD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options, </w:t>
      </w:r>
      <w:r w:rsidRPr="00421B03">
        <w:rPr>
          <w:rFonts w:ascii="Book Antiqua" w:eastAsia="Book Antiqua" w:hAnsi="Book Antiqua" w:cs="Book Antiqua"/>
          <w:i/>
          <w:iCs/>
          <w:color w:val="000000"/>
        </w:rPr>
        <w:t>i.e.</w:t>
      </w:r>
      <w:r w:rsidRPr="00E940C3">
        <w:rPr>
          <w:rFonts w:ascii="Book Antiqua" w:eastAsia="Book Antiqua" w:hAnsi="Book Antiqua" w:cs="Book Antiqua"/>
          <w:color w:val="000000"/>
        </w:rPr>
        <w:t xml:space="preserve"> salvage chemotherapy following failure of first</w:t>
      </w:r>
      <w:r w:rsidR="008C19B4">
        <w:rPr>
          <w:rFonts w:ascii="Book Antiqua" w:eastAsia="Book Antiqua" w:hAnsi="Book Antiqua" w:cs="Book Antiqua"/>
          <w:color w:val="000000"/>
        </w:rPr>
        <w:t>-</w:t>
      </w:r>
      <w:r w:rsidRPr="00E940C3">
        <w:rPr>
          <w:rFonts w:ascii="Book Antiqua" w:eastAsia="Book Antiqua" w:hAnsi="Book Antiqua" w:cs="Book Antiqua"/>
          <w:color w:val="000000"/>
        </w:rPr>
        <w:t xml:space="preserve">line therapy, significant uncertainties remain. Additional RCTs and </w:t>
      </w:r>
      <w:r w:rsidR="00066A24">
        <w:rPr>
          <w:rFonts w:ascii="Book Antiqua" w:eastAsia="Book Antiqua" w:hAnsi="Book Antiqua" w:cs="Book Antiqua"/>
          <w:color w:val="000000"/>
        </w:rPr>
        <w:t>real-world evidence</w:t>
      </w:r>
      <w:r w:rsidRPr="00E940C3">
        <w:rPr>
          <w:rFonts w:ascii="Book Antiqua" w:eastAsia="Book Antiqua" w:hAnsi="Book Antiqua" w:cs="Book Antiqua"/>
          <w:color w:val="000000"/>
        </w:rPr>
        <w:t xml:space="preserve"> studies addressing current and novel regimens, and the optimal sequence of these, are needed.</w:t>
      </w:r>
    </w:p>
    <w:p w14:paraId="3C3F9DB8" w14:textId="6C773A1E" w:rsidR="008809D9" w:rsidRDefault="008809D9">
      <w:pPr>
        <w:rPr>
          <w:rFonts w:ascii="Book Antiqua" w:hAnsi="Book Antiqua"/>
        </w:rPr>
      </w:pPr>
      <w:r>
        <w:rPr>
          <w:rFonts w:ascii="Book Antiqua" w:hAnsi="Book Antiqua"/>
        </w:rPr>
        <w:br w:type="page"/>
      </w:r>
    </w:p>
    <w:p w14:paraId="6F927814"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aps/>
          <w:color w:val="000000"/>
          <w:u w:val="single"/>
        </w:rPr>
        <w:lastRenderedPageBreak/>
        <w:t>INTRODUCTION</w:t>
      </w:r>
    </w:p>
    <w:p w14:paraId="6115881B" w14:textId="03DC01A0"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Over the past decades, mortality has decreased for many types of cancer. One exception is pancreatic cancer (pancreatic ductal adenocarcinoma, PDAC)</w:t>
      </w:r>
      <w:r w:rsidR="0044673F"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which is soon expected to overtake breast cancer as the second most common cause of cancer-related death</w:t>
      </w:r>
      <w:r w:rsidRPr="00E940C3">
        <w:rPr>
          <w:rFonts w:ascii="Book Antiqua" w:eastAsia="Book Antiqua" w:hAnsi="Book Antiqua" w:cs="Book Antiqua"/>
          <w:color w:val="000000"/>
          <w:vertAlign w:val="superscript"/>
        </w:rPr>
        <w:t>[1]</w:t>
      </w:r>
      <w:r w:rsidRPr="00E940C3">
        <w:rPr>
          <w:rFonts w:ascii="Book Antiqua" w:eastAsia="Book Antiqua" w:hAnsi="Book Antiqua" w:cs="Book Antiqua"/>
          <w:color w:val="000000"/>
        </w:rPr>
        <w:t xml:space="preserve">. The majority of PDAC patients still present with either locally advanced or metastasized disease, and hence are considered beyond curative potential. For </w:t>
      </w:r>
      <w:r w:rsidR="0020588E" w:rsidRPr="00E940C3">
        <w:rPr>
          <w:rFonts w:ascii="Book Antiqua" w:eastAsia="Book Antiqua" w:hAnsi="Book Antiqua" w:cs="Book Antiqua"/>
          <w:color w:val="000000"/>
        </w:rPr>
        <w:t>those individuals</w:t>
      </w:r>
      <w:r w:rsidRPr="00E940C3">
        <w:rPr>
          <w:rFonts w:ascii="Book Antiqua" w:eastAsia="Book Antiqua" w:hAnsi="Book Antiqua" w:cs="Book Antiqua"/>
          <w:color w:val="000000"/>
        </w:rPr>
        <w:t xml:space="preserve">, as well as for those resected patients who suffer from relapses, palliative systemic therapy and/or radiotherapy </w:t>
      </w:r>
      <w:r w:rsidR="00290500" w:rsidRPr="00E940C3">
        <w:rPr>
          <w:rFonts w:ascii="Book Antiqua" w:eastAsia="Book Antiqua" w:hAnsi="Book Antiqua" w:cs="Book Antiqua"/>
          <w:color w:val="000000"/>
        </w:rPr>
        <w:t>are</w:t>
      </w:r>
      <w:r w:rsidRPr="00E940C3">
        <w:rPr>
          <w:rFonts w:ascii="Book Antiqua" w:eastAsia="Book Antiqua" w:hAnsi="Book Antiqua" w:cs="Book Antiqua"/>
          <w:color w:val="000000"/>
        </w:rPr>
        <w:t xml:space="preserve"> the only treatment option</w:t>
      </w:r>
      <w:r w:rsidR="00290500"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 available.</w:t>
      </w:r>
    </w:p>
    <w:p w14:paraId="121362EE" w14:textId="35FE320A" w:rsidR="00A77B3E" w:rsidRPr="00E940C3" w:rsidRDefault="00B70BAD" w:rsidP="00D70466">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 xml:space="preserve">Historically, </w:t>
      </w:r>
      <w:r w:rsidR="0029204B" w:rsidRPr="00E940C3">
        <w:rPr>
          <w:rFonts w:ascii="Book Antiqua" w:eastAsia="Book Antiqua" w:hAnsi="Book Antiqua" w:cs="Book Antiqua"/>
          <w:color w:val="000000"/>
        </w:rPr>
        <w:t xml:space="preserve">palliative </w:t>
      </w:r>
      <w:r w:rsidRPr="00E940C3">
        <w:rPr>
          <w:rFonts w:ascii="Book Antiqua" w:eastAsia="Book Antiqua" w:hAnsi="Book Antiqua" w:cs="Book Antiqua"/>
          <w:color w:val="000000"/>
        </w:rPr>
        <w:t xml:space="preserve">treatment </w:t>
      </w:r>
      <w:r w:rsidR="0029204B" w:rsidRPr="00E940C3">
        <w:rPr>
          <w:rFonts w:ascii="Book Antiqua" w:eastAsia="Book Antiqua" w:hAnsi="Book Antiqua" w:cs="Book Antiqua"/>
          <w:color w:val="000000"/>
        </w:rPr>
        <w:t>of</w:t>
      </w:r>
      <w:r w:rsidRPr="00E940C3">
        <w:rPr>
          <w:rFonts w:ascii="Book Antiqua" w:eastAsia="Book Antiqua" w:hAnsi="Book Antiqua" w:cs="Book Antiqua"/>
          <w:color w:val="000000"/>
        </w:rPr>
        <w:t xml:space="preserve"> PDAC was limited mostly to </w:t>
      </w:r>
      <w:r w:rsidR="008809D9">
        <w:rPr>
          <w:rFonts w:ascii="Book Antiqua" w:eastAsia="Book Antiqua" w:hAnsi="Book Antiqua" w:cs="Book Antiqua"/>
          <w:color w:val="000000"/>
        </w:rPr>
        <w:t xml:space="preserve">regimens </w:t>
      </w:r>
      <w:r w:rsidR="00C11DAF" w:rsidRPr="00E940C3">
        <w:rPr>
          <w:rFonts w:ascii="Book Antiqua" w:eastAsia="Book Antiqua" w:hAnsi="Book Antiqua" w:cs="Book Antiqua"/>
          <w:color w:val="000000"/>
        </w:rPr>
        <w:t xml:space="preserve">based on </w:t>
      </w:r>
      <w:r w:rsidRPr="00E940C3">
        <w:rPr>
          <w:rFonts w:ascii="Book Antiqua" w:eastAsia="Book Antiqua" w:hAnsi="Book Antiqua" w:cs="Book Antiqua"/>
          <w:color w:val="000000"/>
        </w:rPr>
        <w:t>5-fluorouracil (5-FU), usually with modest results</w:t>
      </w:r>
      <w:r w:rsidR="00200884" w:rsidRPr="00E940C3">
        <w:rPr>
          <w:rFonts w:ascii="Book Antiqua" w:eastAsia="Book Antiqua" w:hAnsi="Book Antiqua" w:cs="Book Antiqua"/>
          <w:color w:val="000000"/>
        </w:rPr>
        <w:t xml:space="preserve"> at best</w:t>
      </w:r>
      <w:r w:rsidRPr="00E940C3">
        <w:rPr>
          <w:rFonts w:ascii="Book Antiqua" w:eastAsia="Book Antiqua" w:hAnsi="Book Antiqua" w:cs="Book Antiqua"/>
          <w:color w:val="000000"/>
        </w:rPr>
        <w:t xml:space="preserve">. </w:t>
      </w:r>
      <w:r w:rsidR="006820FC" w:rsidRPr="00E940C3">
        <w:rPr>
          <w:rFonts w:ascii="Book Antiqua" w:eastAsia="Book Antiqua" w:hAnsi="Book Antiqua" w:cs="Book Antiqua"/>
          <w:color w:val="000000"/>
        </w:rPr>
        <w:t xml:space="preserve">In that setting, </w:t>
      </w:r>
      <w:r w:rsidRPr="00E940C3">
        <w:rPr>
          <w:rFonts w:ascii="Book Antiqua" w:eastAsia="Book Antiqua" w:hAnsi="Book Antiqua" w:cs="Book Antiqua"/>
          <w:color w:val="000000"/>
        </w:rPr>
        <w:t xml:space="preserve">5-FU treatment was more or less experimental, but evidence from a randomized trial in 1996 showed that palliative chemotherapy in PDAC improved median overall survival (mOS) as well as quality of life compared </w:t>
      </w:r>
      <w:r w:rsidR="00F11167" w:rsidRPr="00E940C3">
        <w:rPr>
          <w:rFonts w:ascii="Book Antiqua" w:eastAsia="Book Antiqua" w:hAnsi="Book Antiqua" w:cs="Book Antiqua"/>
          <w:color w:val="000000"/>
        </w:rPr>
        <w:t>with the</w:t>
      </w:r>
      <w:r w:rsidRPr="00E940C3">
        <w:rPr>
          <w:rFonts w:ascii="Book Antiqua" w:eastAsia="Book Antiqua" w:hAnsi="Book Antiqua" w:cs="Book Antiqua"/>
          <w:color w:val="000000"/>
        </w:rPr>
        <w:t xml:space="preserve"> best supportive care only</w:t>
      </w:r>
      <w:r w:rsidRPr="00E940C3">
        <w:rPr>
          <w:rFonts w:ascii="Book Antiqua" w:eastAsia="Book Antiqua" w:hAnsi="Book Antiqua" w:cs="Book Antiqua"/>
          <w:color w:val="000000"/>
          <w:vertAlign w:val="superscript"/>
        </w:rPr>
        <w:t>[2]</w:t>
      </w:r>
      <w:r w:rsidRPr="00E940C3">
        <w:rPr>
          <w:rFonts w:ascii="Book Antiqua" w:eastAsia="Book Antiqua" w:hAnsi="Book Antiqua" w:cs="Book Antiqua"/>
          <w:color w:val="000000"/>
        </w:rPr>
        <w:t xml:space="preserve">. The year after, gemcitabine replaced 5-FU as the gold standard in this clinical scenario based on the results of another randomized trial with prolonged mOS in </w:t>
      </w:r>
      <w:r w:rsidR="00E940C3" w:rsidRPr="00E940C3">
        <w:rPr>
          <w:rFonts w:ascii="Book Antiqua" w:eastAsia="Book Antiqua" w:hAnsi="Book Antiqua" w:cs="Book Antiqua"/>
          <w:color w:val="000000"/>
        </w:rPr>
        <w:t>favor</w:t>
      </w:r>
      <w:r w:rsidRPr="00E940C3">
        <w:rPr>
          <w:rFonts w:ascii="Book Antiqua" w:eastAsia="Book Antiqua" w:hAnsi="Book Antiqua" w:cs="Book Antiqua"/>
          <w:color w:val="000000"/>
        </w:rPr>
        <w:t xml:space="preserve"> of gemcitabine</w:t>
      </w:r>
      <w:r w:rsidRPr="00E940C3">
        <w:rPr>
          <w:rFonts w:ascii="Book Antiqua" w:eastAsia="Book Antiqua" w:hAnsi="Book Antiqua" w:cs="Book Antiqua"/>
          <w:color w:val="000000"/>
          <w:vertAlign w:val="superscript"/>
        </w:rPr>
        <w:t>[3]</w:t>
      </w:r>
      <w:r w:rsidRPr="00E940C3">
        <w:rPr>
          <w:rFonts w:ascii="Book Antiqua" w:eastAsia="Book Antiqua" w:hAnsi="Book Antiqua" w:cs="Book Antiqua"/>
          <w:color w:val="000000"/>
        </w:rPr>
        <w:t>.</w:t>
      </w:r>
    </w:p>
    <w:p w14:paraId="4A478B28" w14:textId="53C6D550" w:rsidR="00A77B3E" w:rsidRPr="00E940C3" w:rsidRDefault="00B70BAD" w:rsidP="00391AE7">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For a period of almost 15 years thereafter, many attempts to further improve the treatment in the setting of palliative PDAC were made by adding various cytotoxic drugs and monoclonal antibodies to gemcitabine, often resulting in increased toxicity without any significan</w:t>
      </w:r>
      <w:r w:rsidR="00D06C30" w:rsidRPr="00E940C3">
        <w:rPr>
          <w:rFonts w:ascii="Book Antiqua" w:eastAsia="Book Antiqua" w:hAnsi="Book Antiqua" w:cs="Book Antiqua"/>
          <w:color w:val="000000"/>
        </w:rPr>
        <w:t>t survival benefit for patients</w:t>
      </w:r>
      <w:r w:rsidRPr="00E940C3">
        <w:rPr>
          <w:rFonts w:ascii="Book Antiqua" w:eastAsia="Book Antiqua" w:hAnsi="Book Antiqua" w:cs="Book Antiqua"/>
          <w:color w:val="000000"/>
          <w:vertAlign w:val="superscript"/>
        </w:rPr>
        <w:t>[4</w:t>
      </w:r>
      <w:r w:rsidR="00D06C30" w:rsidRPr="00E940C3">
        <w:rPr>
          <w:rFonts w:ascii="Book Antiqua" w:eastAsia="Book Antiqua" w:hAnsi="Book Antiqua" w:cs="Book Antiqua"/>
          <w:color w:val="000000"/>
          <w:vertAlign w:val="superscript"/>
        </w:rPr>
        <w:t>-</w:t>
      </w:r>
      <w:r w:rsidRPr="00E940C3">
        <w:rPr>
          <w:rFonts w:ascii="Book Antiqua" w:eastAsia="Book Antiqua" w:hAnsi="Book Antiqua" w:cs="Book Antiqua"/>
          <w:color w:val="000000"/>
          <w:vertAlign w:val="superscript"/>
        </w:rPr>
        <w:t>10]</w:t>
      </w:r>
      <w:r w:rsidRPr="00E940C3">
        <w:rPr>
          <w:rFonts w:ascii="Book Antiqua" w:eastAsia="Book Antiqua" w:hAnsi="Book Antiqua" w:cs="Book Antiqua"/>
          <w:color w:val="000000"/>
        </w:rPr>
        <w:t>. A first breakthrough came in 2011</w:t>
      </w:r>
      <w:r w:rsidR="00391AE7"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when a randomized controlled trial (RCT) showed a significant and clinically meaningful survival benefit over gemcitabine with the triplet combination chemotherapy known as Folfirinox (FFX</w:t>
      </w:r>
      <w:r w:rsidR="00DE19A5"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11.1 mo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6.8 mo for gemcitabine monotherapy)</w:t>
      </w:r>
      <w:r w:rsidRPr="00E940C3">
        <w:rPr>
          <w:rFonts w:ascii="Book Antiqua" w:eastAsia="Book Antiqua" w:hAnsi="Book Antiqua" w:cs="Book Antiqua"/>
          <w:color w:val="000000"/>
          <w:vertAlign w:val="superscript"/>
        </w:rPr>
        <w:t>[11]</w:t>
      </w:r>
      <w:r w:rsidRPr="00E940C3">
        <w:rPr>
          <w:rFonts w:ascii="Book Antiqua" w:eastAsia="Book Antiqua" w:hAnsi="Book Antiqua" w:cs="Book Antiqua"/>
          <w:color w:val="000000"/>
        </w:rPr>
        <w:t>. Th</w:t>
      </w:r>
      <w:r w:rsidR="004A1973" w:rsidRPr="00E940C3">
        <w:rPr>
          <w:rFonts w:ascii="Book Antiqua" w:eastAsia="Book Antiqua" w:hAnsi="Book Antiqua" w:cs="Book Antiqua"/>
          <w:color w:val="000000"/>
        </w:rPr>
        <w:t>e</w:t>
      </w:r>
      <w:r w:rsidRPr="00E940C3">
        <w:rPr>
          <w:rFonts w:ascii="Book Antiqua" w:eastAsia="Book Antiqua" w:hAnsi="Book Antiqua" w:cs="Book Antiqua"/>
          <w:color w:val="000000"/>
        </w:rPr>
        <w:t xml:space="preserve"> survival advantage occurred at the expense of considerably increased </w:t>
      </w:r>
      <w:r w:rsidR="00E940C3" w:rsidRPr="00E940C3">
        <w:rPr>
          <w:rFonts w:ascii="Book Antiqua" w:eastAsia="Book Antiqua" w:hAnsi="Book Antiqua" w:cs="Book Antiqua"/>
          <w:color w:val="000000"/>
        </w:rPr>
        <w:t>hematological</w:t>
      </w:r>
      <w:r w:rsidRPr="00E940C3">
        <w:rPr>
          <w:rFonts w:ascii="Book Antiqua" w:eastAsia="Book Antiqua" w:hAnsi="Book Antiqua" w:cs="Book Antiqua"/>
          <w:color w:val="000000"/>
        </w:rPr>
        <w:t xml:space="preserve"> and non-</w:t>
      </w:r>
      <w:r w:rsidR="00E940C3" w:rsidRPr="00E940C3">
        <w:rPr>
          <w:rFonts w:ascii="Book Antiqua" w:eastAsia="Book Antiqua" w:hAnsi="Book Antiqua" w:cs="Book Antiqua"/>
          <w:color w:val="000000"/>
        </w:rPr>
        <w:t>hematological</w:t>
      </w:r>
      <w:r w:rsidRPr="00E940C3">
        <w:rPr>
          <w:rFonts w:ascii="Book Antiqua" w:eastAsia="Book Antiqua" w:hAnsi="Book Antiqua" w:cs="Book Antiqua"/>
          <w:color w:val="000000"/>
        </w:rPr>
        <w:t xml:space="preserve"> toxicity in the intervention group. Another transformative RCT introduced the combination of gemcitabine and nano-albumin-bound paclitaxel (GnP). Th</w:t>
      </w:r>
      <w:r w:rsidR="00AB3172" w:rsidRPr="00E940C3">
        <w:rPr>
          <w:rFonts w:ascii="Book Antiqua" w:eastAsia="Book Antiqua" w:hAnsi="Book Antiqua" w:cs="Book Antiqua"/>
          <w:color w:val="000000"/>
        </w:rPr>
        <w:t>e</w:t>
      </w:r>
      <w:r w:rsidRPr="00E940C3">
        <w:rPr>
          <w:rFonts w:ascii="Book Antiqua" w:eastAsia="Book Antiqua" w:hAnsi="Book Antiqua" w:cs="Book Antiqua"/>
          <w:color w:val="000000"/>
        </w:rPr>
        <w:t xml:space="preserve"> regimen produced a smaller effect on overall survival (8.5 </w:t>
      </w:r>
      <w:r w:rsidR="00D06C30" w:rsidRPr="00E940C3">
        <w:rPr>
          <w:rFonts w:ascii="Book Antiqua" w:eastAsia="Book Antiqua" w:hAnsi="Book Antiqua" w:cs="Book Antiqua"/>
          <w:color w:val="000000"/>
        </w:rPr>
        <w:t>mo</w:t>
      </w:r>
      <w:r w:rsidR="00D06C30" w:rsidRPr="00E940C3">
        <w:rPr>
          <w:rFonts w:ascii="Book Antiqua" w:eastAsia="Book Antiqua" w:hAnsi="Book Antiqua" w:cs="Book Antiqua"/>
          <w:i/>
          <w:iCs/>
          <w:color w:val="000000"/>
        </w:rPr>
        <w:t xml:space="preserve">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6.8 mo for gemcitabine monotherapy). Nonetheless, it also resulted in increased toxicity, especially myelosuppression and chemotherapy</w:t>
      </w:r>
      <w:r w:rsidR="004165E8" w:rsidRPr="00E940C3">
        <w:rPr>
          <w:rFonts w:ascii="Book Antiqua" w:eastAsia="Book Antiqua" w:hAnsi="Book Antiqua" w:cs="Book Antiqua"/>
          <w:color w:val="000000"/>
        </w:rPr>
        <w:t>-</w:t>
      </w:r>
      <w:r w:rsidRPr="00E940C3">
        <w:rPr>
          <w:rFonts w:ascii="Book Antiqua" w:eastAsia="Book Antiqua" w:hAnsi="Book Antiqua" w:cs="Book Antiqua"/>
          <w:color w:val="000000"/>
        </w:rPr>
        <w:t>induced peripheral neuropathy</w:t>
      </w:r>
      <w:r w:rsidRPr="00E940C3">
        <w:rPr>
          <w:rFonts w:ascii="Book Antiqua" w:eastAsia="Book Antiqua" w:hAnsi="Book Antiqua" w:cs="Book Antiqua"/>
          <w:color w:val="000000"/>
          <w:vertAlign w:val="superscript"/>
        </w:rPr>
        <w:t>[12]</w:t>
      </w:r>
      <w:r w:rsidRPr="00E940C3">
        <w:rPr>
          <w:rFonts w:ascii="Book Antiqua" w:eastAsia="Book Antiqua" w:hAnsi="Book Antiqua" w:cs="Book Antiqua"/>
          <w:color w:val="000000"/>
        </w:rPr>
        <w:t xml:space="preserve">. The finding of more than tripled objective response ratio for the intervention group compared </w:t>
      </w:r>
      <w:r w:rsidR="004165E8" w:rsidRPr="00E940C3">
        <w:rPr>
          <w:rFonts w:ascii="Book Antiqua" w:eastAsia="Book Antiqua" w:hAnsi="Book Antiqua" w:cs="Book Antiqua"/>
          <w:color w:val="000000"/>
        </w:rPr>
        <w:t>with</w:t>
      </w:r>
      <w:r w:rsidRPr="00E940C3">
        <w:rPr>
          <w:rFonts w:ascii="Book Antiqua" w:eastAsia="Book Antiqua" w:hAnsi="Book Antiqua" w:cs="Book Antiqua"/>
          <w:color w:val="000000"/>
        </w:rPr>
        <w:t xml:space="preserve"> gemcitabine (roughly 30</w:t>
      </w:r>
      <w:r w:rsidR="00355F72"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10</w:t>
      </w:r>
      <w:r w:rsidR="00355F72"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in both trials indicated a substantial antitumoral effect </w:t>
      </w:r>
      <w:r w:rsidRPr="00E940C3">
        <w:rPr>
          <w:rFonts w:ascii="Book Antiqua" w:eastAsia="Book Antiqua" w:hAnsi="Book Antiqua" w:cs="Book Antiqua"/>
          <w:color w:val="000000"/>
        </w:rPr>
        <w:lastRenderedPageBreak/>
        <w:t>with the use of th</w:t>
      </w:r>
      <w:r w:rsidR="00767301" w:rsidRPr="00E940C3">
        <w:rPr>
          <w:rFonts w:ascii="Book Antiqua" w:eastAsia="Book Antiqua" w:hAnsi="Book Antiqua" w:cs="Book Antiqua"/>
          <w:color w:val="000000"/>
        </w:rPr>
        <w:t>ose</w:t>
      </w:r>
      <w:r w:rsidRPr="00E940C3">
        <w:rPr>
          <w:rFonts w:ascii="Book Antiqua" w:eastAsia="Book Antiqua" w:hAnsi="Book Antiqua" w:cs="Book Antiqua"/>
          <w:color w:val="000000"/>
        </w:rPr>
        <w:t xml:space="preserve"> combination regimens. Conversely, the treatment response duration o</w:t>
      </w:r>
      <w:r w:rsidR="00713259" w:rsidRPr="00E940C3">
        <w:rPr>
          <w:rFonts w:ascii="Book Antiqua" w:eastAsia="Book Antiqua" w:hAnsi="Book Antiqua" w:cs="Book Antiqua"/>
          <w:color w:val="000000"/>
        </w:rPr>
        <w:t>f</w:t>
      </w:r>
      <w:r w:rsidRPr="00E940C3">
        <w:rPr>
          <w:rFonts w:ascii="Book Antiqua" w:eastAsia="Book Antiqua" w:hAnsi="Book Antiqua" w:cs="Book Antiqua"/>
          <w:color w:val="000000"/>
        </w:rPr>
        <w:t xml:space="preserve"> first</w:t>
      </w:r>
      <w:r w:rsidR="00713259"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therapy </w:t>
      </w:r>
      <w:r w:rsidR="00713259" w:rsidRPr="00E940C3">
        <w:rPr>
          <w:rFonts w:ascii="Book Antiqua" w:eastAsia="Book Antiqua" w:hAnsi="Book Antiqua" w:cs="Book Antiqua"/>
          <w:color w:val="000000"/>
        </w:rPr>
        <w:t>was</w:t>
      </w:r>
      <w:r w:rsidRPr="00E940C3">
        <w:rPr>
          <w:rFonts w:ascii="Book Antiqua" w:eastAsia="Book Antiqua" w:hAnsi="Book Antiqua" w:cs="Book Antiqua"/>
          <w:color w:val="000000"/>
        </w:rPr>
        <w:t xml:space="preserve"> usually short</w:t>
      </w:r>
      <w:r w:rsidR="00713259"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the RCT-population typically include</w:t>
      </w:r>
      <w:r w:rsidR="00713259" w:rsidRPr="00E940C3">
        <w:rPr>
          <w:rFonts w:ascii="Book Antiqua" w:eastAsia="Book Antiqua" w:hAnsi="Book Antiqua" w:cs="Book Antiqua"/>
          <w:color w:val="000000"/>
        </w:rPr>
        <w:t>d</w:t>
      </w:r>
      <w:r w:rsidRPr="00E940C3">
        <w:rPr>
          <w:rFonts w:ascii="Book Antiqua" w:eastAsia="Book Antiqua" w:hAnsi="Book Antiqua" w:cs="Book Antiqua"/>
          <w:color w:val="000000"/>
        </w:rPr>
        <w:t xml:space="preserve"> highly selected patients with lower comorbidity and frailty compared with real-life patients. </w:t>
      </w:r>
      <w:r w:rsidR="00DD7824" w:rsidRPr="00E940C3">
        <w:rPr>
          <w:rFonts w:ascii="Book Antiqua" w:eastAsia="Book Antiqua" w:hAnsi="Book Antiqua" w:cs="Book Antiqua"/>
          <w:color w:val="000000"/>
        </w:rPr>
        <w:t>W</w:t>
      </w:r>
      <w:r w:rsidRPr="00E940C3">
        <w:rPr>
          <w:rFonts w:ascii="Book Antiqua" w:eastAsia="Book Antiqua" w:hAnsi="Book Antiqua" w:cs="Book Antiqua"/>
          <w:color w:val="000000"/>
        </w:rPr>
        <w:t xml:space="preserve">hether survival and toxicity </w:t>
      </w:r>
      <w:r w:rsidR="00DD7824" w:rsidRPr="00E940C3">
        <w:rPr>
          <w:rFonts w:ascii="Book Antiqua" w:eastAsia="Book Antiqua" w:hAnsi="Book Antiqua" w:cs="Book Antiqua"/>
          <w:color w:val="000000"/>
        </w:rPr>
        <w:t xml:space="preserve">data </w:t>
      </w:r>
      <w:r w:rsidRPr="00E940C3">
        <w:rPr>
          <w:rFonts w:ascii="Book Antiqua" w:eastAsia="Book Antiqua" w:hAnsi="Book Antiqua" w:cs="Book Antiqua"/>
          <w:color w:val="000000"/>
        </w:rPr>
        <w:t>from trials are generalizable to patient</w:t>
      </w:r>
      <w:r w:rsidR="00315612"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 </w:t>
      </w:r>
      <w:r w:rsidR="00315612" w:rsidRPr="00E940C3">
        <w:rPr>
          <w:rFonts w:ascii="Book Antiqua" w:eastAsia="Book Antiqua" w:hAnsi="Book Antiqua" w:cs="Book Antiqua"/>
          <w:color w:val="000000"/>
        </w:rPr>
        <w:t>treated</w:t>
      </w:r>
      <w:r w:rsidRPr="00E940C3">
        <w:rPr>
          <w:rFonts w:ascii="Book Antiqua" w:eastAsia="Book Antiqua" w:hAnsi="Book Antiqua" w:cs="Book Antiqua"/>
          <w:color w:val="000000"/>
        </w:rPr>
        <w:t xml:space="preserve"> in routine clinical practice is unclear.</w:t>
      </w:r>
    </w:p>
    <w:p w14:paraId="35B2696E" w14:textId="5250B76E" w:rsidR="00A77B3E" w:rsidRPr="00E940C3" w:rsidRDefault="00B70BAD" w:rsidP="00265AC6">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Regarding second</w:t>
      </w:r>
      <w:r w:rsidR="00A25CB3">
        <w:rPr>
          <w:rFonts w:ascii="Book Antiqua" w:eastAsia="Book Antiqua" w:hAnsi="Book Antiqua" w:cs="Book Antiqua"/>
          <w:color w:val="000000"/>
        </w:rPr>
        <w:t>-</w:t>
      </w:r>
      <w:r w:rsidRPr="00E940C3">
        <w:rPr>
          <w:rFonts w:ascii="Book Antiqua" w:eastAsia="Book Antiqua" w:hAnsi="Book Antiqua" w:cs="Book Antiqua"/>
          <w:color w:val="000000"/>
        </w:rPr>
        <w:t>line treatment in PDAC, evidence is scarce. Empirical chemotherapy has been used in highly selected patients, and</w:t>
      </w:r>
      <w:r w:rsidR="007805A2" w:rsidRPr="00E940C3">
        <w:rPr>
          <w:rFonts w:ascii="Book Antiqua" w:eastAsia="Book Antiqua" w:hAnsi="Book Antiqua" w:cs="Book Antiqua"/>
          <w:color w:val="000000"/>
        </w:rPr>
        <w:t xml:space="preserve"> is</w:t>
      </w:r>
      <w:r w:rsidRPr="00E940C3">
        <w:rPr>
          <w:rFonts w:ascii="Book Antiqua" w:eastAsia="Book Antiqua" w:hAnsi="Book Antiqua" w:cs="Book Antiqua"/>
          <w:color w:val="000000"/>
        </w:rPr>
        <w:t xml:space="preserve"> usually reserved for very fit or young patients who responded to first</w:t>
      </w:r>
      <w:r w:rsidR="007805A2" w:rsidRPr="00E940C3">
        <w:rPr>
          <w:rFonts w:ascii="Book Antiqua" w:eastAsia="Book Antiqua" w:hAnsi="Book Antiqua" w:cs="Book Antiqua"/>
          <w:color w:val="000000"/>
        </w:rPr>
        <w:t>-</w:t>
      </w:r>
      <w:r w:rsidRPr="00E940C3">
        <w:rPr>
          <w:rFonts w:ascii="Book Antiqua" w:eastAsia="Book Antiqua" w:hAnsi="Book Antiqua" w:cs="Book Antiqua"/>
          <w:color w:val="000000"/>
        </w:rPr>
        <w:t>line treatment. Most often, gemcitabine and 5</w:t>
      </w:r>
      <w:r w:rsidR="00CE325B"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FU have been </w:t>
      </w:r>
      <w:r w:rsidR="007805A2" w:rsidRPr="00E940C3">
        <w:rPr>
          <w:rFonts w:ascii="Book Antiqua" w:eastAsia="Book Antiqua" w:hAnsi="Book Antiqua" w:cs="Book Antiqua"/>
          <w:color w:val="000000"/>
        </w:rPr>
        <w:t>used</w:t>
      </w:r>
      <w:r w:rsidRPr="00E940C3">
        <w:rPr>
          <w:rFonts w:ascii="Book Antiqua" w:eastAsia="Book Antiqua" w:hAnsi="Book Antiqua" w:cs="Book Antiqua"/>
          <w:color w:val="000000"/>
        </w:rPr>
        <w:t xml:space="preserve"> either as monotherapy or in combination with either oxaliplatin or </w:t>
      </w:r>
      <w:r w:rsidR="0022296B" w:rsidRPr="00E940C3">
        <w:rPr>
          <w:rFonts w:ascii="Book Antiqua" w:eastAsia="Book Antiqua" w:hAnsi="Book Antiqua" w:cs="Book Antiqua"/>
          <w:color w:val="000000"/>
        </w:rPr>
        <w:t>irinotecan</w:t>
      </w:r>
      <w:r w:rsidRPr="00E940C3">
        <w:rPr>
          <w:rFonts w:ascii="Book Antiqua" w:eastAsia="Book Antiqua" w:hAnsi="Book Antiqua" w:cs="Book Antiqua"/>
          <w:color w:val="000000"/>
        </w:rPr>
        <w:t xml:space="preserve">. </w:t>
      </w:r>
      <w:r w:rsidR="00220522" w:rsidRPr="00E940C3">
        <w:rPr>
          <w:rFonts w:ascii="Book Antiqua" w:eastAsia="Book Antiqua" w:hAnsi="Book Antiqua" w:cs="Book Antiqua"/>
          <w:color w:val="000000"/>
        </w:rPr>
        <w:t>In</w:t>
      </w:r>
      <w:r w:rsidRPr="00E940C3">
        <w:rPr>
          <w:rFonts w:ascii="Book Antiqua" w:eastAsia="Book Antiqua" w:hAnsi="Book Antiqua" w:cs="Book Antiqua"/>
          <w:color w:val="000000"/>
        </w:rPr>
        <w:t xml:space="preserve"> </w:t>
      </w:r>
      <w:r w:rsidR="00220522" w:rsidRPr="00E940C3">
        <w:rPr>
          <w:rFonts w:ascii="Book Antiqua" w:eastAsia="Book Antiqua" w:hAnsi="Book Antiqua" w:cs="Book Antiqua"/>
          <w:color w:val="000000"/>
        </w:rPr>
        <w:t xml:space="preserve">on </w:t>
      </w:r>
      <w:r w:rsidRPr="00E940C3">
        <w:rPr>
          <w:rFonts w:ascii="Book Antiqua" w:eastAsia="Book Antiqua" w:hAnsi="Book Antiqua" w:cs="Book Antiqua"/>
          <w:color w:val="000000"/>
        </w:rPr>
        <w:t>the few RCT</w:t>
      </w:r>
      <w:r w:rsidR="007805A2"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 conducted, Oettle </w:t>
      </w:r>
      <w:r w:rsidRPr="00E940C3">
        <w:rPr>
          <w:rFonts w:ascii="Book Antiqua" w:eastAsia="Book Antiqua" w:hAnsi="Book Antiqua" w:cs="Book Antiqua"/>
          <w:i/>
          <w:color w:val="000000"/>
        </w:rPr>
        <w:t>et</w:t>
      </w:r>
      <w:r w:rsidR="00D06C30" w:rsidRPr="00E940C3">
        <w:rPr>
          <w:rFonts w:ascii="Book Antiqua" w:eastAsia="Book Antiqua" w:hAnsi="Book Antiqua" w:cs="Book Antiqua"/>
          <w:i/>
          <w:color w:val="000000"/>
        </w:rPr>
        <w:t xml:space="preserve"> </w:t>
      </w:r>
      <w:r w:rsidRPr="00E940C3">
        <w:rPr>
          <w:rFonts w:ascii="Book Antiqua" w:eastAsia="Book Antiqua" w:hAnsi="Book Antiqua" w:cs="Book Antiqua"/>
          <w:i/>
          <w:color w:val="000000"/>
        </w:rPr>
        <w:t>al</w:t>
      </w:r>
      <w:r w:rsidRPr="00E940C3">
        <w:rPr>
          <w:rFonts w:ascii="Book Antiqua" w:eastAsia="Book Antiqua" w:hAnsi="Book Antiqua" w:cs="Book Antiqua"/>
          <w:color w:val="000000"/>
          <w:vertAlign w:val="superscript"/>
        </w:rPr>
        <w:t>[13]</w:t>
      </w:r>
      <w:r w:rsidRPr="00E940C3">
        <w:rPr>
          <w:rFonts w:ascii="Book Antiqua" w:eastAsia="Book Antiqua" w:hAnsi="Book Antiqua" w:cs="Book Antiqua"/>
          <w:color w:val="000000"/>
        </w:rPr>
        <w:t xml:space="preserve"> </w:t>
      </w:r>
      <w:r w:rsidR="00220522" w:rsidRPr="00E940C3">
        <w:rPr>
          <w:rFonts w:ascii="Book Antiqua" w:eastAsia="Book Antiqua" w:hAnsi="Book Antiqua" w:cs="Book Antiqua"/>
          <w:color w:val="000000"/>
        </w:rPr>
        <w:t>compared</w:t>
      </w:r>
      <w:r w:rsidRPr="00E940C3">
        <w:rPr>
          <w:rFonts w:ascii="Book Antiqua" w:eastAsia="Book Antiqua" w:hAnsi="Book Antiqua" w:cs="Book Antiqua"/>
          <w:color w:val="000000"/>
        </w:rPr>
        <w:t xml:space="preserve"> the combination of folinic acid and fluorouracil (FF) in a 42-day cycle with FF in combination with oxaliplatin (OFF). The latter regimen gave significantly longer median progression</w:t>
      </w:r>
      <w:r w:rsidR="0022296B"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free survival (mPFS) </w:t>
      </w:r>
      <w:r w:rsidR="00C80B6D" w:rsidRPr="00E940C3">
        <w:rPr>
          <w:rFonts w:ascii="Book Antiqua" w:eastAsia="Book Antiqua" w:hAnsi="Book Antiqua" w:cs="Book Antiqua"/>
          <w:color w:val="000000"/>
        </w:rPr>
        <w:t>and</w:t>
      </w:r>
      <w:r w:rsidRPr="00E940C3">
        <w:rPr>
          <w:rFonts w:ascii="Book Antiqua" w:eastAsia="Book Antiqua" w:hAnsi="Book Antiqua" w:cs="Book Antiqua"/>
          <w:color w:val="000000"/>
        </w:rPr>
        <w:t xml:space="preserve"> (mOS), even though the absolute increase in months was rather small (mPFS 2.0 </w:t>
      </w:r>
      <w:r w:rsidR="009B3328" w:rsidRPr="00E940C3">
        <w:rPr>
          <w:rFonts w:ascii="Book Antiqua" w:eastAsia="Book Antiqua" w:hAnsi="Book Antiqua" w:cs="Book Antiqua"/>
          <w:color w:val="000000"/>
        </w:rPr>
        <w:t>mo</w:t>
      </w:r>
      <w:r w:rsidR="009B3328" w:rsidRPr="00E940C3">
        <w:rPr>
          <w:rFonts w:ascii="Book Antiqua" w:eastAsia="Book Antiqua" w:hAnsi="Book Antiqua" w:cs="Book Antiqua"/>
          <w:i/>
          <w:iCs/>
          <w:color w:val="000000"/>
        </w:rPr>
        <w:t xml:space="preserve">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2.9 mo, and mOS 3.3 </w:t>
      </w:r>
      <w:r w:rsidR="009B3328" w:rsidRPr="00E940C3">
        <w:rPr>
          <w:rFonts w:ascii="Book Antiqua" w:eastAsia="Book Antiqua" w:hAnsi="Book Antiqua" w:cs="Book Antiqua"/>
          <w:color w:val="000000"/>
        </w:rPr>
        <w:t>mo</w:t>
      </w:r>
      <w:r w:rsidR="009B3328" w:rsidRPr="00E940C3">
        <w:rPr>
          <w:rFonts w:ascii="Book Antiqua" w:eastAsia="Book Antiqua" w:hAnsi="Book Antiqua" w:cs="Book Antiqua"/>
          <w:i/>
          <w:iCs/>
          <w:color w:val="000000"/>
        </w:rPr>
        <w:t xml:space="preserve">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5.9 mo for FF and OFF, respectively). The occurrence of low-grade neuropathy was more than five times higher (38% of patients) in the OFF group. In contrast</w:t>
      </w:r>
      <w:r w:rsidR="007E45DC"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t>
      </w:r>
      <w:r w:rsidR="0022296B" w:rsidRPr="00E940C3">
        <w:rPr>
          <w:rFonts w:ascii="Book Antiqua" w:eastAsia="Book Antiqua" w:hAnsi="Book Antiqua" w:cs="Book Antiqua"/>
          <w:color w:val="000000"/>
        </w:rPr>
        <w:t>the PANCREOX</w:t>
      </w:r>
      <w:r w:rsidRPr="00E940C3">
        <w:rPr>
          <w:rFonts w:ascii="Book Antiqua" w:eastAsia="Book Antiqua" w:hAnsi="Book Antiqua" w:cs="Book Antiqua"/>
          <w:color w:val="000000"/>
        </w:rPr>
        <w:t xml:space="preserve"> RCT</w:t>
      </w:r>
      <w:r w:rsidR="005918D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t>
      </w:r>
      <w:r w:rsidR="0022296B" w:rsidRPr="00E940C3">
        <w:rPr>
          <w:rFonts w:ascii="Book Antiqua" w:eastAsia="Book Antiqua" w:hAnsi="Book Antiqua" w:cs="Book Antiqua"/>
          <w:color w:val="000000"/>
        </w:rPr>
        <w:t xml:space="preserve">which </w:t>
      </w:r>
      <w:r w:rsidRPr="00E940C3">
        <w:rPr>
          <w:rFonts w:ascii="Book Antiqua" w:eastAsia="Book Antiqua" w:hAnsi="Book Antiqua" w:cs="Book Antiqua"/>
          <w:color w:val="000000"/>
        </w:rPr>
        <w:t>compar</w:t>
      </w:r>
      <w:r w:rsidR="0022296B" w:rsidRPr="00E940C3">
        <w:rPr>
          <w:rFonts w:ascii="Book Antiqua" w:eastAsia="Book Antiqua" w:hAnsi="Book Antiqua" w:cs="Book Antiqua"/>
          <w:color w:val="000000"/>
        </w:rPr>
        <w:t>ed</w:t>
      </w:r>
      <w:r w:rsidRPr="00E940C3">
        <w:rPr>
          <w:rFonts w:ascii="Book Antiqua" w:eastAsia="Book Antiqua" w:hAnsi="Book Antiqua" w:cs="Book Antiqua"/>
          <w:color w:val="000000"/>
        </w:rPr>
        <w:t xml:space="preserve"> the commonly used regimens of 5</w:t>
      </w:r>
      <w:r w:rsidR="00CE325B" w:rsidRPr="00E940C3">
        <w:rPr>
          <w:rFonts w:ascii="Book Antiqua" w:eastAsia="Book Antiqua" w:hAnsi="Book Antiqua" w:cs="Book Antiqua"/>
          <w:color w:val="000000"/>
        </w:rPr>
        <w:t>-</w:t>
      </w:r>
      <w:r w:rsidRPr="00E940C3">
        <w:rPr>
          <w:rFonts w:ascii="Book Antiqua" w:eastAsia="Book Antiqua" w:hAnsi="Book Antiqua" w:cs="Book Antiqua"/>
          <w:color w:val="000000"/>
        </w:rPr>
        <w:t>FU/</w:t>
      </w:r>
      <w:r w:rsidR="003A6AF6" w:rsidRPr="00E940C3">
        <w:rPr>
          <w:rFonts w:ascii="Book Antiqua" w:eastAsia="Book Antiqua" w:hAnsi="Book Antiqua" w:cs="Book Antiqua"/>
          <w:color w:val="000000"/>
        </w:rPr>
        <w:t>l</w:t>
      </w:r>
      <w:r w:rsidRPr="00E940C3">
        <w:rPr>
          <w:rFonts w:ascii="Book Antiqua" w:eastAsia="Book Antiqua" w:hAnsi="Book Antiqua" w:cs="Book Antiqua"/>
          <w:color w:val="000000"/>
        </w:rPr>
        <w:t>eucovorin infusion (5</w:t>
      </w:r>
      <w:r w:rsidR="00CE325B" w:rsidRPr="00E940C3">
        <w:rPr>
          <w:rFonts w:ascii="Book Antiqua" w:eastAsia="Book Antiqua" w:hAnsi="Book Antiqua" w:cs="Book Antiqua"/>
          <w:color w:val="000000"/>
        </w:rPr>
        <w:t>-</w:t>
      </w:r>
      <w:r w:rsidRPr="00E940C3">
        <w:rPr>
          <w:rFonts w:ascii="Book Antiqua" w:eastAsia="Book Antiqua" w:hAnsi="Book Antiqua" w:cs="Book Antiqua"/>
          <w:color w:val="000000"/>
        </w:rPr>
        <w:t>FU/LV) and modified FOLFOX6 (mFOLFOX6) did not show any advantage with the addition of oxaliplatin</w:t>
      </w:r>
      <w:r w:rsidRPr="00E940C3">
        <w:rPr>
          <w:rFonts w:ascii="Book Antiqua" w:eastAsia="Book Antiqua" w:hAnsi="Book Antiqua" w:cs="Book Antiqua"/>
          <w:color w:val="000000"/>
          <w:vertAlign w:val="superscript"/>
        </w:rPr>
        <w:t>[14]</w:t>
      </w:r>
      <w:r w:rsidRPr="00E940C3">
        <w:rPr>
          <w:rFonts w:ascii="Book Antiqua" w:eastAsia="Book Antiqua" w:hAnsi="Book Antiqua" w:cs="Book Antiqua"/>
          <w:color w:val="000000"/>
        </w:rPr>
        <w:t xml:space="preserve">. There was no significant difference in the primary mPFS </w:t>
      </w:r>
      <w:r w:rsidR="003A6AF6" w:rsidRPr="00E940C3">
        <w:rPr>
          <w:rFonts w:ascii="Book Antiqua" w:eastAsia="Book Antiqua" w:hAnsi="Book Antiqua" w:cs="Book Antiqua"/>
          <w:color w:val="000000"/>
        </w:rPr>
        <w:t xml:space="preserve">endpoint </w:t>
      </w:r>
      <w:r w:rsidRPr="00E940C3">
        <w:rPr>
          <w:rFonts w:ascii="Book Antiqua" w:eastAsia="Book Antiqua" w:hAnsi="Book Antiqua" w:cs="Book Antiqua"/>
          <w:color w:val="000000"/>
        </w:rPr>
        <w:t xml:space="preserve">(3.1 </w:t>
      </w:r>
      <w:r w:rsidR="006566B6" w:rsidRPr="00E940C3">
        <w:rPr>
          <w:rFonts w:ascii="Book Antiqua" w:eastAsia="Book Antiqua" w:hAnsi="Book Antiqua" w:cs="Book Antiqua"/>
          <w:color w:val="000000"/>
        </w:rPr>
        <w:t>mo</w:t>
      </w:r>
      <w:r w:rsidR="006566B6" w:rsidRPr="00E940C3">
        <w:rPr>
          <w:rFonts w:ascii="Book Antiqua" w:eastAsia="Book Antiqua" w:hAnsi="Book Antiqua" w:cs="Book Antiqua"/>
          <w:i/>
          <w:iCs/>
          <w:color w:val="000000"/>
        </w:rPr>
        <w:t xml:space="preserve">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2.9 mo for mFOLFOX6 and FU/LV). The mOS </w:t>
      </w:r>
      <w:r w:rsidR="00E940C3" w:rsidRPr="00E940C3">
        <w:rPr>
          <w:rFonts w:ascii="Book Antiqua" w:eastAsia="Book Antiqua" w:hAnsi="Book Antiqua" w:cs="Book Antiqua"/>
          <w:color w:val="000000"/>
        </w:rPr>
        <w:t>favored</w:t>
      </w:r>
      <w:r w:rsidRPr="00E940C3">
        <w:rPr>
          <w:rFonts w:ascii="Book Antiqua" w:eastAsia="Book Antiqua" w:hAnsi="Book Antiqua" w:cs="Book Antiqua"/>
          <w:color w:val="000000"/>
        </w:rPr>
        <w:t xml:space="preserve"> 5</w:t>
      </w:r>
      <w:r w:rsidR="006566B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FU/LV (9.9 mo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6.1 mo for mFOLFOX6). Furthermore, substantial toxicity was observed in the mFOLFOX6-arm</w:t>
      </w:r>
      <w:r w:rsidR="00E132D0"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with grade 3-4 adverse events affecting a majority (63%) of participants</w:t>
      </w:r>
      <w:r w:rsidRPr="00E940C3">
        <w:rPr>
          <w:rFonts w:ascii="Book Antiqua" w:eastAsia="Book Antiqua" w:hAnsi="Book Antiqua" w:cs="Book Antiqua"/>
          <w:color w:val="000000"/>
          <w:vertAlign w:val="superscript"/>
        </w:rPr>
        <w:t>[14]</w:t>
      </w:r>
      <w:r w:rsidRPr="00E940C3">
        <w:rPr>
          <w:rFonts w:ascii="Book Antiqua" w:eastAsia="Book Antiqua" w:hAnsi="Book Antiqua" w:cs="Book Antiqua"/>
          <w:color w:val="000000"/>
        </w:rPr>
        <w:t xml:space="preserve">. </w:t>
      </w:r>
      <w:r w:rsidR="00E5481F" w:rsidRPr="00E940C3">
        <w:rPr>
          <w:rFonts w:ascii="Book Antiqua" w:eastAsia="Book Antiqua" w:hAnsi="Book Antiqua" w:cs="Book Antiqua"/>
          <w:color w:val="000000"/>
        </w:rPr>
        <w:t>A</w:t>
      </w:r>
      <w:r w:rsidRPr="00E940C3">
        <w:rPr>
          <w:rFonts w:ascii="Book Antiqua" w:eastAsia="Book Antiqua" w:hAnsi="Book Antiqua" w:cs="Book Antiqua"/>
          <w:color w:val="000000"/>
        </w:rPr>
        <w:t xml:space="preserve"> more recent RCT</w:t>
      </w:r>
      <w:r w:rsidRPr="00E940C3">
        <w:rPr>
          <w:rFonts w:ascii="Book Antiqua" w:eastAsia="Book Antiqua" w:hAnsi="Book Antiqua" w:cs="Book Antiqua"/>
          <w:color w:val="000000"/>
          <w:vertAlign w:val="superscript"/>
        </w:rPr>
        <w:t>[15]</w:t>
      </w:r>
      <w:r w:rsidRPr="00E940C3">
        <w:rPr>
          <w:rFonts w:ascii="Book Antiqua" w:eastAsia="Book Antiqua" w:hAnsi="Book Antiqua" w:cs="Book Antiqua"/>
          <w:color w:val="000000"/>
        </w:rPr>
        <w:t xml:space="preserve"> explored the role of 5-FU/LV and liposomal</w:t>
      </w:r>
      <w:r w:rsidR="008C19B4">
        <w:rPr>
          <w:rFonts w:ascii="Book Antiqua" w:eastAsia="Book Antiqua" w:hAnsi="Book Antiqua" w:cs="Book Antiqua"/>
          <w:color w:val="000000"/>
        </w:rPr>
        <w:t xml:space="preserve"> </w:t>
      </w:r>
      <w:r w:rsidRPr="00E940C3">
        <w:rPr>
          <w:rFonts w:ascii="Book Antiqua" w:eastAsia="Book Antiqua" w:hAnsi="Book Antiqua" w:cs="Book Antiqua"/>
          <w:color w:val="000000"/>
        </w:rPr>
        <w:t>irinotecan in the second-line setting. Th</w:t>
      </w:r>
      <w:r w:rsidR="00B540DD" w:rsidRPr="00E940C3">
        <w:rPr>
          <w:rFonts w:ascii="Book Antiqua" w:eastAsia="Book Antiqua" w:hAnsi="Book Antiqua" w:cs="Book Antiqua"/>
          <w:color w:val="000000"/>
        </w:rPr>
        <w:t>e</w:t>
      </w:r>
      <w:r w:rsidRPr="00E940C3">
        <w:rPr>
          <w:rFonts w:ascii="Book Antiqua" w:eastAsia="Book Antiqua" w:hAnsi="Book Antiqua" w:cs="Book Antiqua"/>
          <w:color w:val="000000"/>
        </w:rPr>
        <w:t xml:space="preserve"> combination showed a small survival benefit over 5-FU/LV alone (6.1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4.2 mo). However, the 5-FU/LV and liposomal</w:t>
      </w:r>
      <w:r w:rsidR="008C19B4">
        <w:rPr>
          <w:rFonts w:ascii="Book Antiqua" w:eastAsia="Book Antiqua" w:hAnsi="Book Antiqua" w:cs="Book Antiqua"/>
          <w:color w:val="000000"/>
        </w:rPr>
        <w:t xml:space="preserve"> </w:t>
      </w:r>
      <w:r w:rsidRPr="00E940C3">
        <w:rPr>
          <w:rFonts w:ascii="Book Antiqua" w:eastAsia="Book Antiqua" w:hAnsi="Book Antiqua" w:cs="Book Antiqua"/>
          <w:color w:val="000000"/>
        </w:rPr>
        <w:t>irinotecan combination has not gained widespread traction in countries such as Canada and Sweden because regulatory authorities and health technology assessment bodies have considered the treatment to be not economically justifiable</w:t>
      </w:r>
      <w:r w:rsidRPr="00E940C3">
        <w:rPr>
          <w:rFonts w:ascii="Book Antiqua" w:eastAsia="Book Antiqua" w:hAnsi="Book Antiqua" w:cs="Book Antiqua"/>
          <w:color w:val="000000"/>
          <w:vertAlign w:val="superscript"/>
        </w:rPr>
        <w:t>[16</w:t>
      </w:r>
      <w:r w:rsidR="0090132C" w:rsidRPr="00E940C3">
        <w:rPr>
          <w:rFonts w:ascii="Book Antiqua" w:eastAsia="Book Antiqua" w:hAnsi="Book Antiqua" w:cs="Book Antiqua"/>
          <w:color w:val="000000"/>
          <w:vertAlign w:val="superscript"/>
        </w:rPr>
        <w:t>-</w:t>
      </w:r>
      <w:r w:rsidRPr="00E940C3">
        <w:rPr>
          <w:rFonts w:ascii="Book Antiqua" w:eastAsia="Book Antiqua" w:hAnsi="Book Antiqua" w:cs="Book Antiqua"/>
          <w:color w:val="000000"/>
          <w:vertAlign w:val="superscript"/>
        </w:rPr>
        <w:t>18]</w:t>
      </w:r>
      <w:r w:rsidRPr="00E940C3">
        <w:rPr>
          <w:rFonts w:ascii="Book Antiqua" w:eastAsia="Book Antiqua" w:hAnsi="Book Antiqua" w:cs="Book Antiqua"/>
          <w:color w:val="000000"/>
        </w:rPr>
        <w:t>.</w:t>
      </w:r>
    </w:p>
    <w:p w14:paraId="18836A05" w14:textId="680317BB" w:rsidR="00A77B3E" w:rsidRPr="00E940C3" w:rsidRDefault="00B70BAD" w:rsidP="00265AC6">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 xml:space="preserve">As </w:t>
      </w:r>
      <w:r w:rsidR="007F67FF" w:rsidRPr="00E940C3">
        <w:rPr>
          <w:rFonts w:ascii="Book Antiqua" w:eastAsia="Book Antiqua" w:hAnsi="Book Antiqua" w:cs="Book Antiqua"/>
          <w:color w:val="000000"/>
        </w:rPr>
        <w:t xml:space="preserve">the </w:t>
      </w:r>
      <w:r w:rsidRPr="00E940C3">
        <w:rPr>
          <w:rFonts w:ascii="Book Antiqua" w:eastAsia="Book Antiqua" w:hAnsi="Book Antiqua" w:cs="Book Antiqua"/>
          <w:color w:val="000000"/>
        </w:rPr>
        <w:t xml:space="preserve">results </w:t>
      </w:r>
      <w:r w:rsidR="007F67FF" w:rsidRPr="00E940C3">
        <w:rPr>
          <w:rFonts w:ascii="Book Antiqua" w:eastAsia="Book Antiqua" w:hAnsi="Book Antiqua" w:cs="Book Antiqua"/>
          <w:color w:val="000000"/>
        </w:rPr>
        <w:t>of</w:t>
      </w:r>
      <w:r w:rsidRPr="00E940C3">
        <w:rPr>
          <w:rFonts w:ascii="Book Antiqua" w:eastAsia="Book Antiqua" w:hAnsi="Book Antiqua" w:cs="Book Antiqua"/>
          <w:color w:val="000000"/>
        </w:rPr>
        <w:t xml:space="preserve"> RCTs may be difficult to interpret and properly implement </w:t>
      </w:r>
      <w:r w:rsidR="007F67FF" w:rsidRPr="00E940C3">
        <w:rPr>
          <w:rFonts w:ascii="Book Antiqua" w:eastAsia="Book Antiqua" w:hAnsi="Book Antiqua" w:cs="Book Antiqua"/>
          <w:color w:val="000000"/>
        </w:rPr>
        <w:t>as</w:t>
      </w:r>
      <w:r w:rsidRPr="00E940C3">
        <w:rPr>
          <w:rFonts w:ascii="Book Antiqua" w:eastAsia="Book Antiqua" w:hAnsi="Book Antiqua" w:cs="Book Antiqua"/>
          <w:color w:val="000000"/>
        </w:rPr>
        <w:t xml:space="preserve"> standard healthcare, it is essential to complement the basis of knowledge with real</w:t>
      </w:r>
      <w:r w:rsidR="00750EDF"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world evidence. The aim of the </w:t>
      </w:r>
      <w:r w:rsidR="00750EDF" w:rsidRPr="00E940C3">
        <w:rPr>
          <w:rFonts w:ascii="Book Antiqua" w:eastAsia="Book Antiqua" w:hAnsi="Book Antiqua" w:cs="Book Antiqua"/>
          <w:color w:val="000000"/>
        </w:rPr>
        <w:t>this</w:t>
      </w:r>
      <w:r w:rsidRPr="00E940C3">
        <w:rPr>
          <w:rFonts w:ascii="Book Antiqua" w:eastAsia="Book Antiqua" w:hAnsi="Book Antiqua" w:cs="Book Antiqua"/>
          <w:color w:val="000000"/>
        </w:rPr>
        <w:t xml:space="preserve"> review was to summarize and assess available studies reporting real</w:t>
      </w:r>
      <w:r w:rsidR="00750EDF" w:rsidRPr="00E940C3">
        <w:rPr>
          <w:rFonts w:ascii="Book Antiqua" w:eastAsia="Book Antiqua" w:hAnsi="Book Antiqua" w:cs="Book Antiqua"/>
          <w:color w:val="000000"/>
        </w:rPr>
        <w:t>-</w:t>
      </w:r>
      <w:r w:rsidRPr="00E940C3">
        <w:rPr>
          <w:rFonts w:ascii="Book Antiqua" w:eastAsia="Book Antiqua" w:hAnsi="Book Antiqua" w:cs="Book Antiqua"/>
          <w:color w:val="000000"/>
        </w:rPr>
        <w:lastRenderedPageBreak/>
        <w:t xml:space="preserve">world evidence in </w:t>
      </w:r>
      <w:r w:rsidR="00924154" w:rsidRPr="00E940C3">
        <w:rPr>
          <w:rFonts w:ascii="Book Antiqua" w:eastAsia="Book Antiqua" w:hAnsi="Book Antiqua" w:cs="Book Antiqua"/>
          <w:color w:val="000000"/>
        </w:rPr>
        <w:t>support</w:t>
      </w:r>
      <w:r w:rsidRPr="00E940C3">
        <w:rPr>
          <w:rFonts w:ascii="Book Antiqua" w:eastAsia="Book Antiqua" w:hAnsi="Book Antiqua" w:cs="Book Antiqua"/>
          <w:color w:val="000000"/>
        </w:rPr>
        <w:t xml:space="preserve"> of first</w:t>
      </w:r>
      <w:r w:rsidR="00A25CB3">
        <w:rPr>
          <w:rFonts w:ascii="Book Antiqua" w:eastAsia="Book Antiqua" w:hAnsi="Book Antiqua" w:cs="Book Antiqua"/>
          <w:color w:val="000000"/>
        </w:rPr>
        <w:t>-</w:t>
      </w:r>
      <w:r w:rsidRPr="00E940C3">
        <w:rPr>
          <w:rFonts w:ascii="Book Antiqua" w:eastAsia="Book Antiqua" w:hAnsi="Book Antiqua" w:cs="Book Antiqua"/>
          <w:color w:val="000000"/>
        </w:rPr>
        <w:t xml:space="preserve"> and second</w:t>
      </w:r>
      <w:r w:rsidR="00A25CB3">
        <w:rPr>
          <w:rFonts w:ascii="Book Antiqua" w:eastAsia="Book Antiqua" w:hAnsi="Book Antiqua" w:cs="Book Antiqua"/>
          <w:color w:val="000000"/>
        </w:rPr>
        <w:t>-</w:t>
      </w:r>
      <w:r w:rsidRPr="00E940C3">
        <w:rPr>
          <w:rFonts w:ascii="Book Antiqua" w:eastAsia="Book Antiqua" w:hAnsi="Book Antiqua" w:cs="Book Antiqua"/>
          <w:color w:val="000000"/>
        </w:rPr>
        <w:t xml:space="preserve">line palliative chemotherapy in advanced PDAC. </w:t>
      </w:r>
      <w:r w:rsidR="008E20B1" w:rsidRPr="00E940C3">
        <w:rPr>
          <w:rFonts w:ascii="Book Antiqua" w:eastAsia="Book Antiqua" w:hAnsi="Book Antiqua" w:cs="Book Antiqua"/>
          <w:color w:val="000000"/>
        </w:rPr>
        <w:t>In</w:t>
      </w:r>
      <w:r w:rsidRPr="00E940C3">
        <w:rPr>
          <w:rFonts w:ascii="Book Antiqua" w:eastAsia="Book Antiqua" w:hAnsi="Book Antiqua" w:cs="Book Antiqua"/>
          <w:color w:val="000000"/>
        </w:rPr>
        <w:t xml:space="preserve"> first</w:t>
      </w:r>
      <w:r w:rsidR="008E20B1"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therapy, </w:t>
      </w:r>
      <w:r w:rsidR="00EC6676" w:rsidRPr="00E940C3">
        <w:rPr>
          <w:rFonts w:ascii="Book Antiqua" w:eastAsia="Book Antiqua" w:hAnsi="Book Antiqua" w:cs="Book Antiqua"/>
          <w:color w:val="000000"/>
        </w:rPr>
        <w:t xml:space="preserve">the </w:t>
      </w:r>
      <w:r w:rsidRPr="00E940C3">
        <w:rPr>
          <w:rFonts w:ascii="Book Antiqua" w:eastAsia="Book Antiqua" w:hAnsi="Book Antiqua" w:cs="Book Antiqua"/>
          <w:color w:val="000000"/>
        </w:rPr>
        <w:t>focus was restricted to the two most established multidrug regimens</w:t>
      </w:r>
      <w:r w:rsidR="00EC667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t>
      </w:r>
      <w:r w:rsidRPr="00E940C3">
        <w:rPr>
          <w:rFonts w:ascii="Book Antiqua" w:eastAsia="Book Antiqua" w:hAnsi="Book Antiqua" w:cs="Book Antiqua"/>
          <w:i/>
          <w:color w:val="000000"/>
        </w:rPr>
        <w:t>i.e.</w:t>
      </w:r>
      <w:r w:rsidRPr="00E940C3">
        <w:rPr>
          <w:rFonts w:ascii="Book Antiqua" w:eastAsia="Book Antiqua" w:hAnsi="Book Antiqua" w:cs="Book Antiqua"/>
          <w:color w:val="000000"/>
        </w:rPr>
        <w:t xml:space="preserve"> FFX and GnP. For second</w:t>
      </w:r>
      <w:r w:rsidR="00A25CB3">
        <w:rPr>
          <w:rFonts w:ascii="Book Antiqua" w:eastAsia="Book Antiqua" w:hAnsi="Book Antiqua" w:cs="Book Antiqua"/>
          <w:color w:val="000000"/>
        </w:rPr>
        <w:t>-</w:t>
      </w:r>
      <w:r w:rsidRPr="00E940C3">
        <w:rPr>
          <w:rFonts w:ascii="Book Antiqua" w:eastAsia="Book Antiqua" w:hAnsi="Book Antiqua" w:cs="Book Antiqua"/>
          <w:color w:val="000000"/>
        </w:rPr>
        <w:t>line therapy, where the evidence on the optimal regimen is weak, no restriction in terms of regimen was applied.</w:t>
      </w:r>
    </w:p>
    <w:p w14:paraId="0486F91E" w14:textId="77777777" w:rsidR="00A77B3E" w:rsidRPr="00E940C3" w:rsidRDefault="00A77B3E" w:rsidP="00265AC6">
      <w:pPr>
        <w:snapToGrid w:val="0"/>
        <w:spacing w:line="360" w:lineRule="auto"/>
        <w:jc w:val="both"/>
        <w:rPr>
          <w:rFonts w:ascii="Book Antiqua" w:hAnsi="Book Antiqua"/>
        </w:rPr>
      </w:pPr>
    </w:p>
    <w:p w14:paraId="490FA952" w14:textId="4CC31F55" w:rsidR="002E6728" w:rsidRPr="00E940C3" w:rsidRDefault="002E6728" w:rsidP="00265AC6">
      <w:pPr>
        <w:snapToGrid w:val="0"/>
        <w:spacing w:line="360" w:lineRule="auto"/>
        <w:jc w:val="both"/>
        <w:rPr>
          <w:rFonts w:ascii="Book Antiqua" w:eastAsia="Book Antiqua" w:hAnsi="Book Antiqua" w:cs="Book Antiqua"/>
          <w:b/>
          <w:caps/>
          <w:color w:val="000000"/>
          <w:u w:val="single"/>
        </w:rPr>
      </w:pPr>
      <w:r w:rsidRPr="00E940C3">
        <w:rPr>
          <w:rFonts w:ascii="Book Antiqua" w:eastAsia="Book Antiqua" w:hAnsi="Book Antiqua" w:cs="Book Antiqua"/>
          <w:b/>
          <w:caps/>
          <w:color w:val="000000"/>
          <w:u w:val="single"/>
        </w:rPr>
        <w:t>literature search</w:t>
      </w:r>
    </w:p>
    <w:p w14:paraId="78DF9C2E" w14:textId="460AB2DB"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PubMed </w:t>
      </w:r>
      <w:r w:rsidR="0041197B" w:rsidRPr="00E940C3">
        <w:rPr>
          <w:rFonts w:ascii="Book Antiqua" w:eastAsia="Book Antiqua" w:hAnsi="Book Antiqua" w:cs="Book Antiqua"/>
          <w:color w:val="000000"/>
        </w:rPr>
        <w:t xml:space="preserve">was searched on </w:t>
      </w:r>
      <w:r w:rsidRPr="00E940C3">
        <w:rPr>
          <w:rFonts w:ascii="Book Antiqua" w:eastAsia="Book Antiqua" w:hAnsi="Book Antiqua" w:cs="Book Antiqua"/>
          <w:color w:val="000000"/>
        </w:rPr>
        <w:t>Dec</w:t>
      </w:r>
      <w:r w:rsidR="00A4375F" w:rsidRPr="00E940C3">
        <w:rPr>
          <w:rFonts w:ascii="Book Antiqua" w:eastAsia="Book Antiqua" w:hAnsi="Book Antiqua" w:cs="Book Antiqua"/>
          <w:color w:val="000000"/>
        </w:rPr>
        <w:t>ember</w:t>
      </w:r>
      <w:r w:rsidRPr="00E940C3">
        <w:rPr>
          <w:rFonts w:ascii="Book Antiqua" w:eastAsia="Book Antiqua" w:hAnsi="Book Antiqua" w:cs="Book Antiqua"/>
          <w:color w:val="000000"/>
        </w:rPr>
        <w:t xml:space="preserve"> </w:t>
      </w:r>
      <w:r w:rsidR="0041197B" w:rsidRPr="00E940C3">
        <w:rPr>
          <w:rFonts w:ascii="Book Antiqua" w:eastAsia="Book Antiqua" w:hAnsi="Book Antiqua" w:cs="Book Antiqua"/>
          <w:color w:val="000000"/>
        </w:rPr>
        <w:t xml:space="preserve">19, </w:t>
      </w:r>
      <w:r w:rsidRPr="00E940C3">
        <w:rPr>
          <w:rFonts w:ascii="Book Antiqua" w:eastAsia="Book Antiqua" w:hAnsi="Book Antiqua" w:cs="Book Antiqua"/>
          <w:color w:val="000000"/>
        </w:rPr>
        <w:t>2020 for studies with titles containing the phrases “</w:t>
      </w:r>
      <w:r w:rsidR="00D323B2" w:rsidRPr="00E940C3">
        <w:rPr>
          <w:rFonts w:ascii="Book Antiqua" w:eastAsia="Book Antiqua" w:hAnsi="Book Antiqua" w:cs="Book Antiqua"/>
          <w:color w:val="000000"/>
        </w:rPr>
        <w:t>p</w:t>
      </w:r>
      <w:r w:rsidRPr="00E940C3">
        <w:rPr>
          <w:rFonts w:ascii="Book Antiqua" w:eastAsia="Book Antiqua" w:hAnsi="Book Antiqua" w:cs="Book Antiqua"/>
          <w:color w:val="000000"/>
        </w:rPr>
        <w:t>ancreatic cancer” and “</w:t>
      </w:r>
      <w:r w:rsidR="00D323B2" w:rsidRPr="00E940C3">
        <w:rPr>
          <w:rFonts w:ascii="Book Antiqua" w:eastAsia="Book Antiqua" w:hAnsi="Book Antiqua" w:cs="Book Antiqua"/>
          <w:color w:val="000000"/>
        </w:rPr>
        <w:t>r</w:t>
      </w:r>
      <w:r w:rsidRPr="00E940C3">
        <w:rPr>
          <w:rFonts w:ascii="Book Antiqua" w:eastAsia="Book Antiqua" w:hAnsi="Book Antiqua" w:cs="Book Antiqua"/>
          <w:color w:val="000000"/>
        </w:rPr>
        <w:t xml:space="preserve">eal world”. All results were assessed for potential relevance. Only studies of human pancreatic cancer in the palliative setting and written in English were selected for possible inclusion in this review. Additional requirements for inclusion </w:t>
      </w:r>
      <w:r w:rsidR="008C3B4D" w:rsidRPr="00E940C3">
        <w:rPr>
          <w:rFonts w:ascii="Book Antiqua" w:eastAsia="Book Antiqua" w:hAnsi="Book Antiqua" w:cs="Book Antiqua"/>
          <w:color w:val="000000"/>
        </w:rPr>
        <w:t>were</w:t>
      </w:r>
      <w:r w:rsidRPr="00E940C3">
        <w:rPr>
          <w:rFonts w:ascii="Book Antiqua" w:eastAsia="Book Antiqua" w:hAnsi="Book Antiqua" w:cs="Book Antiqua"/>
          <w:color w:val="000000"/>
        </w:rPr>
        <w:t xml:space="preserve"> information related to </w:t>
      </w:r>
      <w:r w:rsidR="00C13957" w:rsidRPr="00E940C3">
        <w:rPr>
          <w:rFonts w:ascii="Book Antiqua" w:eastAsia="Book Antiqua" w:hAnsi="Book Antiqua" w:cs="Book Antiqua"/>
          <w:color w:val="000000"/>
        </w:rPr>
        <w:t>c</w:t>
      </w:r>
      <w:r w:rsidRPr="00E940C3">
        <w:rPr>
          <w:rFonts w:ascii="Book Antiqua" w:eastAsia="Book Antiqua" w:hAnsi="Book Antiqua" w:cs="Book Antiqua"/>
          <w:color w:val="000000"/>
        </w:rPr>
        <w:t xml:space="preserve">hemotherapy (FFX and/or GnP in </w:t>
      </w:r>
      <w:r w:rsidR="008C19B4">
        <w:rPr>
          <w:rFonts w:ascii="Book Antiqua" w:eastAsia="Book Antiqua" w:hAnsi="Book Antiqua" w:cs="Book Antiqua"/>
          <w:color w:val="000000"/>
        </w:rPr>
        <w:t xml:space="preserve">the </w:t>
      </w:r>
      <w:r w:rsidRPr="00E940C3">
        <w:rPr>
          <w:rFonts w:ascii="Book Antiqua" w:eastAsia="Book Antiqua" w:hAnsi="Book Antiqua" w:cs="Book Antiqua"/>
          <w:color w:val="000000"/>
        </w:rPr>
        <w:t>first</w:t>
      </w:r>
      <w:r w:rsidR="008C19B4">
        <w:rPr>
          <w:rFonts w:ascii="Book Antiqua" w:eastAsia="Book Antiqua" w:hAnsi="Book Antiqua" w:cs="Book Antiqua"/>
          <w:color w:val="000000"/>
        </w:rPr>
        <w:t>-</w:t>
      </w:r>
      <w:r w:rsidRPr="00E940C3">
        <w:rPr>
          <w:rFonts w:ascii="Book Antiqua" w:eastAsia="Book Antiqua" w:hAnsi="Book Antiqua" w:cs="Book Antiqua"/>
          <w:color w:val="000000"/>
        </w:rPr>
        <w:t>line setting, or any regimen in the second</w:t>
      </w:r>
      <w:r w:rsidR="00A25CB3">
        <w:rPr>
          <w:rFonts w:ascii="Book Antiqua" w:eastAsia="Book Antiqua" w:hAnsi="Book Antiqua" w:cs="Book Antiqua"/>
          <w:color w:val="000000"/>
        </w:rPr>
        <w:t>-</w:t>
      </w:r>
      <w:r w:rsidRPr="00E940C3">
        <w:rPr>
          <w:rFonts w:ascii="Book Antiqua" w:eastAsia="Book Antiqua" w:hAnsi="Book Antiqua" w:cs="Book Antiqua"/>
          <w:color w:val="000000"/>
        </w:rPr>
        <w:t xml:space="preserve">line setting); survival </w:t>
      </w:r>
      <w:r w:rsidR="00A25CB3">
        <w:rPr>
          <w:rFonts w:ascii="Book Antiqua" w:eastAsia="Book Antiqua" w:hAnsi="Book Antiqua" w:cs="Book Antiqua"/>
          <w:color w:val="000000"/>
        </w:rPr>
        <w:t>[</w:t>
      </w:r>
      <w:r w:rsidRPr="00E940C3">
        <w:rPr>
          <w:rFonts w:ascii="Book Antiqua" w:eastAsia="Book Antiqua" w:hAnsi="Book Antiqua" w:cs="Book Antiqua"/>
          <w:color w:val="000000"/>
        </w:rPr>
        <w:t>(</w:t>
      </w:r>
      <w:r w:rsidR="00A25CB3">
        <w:rPr>
          <w:rFonts w:ascii="Book Antiqua" w:eastAsia="Book Antiqua" w:hAnsi="Book Antiqua" w:cs="Book Antiqua"/>
          <w:color w:val="000000"/>
        </w:rPr>
        <w:t>overall survival (</w:t>
      </w:r>
      <w:r w:rsidRPr="00E940C3">
        <w:rPr>
          <w:rFonts w:ascii="Book Antiqua" w:eastAsia="Book Antiqua" w:hAnsi="Book Antiqua" w:cs="Book Antiqua"/>
          <w:color w:val="000000"/>
        </w:rPr>
        <w:t>OS</w:t>
      </w:r>
      <w:r w:rsidR="00A25CB3">
        <w:rPr>
          <w:rFonts w:ascii="Book Antiqua" w:eastAsia="Book Antiqua" w:hAnsi="Book Antiqua" w:cs="Book Antiqua"/>
          <w:color w:val="000000"/>
        </w:rPr>
        <w:t>)</w:t>
      </w:r>
      <w:r w:rsidRPr="00E940C3">
        <w:rPr>
          <w:rFonts w:ascii="Book Antiqua" w:eastAsia="Book Antiqua" w:hAnsi="Book Antiqua" w:cs="Book Antiqua"/>
          <w:color w:val="000000"/>
        </w:rPr>
        <w:t xml:space="preserve"> data</w:t>
      </w:r>
      <w:r w:rsidR="00C13957" w:rsidRPr="00E940C3">
        <w:rPr>
          <w:rFonts w:ascii="Book Antiqua" w:eastAsia="Book Antiqua" w:hAnsi="Book Antiqua" w:cs="Book Antiqua"/>
          <w:color w:val="000000"/>
        </w:rPr>
        <w:t xml:space="preserve"> were</w:t>
      </w:r>
      <w:r w:rsidRPr="00E940C3">
        <w:rPr>
          <w:rFonts w:ascii="Book Antiqua" w:eastAsia="Book Antiqua" w:hAnsi="Book Antiqua" w:cs="Book Antiqua"/>
          <w:color w:val="000000"/>
        </w:rPr>
        <w:t xml:space="preserve"> required, </w:t>
      </w:r>
      <w:r w:rsidR="00A25CB3">
        <w:rPr>
          <w:rFonts w:ascii="Book Antiqua" w:eastAsia="Book Antiqua" w:hAnsi="Book Antiqua" w:cs="Book Antiqua"/>
          <w:color w:val="000000"/>
        </w:rPr>
        <w:t>progression-free survival (</w:t>
      </w:r>
      <w:r w:rsidRPr="00E940C3">
        <w:rPr>
          <w:rFonts w:ascii="Book Antiqua" w:eastAsia="Book Antiqua" w:hAnsi="Book Antiqua" w:cs="Book Antiqua"/>
          <w:color w:val="000000"/>
        </w:rPr>
        <w:t>PFS</w:t>
      </w:r>
      <w:r w:rsidR="00A25CB3">
        <w:rPr>
          <w:rFonts w:ascii="Book Antiqua" w:eastAsia="Book Antiqua" w:hAnsi="Book Antiqua" w:cs="Book Antiqua"/>
          <w:color w:val="000000"/>
        </w:rPr>
        <w:t>)</w:t>
      </w:r>
      <w:r w:rsidRPr="00E940C3">
        <w:rPr>
          <w:rFonts w:ascii="Book Antiqua" w:eastAsia="Book Antiqua" w:hAnsi="Book Antiqua" w:cs="Book Antiqua"/>
          <w:color w:val="000000"/>
        </w:rPr>
        <w:t xml:space="preserve"> data </w:t>
      </w:r>
      <w:r w:rsidR="00C13957" w:rsidRPr="00E940C3">
        <w:rPr>
          <w:rFonts w:ascii="Book Antiqua" w:eastAsia="Book Antiqua" w:hAnsi="Book Antiqua" w:cs="Book Antiqua"/>
          <w:color w:val="000000"/>
        </w:rPr>
        <w:t xml:space="preserve">were </w:t>
      </w:r>
      <w:r w:rsidRPr="00E940C3">
        <w:rPr>
          <w:rFonts w:ascii="Book Antiqua" w:eastAsia="Book Antiqua" w:hAnsi="Book Antiqua" w:cs="Book Antiqua"/>
          <w:color w:val="000000"/>
        </w:rPr>
        <w:t xml:space="preserve">optional, </w:t>
      </w:r>
      <w:r w:rsidR="00A25CB3">
        <w:rPr>
          <w:rFonts w:ascii="Book Antiqua" w:eastAsia="Book Antiqua" w:hAnsi="Book Antiqua" w:cs="Book Antiqua"/>
          <w:color w:val="000000"/>
        </w:rPr>
        <w:t xml:space="preserve">and </w:t>
      </w:r>
      <w:r w:rsidRPr="00E940C3">
        <w:rPr>
          <w:rFonts w:ascii="Book Antiqua" w:eastAsia="Book Antiqua" w:hAnsi="Book Antiqua" w:cs="Book Antiqua"/>
          <w:color w:val="000000"/>
        </w:rPr>
        <w:t xml:space="preserve">surrogate markers for OS </w:t>
      </w:r>
      <w:r w:rsidR="00C13957" w:rsidRPr="00E940C3">
        <w:rPr>
          <w:rFonts w:ascii="Book Antiqua" w:eastAsia="Book Antiqua" w:hAnsi="Book Antiqua" w:cs="Book Antiqua"/>
          <w:color w:val="000000"/>
        </w:rPr>
        <w:t xml:space="preserve">were </w:t>
      </w:r>
      <w:r w:rsidRPr="00E940C3">
        <w:rPr>
          <w:rFonts w:ascii="Book Antiqua" w:eastAsia="Book Antiqua" w:hAnsi="Book Antiqua" w:cs="Book Antiqua"/>
          <w:color w:val="000000"/>
        </w:rPr>
        <w:t>not accepted); real</w:t>
      </w:r>
      <w:r w:rsidR="00B23943"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world </w:t>
      </w:r>
      <w:r w:rsidR="008C19B4">
        <w:rPr>
          <w:rFonts w:ascii="Book Antiqua" w:eastAsia="Book Antiqua" w:hAnsi="Book Antiqua" w:cs="Book Antiqua"/>
          <w:color w:val="000000"/>
        </w:rPr>
        <w:t xml:space="preserve">study </w:t>
      </w:r>
      <w:r w:rsidRPr="00E940C3">
        <w:rPr>
          <w:rFonts w:ascii="Book Antiqua" w:eastAsia="Book Antiqua" w:hAnsi="Book Antiqua" w:cs="Book Antiqua"/>
          <w:color w:val="000000"/>
        </w:rPr>
        <w:t xml:space="preserve">population, and study type (retrospective or prospective cohort trials). </w:t>
      </w:r>
      <w:r w:rsidR="00A25CB3">
        <w:rPr>
          <w:rFonts w:ascii="Book Antiqua" w:eastAsia="Book Antiqua" w:hAnsi="Book Antiqua" w:cs="Book Antiqua"/>
          <w:color w:val="000000"/>
        </w:rPr>
        <w:t>RCTs</w:t>
      </w:r>
      <w:r w:rsidRPr="00E940C3">
        <w:rPr>
          <w:rFonts w:ascii="Book Antiqua" w:eastAsia="Book Antiqua" w:hAnsi="Book Antiqua" w:cs="Book Antiqua"/>
          <w:color w:val="000000"/>
        </w:rPr>
        <w:t>, published study protocols, case studies</w:t>
      </w:r>
      <w:r w:rsidR="00B23943"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meeting abstracts were not included. Studies reporting data on several treatment regimens were included as long as either FFX or GnP was among them</w:t>
      </w:r>
      <w:r w:rsidR="00E50639"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specific survival data and treatment intention for the regimens were clearly distinguishable and compatible with the criteria mentioned above. Included studies are presented in a structured way with key data in tables sorted by topic and year </w:t>
      </w:r>
      <w:r w:rsidR="00A5573D" w:rsidRPr="00E940C3">
        <w:rPr>
          <w:rFonts w:ascii="Book Antiqua" w:eastAsia="Book Antiqua" w:hAnsi="Book Antiqua" w:cs="Book Antiqua"/>
          <w:color w:val="000000"/>
        </w:rPr>
        <w:t xml:space="preserve">of </w:t>
      </w:r>
      <w:r w:rsidRPr="00E940C3">
        <w:rPr>
          <w:rFonts w:ascii="Book Antiqua" w:eastAsia="Book Antiqua" w:hAnsi="Book Antiqua" w:cs="Book Antiqua"/>
          <w:color w:val="000000"/>
        </w:rPr>
        <w:t>publi</w:t>
      </w:r>
      <w:r w:rsidR="00A5573D" w:rsidRPr="00E940C3">
        <w:rPr>
          <w:rFonts w:ascii="Book Antiqua" w:eastAsia="Book Antiqua" w:hAnsi="Book Antiqua" w:cs="Book Antiqua"/>
          <w:color w:val="000000"/>
        </w:rPr>
        <w:t>cation</w:t>
      </w:r>
      <w:r w:rsidRPr="00E940C3">
        <w:rPr>
          <w:rFonts w:ascii="Book Antiqua" w:eastAsia="Book Antiqua" w:hAnsi="Book Antiqua" w:cs="Book Antiqua"/>
          <w:color w:val="000000"/>
        </w:rPr>
        <w:t>.</w:t>
      </w:r>
    </w:p>
    <w:p w14:paraId="35779868" w14:textId="77777777" w:rsidR="00CB39AF" w:rsidRPr="00E940C3" w:rsidRDefault="00CB39AF" w:rsidP="00265AC6">
      <w:pPr>
        <w:snapToGrid w:val="0"/>
        <w:spacing w:line="360" w:lineRule="auto"/>
        <w:jc w:val="both"/>
        <w:rPr>
          <w:rFonts w:ascii="Book Antiqua" w:eastAsia="Book Antiqua" w:hAnsi="Book Antiqua" w:cs="Book Antiqua"/>
          <w:color w:val="000000"/>
        </w:rPr>
      </w:pPr>
    </w:p>
    <w:p w14:paraId="481EA5D2" w14:textId="77777777" w:rsidR="00A77B3E" w:rsidRPr="00E940C3" w:rsidRDefault="00B70BAD" w:rsidP="00265AC6">
      <w:pPr>
        <w:snapToGrid w:val="0"/>
        <w:spacing w:line="360" w:lineRule="auto"/>
        <w:jc w:val="both"/>
        <w:rPr>
          <w:rFonts w:ascii="Book Antiqua" w:hAnsi="Book Antiqua"/>
          <w:b/>
          <w:caps/>
          <w:u w:val="single"/>
        </w:rPr>
      </w:pPr>
      <w:r w:rsidRPr="00E940C3">
        <w:rPr>
          <w:rFonts w:ascii="Book Antiqua" w:eastAsia="Book Antiqua" w:hAnsi="Book Antiqua" w:cs="Book Antiqua"/>
          <w:b/>
          <w:caps/>
          <w:color w:val="000000"/>
          <w:u w:val="single"/>
        </w:rPr>
        <w:t>Results</w:t>
      </w:r>
    </w:p>
    <w:p w14:paraId="7EA034D6" w14:textId="2D4E481A" w:rsidR="00A77B3E" w:rsidRPr="00E940C3" w:rsidRDefault="00B70BAD" w:rsidP="00421B03">
      <w:pPr>
        <w:snapToGrid w:val="0"/>
        <w:spacing w:line="360" w:lineRule="auto"/>
        <w:jc w:val="both"/>
        <w:rPr>
          <w:rFonts w:ascii="Book Antiqua" w:hAnsi="Book Antiqua"/>
        </w:rPr>
      </w:pPr>
      <w:r w:rsidRPr="00E940C3">
        <w:rPr>
          <w:rFonts w:ascii="Book Antiqua" w:eastAsia="Book Antiqua" w:hAnsi="Book Antiqua" w:cs="Book Antiqua"/>
          <w:color w:val="000000"/>
        </w:rPr>
        <w:t>The P</w:t>
      </w:r>
      <w:r w:rsidR="00BD6B3B" w:rsidRPr="00E940C3">
        <w:rPr>
          <w:rFonts w:ascii="Book Antiqua" w:eastAsia="Book Antiqua" w:hAnsi="Book Antiqua" w:cs="Book Antiqua"/>
          <w:color w:val="000000"/>
        </w:rPr>
        <w:t>ub</w:t>
      </w:r>
      <w:r w:rsidRPr="00E940C3">
        <w:rPr>
          <w:rFonts w:ascii="Book Antiqua" w:eastAsia="Book Antiqua" w:hAnsi="Book Antiqua" w:cs="Book Antiqua"/>
          <w:color w:val="000000"/>
        </w:rPr>
        <w:t>M</w:t>
      </w:r>
      <w:r w:rsidR="00BD6B3B" w:rsidRPr="00E940C3">
        <w:rPr>
          <w:rFonts w:ascii="Book Antiqua" w:eastAsia="Book Antiqua" w:hAnsi="Book Antiqua" w:cs="Book Antiqua"/>
          <w:color w:val="000000"/>
        </w:rPr>
        <w:t>ed</w:t>
      </w:r>
      <w:r w:rsidRPr="00E940C3">
        <w:rPr>
          <w:rFonts w:ascii="Book Antiqua" w:eastAsia="Book Antiqua" w:hAnsi="Book Antiqua" w:cs="Book Antiqua"/>
          <w:color w:val="000000"/>
        </w:rPr>
        <w:t xml:space="preserve"> query on first</w:t>
      </w:r>
      <w:r w:rsidR="008C19B4">
        <w:rPr>
          <w:rFonts w:ascii="Book Antiqua" w:eastAsia="Book Antiqua" w:hAnsi="Book Antiqua" w:cs="Book Antiqua"/>
          <w:color w:val="000000"/>
        </w:rPr>
        <w:t>-line</w:t>
      </w:r>
      <w:r w:rsidRPr="00E940C3">
        <w:rPr>
          <w:rFonts w:ascii="Book Antiqua" w:eastAsia="Book Antiqua" w:hAnsi="Book Antiqua" w:cs="Book Antiqua"/>
          <w:color w:val="000000"/>
        </w:rPr>
        <w:t xml:space="preserve"> therapy returned 87 </w:t>
      </w:r>
      <w:r w:rsidR="00A5573D" w:rsidRPr="00E940C3">
        <w:rPr>
          <w:rFonts w:ascii="Book Antiqua" w:eastAsia="Book Antiqua" w:hAnsi="Book Antiqua" w:cs="Book Antiqua"/>
          <w:color w:val="000000"/>
        </w:rPr>
        <w:t>publications</w:t>
      </w:r>
      <w:r w:rsidRPr="00E940C3">
        <w:rPr>
          <w:rFonts w:ascii="Book Antiqua" w:eastAsia="Book Antiqua" w:hAnsi="Book Antiqua" w:cs="Book Antiqua"/>
          <w:color w:val="000000"/>
        </w:rPr>
        <w:t xml:space="preserve">. Following careful review with regard to the inclusion criteria and scope of this </w:t>
      </w:r>
      <w:r w:rsidR="00C23C2B" w:rsidRPr="00E940C3">
        <w:rPr>
          <w:rFonts w:ascii="Book Antiqua" w:eastAsia="Book Antiqua" w:hAnsi="Book Antiqua" w:cs="Book Antiqua"/>
          <w:color w:val="000000"/>
        </w:rPr>
        <w:t>review</w:t>
      </w:r>
      <w:r w:rsidRPr="00E940C3">
        <w:rPr>
          <w:rFonts w:ascii="Book Antiqua" w:eastAsia="Book Antiqua" w:hAnsi="Book Antiqua" w:cs="Book Antiqua"/>
          <w:color w:val="000000"/>
        </w:rPr>
        <w:t xml:space="preserve">, 14 articles </w:t>
      </w:r>
      <w:r w:rsidR="00C23C2B" w:rsidRPr="00E940C3">
        <w:rPr>
          <w:rFonts w:ascii="Book Antiqua" w:eastAsia="Book Antiqua" w:hAnsi="Book Antiqua" w:cs="Book Antiqua"/>
          <w:color w:val="000000"/>
        </w:rPr>
        <w:t>were selected,</w:t>
      </w:r>
      <w:r w:rsidRPr="00E940C3">
        <w:rPr>
          <w:rFonts w:ascii="Book Antiqua" w:eastAsia="Book Antiqua" w:hAnsi="Book Antiqua" w:cs="Book Antiqua"/>
          <w:color w:val="000000"/>
        </w:rPr>
        <w:t xml:space="preserve"> four with data on GnP (Table 1), two reporting FFX data (Table 2), seven </w:t>
      </w:r>
      <w:r w:rsidR="00CC2D0B" w:rsidRPr="00E940C3">
        <w:rPr>
          <w:rFonts w:ascii="Book Antiqua" w:eastAsia="Book Antiqua" w:hAnsi="Book Antiqua" w:cs="Book Antiqua"/>
          <w:color w:val="000000"/>
        </w:rPr>
        <w:t>that</w:t>
      </w:r>
      <w:r w:rsidRPr="00E940C3">
        <w:rPr>
          <w:rFonts w:ascii="Book Antiqua" w:eastAsia="Book Antiqua" w:hAnsi="Book Antiqua" w:cs="Book Antiqua"/>
          <w:color w:val="000000"/>
        </w:rPr>
        <w:t xml:space="preserve"> compar</w:t>
      </w:r>
      <w:r w:rsidR="00CC2D0B" w:rsidRPr="00E940C3">
        <w:rPr>
          <w:rFonts w:ascii="Book Antiqua" w:eastAsia="Book Antiqua" w:hAnsi="Book Antiqua" w:cs="Book Antiqua"/>
          <w:color w:val="000000"/>
        </w:rPr>
        <w:t>ed</w:t>
      </w:r>
      <w:r w:rsidRPr="00E940C3">
        <w:rPr>
          <w:rFonts w:ascii="Book Antiqua" w:eastAsia="Book Antiqua" w:hAnsi="Book Antiqua" w:cs="Book Antiqua"/>
          <w:color w:val="000000"/>
        </w:rPr>
        <w:t xml:space="preserve"> FFX and GnP (Table 3)</w:t>
      </w:r>
      <w:r w:rsidR="00CC2D0B"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one covering several first</w:t>
      </w:r>
      <w:r w:rsidR="008C19B4">
        <w:rPr>
          <w:rFonts w:ascii="Book Antiqua" w:eastAsia="Book Antiqua" w:hAnsi="Book Antiqua" w:cs="Book Antiqua"/>
          <w:color w:val="000000"/>
        </w:rPr>
        <w:t>-line</w:t>
      </w:r>
      <w:r w:rsidRPr="00E940C3">
        <w:rPr>
          <w:rFonts w:ascii="Book Antiqua" w:eastAsia="Book Antiqua" w:hAnsi="Book Antiqua" w:cs="Book Antiqua"/>
          <w:color w:val="000000"/>
        </w:rPr>
        <w:t xml:space="preserve"> treatments. The P</w:t>
      </w:r>
      <w:r w:rsidR="000570ED" w:rsidRPr="00E940C3">
        <w:rPr>
          <w:rFonts w:ascii="Book Antiqua" w:eastAsia="Book Antiqua" w:hAnsi="Book Antiqua" w:cs="Book Antiqua"/>
          <w:color w:val="000000"/>
        </w:rPr>
        <w:t>ub</w:t>
      </w:r>
      <w:r w:rsidRPr="00E940C3">
        <w:rPr>
          <w:rFonts w:ascii="Book Antiqua" w:eastAsia="Book Antiqua" w:hAnsi="Book Antiqua" w:cs="Book Antiqua"/>
          <w:color w:val="000000"/>
        </w:rPr>
        <w:t>M</w:t>
      </w:r>
      <w:r w:rsidR="000570ED" w:rsidRPr="00E940C3">
        <w:rPr>
          <w:rFonts w:ascii="Book Antiqua" w:eastAsia="Book Antiqua" w:hAnsi="Book Antiqua" w:cs="Book Antiqua"/>
          <w:color w:val="000000"/>
        </w:rPr>
        <w:t>ed</w:t>
      </w:r>
      <w:r w:rsidRPr="00E940C3">
        <w:rPr>
          <w:rFonts w:ascii="Book Antiqua" w:eastAsia="Book Antiqua" w:hAnsi="Book Antiqua" w:cs="Book Antiqua"/>
          <w:color w:val="000000"/>
        </w:rPr>
        <w:t xml:space="preserve"> search </w:t>
      </w:r>
      <w:r w:rsidR="00B91761" w:rsidRPr="00E940C3">
        <w:rPr>
          <w:rFonts w:ascii="Book Antiqua" w:eastAsia="Book Antiqua" w:hAnsi="Book Antiqua" w:cs="Book Antiqua"/>
          <w:color w:val="000000"/>
        </w:rPr>
        <w:t>of</w:t>
      </w:r>
      <w:r w:rsidRPr="00E940C3">
        <w:rPr>
          <w:rFonts w:ascii="Book Antiqua" w:eastAsia="Book Antiqua" w:hAnsi="Book Antiqua" w:cs="Book Antiqua"/>
          <w:color w:val="000000"/>
        </w:rPr>
        <w:t xml:space="preserve"> second</w:t>
      </w:r>
      <w:r w:rsidR="00B91761" w:rsidRPr="00E940C3">
        <w:rPr>
          <w:rFonts w:ascii="Book Antiqua" w:eastAsia="Book Antiqua" w:hAnsi="Book Antiqua" w:cs="Book Antiqua"/>
          <w:color w:val="000000"/>
        </w:rPr>
        <w:t>-</w:t>
      </w:r>
      <w:r w:rsidRPr="00E940C3">
        <w:rPr>
          <w:rFonts w:ascii="Book Antiqua" w:eastAsia="Book Antiqua" w:hAnsi="Book Antiqua" w:cs="Book Antiqua"/>
          <w:color w:val="000000"/>
        </w:rPr>
        <w:t>line setting returned 17 articles of which 15 were potentially relevant. The articles were subclassified according to which first</w:t>
      </w:r>
      <w:r w:rsidR="00D454F1" w:rsidRPr="00E940C3">
        <w:rPr>
          <w:rFonts w:ascii="Book Antiqua" w:eastAsia="Book Antiqua" w:hAnsi="Book Antiqua" w:cs="Book Antiqua"/>
          <w:color w:val="000000"/>
        </w:rPr>
        <w:t>-</w:t>
      </w:r>
      <w:r w:rsidRPr="00E940C3">
        <w:rPr>
          <w:rFonts w:ascii="Book Antiqua" w:eastAsia="Book Antiqua" w:hAnsi="Book Antiqua" w:cs="Book Antiqua"/>
          <w:color w:val="000000"/>
        </w:rPr>
        <w:t>line treatment (FFX or GnP) had been administered (Tables 4</w:t>
      </w:r>
      <w:r w:rsidR="00452431" w:rsidRPr="00E940C3">
        <w:rPr>
          <w:rFonts w:ascii="Book Antiqua" w:eastAsia="Book Antiqua" w:hAnsi="Book Antiqua" w:cs="Book Antiqua"/>
          <w:color w:val="000000"/>
        </w:rPr>
        <w:t xml:space="preserve"> and </w:t>
      </w:r>
      <w:r w:rsidRPr="00E940C3">
        <w:rPr>
          <w:rFonts w:ascii="Book Antiqua" w:eastAsia="Book Antiqua" w:hAnsi="Book Antiqua" w:cs="Book Antiqua"/>
          <w:color w:val="000000"/>
        </w:rPr>
        <w:t>5).</w:t>
      </w:r>
      <w:r w:rsidR="00D454F1"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In addition to the above articles, several papers </w:t>
      </w:r>
      <w:r w:rsidR="007A1F4B" w:rsidRPr="00E940C3">
        <w:rPr>
          <w:rFonts w:ascii="Book Antiqua" w:eastAsia="Book Antiqua" w:hAnsi="Book Antiqua" w:cs="Book Antiqua"/>
          <w:color w:val="000000"/>
        </w:rPr>
        <w:t xml:space="preserve">that did </w:t>
      </w:r>
      <w:r w:rsidRPr="00E940C3">
        <w:rPr>
          <w:rFonts w:ascii="Book Antiqua" w:eastAsia="Book Antiqua" w:hAnsi="Book Antiqua" w:cs="Book Antiqua"/>
          <w:color w:val="000000"/>
        </w:rPr>
        <w:t xml:space="preserve">not focus on a </w:t>
      </w:r>
      <w:r w:rsidR="007A1F4B" w:rsidRPr="00E940C3">
        <w:rPr>
          <w:rFonts w:ascii="Book Antiqua" w:eastAsia="Book Antiqua" w:hAnsi="Book Antiqua" w:cs="Book Antiqua"/>
          <w:color w:val="000000"/>
        </w:rPr>
        <w:t>specific</w:t>
      </w:r>
      <w:r w:rsidRPr="00E940C3">
        <w:rPr>
          <w:rFonts w:ascii="Book Antiqua" w:eastAsia="Book Antiqua" w:hAnsi="Book Antiqua" w:cs="Book Antiqua"/>
          <w:color w:val="000000"/>
        </w:rPr>
        <w:t xml:space="preserve"> first</w:t>
      </w:r>
      <w:r w:rsidR="007A1F4B"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or second</w:t>
      </w:r>
      <w:r w:rsidR="007A1F4B" w:rsidRPr="00E940C3">
        <w:rPr>
          <w:rFonts w:ascii="Book Antiqua" w:eastAsia="Book Antiqua" w:hAnsi="Book Antiqua" w:cs="Book Antiqua"/>
          <w:color w:val="000000"/>
        </w:rPr>
        <w:t>-</w:t>
      </w:r>
      <w:r w:rsidRPr="00E940C3">
        <w:rPr>
          <w:rFonts w:ascii="Book Antiqua" w:eastAsia="Book Antiqua" w:hAnsi="Book Antiqua" w:cs="Book Antiqua"/>
          <w:color w:val="000000"/>
        </w:rPr>
        <w:t>line regimen, and/or describ</w:t>
      </w:r>
      <w:r w:rsidR="00B62E13" w:rsidRPr="00E940C3">
        <w:rPr>
          <w:rFonts w:ascii="Book Antiqua" w:eastAsia="Book Antiqua" w:hAnsi="Book Antiqua" w:cs="Book Antiqua"/>
          <w:color w:val="000000"/>
        </w:rPr>
        <w:t>e</w:t>
      </w:r>
      <w:r w:rsidRPr="00E940C3">
        <w:rPr>
          <w:rFonts w:ascii="Book Antiqua" w:eastAsia="Book Antiqua" w:hAnsi="Book Antiqua" w:cs="Book Antiqua"/>
          <w:color w:val="000000"/>
        </w:rPr>
        <w:t xml:space="preserve"> the </w:t>
      </w:r>
      <w:r w:rsidRPr="00E940C3">
        <w:rPr>
          <w:rFonts w:ascii="Book Antiqua" w:eastAsia="Book Antiqua" w:hAnsi="Book Antiqua" w:cs="Book Antiqua"/>
          <w:color w:val="000000"/>
        </w:rPr>
        <w:lastRenderedPageBreak/>
        <w:t xml:space="preserve">treatment pattern in general terms, were identified and will be discussed </w:t>
      </w:r>
      <w:r w:rsidR="00B62E13" w:rsidRPr="00E940C3">
        <w:rPr>
          <w:rFonts w:ascii="Book Antiqua" w:eastAsia="Book Antiqua" w:hAnsi="Book Antiqua" w:cs="Book Antiqua"/>
          <w:color w:val="000000"/>
        </w:rPr>
        <w:t>in</w:t>
      </w:r>
      <w:r w:rsidRPr="00E940C3">
        <w:rPr>
          <w:rFonts w:ascii="Book Antiqua" w:eastAsia="Book Antiqua" w:hAnsi="Book Antiqua" w:cs="Book Antiqua"/>
          <w:color w:val="000000"/>
        </w:rPr>
        <w:t xml:space="preserve"> the relevant section of this review.</w:t>
      </w:r>
    </w:p>
    <w:p w14:paraId="6317EFA6" w14:textId="77777777" w:rsidR="00A77B3E" w:rsidRPr="00E940C3" w:rsidRDefault="00A77B3E" w:rsidP="00265AC6">
      <w:pPr>
        <w:snapToGrid w:val="0"/>
        <w:spacing w:line="360" w:lineRule="auto"/>
        <w:jc w:val="both"/>
        <w:rPr>
          <w:rFonts w:ascii="Book Antiqua" w:hAnsi="Book Antiqua"/>
        </w:rPr>
      </w:pPr>
    </w:p>
    <w:p w14:paraId="2851A187" w14:textId="2F30D8F9" w:rsidR="00A77B3E" w:rsidRPr="00E940C3" w:rsidRDefault="00B70BAD" w:rsidP="00265AC6">
      <w:pPr>
        <w:snapToGrid w:val="0"/>
        <w:spacing w:line="360" w:lineRule="auto"/>
        <w:jc w:val="both"/>
        <w:rPr>
          <w:rFonts w:ascii="Book Antiqua" w:hAnsi="Book Antiqua"/>
          <w:b/>
          <w:i/>
        </w:rPr>
      </w:pPr>
      <w:r w:rsidRPr="00E940C3">
        <w:rPr>
          <w:rFonts w:ascii="Book Antiqua" w:eastAsia="Book Antiqua" w:hAnsi="Book Antiqua" w:cs="Book Antiqua"/>
          <w:b/>
          <w:i/>
          <w:color w:val="000000"/>
        </w:rPr>
        <w:t>First</w:t>
      </w:r>
      <w:r w:rsidR="009A20D4" w:rsidRPr="00E940C3">
        <w:rPr>
          <w:rFonts w:ascii="Book Antiqua" w:eastAsia="Book Antiqua" w:hAnsi="Book Antiqua" w:cs="Book Antiqua"/>
          <w:b/>
          <w:i/>
          <w:color w:val="000000"/>
        </w:rPr>
        <w:t>-</w:t>
      </w:r>
      <w:r w:rsidRPr="00E940C3">
        <w:rPr>
          <w:rFonts w:ascii="Book Antiqua" w:eastAsia="Book Antiqua" w:hAnsi="Book Antiqua" w:cs="Book Antiqua"/>
          <w:b/>
          <w:i/>
          <w:color w:val="000000"/>
        </w:rPr>
        <w:t xml:space="preserve">line </w:t>
      </w:r>
      <w:r w:rsidR="00EB303C" w:rsidRPr="00E940C3">
        <w:rPr>
          <w:rFonts w:ascii="Book Antiqua" w:eastAsia="Book Antiqua" w:hAnsi="Book Antiqua" w:cs="Book Antiqua"/>
          <w:b/>
          <w:i/>
          <w:color w:val="000000"/>
        </w:rPr>
        <w:t xml:space="preserve">GnP </w:t>
      </w:r>
      <w:r w:rsidRPr="00E940C3">
        <w:rPr>
          <w:rFonts w:ascii="Book Antiqua" w:eastAsia="Book Antiqua" w:hAnsi="Book Antiqua" w:cs="Book Antiqua"/>
          <w:b/>
          <w:i/>
          <w:color w:val="000000"/>
        </w:rPr>
        <w:t>combination chemotherapy</w:t>
      </w:r>
    </w:p>
    <w:p w14:paraId="657C322F" w14:textId="13D94220" w:rsidR="00A77B3E" w:rsidRPr="00E940C3" w:rsidRDefault="00B70BAD" w:rsidP="00421B03">
      <w:pPr>
        <w:snapToGrid w:val="0"/>
        <w:spacing w:line="360" w:lineRule="auto"/>
        <w:jc w:val="both"/>
        <w:rPr>
          <w:rFonts w:ascii="Book Antiqua" w:hAnsi="Book Antiqua"/>
        </w:rPr>
      </w:pPr>
      <w:r w:rsidRPr="00E940C3">
        <w:rPr>
          <w:rFonts w:ascii="Book Antiqua" w:eastAsia="Book Antiqua" w:hAnsi="Book Antiqua" w:cs="Book Antiqua"/>
          <w:color w:val="000000"/>
        </w:rPr>
        <w:t>Studies evaluating the effect of GnP in the real-world setting are listed in chronological order</w:t>
      </w:r>
      <w:r w:rsidR="008630AE" w:rsidRPr="00E940C3">
        <w:rPr>
          <w:rFonts w:ascii="Book Antiqua" w:eastAsia="Book Antiqua" w:hAnsi="Book Antiqua" w:cs="Book Antiqua"/>
          <w:color w:val="000000"/>
        </w:rPr>
        <w:t xml:space="preserve"> in Table 1</w:t>
      </w:r>
      <w:r w:rsidRPr="00E940C3">
        <w:rPr>
          <w:rFonts w:ascii="Book Antiqua" w:eastAsia="Book Antiqua" w:hAnsi="Book Antiqua" w:cs="Book Antiqua"/>
          <w:color w:val="000000"/>
        </w:rPr>
        <w:t>. One study prospectively evaluated the efficacy of the regimen in younger (&lt;</w:t>
      </w:r>
      <w:r w:rsidR="006B7BEC"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70 years)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older (&gt;</w:t>
      </w:r>
      <w:r w:rsidR="00F529C7"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70 years) patients and found no significant between</w:t>
      </w:r>
      <w:r w:rsidR="00720889" w:rsidRPr="00E940C3">
        <w:rPr>
          <w:rFonts w:ascii="Book Antiqua" w:eastAsia="Book Antiqua" w:hAnsi="Book Antiqua" w:cs="Book Antiqua"/>
          <w:color w:val="000000"/>
        </w:rPr>
        <w:t>-</w:t>
      </w:r>
      <w:r w:rsidRPr="00E940C3">
        <w:rPr>
          <w:rFonts w:ascii="Book Antiqua" w:eastAsia="Book Antiqua" w:hAnsi="Book Antiqua" w:cs="Book Antiqua"/>
          <w:color w:val="000000"/>
        </w:rPr>
        <w:t>group</w:t>
      </w:r>
      <w:r w:rsidR="00720889" w:rsidRPr="00E940C3">
        <w:rPr>
          <w:rFonts w:ascii="Book Antiqua" w:eastAsia="Book Antiqua" w:hAnsi="Book Antiqua" w:cs="Book Antiqua"/>
          <w:color w:val="000000"/>
        </w:rPr>
        <w:t xml:space="preserve"> differences</w:t>
      </w:r>
      <w:r w:rsidRPr="00E940C3">
        <w:rPr>
          <w:rFonts w:ascii="Book Antiqua" w:eastAsia="Book Antiqua" w:hAnsi="Book Antiqua" w:cs="Book Antiqua"/>
          <w:color w:val="000000"/>
        </w:rPr>
        <w:t xml:space="preserve"> </w:t>
      </w:r>
      <w:r w:rsidR="00DF38B8" w:rsidRPr="00E940C3">
        <w:rPr>
          <w:rFonts w:ascii="Book Antiqua" w:eastAsia="Book Antiqua" w:hAnsi="Book Antiqua" w:cs="Book Antiqua"/>
          <w:color w:val="000000"/>
        </w:rPr>
        <w:t>of either</w:t>
      </w:r>
      <w:r w:rsidRPr="00E940C3">
        <w:rPr>
          <w:rFonts w:ascii="Book Antiqua" w:eastAsia="Book Antiqua" w:hAnsi="Book Antiqua" w:cs="Book Antiqua"/>
          <w:color w:val="000000"/>
        </w:rPr>
        <w:t xml:space="preserve"> mOS (10.6 mo and 10.2 mo) </w:t>
      </w:r>
      <w:r w:rsidR="00DF38B8" w:rsidRPr="00E940C3">
        <w:rPr>
          <w:rFonts w:ascii="Book Antiqua" w:eastAsia="Book Antiqua" w:hAnsi="Book Antiqua" w:cs="Book Antiqua"/>
          <w:color w:val="000000"/>
        </w:rPr>
        <w:t>or</w:t>
      </w:r>
      <w:r w:rsidRPr="00E940C3">
        <w:rPr>
          <w:rFonts w:ascii="Book Antiqua" w:eastAsia="Book Antiqua" w:hAnsi="Book Antiqua" w:cs="Book Antiqua"/>
          <w:color w:val="000000"/>
        </w:rPr>
        <w:t xml:space="preserve"> adverse events</w:t>
      </w:r>
      <w:r w:rsidRPr="00E940C3">
        <w:rPr>
          <w:rFonts w:ascii="Book Antiqua" w:eastAsia="Book Antiqua" w:hAnsi="Book Antiqua" w:cs="Book Antiqua"/>
          <w:color w:val="000000"/>
          <w:vertAlign w:val="superscript"/>
        </w:rPr>
        <w:t>[19]</w:t>
      </w:r>
      <w:r w:rsidRPr="00E940C3">
        <w:rPr>
          <w:rFonts w:ascii="Book Antiqua" w:eastAsia="Book Antiqua" w:hAnsi="Book Antiqua" w:cs="Book Antiqua"/>
          <w:color w:val="000000"/>
        </w:rPr>
        <w:t xml:space="preserve">. </w:t>
      </w:r>
      <w:r w:rsidR="00A25CB3">
        <w:rPr>
          <w:rFonts w:ascii="Book Antiqua" w:eastAsia="Book Antiqua" w:hAnsi="Book Antiqua" w:cs="Book Antiqua"/>
          <w:color w:val="000000"/>
        </w:rPr>
        <w:t>R</w:t>
      </w:r>
      <w:r w:rsidRPr="00E940C3">
        <w:rPr>
          <w:rFonts w:ascii="Book Antiqua" w:eastAsia="Book Antiqua" w:hAnsi="Book Antiqua" w:cs="Book Antiqua"/>
          <w:color w:val="000000"/>
        </w:rPr>
        <w:t xml:space="preserve">eal-world survival </w:t>
      </w:r>
      <w:r w:rsidR="00A25CB3">
        <w:rPr>
          <w:rFonts w:ascii="Book Antiqua" w:eastAsia="Book Antiqua" w:hAnsi="Book Antiqua" w:cs="Book Antiqua"/>
          <w:color w:val="000000"/>
        </w:rPr>
        <w:t>outcomes were</w:t>
      </w:r>
      <w:r w:rsidRPr="00E940C3">
        <w:rPr>
          <w:rFonts w:ascii="Book Antiqua" w:eastAsia="Book Antiqua" w:hAnsi="Book Antiqua" w:cs="Book Antiqua"/>
          <w:color w:val="000000"/>
        </w:rPr>
        <w:t xml:space="preserve"> superior to those observed in the phase</w:t>
      </w:r>
      <w:r w:rsidR="008C19B4">
        <w:rPr>
          <w:rFonts w:ascii="Book Antiqua" w:eastAsia="Book Antiqua" w:hAnsi="Book Antiqua" w:cs="Book Antiqua"/>
          <w:color w:val="000000"/>
        </w:rPr>
        <w:t xml:space="preserve"> III</w:t>
      </w:r>
      <w:r w:rsidRPr="00E940C3">
        <w:rPr>
          <w:rFonts w:ascii="Book Antiqua" w:eastAsia="Book Antiqua" w:hAnsi="Book Antiqua" w:cs="Book Antiqua"/>
          <w:color w:val="000000"/>
        </w:rPr>
        <w:t xml:space="preserve"> MPACT trial</w:t>
      </w:r>
      <w:r w:rsidRPr="00E940C3">
        <w:rPr>
          <w:rFonts w:ascii="Book Antiqua" w:eastAsia="Book Antiqua" w:hAnsi="Book Antiqua" w:cs="Book Antiqua"/>
          <w:color w:val="000000"/>
          <w:vertAlign w:val="superscript"/>
        </w:rPr>
        <w:t>[12]</w:t>
      </w:r>
      <w:r w:rsidRPr="00E940C3">
        <w:rPr>
          <w:rFonts w:ascii="Book Antiqua" w:eastAsia="Book Antiqua" w:hAnsi="Book Antiqua" w:cs="Book Antiqua"/>
          <w:color w:val="000000"/>
        </w:rPr>
        <w:t xml:space="preserve">. The authors suggested that </w:t>
      </w:r>
      <w:r w:rsidR="007F0038" w:rsidRPr="00E940C3">
        <w:rPr>
          <w:rFonts w:ascii="Book Antiqua" w:eastAsia="Book Antiqua" w:hAnsi="Book Antiqua" w:cs="Book Antiqua"/>
          <w:color w:val="000000"/>
        </w:rPr>
        <w:t>the difference</w:t>
      </w:r>
      <w:r w:rsidRPr="00E940C3">
        <w:rPr>
          <w:rFonts w:ascii="Book Antiqua" w:eastAsia="Book Antiqua" w:hAnsi="Book Antiqua" w:cs="Book Antiqua"/>
          <w:color w:val="000000"/>
        </w:rPr>
        <w:t xml:space="preserve"> could be explained by a larger fraction of patients proceeding to second</w:t>
      </w:r>
      <w:r w:rsidR="0092117F" w:rsidRPr="00E940C3">
        <w:rPr>
          <w:rFonts w:ascii="Book Antiqua" w:eastAsia="Book Antiqua" w:hAnsi="Book Antiqua" w:cs="Book Antiqua"/>
          <w:color w:val="000000"/>
        </w:rPr>
        <w:t>-</w:t>
      </w:r>
      <w:r w:rsidRPr="00E940C3">
        <w:rPr>
          <w:rFonts w:ascii="Book Antiqua" w:eastAsia="Book Antiqua" w:hAnsi="Book Antiqua" w:cs="Book Antiqua"/>
          <w:color w:val="000000"/>
        </w:rPr>
        <w:t>line treatment</w:t>
      </w:r>
      <w:r w:rsidR="0092117F"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47.4</w:t>
      </w:r>
      <w:r w:rsidR="0075090F"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-56.2% in the real-world studies compared </w:t>
      </w:r>
      <w:r w:rsidR="00017DA9" w:rsidRPr="00E940C3">
        <w:rPr>
          <w:rFonts w:ascii="Book Antiqua" w:eastAsia="Book Antiqua" w:hAnsi="Book Antiqua" w:cs="Book Antiqua"/>
          <w:color w:val="000000"/>
        </w:rPr>
        <w:t xml:space="preserve">with </w:t>
      </w:r>
      <w:r w:rsidRPr="00E940C3">
        <w:rPr>
          <w:rFonts w:ascii="Book Antiqua" w:eastAsia="Book Antiqua" w:hAnsi="Book Antiqua" w:cs="Book Antiqua"/>
          <w:color w:val="000000"/>
        </w:rPr>
        <w:t>38% in the MPACT study</w:t>
      </w:r>
      <w:r w:rsidRPr="00E940C3">
        <w:rPr>
          <w:rFonts w:ascii="Book Antiqua" w:eastAsia="Book Antiqua" w:hAnsi="Book Antiqua" w:cs="Book Antiqua"/>
          <w:color w:val="000000"/>
          <w:vertAlign w:val="superscript"/>
        </w:rPr>
        <w:t>[12]</w:t>
      </w:r>
      <w:r w:rsidRPr="00E940C3">
        <w:rPr>
          <w:rFonts w:ascii="Book Antiqua" w:eastAsia="Book Antiqua" w:hAnsi="Book Antiqua" w:cs="Book Antiqua"/>
          <w:color w:val="000000"/>
        </w:rPr>
        <w:t xml:space="preserve">. It is also noteworthy that the proportion of patients with </w:t>
      </w:r>
      <w:r w:rsidR="00A25CB3">
        <w:rPr>
          <w:rFonts w:ascii="Book Antiqua" w:eastAsia="Book Antiqua" w:hAnsi="Book Antiqua" w:cs="Book Antiqua"/>
          <w:color w:val="000000"/>
        </w:rPr>
        <w:t>performance status (</w:t>
      </w:r>
      <w:r w:rsidRPr="00E940C3">
        <w:rPr>
          <w:rFonts w:ascii="Book Antiqua" w:eastAsia="Book Antiqua" w:hAnsi="Book Antiqua" w:cs="Book Antiqua"/>
          <w:color w:val="000000"/>
        </w:rPr>
        <w:t>PS</w:t>
      </w:r>
      <w:r w:rsidR="00A25CB3">
        <w:rPr>
          <w:rFonts w:ascii="Book Antiqua" w:eastAsia="Book Antiqua" w:hAnsi="Book Antiqua" w:cs="Book Antiqua"/>
          <w:color w:val="000000"/>
        </w:rPr>
        <w:t>)</w:t>
      </w:r>
      <w:r w:rsidRPr="00E940C3">
        <w:rPr>
          <w:rFonts w:ascii="Book Antiqua" w:eastAsia="Book Antiqua" w:hAnsi="Book Antiqua" w:cs="Book Antiqua"/>
          <w:color w:val="000000"/>
        </w:rPr>
        <w:t xml:space="preserve"> 0 or 1 or corresponding Karnofsky score was somewhat higher than in the MPACT trial. Another study retrospectively evaluated the benefit of GnP in advanced PDAC and found a</w:t>
      </w:r>
      <w:r w:rsidR="002F5749" w:rsidRPr="00E940C3">
        <w:rPr>
          <w:rFonts w:ascii="Book Antiqua" w:eastAsia="Book Antiqua" w:hAnsi="Book Antiqua" w:cs="Book Antiqua"/>
          <w:color w:val="000000"/>
        </w:rPr>
        <w:t>n</w:t>
      </w:r>
      <w:r w:rsidRPr="00E940C3">
        <w:rPr>
          <w:rFonts w:ascii="Book Antiqua" w:eastAsia="Book Antiqua" w:hAnsi="Book Antiqua" w:cs="Book Antiqua"/>
          <w:color w:val="000000"/>
        </w:rPr>
        <w:t xml:space="preserve"> mOS of 10.9 mo in the </w:t>
      </w:r>
      <w:r w:rsidR="002F5749" w:rsidRPr="00E940C3">
        <w:rPr>
          <w:rFonts w:ascii="Book Antiqua" w:eastAsia="Book Antiqua" w:hAnsi="Book Antiqua" w:cs="Book Antiqua"/>
          <w:color w:val="000000"/>
        </w:rPr>
        <w:t>entire</w:t>
      </w:r>
      <w:r w:rsidRPr="00E940C3">
        <w:rPr>
          <w:rFonts w:ascii="Book Antiqua" w:eastAsia="Book Antiqua" w:hAnsi="Book Antiqua" w:cs="Book Antiqua"/>
          <w:color w:val="000000"/>
        </w:rPr>
        <w:t xml:space="preserve"> cohort, and a</w:t>
      </w:r>
      <w:r w:rsidR="002F5749" w:rsidRPr="00E940C3">
        <w:rPr>
          <w:rFonts w:ascii="Book Antiqua" w:eastAsia="Book Antiqua" w:hAnsi="Book Antiqua" w:cs="Book Antiqua"/>
          <w:color w:val="000000"/>
        </w:rPr>
        <w:t>n</w:t>
      </w:r>
      <w:r w:rsidRPr="00E940C3">
        <w:rPr>
          <w:rFonts w:ascii="Book Antiqua" w:eastAsia="Book Antiqua" w:hAnsi="Book Antiqua" w:cs="Book Antiqua"/>
          <w:color w:val="000000"/>
        </w:rPr>
        <w:t xml:space="preserve"> mOS of 17.1 mo in the locally advanced group</w:t>
      </w:r>
      <w:r w:rsidRPr="00E940C3">
        <w:rPr>
          <w:rFonts w:ascii="Book Antiqua" w:eastAsia="Book Antiqua" w:hAnsi="Book Antiqua" w:cs="Book Antiqua"/>
          <w:color w:val="000000"/>
          <w:vertAlign w:val="superscript"/>
        </w:rPr>
        <w:t>[20]</w:t>
      </w:r>
      <w:r w:rsidRPr="00E940C3">
        <w:rPr>
          <w:rFonts w:ascii="Book Antiqua" w:eastAsia="Book Antiqua" w:hAnsi="Book Antiqua" w:cs="Book Antiqua"/>
          <w:color w:val="000000"/>
        </w:rPr>
        <w:t xml:space="preserve">. </w:t>
      </w:r>
      <w:r w:rsidR="00E940C3" w:rsidRPr="00E940C3">
        <w:rPr>
          <w:rFonts w:ascii="Book Antiqua" w:eastAsia="Book Antiqua" w:hAnsi="Book Antiqua" w:cs="Book Antiqua"/>
          <w:color w:val="000000"/>
        </w:rPr>
        <w:t>Hematological</w:t>
      </w:r>
      <w:r w:rsidRPr="00E940C3">
        <w:rPr>
          <w:rFonts w:ascii="Book Antiqua" w:eastAsia="Book Antiqua" w:hAnsi="Book Antiqua" w:cs="Book Antiqua"/>
          <w:color w:val="000000"/>
        </w:rPr>
        <w:t xml:space="preserve"> toxicity was less frequent than in the MPACT</w:t>
      </w:r>
      <w:r w:rsidR="004D253C"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study. In the same cohort, </w:t>
      </w:r>
      <w:r w:rsidR="00376DD0" w:rsidRPr="00E940C3">
        <w:rPr>
          <w:rFonts w:ascii="Book Antiqua" w:eastAsia="Book Antiqua" w:hAnsi="Book Antiqua" w:cs="Book Antiqua"/>
          <w:color w:val="000000"/>
        </w:rPr>
        <w:t xml:space="preserve">multivariate analysis found that </w:t>
      </w:r>
      <w:r w:rsidRPr="00E940C3">
        <w:rPr>
          <w:rFonts w:ascii="Book Antiqua" w:eastAsia="Book Antiqua" w:hAnsi="Book Antiqua" w:cs="Book Antiqua"/>
          <w:color w:val="000000"/>
        </w:rPr>
        <w:t>low albumin (&lt;</w:t>
      </w:r>
      <w:r w:rsidR="009B1489"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36 g/L) and age (&lt;</w:t>
      </w:r>
      <w:r w:rsidR="009B1489"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65) were significant predictors of worse survival</w:t>
      </w:r>
      <w:r w:rsidRPr="00E940C3">
        <w:rPr>
          <w:rFonts w:ascii="Book Antiqua" w:eastAsia="Book Antiqua" w:hAnsi="Book Antiqua" w:cs="Book Antiqua"/>
          <w:color w:val="000000"/>
          <w:vertAlign w:val="superscript"/>
        </w:rPr>
        <w:t>[21]</w:t>
      </w:r>
      <w:r w:rsidRPr="00E940C3">
        <w:rPr>
          <w:rFonts w:ascii="Book Antiqua" w:eastAsia="Book Antiqua" w:hAnsi="Book Antiqua" w:cs="Book Antiqua"/>
          <w:color w:val="000000"/>
        </w:rPr>
        <w:t>.</w:t>
      </w:r>
    </w:p>
    <w:p w14:paraId="689E1C79" w14:textId="04510205" w:rsidR="00A77B3E" w:rsidRPr="00E940C3" w:rsidRDefault="00B70BAD" w:rsidP="00265AC6">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An additional study found comparable survival outcomes with the use of non-cremophore-based paclitaxel and gemcitabine</w:t>
      </w:r>
      <w:r w:rsidR="001D5CF8"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t>
      </w:r>
      <w:r w:rsidR="001D5CF8" w:rsidRPr="00E940C3">
        <w:rPr>
          <w:rFonts w:ascii="Book Antiqua" w:eastAsia="Book Antiqua" w:hAnsi="Book Antiqua" w:cs="Book Antiqua"/>
          <w:color w:val="000000"/>
        </w:rPr>
        <w:t>with</w:t>
      </w:r>
      <w:r w:rsidRPr="00E940C3">
        <w:rPr>
          <w:rFonts w:ascii="Book Antiqua" w:eastAsia="Book Antiqua" w:hAnsi="Book Antiqua" w:cs="Book Antiqua"/>
          <w:color w:val="000000"/>
        </w:rPr>
        <w:t xml:space="preserve"> </w:t>
      </w:r>
      <w:r w:rsidR="001D5CF8" w:rsidRPr="00E940C3">
        <w:rPr>
          <w:rFonts w:ascii="Book Antiqua" w:eastAsia="Book Antiqua" w:hAnsi="Book Antiqua" w:cs="Book Antiqua"/>
          <w:color w:val="000000"/>
        </w:rPr>
        <w:t xml:space="preserve">an </w:t>
      </w:r>
      <w:r w:rsidRPr="00E940C3">
        <w:rPr>
          <w:rFonts w:ascii="Book Antiqua" w:eastAsia="Book Antiqua" w:hAnsi="Book Antiqua" w:cs="Book Antiqua"/>
          <w:color w:val="000000"/>
        </w:rPr>
        <w:t xml:space="preserve">mOS </w:t>
      </w:r>
      <w:r w:rsidR="001D5CF8" w:rsidRPr="00E940C3">
        <w:rPr>
          <w:rFonts w:ascii="Book Antiqua" w:eastAsia="Book Antiqua" w:hAnsi="Book Antiqua" w:cs="Book Antiqua"/>
          <w:color w:val="000000"/>
        </w:rPr>
        <w:t xml:space="preserve">of 11.6 mo </w:t>
      </w:r>
      <w:r w:rsidRPr="00E940C3">
        <w:rPr>
          <w:rFonts w:ascii="Book Antiqua" w:eastAsia="Book Antiqua" w:hAnsi="Book Antiqua" w:cs="Book Antiqua"/>
          <w:color w:val="000000"/>
        </w:rPr>
        <w:t xml:space="preserve">and </w:t>
      </w:r>
      <w:r w:rsidR="001D5CF8" w:rsidRPr="00E940C3">
        <w:rPr>
          <w:rFonts w:ascii="Book Antiqua" w:eastAsia="Book Antiqua" w:hAnsi="Book Antiqua" w:cs="Book Antiqua"/>
          <w:color w:val="000000"/>
        </w:rPr>
        <w:t>a</w:t>
      </w:r>
      <w:r w:rsidR="00211D67" w:rsidRPr="00E940C3">
        <w:rPr>
          <w:rFonts w:ascii="Book Antiqua" w:eastAsia="Book Antiqua" w:hAnsi="Book Antiqua" w:cs="Book Antiqua"/>
          <w:color w:val="000000"/>
        </w:rPr>
        <w:t>n</w:t>
      </w:r>
      <w:r w:rsidR="001D5CF8"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mPFS </w:t>
      </w:r>
      <w:r w:rsidR="00920D88" w:rsidRPr="00E940C3">
        <w:rPr>
          <w:rFonts w:ascii="Book Antiqua" w:eastAsia="Book Antiqua" w:hAnsi="Book Antiqua" w:cs="Book Antiqua"/>
          <w:color w:val="000000"/>
        </w:rPr>
        <w:t>of</w:t>
      </w:r>
      <w:r w:rsidRPr="00E940C3">
        <w:rPr>
          <w:rFonts w:ascii="Book Antiqua" w:eastAsia="Book Antiqua" w:hAnsi="Book Antiqua" w:cs="Book Antiqua"/>
          <w:color w:val="000000"/>
        </w:rPr>
        <w:t xml:space="preserve"> 5.6 mo</w:t>
      </w:r>
      <w:r w:rsidRPr="00E940C3">
        <w:rPr>
          <w:rFonts w:ascii="Book Antiqua" w:eastAsia="Book Antiqua" w:hAnsi="Book Antiqua" w:cs="Book Antiqua"/>
          <w:color w:val="000000"/>
          <w:vertAlign w:val="superscript"/>
        </w:rPr>
        <w:t>[22]</w:t>
      </w:r>
      <w:r w:rsidRPr="00E940C3">
        <w:rPr>
          <w:rFonts w:ascii="Book Antiqua" w:eastAsia="Book Antiqua" w:hAnsi="Book Antiqua" w:cs="Book Antiqua"/>
          <w:color w:val="000000"/>
        </w:rPr>
        <w:t xml:space="preserve">. In this retrospective cohort, the majority of patients had metastatic disease (83%) and PS 1 (80%). Grade III-IV toxicity was reported in 36% of patients, with </w:t>
      </w:r>
      <w:r w:rsidR="00E940C3" w:rsidRPr="00E940C3">
        <w:rPr>
          <w:rFonts w:ascii="Book Antiqua" w:eastAsia="Book Antiqua" w:hAnsi="Book Antiqua" w:cs="Book Antiqua"/>
          <w:color w:val="000000"/>
        </w:rPr>
        <w:t>hematological</w:t>
      </w:r>
      <w:r w:rsidRPr="00E940C3">
        <w:rPr>
          <w:rFonts w:ascii="Book Antiqua" w:eastAsia="Book Antiqua" w:hAnsi="Book Antiqua" w:cs="Book Antiqua"/>
          <w:color w:val="000000"/>
        </w:rPr>
        <w:t xml:space="preserve"> toxicity </w:t>
      </w:r>
      <w:r w:rsidR="00506436" w:rsidRPr="00E940C3">
        <w:rPr>
          <w:rFonts w:ascii="Book Antiqua" w:eastAsia="Book Antiqua" w:hAnsi="Book Antiqua" w:cs="Book Antiqua"/>
          <w:color w:val="000000"/>
        </w:rPr>
        <w:t xml:space="preserve">as </w:t>
      </w:r>
      <w:r w:rsidRPr="00E940C3">
        <w:rPr>
          <w:rFonts w:ascii="Book Antiqua" w:eastAsia="Book Antiqua" w:hAnsi="Book Antiqua" w:cs="Book Antiqua"/>
          <w:color w:val="000000"/>
        </w:rPr>
        <w:t>the most frequent type of adverse event. In another retrospective cohort analysis where all patients had metastatic disease, mOS was 8.4 mo</w:t>
      </w:r>
      <w:r w:rsidRPr="00E940C3">
        <w:rPr>
          <w:rFonts w:ascii="Book Antiqua" w:eastAsia="Book Antiqua" w:hAnsi="Book Antiqua" w:cs="Book Antiqua"/>
          <w:color w:val="000000"/>
          <w:vertAlign w:val="superscript"/>
        </w:rPr>
        <w:t>[23]</w:t>
      </w:r>
      <w:r w:rsidRPr="00E940C3">
        <w:rPr>
          <w:rFonts w:ascii="Book Antiqua" w:eastAsia="Book Antiqua" w:hAnsi="Book Antiqua" w:cs="Book Antiqua"/>
          <w:color w:val="000000"/>
        </w:rPr>
        <w:t xml:space="preserve">. Most patients were in PS 1 (66%) at the time of treatment initiation. Similar frequencies of </w:t>
      </w:r>
      <w:r w:rsidR="00E940C3" w:rsidRPr="00E940C3">
        <w:rPr>
          <w:rFonts w:ascii="Book Antiqua" w:eastAsia="Book Antiqua" w:hAnsi="Book Antiqua" w:cs="Book Antiqua"/>
          <w:color w:val="000000"/>
        </w:rPr>
        <w:t>hematological</w:t>
      </w:r>
      <w:r w:rsidRPr="00E940C3">
        <w:rPr>
          <w:rFonts w:ascii="Book Antiqua" w:eastAsia="Book Antiqua" w:hAnsi="Book Antiqua" w:cs="Book Antiqua"/>
          <w:color w:val="000000"/>
        </w:rPr>
        <w:t xml:space="preserve"> toxicity </w:t>
      </w:r>
      <w:r w:rsidR="00F67454" w:rsidRPr="00E940C3">
        <w:rPr>
          <w:rFonts w:ascii="Book Antiqua" w:eastAsia="Book Antiqua" w:hAnsi="Book Antiqua" w:cs="Book Antiqua"/>
          <w:color w:val="000000"/>
        </w:rPr>
        <w:t>were</w:t>
      </w:r>
      <w:r w:rsidRPr="00E940C3">
        <w:rPr>
          <w:rFonts w:ascii="Book Antiqua" w:eastAsia="Book Antiqua" w:hAnsi="Book Antiqua" w:cs="Book Antiqua"/>
          <w:color w:val="000000"/>
        </w:rPr>
        <w:t xml:space="preserve"> seen</w:t>
      </w:r>
      <w:r w:rsidR="00F67454"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with grade III-IV neutropenia being the most frequently reported adverse event (35% of patients).</w:t>
      </w:r>
    </w:p>
    <w:p w14:paraId="14B74146" w14:textId="77777777" w:rsidR="00A77B3E" w:rsidRPr="00E940C3" w:rsidRDefault="00A77B3E" w:rsidP="00265AC6">
      <w:pPr>
        <w:snapToGrid w:val="0"/>
        <w:spacing w:line="360" w:lineRule="auto"/>
        <w:jc w:val="both"/>
        <w:rPr>
          <w:rFonts w:ascii="Book Antiqua" w:hAnsi="Book Antiqua"/>
        </w:rPr>
      </w:pPr>
    </w:p>
    <w:p w14:paraId="554FE2CF" w14:textId="6F5BB921" w:rsidR="00A77B3E" w:rsidRPr="00E940C3" w:rsidRDefault="00B70BAD" w:rsidP="00265AC6">
      <w:pPr>
        <w:snapToGrid w:val="0"/>
        <w:spacing w:line="360" w:lineRule="auto"/>
        <w:jc w:val="both"/>
        <w:rPr>
          <w:rFonts w:ascii="Book Antiqua" w:hAnsi="Book Antiqua"/>
          <w:i/>
        </w:rPr>
      </w:pPr>
      <w:r w:rsidRPr="00E940C3">
        <w:rPr>
          <w:rFonts w:ascii="Book Antiqua" w:eastAsia="Book Antiqua" w:hAnsi="Book Antiqua" w:cs="Book Antiqua"/>
          <w:b/>
          <w:bCs/>
          <w:i/>
          <w:color w:val="000000"/>
          <w:shd w:val="clear" w:color="auto" w:fill="FFFFFF"/>
        </w:rPr>
        <w:t>First</w:t>
      </w:r>
      <w:r w:rsidR="008C19B4">
        <w:rPr>
          <w:rFonts w:ascii="Book Antiqua" w:eastAsia="Book Antiqua" w:hAnsi="Book Antiqua" w:cs="Book Antiqua"/>
          <w:b/>
          <w:bCs/>
          <w:i/>
          <w:color w:val="000000"/>
          <w:shd w:val="clear" w:color="auto" w:fill="FFFFFF"/>
        </w:rPr>
        <w:t>-</w:t>
      </w:r>
      <w:r w:rsidRPr="00E940C3">
        <w:rPr>
          <w:rFonts w:ascii="Book Antiqua" w:eastAsia="Book Antiqua" w:hAnsi="Book Antiqua" w:cs="Book Antiqua"/>
          <w:b/>
          <w:bCs/>
          <w:i/>
          <w:color w:val="000000"/>
          <w:shd w:val="clear" w:color="auto" w:fill="FFFFFF"/>
        </w:rPr>
        <w:t xml:space="preserve">line </w:t>
      </w:r>
      <w:r w:rsidR="002C571A" w:rsidRPr="00E940C3">
        <w:rPr>
          <w:rFonts w:ascii="Book Antiqua" w:eastAsia="Book Antiqua" w:hAnsi="Book Antiqua" w:cs="Book Antiqua"/>
          <w:b/>
          <w:bCs/>
          <w:i/>
          <w:color w:val="000000"/>
          <w:shd w:val="clear" w:color="auto" w:fill="FFFFFF"/>
        </w:rPr>
        <w:t>FFX</w:t>
      </w:r>
      <w:r w:rsidRPr="00E940C3">
        <w:rPr>
          <w:rFonts w:ascii="Book Antiqua" w:eastAsia="Book Antiqua" w:hAnsi="Book Antiqua" w:cs="Book Antiqua"/>
          <w:b/>
          <w:bCs/>
          <w:i/>
          <w:color w:val="000000"/>
          <w:shd w:val="clear" w:color="auto" w:fill="FFFFFF"/>
        </w:rPr>
        <w:t xml:space="preserve"> combination chemotherapy</w:t>
      </w:r>
    </w:p>
    <w:p w14:paraId="1356E787" w14:textId="60766449" w:rsidR="00A77B3E" w:rsidRPr="00E940C3" w:rsidRDefault="00B70BAD" w:rsidP="00421B03">
      <w:pPr>
        <w:snapToGrid w:val="0"/>
        <w:spacing w:line="360" w:lineRule="auto"/>
        <w:jc w:val="both"/>
        <w:rPr>
          <w:rFonts w:ascii="Book Antiqua" w:hAnsi="Book Antiqua"/>
        </w:rPr>
      </w:pPr>
      <w:r w:rsidRPr="00E940C3">
        <w:rPr>
          <w:rFonts w:ascii="Book Antiqua" w:eastAsia="Book Antiqua" w:hAnsi="Book Antiqua" w:cs="Book Antiqua"/>
          <w:color w:val="000000"/>
        </w:rPr>
        <w:lastRenderedPageBreak/>
        <w:t>Studies evaluating the effect</w:t>
      </w:r>
      <w:r w:rsidR="003D4926" w:rsidRPr="00E940C3">
        <w:rPr>
          <w:rFonts w:ascii="Book Antiqua" w:eastAsia="Book Antiqua" w:hAnsi="Book Antiqua" w:cs="Book Antiqua"/>
          <w:color w:val="000000"/>
        </w:rPr>
        <w:t>iveness</w:t>
      </w:r>
      <w:r w:rsidRPr="00E940C3">
        <w:rPr>
          <w:rFonts w:ascii="Book Antiqua" w:eastAsia="Book Antiqua" w:hAnsi="Book Antiqua" w:cs="Book Antiqua"/>
          <w:color w:val="000000"/>
        </w:rPr>
        <w:t xml:space="preserve"> of FFX in the real-world setting are listed in chronological order</w:t>
      </w:r>
      <w:r w:rsidR="003D4926" w:rsidRPr="00E940C3">
        <w:rPr>
          <w:rFonts w:ascii="Book Antiqua" w:eastAsia="Book Antiqua" w:hAnsi="Book Antiqua" w:cs="Book Antiqua"/>
          <w:color w:val="000000"/>
        </w:rPr>
        <w:t xml:space="preserve"> in Table 2</w:t>
      </w:r>
      <w:r w:rsidRPr="00E940C3">
        <w:rPr>
          <w:rFonts w:ascii="Book Antiqua" w:eastAsia="Book Antiqua" w:hAnsi="Book Antiqua" w:cs="Book Antiqua"/>
          <w:color w:val="000000"/>
        </w:rPr>
        <w:t xml:space="preserve">. One study evaluated FFX treatment in a retrospective cohort and reported </w:t>
      </w:r>
      <w:r w:rsidR="00970578" w:rsidRPr="00E940C3">
        <w:rPr>
          <w:rFonts w:ascii="Book Antiqua" w:eastAsia="Book Antiqua" w:hAnsi="Book Antiqua" w:cs="Book Antiqua"/>
          <w:color w:val="000000"/>
        </w:rPr>
        <w:t xml:space="preserve">an </w:t>
      </w:r>
      <w:r w:rsidR="00D81233" w:rsidRPr="00E940C3">
        <w:rPr>
          <w:rFonts w:ascii="Book Antiqua" w:eastAsia="Book Antiqua" w:hAnsi="Book Antiqua" w:cs="Book Antiqua"/>
          <w:color w:val="000000"/>
        </w:rPr>
        <w:t xml:space="preserve">mPFS </w:t>
      </w:r>
      <w:r w:rsidR="00970578" w:rsidRPr="00E940C3">
        <w:rPr>
          <w:rFonts w:ascii="Book Antiqua" w:eastAsia="Book Antiqua" w:hAnsi="Book Antiqua" w:cs="Book Antiqua"/>
          <w:color w:val="000000"/>
        </w:rPr>
        <w:t xml:space="preserve">of 5.6 mo </w:t>
      </w:r>
      <w:r w:rsidRPr="00E940C3">
        <w:rPr>
          <w:rFonts w:ascii="Book Antiqua" w:eastAsia="Book Antiqua" w:hAnsi="Book Antiqua" w:cs="Book Antiqua"/>
          <w:color w:val="000000"/>
        </w:rPr>
        <w:t xml:space="preserve">and </w:t>
      </w:r>
      <w:r w:rsidR="00970578" w:rsidRPr="00E940C3">
        <w:rPr>
          <w:rFonts w:ascii="Book Antiqua" w:eastAsia="Book Antiqua" w:hAnsi="Book Antiqua" w:cs="Book Antiqua"/>
          <w:color w:val="000000"/>
        </w:rPr>
        <w:t xml:space="preserve">an mOS of </w:t>
      </w:r>
      <w:r w:rsidRPr="00E940C3">
        <w:rPr>
          <w:rFonts w:ascii="Book Antiqua" w:eastAsia="Book Antiqua" w:hAnsi="Book Antiqua" w:cs="Book Antiqua"/>
          <w:color w:val="000000"/>
        </w:rPr>
        <w:t>10.1 mo</w:t>
      </w:r>
      <w:r w:rsidRPr="00E940C3">
        <w:rPr>
          <w:rFonts w:ascii="Book Antiqua" w:eastAsia="Book Antiqua" w:hAnsi="Book Antiqua" w:cs="Book Antiqua"/>
          <w:color w:val="000000"/>
          <w:vertAlign w:val="superscript"/>
        </w:rPr>
        <w:t>[24]</w:t>
      </w:r>
      <w:r w:rsidRPr="00E940C3">
        <w:rPr>
          <w:rFonts w:ascii="Book Antiqua" w:eastAsia="Book Antiqua" w:hAnsi="Book Antiqua" w:cs="Book Antiqua"/>
          <w:color w:val="000000"/>
        </w:rPr>
        <w:t>. The first 18 consecutive patients received full</w:t>
      </w:r>
      <w:r w:rsidR="00E8088C"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dose FFX </w:t>
      </w:r>
      <w:r w:rsidR="00E8088C" w:rsidRPr="00E940C3">
        <w:rPr>
          <w:rFonts w:ascii="Book Antiqua" w:eastAsia="Book Antiqua" w:hAnsi="Book Antiqua" w:cs="Book Antiqua"/>
          <w:color w:val="000000"/>
        </w:rPr>
        <w:t>and</w:t>
      </w:r>
      <w:r w:rsidRPr="00E940C3">
        <w:rPr>
          <w:rFonts w:ascii="Book Antiqua" w:eastAsia="Book Antiqua" w:hAnsi="Book Antiqua" w:cs="Book Antiqua"/>
          <w:color w:val="000000"/>
        </w:rPr>
        <w:t xml:space="preserve"> the following 32 cases received dose</w:t>
      </w:r>
      <w:r w:rsidR="00E8088C" w:rsidRPr="00E940C3">
        <w:rPr>
          <w:rFonts w:ascii="Book Antiqua" w:eastAsia="Book Antiqua" w:hAnsi="Book Antiqua" w:cs="Book Antiqua"/>
          <w:color w:val="000000"/>
        </w:rPr>
        <w:t>-</w:t>
      </w:r>
      <w:r w:rsidRPr="00E940C3">
        <w:rPr>
          <w:rFonts w:ascii="Book Antiqua" w:eastAsia="Book Antiqua" w:hAnsi="Book Antiqua" w:cs="Book Antiqua"/>
          <w:color w:val="000000"/>
        </w:rPr>
        <w:t>reduced modified FFX (mFFX)</w:t>
      </w:r>
      <w:r w:rsidR="00E8088C"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resulting in significantly lower toxicity </w:t>
      </w:r>
      <w:r w:rsidR="001E13FA" w:rsidRPr="00E940C3">
        <w:rPr>
          <w:rFonts w:ascii="Book Antiqua" w:eastAsia="Book Antiqua" w:hAnsi="Book Antiqua" w:cs="Book Antiqua"/>
          <w:color w:val="000000"/>
        </w:rPr>
        <w:t>with</w:t>
      </w:r>
      <w:r w:rsidRPr="00E940C3">
        <w:rPr>
          <w:rFonts w:ascii="Book Antiqua" w:eastAsia="Book Antiqua" w:hAnsi="Book Antiqua" w:cs="Book Antiqua"/>
          <w:color w:val="000000"/>
        </w:rPr>
        <w:t xml:space="preserve"> fewer </w:t>
      </w:r>
      <w:r w:rsidR="00E940C3" w:rsidRPr="00E940C3">
        <w:rPr>
          <w:rFonts w:ascii="Book Antiqua" w:eastAsia="Book Antiqua" w:hAnsi="Book Antiqua" w:cs="Book Antiqua"/>
          <w:color w:val="000000"/>
        </w:rPr>
        <w:t>hematological</w:t>
      </w:r>
      <w:r w:rsidRPr="00E940C3">
        <w:rPr>
          <w:rFonts w:ascii="Book Antiqua" w:eastAsia="Book Antiqua" w:hAnsi="Book Antiqua" w:cs="Book Antiqua"/>
          <w:color w:val="000000"/>
        </w:rPr>
        <w:t xml:space="preserve"> and non-</w:t>
      </w:r>
      <w:r w:rsidR="00E940C3" w:rsidRPr="00E940C3">
        <w:rPr>
          <w:rFonts w:ascii="Book Antiqua" w:eastAsia="Book Antiqua" w:hAnsi="Book Antiqua" w:cs="Book Antiqua"/>
          <w:color w:val="000000"/>
        </w:rPr>
        <w:t>hematological</w:t>
      </w:r>
      <w:r w:rsidRPr="00E940C3">
        <w:rPr>
          <w:rFonts w:ascii="Book Antiqua" w:eastAsia="Book Antiqua" w:hAnsi="Book Antiqua" w:cs="Book Antiqua"/>
          <w:color w:val="000000"/>
        </w:rPr>
        <w:t xml:space="preserve"> side-effects.</w:t>
      </w:r>
    </w:p>
    <w:p w14:paraId="07FCE9B5" w14:textId="77777777" w:rsidR="00A77B3E" w:rsidRPr="00E940C3" w:rsidRDefault="00A77B3E" w:rsidP="00265AC6">
      <w:pPr>
        <w:snapToGrid w:val="0"/>
        <w:spacing w:line="360" w:lineRule="auto"/>
        <w:jc w:val="both"/>
        <w:rPr>
          <w:rFonts w:ascii="Book Antiqua" w:hAnsi="Book Antiqua"/>
        </w:rPr>
      </w:pPr>
    </w:p>
    <w:p w14:paraId="0C9E790F" w14:textId="145DE049" w:rsidR="00A77B3E" w:rsidRPr="00E940C3" w:rsidRDefault="00B70BAD" w:rsidP="00265AC6">
      <w:pPr>
        <w:snapToGrid w:val="0"/>
        <w:spacing w:line="360" w:lineRule="auto"/>
        <w:jc w:val="both"/>
        <w:rPr>
          <w:rFonts w:ascii="Book Antiqua" w:hAnsi="Book Antiqua"/>
          <w:b/>
          <w:i/>
        </w:rPr>
      </w:pPr>
      <w:r w:rsidRPr="00E940C3">
        <w:rPr>
          <w:rFonts w:ascii="Book Antiqua" w:eastAsia="Book Antiqua" w:hAnsi="Book Antiqua" w:cs="Book Antiqua"/>
          <w:b/>
          <w:i/>
          <w:color w:val="000000"/>
        </w:rPr>
        <w:t>First</w:t>
      </w:r>
      <w:r w:rsidR="008C19B4">
        <w:rPr>
          <w:rFonts w:ascii="Book Antiqua" w:eastAsia="Book Antiqua" w:hAnsi="Book Antiqua" w:cs="Book Antiqua"/>
          <w:b/>
          <w:i/>
          <w:color w:val="000000"/>
        </w:rPr>
        <w:t>-</w:t>
      </w:r>
      <w:r w:rsidRPr="00E940C3">
        <w:rPr>
          <w:rFonts w:ascii="Book Antiqua" w:eastAsia="Book Antiqua" w:hAnsi="Book Antiqua" w:cs="Book Antiqua"/>
          <w:b/>
          <w:i/>
          <w:color w:val="000000"/>
        </w:rPr>
        <w:t>line FFX vs GnP</w:t>
      </w:r>
    </w:p>
    <w:p w14:paraId="641C1EFB" w14:textId="63F83C65" w:rsidR="00A77B3E" w:rsidRPr="00E940C3" w:rsidRDefault="00B70BAD" w:rsidP="00421B03">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Studies </w:t>
      </w:r>
      <w:r w:rsidR="00556989" w:rsidRPr="00E940C3">
        <w:rPr>
          <w:rFonts w:ascii="Book Antiqua" w:eastAsia="Book Antiqua" w:hAnsi="Book Antiqua" w:cs="Book Antiqua"/>
          <w:color w:val="000000"/>
        </w:rPr>
        <w:t>comparing the</w:t>
      </w:r>
      <w:r w:rsidRPr="00E940C3">
        <w:rPr>
          <w:rFonts w:ascii="Book Antiqua" w:eastAsia="Book Antiqua" w:hAnsi="Book Antiqua" w:cs="Book Antiqua"/>
          <w:color w:val="000000"/>
        </w:rPr>
        <w:t xml:space="preserve"> real</w:t>
      </w:r>
      <w:r w:rsidR="00556989"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world </w:t>
      </w:r>
      <w:r w:rsidR="00F122FE" w:rsidRPr="00E940C3">
        <w:rPr>
          <w:rFonts w:ascii="Book Antiqua" w:eastAsia="Book Antiqua" w:hAnsi="Book Antiqua" w:cs="Book Antiqua"/>
          <w:color w:val="000000"/>
        </w:rPr>
        <w:t>effectiveness of</w:t>
      </w:r>
      <w:r w:rsidRPr="00E940C3">
        <w:rPr>
          <w:rFonts w:ascii="Book Antiqua" w:eastAsia="Book Antiqua" w:hAnsi="Book Antiqua" w:cs="Book Antiqua"/>
          <w:color w:val="000000"/>
        </w:rPr>
        <w:t xml:space="preserve"> FFX and GnP are listed in chronological order in Table 3. One </w:t>
      </w:r>
      <w:r w:rsidR="00B06575" w:rsidRPr="00E940C3">
        <w:rPr>
          <w:rFonts w:ascii="Book Antiqua" w:eastAsia="Book Antiqua" w:hAnsi="Book Antiqua" w:cs="Book Antiqua"/>
          <w:color w:val="000000"/>
        </w:rPr>
        <w:t xml:space="preserve">retrospective cohort </w:t>
      </w:r>
      <w:r w:rsidRPr="00E940C3">
        <w:rPr>
          <w:rFonts w:ascii="Book Antiqua" w:eastAsia="Book Antiqua" w:hAnsi="Book Antiqua" w:cs="Book Antiqua"/>
          <w:color w:val="000000"/>
        </w:rPr>
        <w:t xml:space="preserve">study </w:t>
      </w:r>
      <w:r w:rsidR="00C522D9" w:rsidRPr="00E940C3">
        <w:rPr>
          <w:rFonts w:ascii="Book Antiqua" w:eastAsia="Book Antiqua" w:hAnsi="Book Antiqua" w:cs="Book Antiqua"/>
          <w:color w:val="000000"/>
        </w:rPr>
        <w:t xml:space="preserve">of </w:t>
      </w:r>
      <w:r w:rsidRPr="00E940C3">
        <w:rPr>
          <w:rFonts w:ascii="Book Antiqua" w:eastAsia="Book Antiqua" w:hAnsi="Book Antiqua" w:cs="Book Antiqua"/>
          <w:color w:val="000000"/>
        </w:rPr>
        <w:t>first</w:t>
      </w:r>
      <w:r w:rsidR="00C522D9"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w:t>
      </w:r>
      <w:r w:rsidR="00C522D9" w:rsidRPr="00E940C3">
        <w:rPr>
          <w:rFonts w:ascii="Book Antiqua" w:eastAsia="Book Antiqua" w:hAnsi="Book Antiqua" w:cs="Book Antiqua"/>
          <w:color w:val="000000"/>
        </w:rPr>
        <w:t xml:space="preserve">treatment </w:t>
      </w:r>
      <w:r w:rsidR="00B56DDE" w:rsidRPr="00E940C3">
        <w:rPr>
          <w:rFonts w:ascii="Book Antiqua" w:eastAsia="Book Antiqua" w:hAnsi="Book Antiqua" w:cs="Book Antiqua"/>
          <w:color w:val="000000"/>
        </w:rPr>
        <w:t xml:space="preserve">of </w:t>
      </w:r>
      <w:r w:rsidR="00D13481" w:rsidRPr="00E940C3">
        <w:rPr>
          <w:rFonts w:ascii="Book Antiqua" w:eastAsia="Book Antiqua" w:hAnsi="Book Antiqua" w:cs="Book Antiqua"/>
          <w:color w:val="000000"/>
        </w:rPr>
        <w:t xml:space="preserve">patients with </w:t>
      </w:r>
      <w:r w:rsidR="00B56DDE" w:rsidRPr="00E940C3">
        <w:rPr>
          <w:rFonts w:ascii="Book Antiqua" w:eastAsia="Book Antiqua" w:hAnsi="Book Antiqua" w:cs="Book Antiqua"/>
          <w:color w:val="000000"/>
        </w:rPr>
        <w:t xml:space="preserve">metastatic PDAC </w:t>
      </w:r>
      <w:r w:rsidR="00C522D9" w:rsidRPr="00E940C3">
        <w:rPr>
          <w:rFonts w:ascii="Book Antiqua" w:eastAsia="Book Antiqua" w:hAnsi="Book Antiqua" w:cs="Book Antiqua"/>
          <w:color w:val="000000"/>
        </w:rPr>
        <w:t xml:space="preserve">reported an mOS </w:t>
      </w:r>
      <w:r w:rsidR="004B4B44" w:rsidRPr="00E940C3">
        <w:rPr>
          <w:rFonts w:ascii="Book Antiqua" w:eastAsia="Book Antiqua" w:hAnsi="Book Antiqua" w:cs="Book Antiqua"/>
          <w:color w:val="000000"/>
        </w:rPr>
        <w:t xml:space="preserve">of 12.7 mo with </w:t>
      </w:r>
      <w:r w:rsidRPr="00E940C3">
        <w:rPr>
          <w:rFonts w:ascii="Book Antiqua" w:eastAsia="Book Antiqua" w:hAnsi="Book Antiqua" w:cs="Book Antiqua"/>
          <w:color w:val="000000"/>
        </w:rPr>
        <w:t xml:space="preserve">FFX </w:t>
      </w:r>
      <w:r w:rsidR="004B4B44" w:rsidRPr="00E940C3">
        <w:rPr>
          <w:rFonts w:ascii="Book Antiqua" w:eastAsia="Book Antiqua" w:hAnsi="Book Antiqua" w:cs="Book Antiqua"/>
          <w:color w:val="000000"/>
        </w:rPr>
        <w:t xml:space="preserve">and 10.2 mo </w:t>
      </w:r>
      <w:r w:rsidRPr="00E940C3">
        <w:rPr>
          <w:rFonts w:ascii="Book Antiqua" w:eastAsia="Book Antiqua" w:hAnsi="Book Antiqua" w:cs="Book Antiqua"/>
          <w:color w:val="000000"/>
        </w:rPr>
        <w:t>with GnP</w:t>
      </w:r>
      <w:r w:rsidRPr="00E940C3">
        <w:rPr>
          <w:rFonts w:ascii="Book Antiqua" w:eastAsia="Book Antiqua" w:hAnsi="Book Antiqua" w:cs="Book Antiqua"/>
          <w:color w:val="000000"/>
          <w:vertAlign w:val="superscript"/>
        </w:rPr>
        <w:t>[25]</w:t>
      </w:r>
      <w:r w:rsidRPr="00E940C3">
        <w:rPr>
          <w:rFonts w:ascii="Book Antiqua" w:eastAsia="Book Antiqua" w:hAnsi="Book Antiqua" w:cs="Book Antiqua"/>
          <w:color w:val="000000"/>
        </w:rPr>
        <w:t xml:space="preserve">. </w:t>
      </w:r>
      <w:r w:rsidR="00E940C3" w:rsidRPr="00E940C3">
        <w:rPr>
          <w:rFonts w:ascii="Book Antiqua" w:eastAsia="Book Antiqua" w:hAnsi="Book Antiqua" w:cs="Book Antiqua"/>
          <w:color w:val="000000"/>
        </w:rPr>
        <w:t>Tumor</w:t>
      </w:r>
      <w:r w:rsidRPr="00E940C3">
        <w:rPr>
          <w:rFonts w:ascii="Book Antiqua" w:eastAsia="Book Antiqua" w:hAnsi="Book Antiqua" w:cs="Book Antiqua"/>
          <w:color w:val="000000"/>
        </w:rPr>
        <w:t xml:space="preserve"> marker serum CA-19-9 and neutrophil-lymphocyte-ratio (NLR) were associated with survival. Authors intended to </w:t>
      </w:r>
      <w:r w:rsidR="00E940C3" w:rsidRPr="00E940C3">
        <w:rPr>
          <w:rFonts w:ascii="Book Antiqua" w:eastAsia="Book Antiqua" w:hAnsi="Book Antiqua" w:cs="Book Antiqua"/>
          <w:color w:val="000000"/>
        </w:rPr>
        <w:t>analyze</w:t>
      </w:r>
      <w:r w:rsidRPr="00E940C3">
        <w:rPr>
          <w:rFonts w:ascii="Book Antiqua" w:eastAsia="Book Antiqua" w:hAnsi="Book Antiqua" w:cs="Book Antiqua"/>
          <w:color w:val="000000"/>
        </w:rPr>
        <w:t xml:space="preserve"> patients aged above 70 years separately but this group was too small. </w:t>
      </w:r>
      <w:r w:rsidR="00E940C3" w:rsidRPr="00E940C3">
        <w:rPr>
          <w:rFonts w:ascii="Book Antiqua" w:eastAsia="Book Antiqua" w:hAnsi="Book Antiqua" w:cs="Book Antiqua"/>
          <w:color w:val="000000"/>
        </w:rPr>
        <w:t>Hematological</w:t>
      </w:r>
      <w:r w:rsidRPr="00E940C3">
        <w:rPr>
          <w:rFonts w:ascii="Book Antiqua" w:eastAsia="Book Antiqua" w:hAnsi="Book Antiqua" w:cs="Book Antiqua"/>
          <w:color w:val="000000"/>
        </w:rPr>
        <w:t xml:space="preserve"> toxicity was evenly distributed between the two treatments. Of interest, neuropathy was only reported in two patients receiving FFX. A study </w:t>
      </w:r>
      <w:r w:rsidR="00C75043" w:rsidRPr="00E940C3">
        <w:rPr>
          <w:rFonts w:ascii="Book Antiqua" w:eastAsia="Book Antiqua" w:hAnsi="Book Antiqua" w:cs="Book Antiqua"/>
          <w:color w:val="000000"/>
        </w:rPr>
        <w:t xml:space="preserve">that </w:t>
      </w:r>
      <w:r w:rsidRPr="00E940C3">
        <w:rPr>
          <w:rFonts w:ascii="Book Antiqua" w:eastAsia="Book Antiqua" w:hAnsi="Book Antiqua" w:cs="Book Antiqua"/>
          <w:color w:val="000000"/>
        </w:rPr>
        <w:t>compared the real-world effectiveness of FFX, GnP and gemcitabine reported OS duration</w:t>
      </w:r>
      <w:r w:rsidR="00C75043"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 of 14.1, 10.5 and 4.2 mo for the three treatments, respectively</w:t>
      </w:r>
      <w:r w:rsidRPr="00E940C3">
        <w:rPr>
          <w:rFonts w:ascii="Book Antiqua" w:eastAsia="Book Antiqua" w:hAnsi="Book Antiqua" w:cs="Book Antiqua"/>
          <w:color w:val="000000"/>
          <w:vertAlign w:val="superscript"/>
        </w:rPr>
        <w:t>[26]</w:t>
      </w:r>
      <w:r w:rsidRPr="00E940C3">
        <w:rPr>
          <w:rFonts w:ascii="Book Antiqua" w:eastAsia="Book Antiqua" w:hAnsi="Book Antiqua" w:cs="Book Antiqua"/>
          <w:color w:val="000000"/>
        </w:rPr>
        <w:t>. FFX</w:t>
      </w:r>
      <w:r w:rsidR="008C19B4">
        <w:rPr>
          <w:rFonts w:ascii="Book Antiqua" w:eastAsia="Book Antiqua" w:hAnsi="Book Antiqua" w:cs="Book Antiqua"/>
          <w:color w:val="000000"/>
        </w:rPr>
        <w:t xml:space="preserve"> treated</w:t>
      </w:r>
      <w:r w:rsidRPr="00E940C3">
        <w:rPr>
          <w:rFonts w:ascii="Book Antiqua" w:eastAsia="Book Antiqua" w:hAnsi="Book Antiqua" w:cs="Book Antiqua"/>
          <w:color w:val="000000"/>
        </w:rPr>
        <w:t xml:space="preserve"> patients were significantly younger and had better PS, </w:t>
      </w:r>
      <w:r w:rsidR="001A5282" w:rsidRPr="00E940C3">
        <w:rPr>
          <w:rFonts w:ascii="Book Antiqua" w:eastAsia="Book Antiqua" w:hAnsi="Book Antiqua" w:cs="Book Antiqua"/>
          <w:color w:val="000000"/>
        </w:rPr>
        <w:t>and</w:t>
      </w:r>
      <w:r w:rsidRPr="00E940C3">
        <w:rPr>
          <w:rFonts w:ascii="Book Antiqua" w:eastAsia="Book Antiqua" w:hAnsi="Book Antiqua" w:cs="Book Antiqua"/>
          <w:color w:val="000000"/>
        </w:rPr>
        <w:t xml:space="preserve"> OS was significantly longer in </w:t>
      </w:r>
      <w:r w:rsidR="001A5282" w:rsidRPr="00E940C3">
        <w:rPr>
          <w:rFonts w:ascii="Book Antiqua" w:eastAsia="Book Antiqua" w:hAnsi="Book Antiqua" w:cs="Book Antiqua"/>
          <w:color w:val="000000"/>
        </w:rPr>
        <w:t xml:space="preserve">both </w:t>
      </w:r>
      <w:r w:rsidRPr="00E940C3">
        <w:rPr>
          <w:rFonts w:ascii="Book Antiqua" w:eastAsia="Book Antiqua" w:hAnsi="Book Antiqua" w:cs="Book Antiqua"/>
          <w:color w:val="000000"/>
        </w:rPr>
        <w:t xml:space="preserve">FFX- </w:t>
      </w:r>
      <w:r w:rsidR="001A5282" w:rsidRPr="00E940C3">
        <w:rPr>
          <w:rFonts w:ascii="Book Antiqua" w:eastAsia="Book Antiqua" w:hAnsi="Book Antiqua" w:cs="Book Antiqua"/>
          <w:color w:val="000000"/>
        </w:rPr>
        <w:t xml:space="preserve">and </w:t>
      </w:r>
      <w:r w:rsidRPr="00E940C3">
        <w:rPr>
          <w:rFonts w:ascii="Book Antiqua" w:eastAsia="Book Antiqua" w:hAnsi="Book Antiqua" w:cs="Book Antiqua"/>
          <w:color w:val="000000"/>
        </w:rPr>
        <w:t xml:space="preserve">GnP-treated patients compared </w:t>
      </w:r>
      <w:r w:rsidR="00CE5B95" w:rsidRPr="00E940C3">
        <w:rPr>
          <w:rFonts w:ascii="Book Antiqua" w:eastAsia="Book Antiqua" w:hAnsi="Book Antiqua" w:cs="Book Antiqua"/>
          <w:color w:val="000000"/>
        </w:rPr>
        <w:t>with</w:t>
      </w:r>
      <w:r w:rsidRPr="00E940C3">
        <w:rPr>
          <w:rFonts w:ascii="Book Antiqua" w:eastAsia="Book Antiqua" w:hAnsi="Book Antiqua" w:cs="Book Antiqua"/>
          <w:color w:val="000000"/>
        </w:rPr>
        <w:t xml:space="preserve"> gemcitabine. The majority of patients had metastatic disease (68%). For the subgroups with localized disease, median OS had not been reached at the time of publication. The occurrence of neutropenia, febrile neutropenia</w:t>
      </w:r>
      <w:r w:rsidR="00CE5B95"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neuropathy was significantly </w:t>
      </w:r>
      <w:r w:rsidR="00543B6C" w:rsidRPr="00E940C3">
        <w:rPr>
          <w:rFonts w:ascii="Book Antiqua" w:eastAsia="Book Antiqua" w:hAnsi="Book Antiqua" w:cs="Book Antiqua"/>
          <w:color w:val="000000"/>
        </w:rPr>
        <w:t>more frequent</w:t>
      </w:r>
      <w:r w:rsidRPr="00E940C3">
        <w:rPr>
          <w:rFonts w:ascii="Book Antiqua" w:eastAsia="Book Antiqua" w:hAnsi="Book Antiqua" w:cs="Book Antiqua"/>
          <w:color w:val="000000"/>
        </w:rPr>
        <w:t xml:space="preserve"> in FFX treated patients. In a review article, slightly longer survival (</w:t>
      </w:r>
      <w:r w:rsidR="009C3934" w:rsidRPr="00E940C3">
        <w:rPr>
          <w:rFonts w:ascii="Book Antiqua" w:eastAsia="Book Antiqua" w:hAnsi="Book Antiqua" w:cs="Book Antiqua"/>
          <w:color w:val="000000"/>
        </w:rPr>
        <w:t xml:space="preserve">an </w:t>
      </w:r>
      <w:r w:rsidRPr="00E940C3">
        <w:rPr>
          <w:rFonts w:ascii="Book Antiqua" w:eastAsia="Book Antiqua" w:hAnsi="Book Antiqua" w:cs="Book Antiqua"/>
          <w:color w:val="000000"/>
        </w:rPr>
        <w:t xml:space="preserve">additional 1.2 mo) was noted in </w:t>
      </w:r>
      <w:r w:rsidR="00E940C3" w:rsidRPr="00E940C3">
        <w:rPr>
          <w:rFonts w:ascii="Book Antiqua" w:eastAsia="Book Antiqua" w:hAnsi="Book Antiqua" w:cs="Book Antiqua"/>
          <w:color w:val="000000"/>
        </w:rPr>
        <w:t>favor</w:t>
      </w:r>
      <w:r w:rsidRPr="00E940C3">
        <w:rPr>
          <w:rFonts w:ascii="Book Antiqua" w:eastAsia="Book Antiqua" w:hAnsi="Book Antiqua" w:cs="Book Antiqua"/>
          <w:color w:val="000000"/>
        </w:rPr>
        <w:t xml:space="preserve"> of FFX over GnP. Despite th</w:t>
      </w:r>
      <w:r w:rsidR="002943C1" w:rsidRPr="00E940C3">
        <w:rPr>
          <w:rFonts w:ascii="Book Antiqua" w:eastAsia="Book Antiqua" w:hAnsi="Book Antiqua" w:cs="Book Antiqua"/>
          <w:color w:val="000000"/>
        </w:rPr>
        <w:t>e</w:t>
      </w:r>
      <w:r w:rsidRPr="00E940C3">
        <w:rPr>
          <w:rFonts w:ascii="Book Antiqua" w:eastAsia="Book Antiqua" w:hAnsi="Book Antiqua" w:cs="Book Antiqua"/>
          <w:color w:val="000000"/>
        </w:rPr>
        <w:t xml:space="preserve"> numerical difference, the overall adjusted risk of death was similar regardless of the regimen administered</w:t>
      </w:r>
      <w:r w:rsidRPr="00E940C3">
        <w:rPr>
          <w:rFonts w:ascii="Book Antiqua" w:eastAsia="Book Antiqua" w:hAnsi="Book Antiqua" w:cs="Book Antiqua"/>
          <w:color w:val="000000"/>
          <w:vertAlign w:val="superscript"/>
        </w:rPr>
        <w:t>[27]</w:t>
      </w:r>
      <w:r w:rsidRPr="00E940C3">
        <w:rPr>
          <w:rFonts w:ascii="Book Antiqua" w:eastAsia="Book Antiqua" w:hAnsi="Book Antiqua" w:cs="Book Antiqua"/>
          <w:color w:val="000000"/>
        </w:rPr>
        <w:t xml:space="preserve">. Neurotoxicity and </w:t>
      </w:r>
      <w:r w:rsidR="00E940C3" w:rsidRPr="00E940C3">
        <w:rPr>
          <w:rFonts w:ascii="Book Antiqua" w:eastAsia="Book Antiqua" w:hAnsi="Book Antiqua" w:cs="Book Antiqua"/>
          <w:color w:val="000000"/>
        </w:rPr>
        <w:t>anemia</w:t>
      </w:r>
      <w:r w:rsidRPr="00E940C3">
        <w:rPr>
          <w:rFonts w:ascii="Book Antiqua" w:eastAsia="Book Antiqua" w:hAnsi="Book Antiqua" w:cs="Book Antiqua"/>
          <w:color w:val="000000"/>
        </w:rPr>
        <w:t xml:space="preserve"> were seen more frequently </w:t>
      </w:r>
      <w:r w:rsidR="002943C1" w:rsidRPr="00E940C3">
        <w:rPr>
          <w:rFonts w:ascii="Book Antiqua" w:eastAsia="Book Antiqua" w:hAnsi="Book Antiqua" w:cs="Book Antiqua"/>
          <w:color w:val="000000"/>
        </w:rPr>
        <w:t>in</w:t>
      </w:r>
      <w:r w:rsidRPr="00E940C3">
        <w:rPr>
          <w:rFonts w:ascii="Book Antiqua" w:eastAsia="Book Antiqua" w:hAnsi="Book Antiqua" w:cs="Book Antiqua"/>
          <w:color w:val="000000"/>
        </w:rPr>
        <w:t xml:space="preserve"> GnP</w:t>
      </w:r>
      <w:r w:rsidR="008C19B4">
        <w:rPr>
          <w:rFonts w:ascii="Book Antiqua" w:eastAsia="Book Antiqua" w:hAnsi="Book Antiqua" w:cs="Book Antiqua"/>
          <w:color w:val="000000"/>
        </w:rPr>
        <w:t>-treated</w:t>
      </w:r>
      <w:r w:rsidRPr="00E940C3">
        <w:rPr>
          <w:rFonts w:ascii="Book Antiqua" w:eastAsia="Book Antiqua" w:hAnsi="Book Antiqua" w:cs="Book Antiqua"/>
          <w:color w:val="000000"/>
        </w:rPr>
        <w:t xml:space="preserve"> patients</w:t>
      </w:r>
      <w:r w:rsidR="002943C1"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neutropenia was more often associated with FFX treatment. In another review, a similar, non-significant, survival benefit was seen for FFX, with a reported OS of 15.9 mo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14.4 </w:t>
      </w:r>
      <w:r w:rsidR="000E1645" w:rsidRPr="00E940C3">
        <w:rPr>
          <w:rFonts w:ascii="Book Antiqua" w:eastAsia="Book Antiqua" w:hAnsi="Book Antiqua" w:cs="Book Antiqua"/>
          <w:color w:val="000000"/>
        </w:rPr>
        <w:t xml:space="preserve">mo </w:t>
      </w:r>
      <w:r w:rsidRPr="00E940C3">
        <w:rPr>
          <w:rFonts w:ascii="Book Antiqua" w:eastAsia="Book Antiqua" w:hAnsi="Book Antiqua" w:cs="Book Antiqua"/>
          <w:color w:val="000000"/>
        </w:rPr>
        <w:t>for GnP</w:t>
      </w:r>
      <w:r w:rsidRPr="00E940C3">
        <w:rPr>
          <w:rFonts w:ascii="Book Antiqua" w:eastAsia="Book Antiqua" w:hAnsi="Book Antiqua" w:cs="Book Antiqua"/>
          <w:color w:val="000000"/>
          <w:vertAlign w:val="superscript"/>
        </w:rPr>
        <w:t>[28]</w:t>
      </w:r>
      <w:r w:rsidRPr="00E940C3">
        <w:rPr>
          <w:rFonts w:ascii="Book Antiqua" w:eastAsia="Book Antiqua" w:hAnsi="Book Antiqua" w:cs="Book Antiqua"/>
          <w:color w:val="000000"/>
        </w:rPr>
        <w:t xml:space="preserve">. PFS </w:t>
      </w:r>
      <w:r w:rsidR="0065131E" w:rsidRPr="00E940C3">
        <w:rPr>
          <w:rFonts w:ascii="Book Antiqua" w:eastAsia="Book Antiqua" w:hAnsi="Book Antiqua" w:cs="Book Antiqua"/>
          <w:color w:val="000000"/>
        </w:rPr>
        <w:t>was</w:t>
      </w:r>
      <w:r w:rsidRPr="00E940C3">
        <w:rPr>
          <w:rFonts w:ascii="Book Antiqua" w:eastAsia="Book Antiqua" w:hAnsi="Book Antiqua" w:cs="Book Antiqua"/>
          <w:color w:val="000000"/>
        </w:rPr>
        <w:t xml:space="preserve"> 11.7 </w:t>
      </w:r>
      <w:r w:rsidR="00604569" w:rsidRPr="00E940C3">
        <w:rPr>
          <w:rFonts w:ascii="Book Antiqua" w:eastAsia="Book Antiqua" w:hAnsi="Book Antiqua" w:cs="Book Antiqua"/>
          <w:color w:val="000000"/>
        </w:rPr>
        <w:t xml:space="preserve">mo </w:t>
      </w:r>
      <w:r w:rsidR="00EE3B79" w:rsidRPr="00E940C3">
        <w:rPr>
          <w:rFonts w:ascii="Book Antiqua" w:eastAsia="Book Antiqua" w:hAnsi="Book Antiqua" w:cs="Book Antiqua"/>
          <w:color w:val="000000"/>
        </w:rPr>
        <w:t xml:space="preserve">with FFX </w:t>
      </w:r>
      <w:r w:rsidRPr="00E940C3">
        <w:rPr>
          <w:rFonts w:ascii="Book Antiqua" w:eastAsia="Book Antiqua" w:hAnsi="Book Antiqua" w:cs="Book Antiqua"/>
          <w:color w:val="000000"/>
        </w:rPr>
        <w:t xml:space="preserve">and 8.5 mo for GnP. Toxicity data were not consistently reported in the studies, but neutropenia was more often associated with FFX than </w:t>
      </w:r>
      <w:r w:rsidR="00EE3B79" w:rsidRPr="00E940C3">
        <w:rPr>
          <w:rFonts w:ascii="Book Antiqua" w:eastAsia="Book Antiqua" w:hAnsi="Book Antiqua" w:cs="Book Antiqua"/>
          <w:color w:val="000000"/>
        </w:rPr>
        <w:t xml:space="preserve">with </w:t>
      </w:r>
      <w:r w:rsidRPr="00E940C3">
        <w:rPr>
          <w:rFonts w:ascii="Book Antiqua" w:eastAsia="Book Antiqua" w:hAnsi="Book Antiqua" w:cs="Book Antiqua"/>
          <w:color w:val="000000"/>
        </w:rPr>
        <w:t>GnP</w:t>
      </w:r>
      <w:r w:rsidR="00EE3B79"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t>
      </w:r>
      <w:r w:rsidR="00EE3B79" w:rsidRPr="00E940C3">
        <w:rPr>
          <w:rFonts w:ascii="Book Antiqua" w:eastAsia="Book Antiqua" w:hAnsi="Book Antiqua" w:cs="Book Antiqua"/>
          <w:color w:val="000000"/>
        </w:rPr>
        <w:t>T</w:t>
      </w:r>
      <w:r w:rsidRPr="00E940C3">
        <w:rPr>
          <w:rFonts w:ascii="Book Antiqua" w:eastAsia="Book Antiqua" w:hAnsi="Book Antiqua" w:cs="Book Antiqua"/>
          <w:color w:val="000000"/>
        </w:rPr>
        <w:t xml:space="preserve">he opposite was observed for </w:t>
      </w:r>
      <w:r w:rsidRPr="00E940C3">
        <w:rPr>
          <w:rFonts w:ascii="Book Antiqua" w:eastAsia="Book Antiqua" w:hAnsi="Book Antiqua" w:cs="Book Antiqua"/>
          <w:color w:val="000000"/>
        </w:rPr>
        <w:lastRenderedPageBreak/>
        <w:t xml:space="preserve">neuropathy. In a retrospective study that largely focused on metastatic PDAC patients (77%), equivalent survival for FFX and GnP </w:t>
      </w:r>
      <w:r w:rsidR="00F0029A" w:rsidRPr="00E940C3">
        <w:rPr>
          <w:rFonts w:ascii="Book Antiqua" w:eastAsia="Book Antiqua" w:hAnsi="Book Antiqua" w:cs="Book Antiqua"/>
          <w:color w:val="000000"/>
        </w:rPr>
        <w:t>was reported</w:t>
      </w:r>
      <w:r w:rsidRPr="00E940C3">
        <w:rPr>
          <w:rFonts w:ascii="Book Antiqua" w:eastAsia="Book Antiqua" w:hAnsi="Book Antiqua" w:cs="Book Antiqua"/>
          <w:color w:val="000000"/>
        </w:rPr>
        <w:t xml:space="preserve"> (OS 9.0 mo for both regimens, </w:t>
      </w:r>
      <w:r w:rsidRPr="00E940C3">
        <w:rPr>
          <w:rFonts w:ascii="Book Antiqua" w:eastAsia="Book Antiqua" w:hAnsi="Book Antiqua" w:cs="Book Antiqua"/>
          <w:i/>
          <w:iCs/>
          <w:color w:val="000000"/>
        </w:rPr>
        <w:t>P</w:t>
      </w:r>
      <w:r w:rsidRPr="00E940C3">
        <w:rPr>
          <w:rFonts w:ascii="Book Antiqua" w:eastAsia="Book Antiqua" w:hAnsi="Book Antiqua" w:cs="Book Antiqua"/>
          <w:color w:val="000000"/>
        </w:rPr>
        <w:t xml:space="preserve"> = 0.88). However, PFS was slightly longer </w:t>
      </w:r>
      <w:r w:rsidR="00CA2282" w:rsidRPr="00E940C3">
        <w:rPr>
          <w:rFonts w:ascii="Book Antiqua" w:eastAsia="Book Antiqua" w:hAnsi="Book Antiqua" w:cs="Book Antiqua"/>
          <w:color w:val="000000"/>
        </w:rPr>
        <w:t>with</w:t>
      </w:r>
      <w:r w:rsidRPr="00E940C3">
        <w:rPr>
          <w:rFonts w:ascii="Book Antiqua" w:eastAsia="Book Antiqua" w:hAnsi="Book Antiqua" w:cs="Book Antiqua"/>
          <w:color w:val="000000"/>
        </w:rPr>
        <w:t xml:space="preserve"> FFX, although the difference was not statistically significant (6.0 mo for FFX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4.0 mo for GnP, </w:t>
      </w:r>
      <w:r w:rsidRPr="00E940C3">
        <w:rPr>
          <w:rFonts w:ascii="Book Antiqua" w:eastAsia="Book Antiqua" w:hAnsi="Book Antiqua" w:cs="Book Antiqua"/>
          <w:i/>
          <w:iCs/>
          <w:color w:val="000000"/>
        </w:rPr>
        <w:t>P</w:t>
      </w:r>
      <w:r w:rsidRPr="00E940C3">
        <w:rPr>
          <w:rFonts w:ascii="Book Antiqua" w:eastAsia="Book Antiqua" w:hAnsi="Book Antiqua" w:cs="Book Antiqua"/>
          <w:color w:val="000000"/>
        </w:rPr>
        <w:t xml:space="preserve"> = 0.38)</w:t>
      </w:r>
      <w:r w:rsidRPr="00E940C3">
        <w:rPr>
          <w:rFonts w:ascii="Book Antiqua" w:eastAsia="Book Antiqua" w:hAnsi="Book Antiqua" w:cs="Book Antiqua"/>
          <w:color w:val="000000"/>
          <w:vertAlign w:val="superscript"/>
        </w:rPr>
        <w:t>[29]</w:t>
      </w:r>
      <w:r w:rsidRPr="00E940C3">
        <w:rPr>
          <w:rFonts w:ascii="Book Antiqua" w:eastAsia="Book Antiqua" w:hAnsi="Book Antiqua" w:cs="Book Antiqua"/>
          <w:color w:val="000000"/>
        </w:rPr>
        <w:t>. There were no significant differences in the frequencies of severe toxicity between the two regimens. A</w:t>
      </w:r>
      <w:r w:rsidR="00384A83" w:rsidRPr="00E940C3">
        <w:rPr>
          <w:rFonts w:ascii="Book Antiqua" w:eastAsia="Book Antiqua" w:hAnsi="Book Antiqua" w:cs="Book Antiqua"/>
          <w:color w:val="000000"/>
        </w:rPr>
        <w:t>nother</w:t>
      </w:r>
      <w:r w:rsidRPr="00E940C3">
        <w:rPr>
          <w:rFonts w:ascii="Book Antiqua" w:eastAsia="Book Antiqua" w:hAnsi="Book Antiqua" w:cs="Book Antiqua"/>
          <w:color w:val="000000"/>
        </w:rPr>
        <w:t xml:space="preserve"> retrospective study </w:t>
      </w:r>
      <w:r w:rsidR="00DE4DEE" w:rsidRPr="00E940C3">
        <w:rPr>
          <w:rFonts w:ascii="Book Antiqua" w:eastAsia="Book Antiqua" w:hAnsi="Book Antiqua" w:cs="Book Antiqua"/>
          <w:color w:val="000000"/>
        </w:rPr>
        <w:t>reported</w:t>
      </w:r>
      <w:r w:rsidRPr="00E940C3">
        <w:rPr>
          <w:rFonts w:ascii="Book Antiqua" w:eastAsia="Book Antiqua" w:hAnsi="Book Antiqua" w:cs="Book Antiqua"/>
          <w:color w:val="000000"/>
        </w:rPr>
        <w:t xml:space="preserve"> OS of 11.4, 9.8 and 4.4 mo for FFX, GnP and gemcitabine monotherapy, respectively. Again, the differences were not significant</w:t>
      </w:r>
      <w:r w:rsidRPr="00E940C3">
        <w:rPr>
          <w:rFonts w:ascii="Book Antiqua" w:eastAsia="Book Antiqua" w:hAnsi="Book Antiqua" w:cs="Book Antiqua"/>
          <w:color w:val="000000"/>
          <w:vertAlign w:val="superscript"/>
        </w:rPr>
        <w:t>[30]</w:t>
      </w:r>
      <w:r w:rsidRPr="00E940C3">
        <w:rPr>
          <w:rFonts w:ascii="Book Antiqua" w:eastAsia="Book Antiqua" w:hAnsi="Book Antiqua" w:cs="Book Antiqua"/>
          <w:color w:val="000000"/>
        </w:rPr>
        <w:t>. Patients receiving GnP were significantly older and had PS. Toxicities were evenly distributed between the treatment groups. No significant prognostic factors were found in multivariate analysis, except for PS 2+</w:t>
      </w:r>
      <w:r w:rsidR="000741BA"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which was associated with worse survival. In another Celgene-funded real</w:t>
      </w:r>
      <w:r w:rsidR="000741BA"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world retrospective cohort study, there was a slight, non-significant, trend that </w:t>
      </w:r>
      <w:r w:rsidR="00E940C3" w:rsidRPr="00E940C3">
        <w:rPr>
          <w:rFonts w:ascii="Book Antiqua" w:eastAsia="Book Antiqua" w:hAnsi="Book Antiqua" w:cs="Book Antiqua"/>
          <w:color w:val="000000"/>
        </w:rPr>
        <w:t>favored</w:t>
      </w:r>
      <w:r w:rsidRPr="00E940C3">
        <w:rPr>
          <w:rFonts w:ascii="Book Antiqua" w:eastAsia="Book Antiqua" w:hAnsi="Book Antiqua" w:cs="Book Antiqua"/>
          <w:color w:val="000000"/>
        </w:rPr>
        <w:t xml:space="preserve"> FFX over GnP</w:t>
      </w:r>
      <w:r w:rsidR="000741BA"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with an OS of 13.8 mo compared </w:t>
      </w:r>
      <w:r w:rsidR="000741BA" w:rsidRPr="00E940C3">
        <w:rPr>
          <w:rFonts w:ascii="Book Antiqua" w:eastAsia="Book Antiqua" w:hAnsi="Book Antiqua" w:cs="Book Antiqua"/>
          <w:color w:val="000000"/>
        </w:rPr>
        <w:t>with</w:t>
      </w:r>
      <w:r w:rsidRPr="00E940C3">
        <w:rPr>
          <w:rFonts w:ascii="Book Antiqua" w:eastAsia="Book Antiqua" w:hAnsi="Book Antiqua" w:cs="Book Antiqua"/>
          <w:color w:val="000000"/>
        </w:rPr>
        <w:t xml:space="preserve"> 12.1 mo</w:t>
      </w:r>
      <w:r w:rsidRPr="00E940C3">
        <w:rPr>
          <w:rFonts w:ascii="Book Antiqua" w:eastAsia="Book Antiqua" w:hAnsi="Book Antiqua" w:cs="Book Antiqua"/>
          <w:color w:val="000000"/>
          <w:vertAlign w:val="superscript"/>
        </w:rPr>
        <w:t>[31]</w:t>
      </w:r>
      <w:r w:rsidRPr="00E940C3">
        <w:rPr>
          <w:rFonts w:ascii="Book Antiqua" w:eastAsia="Book Antiqua" w:hAnsi="Book Antiqua" w:cs="Book Antiqua"/>
          <w:color w:val="000000"/>
        </w:rPr>
        <w:t xml:space="preserve">. All patients had metastatic disease. Common side-effects such as nausea, vomiting, </w:t>
      </w:r>
      <w:r w:rsidR="00E940C3" w:rsidRPr="00E940C3">
        <w:rPr>
          <w:rFonts w:ascii="Book Antiqua" w:eastAsia="Book Antiqua" w:hAnsi="Book Antiqua" w:cs="Book Antiqua"/>
          <w:color w:val="000000"/>
        </w:rPr>
        <w:t>diarrhea</w:t>
      </w:r>
      <w:r w:rsidRPr="00E940C3">
        <w:rPr>
          <w:rFonts w:ascii="Book Antiqua" w:eastAsia="Book Antiqua" w:hAnsi="Book Antiqua" w:cs="Book Antiqua"/>
          <w:color w:val="000000"/>
        </w:rPr>
        <w:t xml:space="preserve"> and mucositis were less frequent in the GnP group. A Swedish </w:t>
      </w:r>
      <w:r w:rsidR="00AD04AA" w:rsidRPr="00E940C3">
        <w:rPr>
          <w:rFonts w:ascii="Book Antiqua" w:eastAsia="Book Antiqua" w:hAnsi="Book Antiqua" w:cs="Book Antiqua"/>
          <w:color w:val="000000"/>
        </w:rPr>
        <w:t xml:space="preserve">retrospective </w:t>
      </w:r>
      <w:r w:rsidRPr="00E940C3">
        <w:rPr>
          <w:rFonts w:ascii="Book Antiqua" w:eastAsia="Book Antiqua" w:hAnsi="Book Antiqua" w:cs="Book Antiqua"/>
          <w:color w:val="000000"/>
        </w:rPr>
        <w:t>study comparing palliative first</w:t>
      </w:r>
      <w:r w:rsidR="00432234" w:rsidRPr="00E940C3">
        <w:rPr>
          <w:rFonts w:ascii="Book Antiqua" w:eastAsia="Book Antiqua" w:hAnsi="Book Antiqua" w:cs="Book Antiqua"/>
          <w:color w:val="000000"/>
        </w:rPr>
        <w:t>-</w:t>
      </w:r>
      <w:r w:rsidRPr="00E940C3">
        <w:rPr>
          <w:rFonts w:ascii="Book Antiqua" w:eastAsia="Book Antiqua" w:hAnsi="Book Antiqua" w:cs="Book Antiqua"/>
          <w:color w:val="000000"/>
        </w:rPr>
        <w:t>line treatment in a PDAC patient cohort that included 31</w:t>
      </w:r>
      <w:r w:rsidR="00467989" w:rsidRPr="00E940C3">
        <w:rPr>
          <w:rFonts w:ascii="Book Antiqua" w:eastAsia="Book Antiqua" w:hAnsi="Book Antiqua" w:cs="Book Antiqua"/>
          <w:color w:val="000000"/>
        </w:rPr>
        <w:t xml:space="preserve"> FFX</w:t>
      </w:r>
      <w:r w:rsidRPr="00E940C3">
        <w:rPr>
          <w:rFonts w:ascii="Book Antiqua" w:eastAsia="Book Antiqua" w:hAnsi="Book Antiqua" w:cs="Book Antiqua"/>
          <w:color w:val="000000"/>
        </w:rPr>
        <w:t>, 66</w:t>
      </w:r>
      <w:r w:rsidR="00467989" w:rsidRPr="00E940C3">
        <w:rPr>
          <w:rFonts w:ascii="Book Antiqua" w:eastAsia="Book Antiqua" w:hAnsi="Book Antiqua" w:cs="Book Antiqua"/>
          <w:color w:val="000000"/>
        </w:rPr>
        <w:t xml:space="preserve"> GnP,</w:t>
      </w:r>
      <w:r w:rsidRPr="00E940C3">
        <w:rPr>
          <w:rFonts w:ascii="Book Antiqua" w:eastAsia="Book Antiqua" w:hAnsi="Book Antiqua" w:cs="Book Antiqua"/>
          <w:color w:val="000000"/>
        </w:rPr>
        <w:t xml:space="preserve"> and 185 </w:t>
      </w:r>
      <w:r w:rsidR="00467989" w:rsidRPr="00E940C3">
        <w:rPr>
          <w:rFonts w:ascii="Book Antiqua" w:eastAsia="Book Antiqua" w:hAnsi="Book Antiqua" w:cs="Book Antiqua"/>
          <w:color w:val="000000"/>
        </w:rPr>
        <w:t xml:space="preserve">gemcitabine </w:t>
      </w:r>
      <w:r w:rsidRPr="00E940C3">
        <w:rPr>
          <w:rFonts w:ascii="Book Antiqua" w:eastAsia="Book Antiqua" w:hAnsi="Book Antiqua" w:cs="Book Antiqua"/>
          <w:color w:val="000000"/>
        </w:rPr>
        <w:t>patients</w:t>
      </w:r>
      <w:r w:rsidR="00467989" w:rsidRPr="00E940C3">
        <w:rPr>
          <w:rFonts w:ascii="Book Antiqua" w:eastAsia="Book Antiqua" w:hAnsi="Book Antiqua" w:cs="Book Antiqua"/>
          <w:color w:val="000000"/>
        </w:rPr>
        <w:t xml:space="preserve"> report</w:t>
      </w:r>
      <w:r w:rsidR="004B305E" w:rsidRPr="00E940C3">
        <w:rPr>
          <w:rFonts w:ascii="Book Antiqua" w:eastAsia="Book Antiqua" w:hAnsi="Book Antiqua" w:cs="Book Antiqua"/>
          <w:color w:val="000000"/>
        </w:rPr>
        <w:t>e</w:t>
      </w:r>
      <w:r w:rsidR="00467989" w:rsidRPr="00E940C3">
        <w:rPr>
          <w:rFonts w:ascii="Book Antiqua" w:eastAsia="Book Antiqua" w:hAnsi="Book Antiqua" w:cs="Book Antiqua"/>
          <w:color w:val="000000"/>
        </w:rPr>
        <w:t>d</w:t>
      </w:r>
      <w:r w:rsidRPr="00E940C3">
        <w:rPr>
          <w:rFonts w:ascii="Book Antiqua" w:eastAsia="Book Antiqua" w:hAnsi="Book Antiqua" w:cs="Book Antiqua"/>
          <w:color w:val="000000"/>
        </w:rPr>
        <w:t xml:space="preserve"> OS of 9.9, 9.8 and 6.6 mo, respectively</w:t>
      </w:r>
      <w:r w:rsidRPr="00E940C3">
        <w:rPr>
          <w:rFonts w:ascii="Book Antiqua" w:eastAsia="Book Antiqua" w:hAnsi="Book Antiqua" w:cs="Book Antiqua"/>
          <w:color w:val="000000"/>
          <w:vertAlign w:val="superscript"/>
        </w:rPr>
        <w:t>[32]</w:t>
      </w:r>
      <w:r w:rsidRPr="00E940C3">
        <w:rPr>
          <w:rFonts w:ascii="Book Antiqua" w:eastAsia="Book Antiqua" w:hAnsi="Book Antiqua" w:cs="Book Antiqua"/>
          <w:color w:val="000000"/>
        </w:rPr>
        <w:t>. Patient characteristics</w:t>
      </w:r>
      <w:r w:rsidR="00EC0464"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including age and PS</w:t>
      </w:r>
      <w:r w:rsidR="0057347E"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varied substantially</w:t>
      </w:r>
      <w:r w:rsidR="0057347E" w:rsidRPr="00E940C3">
        <w:rPr>
          <w:rFonts w:ascii="Book Antiqua" w:eastAsia="Book Antiqua" w:hAnsi="Book Antiqua" w:cs="Book Antiqua"/>
          <w:color w:val="000000"/>
        </w:rPr>
        <w:t xml:space="preserve"> among the three groups</w:t>
      </w:r>
      <w:r w:rsidRPr="00E940C3">
        <w:rPr>
          <w:rFonts w:ascii="Book Antiqua" w:eastAsia="Book Antiqua" w:hAnsi="Book Antiqua" w:cs="Book Antiqua"/>
          <w:color w:val="000000"/>
        </w:rPr>
        <w:t>. No significant differences in grade 3 or higher toxicities were reported between FFX and GnP.</w:t>
      </w:r>
    </w:p>
    <w:p w14:paraId="25DD74ED" w14:textId="77777777" w:rsidR="00A77B3E" w:rsidRPr="00E940C3" w:rsidRDefault="00A77B3E" w:rsidP="00265AC6">
      <w:pPr>
        <w:snapToGrid w:val="0"/>
        <w:spacing w:line="360" w:lineRule="auto"/>
        <w:jc w:val="both"/>
        <w:rPr>
          <w:rFonts w:ascii="Book Antiqua" w:hAnsi="Book Antiqua"/>
        </w:rPr>
      </w:pPr>
    </w:p>
    <w:p w14:paraId="3BDB7799" w14:textId="25A41004" w:rsidR="00A77B3E" w:rsidRPr="00E940C3" w:rsidRDefault="00B70BAD" w:rsidP="00265AC6">
      <w:pPr>
        <w:snapToGrid w:val="0"/>
        <w:spacing w:line="360" w:lineRule="auto"/>
        <w:jc w:val="both"/>
        <w:rPr>
          <w:rFonts w:ascii="Book Antiqua" w:hAnsi="Book Antiqua"/>
          <w:b/>
          <w:i/>
        </w:rPr>
      </w:pPr>
      <w:r w:rsidRPr="00E940C3">
        <w:rPr>
          <w:rFonts w:ascii="Book Antiqua" w:eastAsia="Book Antiqua" w:hAnsi="Book Antiqua" w:cs="Book Antiqua"/>
          <w:b/>
          <w:i/>
          <w:color w:val="000000"/>
        </w:rPr>
        <w:t>Second</w:t>
      </w:r>
      <w:r w:rsidR="00C2098E" w:rsidRPr="00E940C3">
        <w:rPr>
          <w:rFonts w:ascii="Book Antiqua" w:eastAsia="Book Antiqua" w:hAnsi="Book Antiqua" w:cs="Book Antiqua"/>
          <w:b/>
          <w:i/>
          <w:color w:val="000000"/>
        </w:rPr>
        <w:t>-</w:t>
      </w:r>
      <w:r w:rsidRPr="00E940C3">
        <w:rPr>
          <w:rFonts w:ascii="Book Antiqua" w:eastAsia="Book Antiqua" w:hAnsi="Book Antiqua" w:cs="Book Antiqua"/>
          <w:b/>
          <w:i/>
          <w:color w:val="000000"/>
        </w:rPr>
        <w:t>line real</w:t>
      </w:r>
      <w:r w:rsidR="00F01B51" w:rsidRPr="00E940C3">
        <w:rPr>
          <w:rFonts w:ascii="Book Antiqua" w:eastAsia="Book Antiqua" w:hAnsi="Book Antiqua" w:cs="Book Antiqua"/>
          <w:b/>
          <w:i/>
          <w:color w:val="000000"/>
        </w:rPr>
        <w:t>-</w:t>
      </w:r>
      <w:r w:rsidRPr="00E940C3">
        <w:rPr>
          <w:rFonts w:ascii="Book Antiqua" w:eastAsia="Book Antiqua" w:hAnsi="Book Antiqua" w:cs="Book Antiqua"/>
          <w:b/>
          <w:i/>
          <w:color w:val="000000"/>
        </w:rPr>
        <w:t>world studies</w:t>
      </w:r>
    </w:p>
    <w:p w14:paraId="1436AD67" w14:textId="36877FF7" w:rsidR="00A77B3E" w:rsidRPr="00E940C3" w:rsidRDefault="00B70BAD" w:rsidP="00421B03">
      <w:pPr>
        <w:snapToGrid w:val="0"/>
        <w:spacing w:line="360" w:lineRule="auto"/>
        <w:jc w:val="both"/>
        <w:rPr>
          <w:rFonts w:ascii="Book Antiqua" w:hAnsi="Book Antiqua"/>
        </w:rPr>
      </w:pPr>
      <w:r w:rsidRPr="00E940C3">
        <w:rPr>
          <w:rFonts w:ascii="Book Antiqua" w:eastAsia="Book Antiqua" w:hAnsi="Book Antiqua" w:cs="Book Antiqua"/>
          <w:b/>
          <w:color w:val="000000"/>
        </w:rPr>
        <w:t xml:space="preserve">Second-line treatment in </w:t>
      </w:r>
      <w:r w:rsidR="003C2A07" w:rsidRPr="00E940C3">
        <w:rPr>
          <w:rFonts w:ascii="Book Antiqua" w:eastAsia="Book Antiqua" w:hAnsi="Book Antiqua" w:cs="Book Antiqua"/>
          <w:b/>
          <w:color w:val="000000"/>
        </w:rPr>
        <w:t>PDAC</w:t>
      </w:r>
      <w:r w:rsidR="003C64D6"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Despite advancements in the first-line treatment of advanced </w:t>
      </w:r>
      <w:r w:rsidR="003C2A07" w:rsidRPr="00E940C3">
        <w:rPr>
          <w:rFonts w:ascii="Book Antiqua" w:eastAsia="Book Antiqua" w:hAnsi="Book Antiqua" w:cs="Book Antiqua"/>
          <w:color w:val="000000"/>
        </w:rPr>
        <w:t>PDAC</w:t>
      </w:r>
      <w:r w:rsidRPr="00E940C3">
        <w:rPr>
          <w:rFonts w:ascii="Book Antiqua" w:eastAsia="Book Antiqua" w:hAnsi="Book Antiqua" w:cs="Book Antiqua"/>
          <w:color w:val="000000"/>
        </w:rPr>
        <w:t xml:space="preserve">, most patients progress and succumb to the disease. To date, three phase III randomized clinical trials have been reported in </w:t>
      </w:r>
      <w:r w:rsidR="000C5ACF" w:rsidRPr="00E940C3">
        <w:rPr>
          <w:rFonts w:ascii="Book Antiqua" w:eastAsia="Book Antiqua" w:hAnsi="Book Antiqua" w:cs="Book Antiqua"/>
          <w:color w:val="000000"/>
        </w:rPr>
        <w:t>the second-line treatment space</w:t>
      </w:r>
      <w:r w:rsidRPr="00E940C3">
        <w:rPr>
          <w:rFonts w:ascii="Book Antiqua" w:eastAsia="Book Antiqua" w:hAnsi="Book Antiqua" w:cs="Book Antiqua"/>
          <w:color w:val="000000"/>
          <w:vertAlign w:val="superscript"/>
        </w:rPr>
        <w:t>[13–15]</w:t>
      </w:r>
      <w:r w:rsidRPr="00E940C3">
        <w:rPr>
          <w:rFonts w:ascii="Book Antiqua" w:eastAsia="Book Antiqua" w:hAnsi="Book Antiqua" w:cs="Book Antiqua"/>
          <w:color w:val="000000"/>
        </w:rPr>
        <w:t xml:space="preserve"> and are thoroughly described above under the background heading.</w:t>
      </w:r>
      <w:r w:rsidR="008934DB" w:rsidRPr="00E940C3">
        <w:rPr>
          <w:rFonts w:ascii="Book Antiqua" w:eastAsia="Book Antiqua" w:hAnsi="Book Antiqua" w:cs="Book Antiqua"/>
          <w:color w:val="000000"/>
        </w:rPr>
        <w:t xml:space="preserve"> T</w:t>
      </w:r>
      <w:r w:rsidRPr="00E940C3">
        <w:rPr>
          <w:rFonts w:ascii="Book Antiqua" w:eastAsia="Book Antiqua" w:hAnsi="Book Antiqua" w:cs="Book Antiqua"/>
          <w:color w:val="000000"/>
        </w:rPr>
        <w:t>hese three trials, compar</w:t>
      </w:r>
      <w:r w:rsidR="008934DB" w:rsidRPr="00E940C3">
        <w:rPr>
          <w:rFonts w:ascii="Book Antiqua" w:eastAsia="Book Antiqua" w:hAnsi="Book Antiqua" w:cs="Book Antiqua"/>
          <w:color w:val="000000"/>
        </w:rPr>
        <w:t>ed</w:t>
      </w:r>
      <w:r w:rsidRPr="00E940C3">
        <w:rPr>
          <w:rFonts w:ascii="Book Antiqua" w:eastAsia="Book Antiqua" w:hAnsi="Book Antiqua" w:cs="Book Antiqua"/>
          <w:color w:val="000000"/>
        </w:rPr>
        <w:t xml:space="preserve"> </w:t>
      </w:r>
      <w:r w:rsidR="00C90C6F" w:rsidRPr="00E940C3">
        <w:rPr>
          <w:rFonts w:ascii="Book Antiqua" w:eastAsia="Book Antiqua" w:hAnsi="Book Antiqua" w:cs="Book Antiqua"/>
          <w:color w:val="000000"/>
        </w:rPr>
        <w:t>5-FU</w:t>
      </w:r>
      <w:r w:rsidRPr="00E940C3">
        <w:rPr>
          <w:rFonts w:ascii="Book Antiqua" w:eastAsia="Book Antiqua" w:hAnsi="Book Antiqua" w:cs="Book Antiqua"/>
          <w:color w:val="000000"/>
        </w:rPr>
        <w:t xml:space="preserve"> alone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w:t>
      </w:r>
      <w:r w:rsidR="00C90C6F" w:rsidRPr="00E940C3">
        <w:rPr>
          <w:rFonts w:ascii="Book Antiqua" w:eastAsia="Book Antiqua" w:hAnsi="Book Antiqua" w:cs="Book Antiqua"/>
          <w:color w:val="000000"/>
        </w:rPr>
        <w:t>5-FU/</w:t>
      </w:r>
      <w:r w:rsidRPr="00E940C3">
        <w:rPr>
          <w:rFonts w:ascii="Book Antiqua" w:eastAsia="Book Antiqua" w:hAnsi="Book Antiqua" w:cs="Book Antiqua"/>
          <w:color w:val="000000"/>
        </w:rPr>
        <w:t>oxaliplatin doublets</w:t>
      </w:r>
      <w:r w:rsidRPr="00E940C3">
        <w:rPr>
          <w:rFonts w:ascii="Book Antiqua" w:eastAsia="Book Antiqua" w:hAnsi="Book Antiqua" w:cs="Book Antiqua"/>
          <w:color w:val="000000"/>
          <w:vertAlign w:val="superscript"/>
        </w:rPr>
        <w:t>[13</w:t>
      </w:r>
      <w:r w:rsidR="00C90C6F" w:rsidRPr="00E940C3">
        <w:rPr>
          <w:rFonts w:ascii="Book Antiqua" w:eastAsia="Book Antiqua" w:hAnsi="Book Antiqua" w:cs="Book Antiqua"/>
          <w:color w:val="000000"/>
          <w:vertAlign w:val="superscript"/>
        </w:rPr>
        <w:t>,</w:t>
      </w:r>
      <w:r w:rsidRPr="00E940C3">
        <w:rPr>
          <w:rFonts w:ascii="Book Antiqua" w:eastAsia="Book Antiqua" w:hAnsi="Book Antiqua" w:cs="Book Antiqua"/>
          <w:color w:val="000000"/>
          <w:vertAlign w:val="superscript"/>
        </w:rPr>
        <w:t>14]</w:t>
      </w:r>
      <w:r w:rsidRPr="00E940C3">
        <w:rPr>
          <w:rFonts w:ascii="Book Antiqua" w:eastAsia="Book Antiqua" w:hAnsi="Book Antiqua" w:cs="Book Antiqua"/>
          <w:color w:val="000000"/>
        </w:rPr>
        <w:t xml:space="preserve"> or </w:t>
      </w:r>
      <w:r w:rsidR="00C90C6F" w:rsidRPr="00E940C3">
        <w:rPr>
          <w:rFonts w:ascii="Book Antiqua" w:eastAsia="Book Antiqua" w:hAnsi="Book Antiqua" w:cs="Book Antiqua"/>
          <w:color w:val="000000"/>
        </w:rPr>
        <w:t>5-FU</w:t>
      </w:r>
      <w:r w:rsidRPr="00E940C3">
        <w:rPr>
          <w:rFonts w:ascii="Book Antiqua" w:eastAsia="Book Antiqua" w:hAnsi="Book Antiqua" w:cs="Book Antiqua"/>
          <w:color w:val="000000"/>
        </w:rPr>
        <w:t xml:space="preserve">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nal-irinothecan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w:t>
      </w:r>
      <w:r w:rsidR="00C90C6F" w:rsidRPr="00E940C3">
        <w:rPr>
          <w:rFonts w:ascii="Book Antiqua" w:eastAsia="Book Antiqua" w:hAnsi="Book Antiqua" w:cs="Book Antiqua"/>
          <w:color w:val="000000"/>
        </w:rPr>
        <w:t>5-FU</w:t>
      </w:r>
      <w:r w:rsidRPr="00E940C3">
        <w:rPr>
          <w:rFonts w:ascii="Book Antiqua" w:eastAsia="Book Antiqua" w:hAnsi="Book Antiqua" w:cs="Book Antiqua"/>
          <w:color w:val="000000"/>
        </w:rPr>
        <w:t>/nal-irinothecan doublet</w:t>
      </w:r>
      <w:r w:rsidRPr="00E940C3">
        <w:rPr>
          <w:rFonts w:ascii="Book Antiqua" w:eastAsia="Book Antiqua" w:hAnsi="Book Antiqua" w:cs="Book Antiqua"/>
          <w:color w:val="000000"/>
          <w:vertAlign w:val="superscript"/>
        </w:rPr>
        <w:t>[15]</w:t>
      </w:r>
      <w:r w:rsidRPr="00E940C3">
        <w:rPr>
          <w:rFonts w:ascii="Book Antiqua" w:eastAsia="Book Antiqua" w:hAnsi="Book Antiqua" w:cs="Book Antiqua"/>
          <w:color w:val="000000"/>
        </w:rPr>
        <w:t xml:space="preserve">, </w:t>
      </w:r>
      <w:r w:rsidR="00626516" w:rsidRPr="00E940C3">
        <w:rPr>
          <w:rFonts w:ascii="Book Antiqua" w:eastAsia="Book Antiqua" w:hAnsi="Book Antiqua" w:cs="Book Antiqua"/>
          <w:color w:val="000000"/>
        </w:rPr>
        <w:t xml:space="preserve">and </w:t>
      </w:r>
      <w:r w:rsidRPr="00E940C3">
        <w:rPr>
          <w:rFonts w:ascii="Book Antiqua" w:eastAsia="Book Antiqua" w:hAnsi="Book Antiqua" w:cs="Book Antiqua"/>
          <w:color w:val="000000"/>
        </w:rPr>
        <w:t xml:space="preserve">were all conducted after the patients progressed on gemcitabine-based chemotherapy </w:t>
      </w:r>
      <w:r w:rsidR="00626516" w:rsidRPr="00E940C3">
        <w:rPr>
          <w:rFonts w:ascii="Book Antiqua" w:eastAsia="Book Antiqua" w:hAnsi="Book Antiqua" w:cs="Book Antiqua"/>
          <w:color w:val="000000"/>
        </w:rPr>
        <w:t>as</w:t>
      </w:r>
      <w:r w:rsidRPr="00E940C3">
        <w:rPr>
          <w:rFonts w:ascii="Book Antiqua" w:eastAsia="Book Antiqua" w:hAnsi="Book Antiqua" w:cs="Book Antiqua"/>
          <w:color w:val="000000"/>
        </w:rPr>
        <w:t xml:space="preserve"> first-line treatment for advanced PDAC. However, the contemporary </w:t>
      </w:r>
      <w:r w:rsidR="00C46904" w:rsidRPr="00E940C3">
        <w:rPr>
          <w:rFonts w:ascii="Book Antiqua" w:eastAsia="Book Antiqua" w:hAnsi="Book Antiqua" w:cs="Book Antiqua"/>
          <w:color w:val="000000"/>
        </w:rPr>
        <w:t xml:space="preserve">first-line </w:t>
      </w:r>
      <w:r w:rsidRPr="00E940C3">
        <w:rPr>
          <w:rFonts w:ascii="Book Antiqua" w:eastAsia="Book Antiqua" w:hAnsi="Book Antiqua" w:cs="Book Antiqua"/>
          <w:color w:val="000000"/>
        </w:rPr>
        <w:t xml:space="preserve">standard </w:t>
      </w:r>
      <w:r w:rsidR="00C46904" w:rsidRPr="00E940C3">
        <w:rPr>
          <w:rFonts w:ascii="Book Antiqua" w:eastAsia="Book Antiqua" w:hAnsi="Book Antiqua" w:cs="Book Antiqua"/>
          <w:color w:val="000000"/>
        </w:rPr>
        <w:t xml:space="preserve">treatment </w:t>
      </w:r>
      <w:r w:rsidRPr="00E940C3">
        <w:rPr>
          <w:rFonts w:ascii="Book Antiqua" w:eastAsia="Book Antiqua" w:hAnsi="Book Antiqua" w:cs="Book Antiqua"/>
          <w:color w:val="000000"/>
        </w:rPr>
        <w:t>include</w:t>
      </w:r>
      <w:r w:rsidR="009B29BF" w:rsidRPr="00E940C3">
        <w:rPr>
          <w:rFonts w:ascii="Book Antiqua" w:eastAsia="Book Antiqua" w:hAnsi="Book Antiqua" w:cs="Book Antiqua"/>
          <w:color w:val="000000"/>
        </w:rPr>
        <w:t>d</w:t>
      </w:r>
      <w:r w:rsidRPr="00E940C3">
        <w:rPr>
          <w:rFonts w:ascii="Book Antiqua" w:eastAsia="Book Antiqua" w:hAnsi="Book Antiqua" w:cs="Book Antiqua"/>
          <w:color w:val="000000"/>
        </w:rPr>
        <w:t xml:space="preserve"> FFX or GnP combinations for patients with good </w:t>
      </w:r>
      <w:r w:rsidR="0031767F" w:rsidRPr="00E940C3">
        <w:rPr>
          <w:rFonts w:ascii="Book Antiqua" w:eastAsia="Book Antiqua" w:hAnsi="Book Antiqua" w:cs="Book Antiqua"/>
          <w:color w:val="000000"/>
        </w:rPr>
        <w:t>PS</w:t>
      </w:r>
      <w:r w:rsidRPr="00E940C3">
        <w:rPr>
          <w:rFonts w:ascii="Book Antiqua" w:eastAsia="Book Antiqua" w:hAnsi="Book Antiqua" w:cs="Book Antiqua"/>
          <w:color w:val="000000"/>
          <w:vertAlign w:val="superscript"/>
        </w:rPr>
        <w:t>[11,12]</w:t>
      </w:r>
      <w:r w:rsidRPr="00E940C3">
        <w:rPr>
          <w:rFonts w:ascii="Book Antiqua" w:eastAsia="Book Antiqua" w:hAnsi="Book Antiqua" w:cs="Book Antiqua"/>
          <w:color w:val="000000"/>
        </w:rPr>
        <w:t xml:space="preserve">. There are no randomized clinical trial data </w:t>
      </w:r>
      <w:r w:rsidR="0031767F" w:rsidRPr="00E940C3">
        <w:rPr>
          <w:rFonts w:ascii="Book Antiqua" w:eastAsia="Book Antiqua" w:hAnsi="Book Antiqua" w:cs="Book Antiqua"/>
          <w:color w:val="000000"/>
        </w:rPr>
        <w:t>for</w:t>
      </w:r>
      <w:r w:rsidRPr="00E940C3">
        <w:rPr>
          <w:rFonts w:ascii="Book Antiqua" w:eastAsia="Book Antiqua" w:hAnsi="Book Antiqua" w:cs="Book Antiqua"/>
          <w:color w:val="000000"/>
        </w:rPr>
        <w:t xml:space="preserve"> second-line </w:t>
      </w:r>
      <w:r w:rsidRPr="00E940C3">
        <w:rPr>
          <w:rFonts w:ascii="Book Antiqua" w:eastAsia="Book Antiqua" w:hAnsi="Book Antiqua" w:cs="Book Antiqua"/>
          <w:color w:val="000000"/>
        </w:rPr>
        <w:lastRenderedPageBreak/>
        <w:t xml:space="preserve">treatment specifically after failure on FFX and GnP. </w:t>
      </w:r>
      <w:r w:rsidR="000B6738"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econd-line treatment of advanced pancreatic cancer is largely driven by the chemotherapy regimen administered in the first-line setting. In a large real-world study that examined the outcome of 167 patients with advanced PDAC using several treatment regimens, the </w:t>
      </w:r>
      <w:r w:rsidR="000B6738" w:rsidRPr="00E940C3">
        <w:rPr>
          <w:rFonts w:ascii="Book Antiqua" w:eastAsia="Book Antiqua" w:hAnsi="Book Antiqua" w:cs="Book Antiqua"/>
          <w:color w:val="000000"/>
        </w:rPr>
        <w:t>m</w:t>
      </w:r>
      <w:r w:rsidRPr="00E940C3">
        <w:rPr>
          <w:rFonts w:ascii="Book Antiqua" w:eastAsia="Book Antiqua" w:hAnsi="Book Antiqua" w:cs="Book Antiqua"/>
          <w:color w:val="000000"/>
        </w:rPr>
        <w:t>OS from start of second</w:t>
      </w:r>
      <w:r w:rsidR="0046155E" w:rsidRPr="00E940C3">
        <w:rPr>
          <w:rFonts w:ascii="Book Antiqua" w:eastAsia="Book Antiqua" w:hAnsi="Book Antiqua" w:cs="Book Antiqua"/>
          <w:color w:val="000000"/>
        </w:rPr>
        <w:t>-</w:t>
      </w:r>
      <w:r w:rsidRPr="00E940C3">
        <w:rPr>
          <w:rFonts w:ascii="Book Antiqua" w:eastAsia="Book Antiqua" w:hAnsi="Book Antiqua" w:cs="Book Antiqua"/>
          <w:color w:val="000000"/>
        </w:rPr>
        <w:t>line therapy (OS2) was 5.2 mo</w:t>
      </w:r>
      <w:r w:rsidR="0046155E"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plasma albumin, serum CA-19-9, and performance status were identified as key prognostic factors</w:t>
      </w:r>
      <w:r w:rsidRPr="00E940C3">
        <w:rPr>
          <w:rFonts w:ascii="Book Antiqua" w:eastAsia="Book Antiqua" w:hAnsi="Book Antiqua" w:cs="Book Antiqua"/>
          <w:color w:val="000000"/>
          <w:vertAlign w:val="superscript"/>
        </w:rPr>
        <w:t>[33]</w:t>
      </w:r>
      <w:r w:rsidRPr="00E940C3">
        <w:rPr>
          <w:rFonts w:ascii="Book Antiqua" w:eastAsia="Book Antiqua" w:hAnsi="Book Antiqua" w:cs="Book Antiqua"/>
          <w:color w:val="000000"/>
        </w:rPr>
        <w:t>.</w:t>
      </w:r>
    </w:p>
    <w:p w14:paraId="10A70962" w14:textId="77777777" w:rsidR="00A77B3E" w:rsidRPr="00E940C3" w:rsidRDefault="00A77B3E" w:rsidP="00265AC6">
      <w:pPr>
        <w:snapToGrid w:val="0"/>
        <w:spacing w:line="360" w:lineRule="auto"/>
        <w:jc w:val="both"/>
        <w:rPr>
          <w:rFonts w:ascii="Book Antiqua" w:hAnsi="Book Antiqua"/>
        </w:rPr>
      </w:pPr>
    </w:p>
    <w:p w14:paraId="783B65F1" w14:textId="433C03C8" w:rsidR="00A77B3E" w:rsidRPr="00E940C3" w:rsidRDefault="00B70BAD" w:rsidP="00421B03">
      <w:pPr>
        <w:snapToGrid w:val="0"/>
        <w:spacing w:line="360" w:lineRule="auto"/>
        <w:jc w:val="both"/>
        <w:rPr>
          <w:rFonts w:ascii="Book Antiqua" w:hAnsi="Book Antiqua"/>
        </w:rPr>
      </w:pPr>
      <w:r w:rsidRPr="00E940C3">
        <w:rPr>
          <w:rFonts w:ascii="Book Antiqua" w:eastAsia="Book Antiqua" w:hAnsi="Book Antiqua" w:cs="Book Antiqua"/>
          <w:b/>
          <w:color w:val="000000"/>
        </w:rPr>
        <w:t>Second</w:t>
      </w:r>
      <w:r w:rsidR="0046155E" w:rsidRPr="00E940C3">
        <w:rPr>
          <w:rFonts w:ascii="Book Antiqua" w:eastAsia="Book Antiqua" w:hAnsi="Book Antiqua" w:cs="Book Antiqua"/>
          <w:b/>
          <w:color w:val="000000"/>
        </w:rPr>
        <w:t>-</w:t>
      </w:r>
      <w:r w:rsidRPr="00E940C3">
        <w:rPr>
          <w:rFonts w:ascii="Book Antiqua" w:eastAsia="Book Antiqua" w:hAnsi="Book Antiqua" w:cs="Book Antiqua"/>
          <w:b/>
          <w:color w:val="000000"/>
        </w:rPr>
        <w:t>line treatment after first</w:t>
      </w:r>
      <w:r w:rsidR="008C19B4">
        <w:rPr>
          <w:rFonts w:ascii="Book Antiqua" w:eastAsia="Book Antiqua" w:hAnsi="Book Antiqua" w:cs="Book Antiqua"/>
          <w:b/>
          <w:color w:val="000000"/>
        </w:rPr>
        <w:t>-line</w:t>
      </w:r>
      <w:r w:rsidRPr="00E940C3">
        <w:rPr>
          <w:rFonts w:ascii="Book Antiqua" w:eastAsia="Book Antiqua" w:hAnsi="Book Antiqua" w:cs="Book Antiqua"/>
          <w:b/>
          <w:color w:val="000000"/>
        </w:rPr>
        <w:t xml:space="preserve"> FFX</w:t>
      </w:r>
      <w:r w:rsidR="00E63E58" w:rsidRPr="00E940C3">
        <w:rPr>
          <w:rFonts w:ascii="Book Antiqua" w:eastAsia="Book Antiqua" w:hAnsi="Book Antiqua" w:cs="Book Antiqua"/>
          <w:b/>
          <w:color w:val="000000"/>
        </w:rPr>
        <w:t xml:space="preserve">: </w:t>
      </w:r>
      <w:r w:rsidRPr="00E940C3">
        <w:rPr>
          <w:rFonts w:ascii="Book Antiqua" w:eastAsia="Book Antiqua" w:hAnsi="Book Antiqua" w:cs="Book Antiqua"/>
          <w:color w:val="000000"/>
        </w:rPr>
        <w:t>In the real</w:t>
      </w:r>
      <w:r w:rsidR="0046155E"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world, such patients </w:t>
      </w:r>
      <w:r w:rsidR="0037554D" w:rsidRPr="00E940C3">
        <w:rPr>
          <w:rFonts w:ascii="Book Antiqua" w:eastAsia="Book Antiqua" w:hAnsi="Book Antiqua" w:cs="Book Antiqua"/>
          <w:color w:val="000000"/>
        </w:rPr>
        <w:t>are usually</w:t>
      </w:r>
      <w:r w:rsidRPr="00E940C3">
        <w:rPr>
          <w:rFonts w:ascii="Book Antiqua" w:eastAsia="Book Antiqua" w:hAnsi="Book Antiqua" w:cs="Book Antiqua"/>
          <w:color w:val="000000"/>
        </w:rPr>
        <w:t xml:space="preserve"> treated with GnP combination or gemcitabine monotherapy. The initial supportive evidence for use of GnP after first</w:t>
      </w:r>
      <w:r w:rsidR="004C1CAA"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use of FFX in advanced pancreatic cancer was published in </w:t>
      </w:r>
      <w:r w:rsidR="004C1CAA" w:rsidRPr="00E940C3">
        <w:rPr>
          <w:rFonts w:ascii="Book Antiqua" w:eastAsia="Book Antiqua" w:hAnsi="Book Antiqua" w:cs="Book Antiqua"/>
          <w:color w:val="000000"/>
        </w:rPr>
        <w:t xml:space="preserve">the </w:t>
      </w:r>
      <w:r w:rsidRPr="00E940C3">
        <w:rPr>
          <w:rFonts w:ascii="Book Antiqua" w:eastAsia="Book Antiqua" w:hAnsi="Book Antiqua" w:cs="Book Antiqua"/>
          <w:color w:val="000000"/>
        </w:rPr>
        <w:t>form of case reports</w:t>
      </w:r>
      <w:r w:rsidRPr="00E940C3">
        <w:rPr>
          <w:rFonts w:ascii="Book Antiqua" w:eastAsia="Book Antiqua" w:hAnsi="Book Antiqua" w:cs="Book Antiqua"/>
          <w:color w:val="000000"/>
          <w:vertAlign w:val="superscript"/>
        </w:rPr>
        <w:t>[34,35]</w:t>
      </w:r>
      <w:r w:rsidRPr="00E940C3">
        <w:rPr>
          <w:rFonts w:ascii="Book Antiqua" w:eastAsia="Book Antiqua" w:hAnsi="Book Antiqua" w:cs="Book Antiqua"/>
          <w:color w:val="000000"/>
        </w:rPr>
        <w:t xml:space="preserve">. Subsequently, a prospective </w:t>
      </w:r>
      <w:r w:rsidR="00E940C3" w:rsidRPr="00E940C3">
        <w:rPr>
          <w:rFonts w:ascii="Book Antiqua" w:eastAsia="Book Antiqua" w:hAnsi="Book Antiqua" w:cs="Book Antiqua"/>
          <w:color w:val="000000"/>
        </w:rPr>
        <w:t>multicenter</w:t>
      </w:r>
      <w:r w:rsidRPr="00E940C3">
        <w:rPr>
          <w:rFonts w:ascii="Book Antiqua" w:eastAsia="Book Antiqua" w:hAnsi="Book Antiqua" w:cs="Book Antiqua"/>
          <w:color w:val="000000"/>
        </w:rPr>
        <w:t xml:space="preserve"> cohort study of 57 patients treated with GnP after FFX failure reported </w:t>
      </w:r>
      <w:r w:rsidR="00081BFA" w:rsidRPr="00E940C3">
        <w:rPr>
          <w:rFonts w:ascii="Book Antiqua" w:eastAsia="Book Antiqua" w:hAnsi="Book Antiqua" w:cs="Book Antiqua"/>
          <w:color w:val="000000"/>
        </w:rPr>
        <w:t xml:space="preserve">an </w:t>
      </w:r>
      <w:r w:rsidR="004C1CAA" w:rsidRPr="00E940C3">
        <w:rPr>
          <w:rFonts w:ascii="Book Antiqua" w:eastAsia="Book Antiqua" w:hAnsi="Book Antiqua" w:cs="Book Antiqua"/>
          <w:color w:val="000000"/>
        </w:rPr>
        <w:t>m</w:t>
      </w:r>
      <w:r w:rsidRPr="00E940C3">
        <w:rPr>
          <w:rFonts w:ascii="Book Antiqua" w:eastAsia="Book Antiqua" w:hAnsi="Book Antiqua" w:cs="Book Antiqua"/>
          <w:color w:val="000000"/>
        </w:rPr>
        <w:t xml:space="preserve">PFS </w:t>
      </w:r>
      <w:r w:rsidR="00081BFA" w:rsidRPr="00E940C3">
        <w:rPr>
          <w:rFonts w:ascii="Book Antiqua" w:eastAsia="Book Antiqua" w:hAnsi="Book Antiqua" w:cs="Book Antiqua"/>
          <w:color w:val="000000"/>
        </w:rPr>
        <w:t xml:space="preserve">of 5.1 mo </w:t>
      </w:r>
      <w:r w:rsidRPr="00E940C3">
        <w:rPr>
          <w:rFonts w:ascii="Book Antiqua" w:eastAsia="Book Antiqua" w:hAnsi="Book Antiqua" w:cs="Book Antiqua"/>
          <w:color w:val="000000"/>
        </w:rPr>
        <w:t xml:space="preserve">and </w:t>
      </w:r>
      <w:r w:rsidR="00081BFA" w:rsidRPr="00E940C3">
        <w:rPr>
          <w:rFonts w:ascii="Book Antiqua" w:eastAsia="Book Antiqua" w:hAnsi="Book Antiqua" w:cs="Book Antiqua"/>
          <w:color w:val="000000"/>
        </w:rPr>
        <w:t xml:space="preserve">an </w:t>
      </w:r>
      <w:r w:rsidRPr="00E940C3">
        <w:rPr>
          <w:rFonts w:ascii="Book Antiqua" w:eastAsia="Book Antiqua" w:hAnsi="Book Antiqua" w:cs="Book Antiqua"/>
          <w:color w:val="000000"/>
        </w:rPr>
        <w:t>OS2 of 8.8 mo</w:t>
      </w:r>
      <w:r w:rsidRPr="00E940C3">
        <w:rPr>
          <w:rFonts w:ascii="Book Antiqua" w:eastAsia="Book Antiqua" w:hAnsi="Book Antiqua" w:cs="Book Antiqua"/>
          <w:color w:val="000000"/>
          <w:vertAlign w:val="superscript"/>
        </w:rPr>
        <w:t>[36]</w:t>
      </w:r>
      <w:r w:rsidRPr="00E940C3">
        <w:rPr>
          <w:rFonts w:ascii="Book Antiqua" w:eastAsia="Book Antiqua" w:hAnsi="Book Antiqua" w:cs="Book Antiqua"/>
          <w:color w:val="000000"/>
        </w:rPr>
        <w:t>. It is noteworthy that just over half of the patients who received FFX for advanced pancreatic cancer in the frontline setting were eligible to receive salvage therapy with GnP in this cohort study. The objective response rate was 17.5%, while the disease control rate was 58.0%. From the start of first-line chemotherapy, the median OS was 18.0 mo. Grade 3-4 toxicities were observed in 40.0%</w:t>
      </w:r>
      <w:r w:rsidR="00AD4F12" w:rsidRPr="00E940C3">
        <w:rPr>
          <w:rFonts w:ascii="Book Antiqua" w:eastAsia="Book Antiqua" w:hAnsi="Book Antiqua" w:cs="Book Antiqua"/>
          <w:color w:val="000000"/>
        </w:rPr>
        <w:t xml:space="preserve"> of patients</w:t>
      </w:r>
      <w:r w:rsidRPr="00E940C3">
        <w:rPr>
          <w:rFonts w:ascii="Book Antiqua" w:eastAsia="Book Antiqua" w:hAnsi="Book Antiqua" w:cs="Book Antiqua"/>
          <w:color w:val="000000"/>
        </w:rPr>
        <w:t>, of which neutropenia and neuropathy were the two most common. Recently, a phase II study of 30 patients reported in this setting described a</w:t>
      </w:r>
      <w:r w:rsidR="00B56765" w:rsidRPr="00E940C3">
        <w:rPr>
          <w:rFonts w:ascii="Book Antiqua" w:eastAsia="Book Antiqua" w:hAnsi="Book Antiqua" w:cs="Book Antiqua"/>
          <w:color w:val="000000"/>
        </w:rPr>
        <w:t>n</w:t>
      </w:r>
      <w:r w:rsidRPr="00E940C3">
        <w:rPr>
          <w:rFonts w:ascii="Book Antiqua" w:eastAsia="Book Antiqua" w:hAnsi="Book Antiqua" w:cs="Book Antiqua"/>
          <w:color w:val="000000"/>
        </w:rPr>
        <w:t xml:space="preserve"> </w:t>
      </w:r>
      <w:r w:rsidR="00B56765" w:rsidRPr="00E940C3">
        <w:rPr>
          <w:rFonts w:ascii="Book Antiqua" w:eastAsia="Book Antiqua" w:hAnsi="Book Antiqua" w:cs="Book Antiqua"/>
          <w:color w:val="000000"/>
        </w:rPr>
        <w:t>m</w:t>
      </w:r>
      <w:r w:rsidRPr="00E940C3">
        <w:rPr>
          <w:rFonts w:ascii="Book Antiqua" w:eastAsia="Book Antiqua" w:hAnsi="Book Antiqua" w:cs="Book Antiqua"/>
          <w:color w:val="000000"/>
        </w:rPr>
        <w:t xml:space="preserve">PFS </w:t>
      </w:r>
      <w:r w:rsidR="00B56765" w:rsidRPr="00E940C3">
        <w:rPr>
          <w:rFonts w:ascii="Book Antiqua" w:eastAsia="Book Antiqua" w:hAnsi="Book Antiqua" w:cs="Book Antiqua"/>
          <w:color w:val="000000"/>
        </w:rPr>
        <w:t xml:space="preserve">of 3.8 mo </w:t>
      </w:r>
      <w:r w:rsidRPr="00E940C3">
        <w:rPr>
          <w:rFonts w:ascii="Book Antiqua" w:eastAsia="Book Antiqua" w:hAnsi="Book Antiqua" w:cs="Book Antiqua"/>
          <w:color w:val="000000"/>
        </w:rPr>
        <w:t>and</w:t>
      </w:r>
      <w:r w:rsidR="00B56765" w:rsidRPr="00E940C3">
        <w:rPr>
          <w:rFonts w:ascii="Book Antiqua" w:eastAsia="Book Antiqua" w:hAnsi="Book Antiqua" w:cs="Book Antiqua"/>
          <w:color w:val="000000"/>
        </w:rPr>
        <w:t xml:space="preserve"> an</w:t>
      </w:r>
      <w:r w:rsidRPr="00E940C3">
        <w:rPr>
          <w:rFonts w:ascii="Book Antiqua" w:eastAsia="Book Antiqua" w:hAnsi="Book Antiqua" w:cs="Book Antiqua"/>
          <w:color w:val="000000"/>
        </w:rPr>
        <w:t xml:space="preserve"> OS2 of 7.6 mo</w:t>
      </w:r>
      <w:r w:rsidRPr="00E940C3">
        <w:rPr>
          <w:rFonts w:ascii="Book Antiqua" w:eastAsia="Book Antiqua" w:hAnsi="Book Antiqua" w:cs="Book Antiqua"/>
          <w:color w:val="000000"/>
          <w:vertAlign w:val="superscript"/>
        </w:rPr>
        <w:t>[37]</w:t>
      </w:r>
      <w:r w:rsidRPr="00E940C3">
        <w:rPr>
          <w:rFonts w:ascii="Book Antiqua" w:eastAsia="Book Antiqua" w:hAnsi="Book Antiqua" w:cs="Book Antiqua"/>
          <w:color w:val="000000"/>
        </w:rPr>
        <w:t>. The corresponding figures from the start of first</w:t>
      </w:r>
      <w:r w:rsidR="00ED5B90"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chemotherapy were 9.3 and 14.2 mo, respectively. The overall response rate was 13.3% and the disease control rate was 46.7%. Grade 3-4 toxicities were reported in 70.0% patients, the most common being neutropenia and neuropathy. Furthermore, several real-world studies have been reported to support the use of GnP in </w:t>
      </w:r>
      <w:r w:rsidR="00DC4FE7" w:rsidRPr="00E940C3">
        <w:rPr>
          <w:rFonts w:ascii="Book Antiqua" w:eastAsia="Book Antiqua" w:hAnsi="Book Antiqua" w:cs="Book Antiqua"/>
          <w:color w:val="000000"/>
        </w:rPr>
        <w:t>as</w:t>
      </w:r>
      <w:r w:rsidRPr="00E940C3">
        <w:rPr>
          <w:rFonts w:ascii="Book Antiqua" w:eastAsia="Book Antiqua" w:hAnsi="Book Antiqua" w:cs="Book Antiqua"/>
          <w:color w:val="000000"/>
        </w:rPr>
        <w:t xml:space="preserve"> second-line </w:t>
      </w:r>
      <w:r w:rsidR="00DC4FE7" w:rsidRPr="00E940C3">
        <w:rPr>
          <w:rFonts w:ascii="Book Antiqua" w:eastAsia="Book Antiqua" w:hAnsi="Book Antiqua" w:cs="Book Antiqua"/>
          <w:color w:val="000000"/>
        </w:rPr>
        <w:t>treatment</w:t>
      </w:r>
      <w:r w:rsidRPr="00E940C3">
        <w:rPr>
          <w:rFonts w:ascii="Book Antiqua" w:eastAsia="Book Antiqua" w:hAnsi="Book Antiqua" w:cs="Book Antiqua"/>
          <w:color w:val="000000"/>
        </w:rPr>
        <w:t>. A large population-based Canadian study compared the real-world data of 368 patients with advanced PDAC treated with first-line FFX across two provinces with differential access to second-line treatment</w:t>
      </w:r>
      <w:r w:rsidRPr="00E940C3">
        <w:rPr>
          <w:rFonts w:ascii="Book Antiqua" w:eastAsia="Book Antiqua" w:hAnsi="Book Antiqua" w:cs="Book Antiqua"/>
          <w:color w:val="000000"/>
          <w:vertAlign w:val="superscript"/>
        </w:rPr>
        <w:t>[38]</w:t>
      </w:r>
      <w:r w:rsidRPr="00E940C3">
        <w:rPr>
          <w:rFonts w:ascii="Book Antiqua" w:eastAsia="Book Antiqua" w:hAnsi="Book Antiqua" w:cs="Book Antiqua"/>
          <w:color w:val="000000"/>
        </w:rPr>
        <w:t xml:space="preserve">. Of these, 159 </w:t>
      </w:r>
      <w:r w:rsidR="006C20A3" w:rsidRPr="00E940C3">
        <w:rPr>
          <w:rFonts w:ascii="Book Antiqua" w:eastAsia="Book Antiqua" w:hAnsi="Book Antiqua" w:cs="Book Antiqua"/>
          <w:color w:val="000000"/>
        </w:rPr>
        <w:t>patients</w:t>
      </w:r>
      <w:r w:rsidRPr="00E940C3">
        <w:rPr>
          <w:rFonts w:ascii="Book Antiqua" w:eastAsia="Book Antiqua" w:hAnsi="Book Antiqua" w:cs="Book Antiqua"/>
          <w:color w:val="000000"/>
        </w:rPr>
        <w:t xml:space="preserve">(43.2%) received second-line treatment that was equally </w:t>
      </w:r>
      <w:r w:rsidR="00A1184E" w:rsidRPr="00E940C3">
        <w:rPr>
          <w:rFonts w:ascii="Book Antiqua" w:eastAsia="Book Antiqua" w:hAnsi="Book Antiqua" w:cs="Book Antiqua"/>
          <w:color w:val="000000"/>
        </w:rPr>
        <w:t>allocated</w:t>
      </w:r>
      <w:r w:rsidRPr="00E940C3">
        <w:rPr>
          <w:rFonts w:ascii="Book Antiqua" w:eastAsia="Book Antiqua" w:hAnsi="Book Antiqua" w:cs="Book Antiqua"/>
          <w:color w:val="000000"/>
        </w:rPr>
        <w:t xml:space="preserve"> as GnP (49.1%) and single-agent gemcitabine (50.9%). In a secondary analysis, the m</w:t>
      </w:r>
      <w:r w:rsidR="00A1184E" w:rsidRPr="00E940C3">
        <w:rPr>
          <w:rFonts w:ascii="Book Antiqua" w:eastAsia="Book Antiqua" w:hAnsi="Book Antiqua" w:cs="Book Antiqua"/>
          <w:color w:val="000000"/>
        </w:rPr>
        <w:t xml:space="preserve">OS </w:t>
      </w:r>
      <w:r w:rsidRPr="00E940C3">
        <w:rPr>
          <w:rFonts w:ascii="Book Antiqua" w:eastAsia="Book Antiqua" w:hAnsi="Book Antiqua" w:cs="Book Antiqua"/>
          <w:color w:val="000000"/>
        </w:rPr>
        <w:t xml:space="preserve">counted from the initiation of second-line chemotherapy (OS2) was slightly longer for GnP compared </w:t>
      </w:r>
      <w:r w:rsidR="002514EF" w:rsidRPr="00E940C3">
        <w:rPr>
          <w:rFonts w:ascii="Book Antiqua" w:eastAsia="Book Antiqua" w:hAnsi="Book Antiqua" w:cs="Book Antiqua"/>
          <w:color w:val="000000"/>
        </w:rPr>
        <w:t>with</w:t>
      </w:r>
      <w:r w:rsidRPr="00E940C3">
        <w:rPr>
          <w:rFonts w:ascii="Book Antiqua" w:eastAsia="Book Antiqua" w:hAnsi="Book Antiqua" w:cs="Book Antiqua"/>
          <w:color w:val="000000"/>
        </w:rPr>
        <w:t xml:space="preserve"> (5.8 </w:t>
      </w:r>
      <w:r w:rsidR="00E421BB" w:rsidRPr="00E940C3">
        <w:rPr>
          <w:rFonts w:ascii="Book Antiqua" w:eastAsia="Book Antiqua" w:hAnsi="Book Antiqua" w:cs="Book Antiqua"/>
          <w:color w:val="000000"/>
        </w:rPr>
        <w:t>mo</w:t>
      </w:r>
      <w:r w:rsidR="00E421BB" w:rsidRPr="00E940C3">
        <w:rPr>
          <w:rFonts w:ascii="Book Antiqua" w:eastAsia="Book Antiqua" w:hAnsi="Book Antiqua" w:cs="Book Antiqua"/>
          <w:i/>
          <w:iCs/>
          <w:color w:val="000000"/>
        </w:rPr>
        <w:t xml:space="preserve">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4.6 mo, </w:t>
      </w:r>
      <w:r w:rsidRPr="00E940C3">
        <w:rPr>
          <w:rFonts w:ascii="Book Antiqua" w:eastAsia="Book Antiqua" w:hAnsi="Book Antiqua" w:cs="Book Antiqua"/>
          <w:i/>
          <w:iCs/>
          <w:color w:val="000000"/>
        </w:rPr>
        <w:t>P</w:t>
      </w:r>
      <w:r w:rsidRPr="00E940C3">
        <w:rPr>
          <w:rFonts w:ascii="Book Antiqua" w:eastAsia="Book Antiqua" w:hAnsi="Book Antiqua" w:cs="Book Antiqua"/>
          <w:color w:val="000000"/>
        </w:rPr>
        <w:t xml:space="preserve"> = 0.01).</w:t>
      </w:r>
    </w:p>
    <w:p w14:paraId="60A81DB0" w14:textId="6C01645C" w:rsidR="00A77B3E" w:rsidRPr="00E940C3" w:rsidRDefault="00B70BAD" w:rsidP="00D152A9">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lastRenderedPageBreak/>
        <w:t>Another Canadian study included 60 patients with advanced PDAC who received FFX as the first</w:t>
      </w:r>
      <w:r w:rsidR="008F35AA" w:rsidRPr="00E940C3">
        <w:rPr>
          <w:rFonts w:ascii="Book Antiqua" w:eastAsia="Book Antiqua" w:hAnsi="Book Antiqua" w:cs="Book Antiqua"/>
          <w:color w:val="000000"/>
        </w:rPr>
        <w:t>-</w:t>
      </w:r>
      <w:r w:rsidRPr="00E940C3">
        <w:rPr>
          <w:rFonts w:ascii="Book Antiqua" w:eastAsia="Book Antiqua" w:hAnsi="Book Antiqua" w:cs="Book Antiqua"/>
          <w:color w:val="000000"/>
        </w:rPr>
        <w:t>line treatment</w:t>
      </w:r>
      <w:r w:rsidRPr="00E940C3">
        <w:rPr>
          <w:rFonts w:ascii="Book Antiqua" w:eastAsia="Book Antiqua" w:hAnsi="Book Antiqua" w:cs="Book Antiqua"/>
          <w:color w:val="000000"/>
          <w:vertAlign w:val="superscript"/>
        </w:rPr>
        <w:t>[39]</w:t>
      </w:r>
      <w:r w:rsidRPr="00E940C3">
        <w:rPr>
          <w:rFonts w:ascii="Book Antiqua" w:eastAsia="Book Antiqua" w:hAnsi="Book Antiqua" w:cs="Book Antiqua"/>
          <w:color w:val="000000"/>
        </w:rPr>
        <w:t xml:space="preserve">. Of these, 30 patients (50.0%) were treated with GnP, 8 (13.3%) with gemcitabine alone, </w:t>
      </w:r>
      <w:r w:rsidR="008F35AA" w:rsidRPr="00E940C3">
        <w:rPr>
          <w:rFonts w:ascii="Book Antiqua" w:eastAsia="Book Antiqua" w:hAnsi="Book Antiqua" w:cs="Book Antiqua"/>
          <w:color w:val="000000"/>
        </w:rPr>
        <w:t>and</w:t>
      </w:r>
      <w:r w:rsidRPr="00E940C3">
        <w:rPr>
          <w:rFonts w:ascii="Book Antiqua" w:eastAsia="Book Antiqua" w:hAnsi="Book Antiqua" w:cs="Book Antiqua"/>
          <w:color w:val="000000"/>
        </w:rPr>
        <w:t xml:space="preserve"> 22 patients (37.7%) received </w:t>
      </w:r>
      <w:r w:rsidR="00D152A9" w:rsidRPr="00E940C3">
        <w:rPr>
          <w:rFonts w:ascii="Book Antiqua" w:eastAsia="Book Antiqua" w:hAnsi="Book Antiqua" w:cs="Book Antiqua"/>
          <w:color w:val="000000"/>
        </w:rPr>
        <w:t>optimal</w:t>
      </w:r>
      <w:r w:rsidRPr="00E940C3">
        <w:rPr>
          <w:rFonts w:ascii="Book Antiqua" w:eastAsia="Book Antiqua" w:hAnsi="Book Antiqua" w:cs="Book Antiqua"/>
          <w:color w:val="000000"/>
        </w:rPr>
        <w:t xml:space="preserve"> supportive care. The mPFS (3.6 </w:t>
      </w:r>
      <w:r w:rsidR="00850841" w:rsidRPr="00E940C3">
        <w:rPr>
          <w:rFonts w:ascii="Book Antiqua" w:eastAsia="Book Antiqua" w:hAnsi="Book Antiqua" w:cs="Book Antiqua"/>
          <w:color w:val="000000"/>
        </w:rPr>
        <w:t>mo</w:t>
      </w:r>
      <w:r w:rsidR="00850841" w:rsidRPr="00E940C3">
        <w:rPr>
          <w:rFonts w:ascii="Book Antiqua" w:eastAsia="Book Antiqua" w:hAnsi="Book Antiqua" w:cs="Book Antiqua"/>
          <w:i/>
          <w:iCs/>
          <w:color w:val="000000"/>
        </w:rPr>
        <w:t xml:space="preserve">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2.5 mo, </w:t>
      </w:r>
      <w:r w:rsidRPr="00E940C3">
        <w:rPr>
          <w:rFonts w:ascii="Book Antiqua" w:eastAsia="Book Antiqua" w:hAnsi="Book Antiqua" w:cs="Book Antiqua"/>
          <w:i/>
          <w:iCs/>
          <w:color w:val="000000"/>
        </w:rPr>
        <w:t>P</w:t>
      </w:r>
      <w:r w:rsidRPr="00E940C3">
        <w:rPr>
          <w:rFonts w:ascii="Book Antiqua" w:eastAsia="Book Antiqua" w:hAnsi="Book Antiqua" w:cs="Book Antiqua"/>
          <w:color w:val="000000"/>
        </w:rPr>
        <w:t xml:space="preserve"> = 0.03), and OS2 (5.7 </w:t>
      </w:r>
      <w:r w:rsidR="003A6AFE" w:rsidRPr="00E940C3">
        <w:rPr>
          <w:rFonts w:ascii="Book Antiqua" w:eastAsia="Book Antiqua" w:hAnsi="Book Antiqua" w:cs="Book Antiqua"/>
          <w:color w:val="000000"/>
        </w:rPr>
        <w:t>mo</w:t>
      </w:r>
      <w:r w:rsidR="003A6AFE" w:rsidRPr="00E940C3">
        <w:rPr>
          <w:rFonts w:ascii="Book Antiqua" w:eastAsia="Book Antiqua" w:hAnsi="Book Antiqua" w:cs="Book Antiqua"/>
          <w:i/>
          <w:iCs/>
          <w:color w:val="000000"/>
        </w:rPr>
        <w:t xml:space="preserve">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3.8 mo, </w:t>
      </w:r>
      <w:r w:rsidRPr="00E940C3">
        <w:rPr>
          <w:rFonts w:ascii="Book Antiqua" w:eastAsia="Book Antiqua" w:hAnsi="Book Antiqua" w:cs="Book Antiqua"/>
          <w:i/>
          <w:iCs/>
          <w:color w:val="000000"/>
        </w:rPr>
        <w:t>P</w:t>
      </w:r>
      <w:r w:rsidRPr="00E940C3">
        <w:rPr>
          <w:rFonts w:ascii="Book Antiqua" w:eastAsia="Book Antiqua" w:hAnsi="Book Antiqua" w:cs="Book Antiqua"/>
          <w:color w:val="000000"/>
        </w:rPr>
        <w:t xml:space="preserve"> = 0.03) were longer in patients who received GnP compared with gemcitabine (Table 4).</w:t>
      </w:r>
      <w:r w:rsidR="00D152A9"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Other real-world studies have reported similar PFS and OS2 with the </w:t>
      </w:r>
      <w:r w:rsidR="007B4BDC" w:rsidRPr="00E940C3">
        <w:rPr>
          <w:rFonts w:ascii="Book Antiqua" w:eastAsia="Book Antiqua" w:hAnsi="Book Antiqua" w:cs="Book Antiqua"/>
          <w:color w:val="000000"/>
        </w:rPr>
        <w:t>use of GnP after failure of FFX</w:t>
      </w:r>
      <w:r w:rsidRPr="00E940C3">
        <w:rPr>
          <w:rFonts w:ascii="Book Antiqua" w:eastAsia="Book Antiqua" w:hAnsi="Book Antiqua" w:cs="Book Antiqua"/>
          <w:color w:val="000000"/>
          <w:vertAlign w:val="superscript"/>
        </w:rPr>
        <w:t>[40</w:t>
      </w:r>
      <w:r w:rsidR="007B4BDC" w:rsidRPr="00E940C3">
        <w:rPr>
          <w:rFonts w:ascii="Book Antiqua" w:eastAsia="Book Antiqua" w:hAnsi="Book Antiqua" w:cs="Book Antiqua"/>
          <w:color w:val="000000"/>
          <w:vertAlign w:val="superscript"/>
        </w:rPr>
        <w:t>-</w:t>
      </w:r>
      <w:r w:rsidRPr="00E940C3">
        <w:rPr>
          <w:rFonts w:ascii="Book Antiqua" w:eastAsia="Book Antiqua" w:hAnsi="Book Antiqua" w:cs="Book Antiqua"/>
          <w:color w:val="000000"/>
          <w:vertAlign w:val="superscript"/>
        </w:rPr>
        <w:t>44]</w:t>
      </w:r>
      <w:r w:rsidRPr="00E940C3">
        <w:rPr>
          <w:rFonts w:ascii="Book Antiqua" w:eastAsia="Book Antiqua" w:hAnsi="Book Antiqua" w:cs="Book Antiqua"/>
          <w:color w:val="000000"/>
        </w:rPr>
        <w:t xml:space="preserve">. Furthermore, a recently published systematic review that included 16 studies reported a higher overall response rate (14.4%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8.4%, </w:t>
      </w:r>
      <w:r w:rsidRPr="00E940C3">
        <w:rPr>
          <w:rFonts w:ascii="Book Antiqua" w:eastAsia="Book Antiqua" w:hAnsi="Book Antiqua" w:cs="Book Antiqua"/>
          <w:i/>
          <w:iCs/>
          <w:color w:val="000000"/>
        </w:rPr>
        <w:t>P</w:t>
      </w:r>
      <w:r w:rsidRPr="00E940C3">
        <w:rPr>
          <w:rFonts w:ascii="Book Antiqua" w:eastAsia="Book Antiqua" w:hAnsi="Book Antiqua" w:cs="Book Antiqua"/>
          <w:color w:val="000000"/>
        </w:rPr>
        <w:t xml:space="preserve"> = 0.038), disease control rate (53.5%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30.2%, </w:t>
      </w:r>
      <w:r w:rsidRPr="00E940C3">
        <w:rPr>
          <w:rFonts w:ascii="Book Antiqua" w:eastAsia="Book Antiqua" w:hAnsi="Book Antiqua" w:cs="Book Antiqua"/>
          <w:i/>
          <w:color w:val="000000"/>
        </w:rPr>
        <w:t>P</w:t>
      </w:r>
      <w:r w:rsidR="007B4BDC"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&lt;</w:t>
      </w:r>
      <w:r w:rsidR="007B4BDC"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 xml:space="preserve">0.001), PFS (3.6 </w:t>
      </w:r>
      <w:r w:rsidR="007B4BDC" w:rsidRPr="00E940C3">
        <w:rPr>
          <w:rFonts w:ascii="Book Antiqua" w:eastAsia="Book Antiqua" w:hAnsi="Book Antiqua" w:cs="Book Antiqua"/>
          <w:color w:val="000000"/>
        </w:rPr>
        <w:t xml:space="preserve">mo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2.5 mo, </w:t>
      </w:r>
      <w:r w:rsidRPr="00E940C3">
        <w:rPr>
          <w:rFonts w:ascii="Book Antiqua" w:eastAsia="Book Antiqua" w:hAnsi="Book Antiqua" w:cs="Book Antiqua"/>
          <w:i/>
          <w:iCs/>
          <w:color w:val="000000"/>
        </w:rPr>
        <w:t>P</w:t>
      </w:r>
      <w:r w:rsidRPr="00E940C3">
        <w:rPr>
          <w:rFonts w:ascii="Book Antiqua" w:eastAsia="Book Antiqua" w:hAnsi="Book Antiqua" w:cs="Book Antiqua"/>
          <w:color w:val="000000"/>
        </w:rPr>
        <w:t xml:space="preserve"> = 0.030)</w:t>
      </w:r>
      <w:r w:rsidR="00DA7791"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OS2 (5.7 </w:t>
      </w:r>
      <w:r w:rsidR="00F967A1" w:rsidRPr="00E940C3">
        <w:rPr>
          <w:rFonts w:ascii="Book Antiqua" w:eastAsia="Book Antiqua" w:hAnsi="Book Antiqua" w:cs="Book Antiqua"/>
          <w:color w:val="000000"/>
        </w:rPr>
        <w:t>mo</w:t>
      </w:r>
      <w:r w:rsidR="00F967A1" w:rsidRPr="00E940C3">
        <w:rPr>
          <w:rFonts w:ascii="Book Antiqua" w:eastAsia="Book Antiqua" w:hAnsi="Book Antiqua" w:cs="Book Antiqua"/>
          <w:i/>
          <w:iCs/>
          <w:color w:val="000000"/>
        </w:rPr>
        <w:t xml:space="preserve">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3.8 mo, </w:t>
      </w:r>
      <w:r w:rsidRPr="00E940C3">
        <w:rPr>
          <w:rFonts w:ascii="Book Antiqua" w:eastAsia="Book Antiqua" w:hAnsi="Book Antiqua" w:cs="Book Antiqua"/>
          <w:i/>
          <w:iCs/>
          <w:color w:val="000000"/>
        </w:rPr>
        <w:t>P</w:t>
      </w:r>
      <w:r w:rsidRPr="00E940C3">
        <w:rPr>
          <w:rFonts w:ascii="Book Antiqua" w:eastAsia="Book Antiqua" w:hAnsi="Book Antiqua" w:cs="Book Antiqua"/>
          <w:color w:val="000000"/>
        </w:rPr>
        <w:t xml:space="preserve"> = 0.030) with GnP </w:t>
      </w:r>
      <w:r w:rsidR="00DA7791" w:rsidRPr="00E940C3">
        <w:rPr>
          <w:rFonts w:ascii="Book Antiqua" w:eastAsia="Book Antiqua" w:hAnsi="Book Antiqua" w:cs="Book Antiqua"/>
          <w:color w:val="000000"/>
        </w:rPr>
        <w:t>than</w:t>
      </w:r>
      <w:r w:rsidRPr="00E940C3">
        <w:rPr>
          <w:rFonts w:ascii="Book Antiqua" w:eastAsia="Book Antiqua" w:hAnsi="Book Antiqua" w:cs="Book Antiqua"/>
          <w:color w:val="000000"/>
        </w:rPr>
        <w:t xml:space="preserve"> with gemcitabine monotherapy</w:t>
      </w:r>
      <w:r w:rsidRPr="00E940C3">
        <w:rPr>
          <w:rFonts w:ascii="Book Antiqua" w:eastAsia="Book Antiqua" w:hAnsi="Book Antiqua" w:cs="Book Antiqua"/>
          <w:color w:val="000000"/>
          <w:vertAlign w:val="superscript"/>
        </w:rPr>
        <w:t>[45]</w:t>
      </w:r>
      <w:r w:rsidRPr="00E940C3">
        <w:rPr>
          <w:rFonts w:ascii="Book Antiqua" w:eastAsia="Book Antiqua" w:hAnsi="Book Antiqua" w:cs="Book Antiqua"/>
          <w:color w:val="000000"/>
        </w:rPr>
        <w:t xml:space="preserve">. </w:t>
      </w:r>
      <w:r w:rsidR="009A79E9" w:rsidRPr="00E940C3">
        <w:rPr>
          <w:rFonts w:ascii="Book Antiqua" w:eastAsia="Book Antiqua" w:hAnsi="Book Antiqua" w:cs="Book Antiqua"/>
          <w:color w:val="000000"/>
        </w:rPr>
        <w:t>S</w:t>
      </w:r>
      <w:r w:rsidRPr="00E940C3">
        <w:rPr>
          <w:rFonts w:ascii="Book Antiqua" w:eastAsia="Book Antiqua" w:hAnsi="Book Antiqua" w:cs="Book Antiqua"/>
          <w:color w:val="000000"/>
        </w:rPr>
        <w:t>imilar grade 3/4 event rates</w:t>
      </w:r>
      <w:r w:rsidR="009A79E9" w:rsidRPr="00E940C3">
        <w:rPr>
          <w:rFonts w:ascii="Book Antiqua" w:eastAsia="Book Antiqua" w:hAnsi="Book Antiqua" w:cs="Book Antiqua"/>
          <w:color w:val="000000"/>
        </w:rPr>
        <w:t xml:space="preserve"> were</w:t>
      </w:r>
      <w:r w:rsidRPr="00E940C3">
        <w:rPr>
          <w:rFonts w:ascii="Book Antiqua" w:eastAsia="Book Antiqua" w:hAnsi="Book Antiqua" w:cs="Book Antiqua"/>
          <w:color w:val="000000"/>
        </w:rPr>
        <w:t xml:space="preserve"> reported in the prespecified analysis (22.9%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34.6%, </w:t>
      </w:r>
      <w:r w:rsidRPr="00E940C3">
        <w:rPr>
          <w:rFonts w:ascii="Book Antiqua" w:eastAsia="Book Antiqua" w:hAnsi="Book Antiqua" w:cs="Book Antiqua"/>
          <w:i/>
          <w:iCs/>
          <w:color w:val="000000"/>
        </w:rPr>
        <w:t>P</w:t>
      </w:r>
      <w:r w:rsidRPr="00E940C3">
        <w:rPr>
          <w:rFonts w:ascii="Book Antiqua" w:eastAsia="Book Antiqua" w:hAnsi="Book Antiqua" w:cs="Book Antiqua"/>
          <w:color w:val="000000"/>
        </w:rPr>
        <w:t xml:space="preserve"> = 0.415). Overall, GnP appears to be a reasonable second-line treatment after FFX and patients considered unfit for GnP may benefit from gemcitabine monotherapy, while those with a poor performance status should be offered </w:t>
      </w:r>
      <w:r w:rsidR="009A79E9" w:rsidRPr="00E940C3">
        <w:rPr>
          <w:rFonts w:ascii="Book Antiqua" w:eastAsia="Book Antiqua" w:hAnsi="Book Antiqua" w:cs="Book Antiqua"/>
          <w:color w:val="000000"/>
        </w:rPr>
        <w:t xml:space="preserve">the </w:t>
      </w:r>
      <w:r w:rsidRPr="00E940C3">
        <w:rPr>
          <w:rFonts w:ascii="Book Antiqua" w:eastAsia="Book Antiqua" w:hAnsi="Book Antiqua" w:cs="Book Antiqua"/>
          <w:color w:val="000000"/>
        </w:rPr>
        <w:t>best supportive care.</w:t>
      </w:r>
    </w:p>
    <w:p w14:paraId="2C87CF97" w14:textId="77777777" w:rsidR="00A77B3E" w:rsidRPr="00E940C3" w:rsidRDefault="00A77B3E" w:rsidP="00265AC6">
      <w:pPr>
        <w:snapToGrid w:val="0"/>
        <w:spacing w:line="360" w:lineRule="auto"/>
        <w:jc w:val="both"/>
        <w:rPr>
          <w:rFonts w:ascii="Book Antiqua" w:hAnsi="Book Antiqua"/>
          <w:b/>
        </w:rPr>
      </w:pPr>
    </w:p>
    <w:p w14:paraId="56FE1429" w14:textId="21DD8044" w:rsidR="00A77B3E" w:rsidRPr="00E940C3" w:rsidRDefault="00B70BAD" w:rsidP="00421B03">
      <w:pPr>
        <w:snapToGrid w:val="0"/>
        <w:spacing w:line="360" w:lineRule="auto"/>
        <w:jc w:val="both"/>
        <w:rPr>
          <w:rFonts w:ascii="Book Antiqua" w:hAnsi="Book Antiqua"/>
        </w:rPr>
      </w:pPr>
      <w:r w:rsidRPr="00E940C3">
        <w:rPr>
          <w:rFonts w:ascii="Book Antiqua" w:eastAsia="Book Antiqua" w:hAnsi="Book Antiqua" w:cs="Book Antiqua"/>
          <w:b/>
          <w:color w:val="000000"/>
        </w:rPr>
        <w:t>Second</w:t>
      </w:r>
      <w:r w:rsidR="00A25CB3">
        <w:rPr>
          <w:rFonts w:ascii="Book Antiqua" w:eastAsia="Book Antiqua" w:hAnsi="Book Antiqua" w:cs="Book Antiqua"/>
          <w:b/>
          <w:color w:val="000000"/>
        </w:rPr>
        <w:t>-line</w:t>
      </w:r>
      <w:r w:rsidRPr="00E940C3">
        <w:rPr>
          <w:rFonts w:ascii="Book Antiqua" w:eastAsia="Book Antiqua" w:hAnsi="Book Antiqua" w:cs="Book Antiqua"/>
          <w:b/>
          <w:color w:val="000000"/>
        </w:rPr>
        <w:t xml:space="preserve"> treatment after first</w:t>
      </w:r>
      <w:r w:rsidR="008C19B4">
        <w:rPr>
          <w:rFonts w:ascii="Book Antiqua" w:eastAsia="Book Antiqua" w:hAnsi="Book Antiqua" w:cs="Book Antiqua"/>
          <w:b/>
          <w:color w:val="000000"/>
        </w:rPr>
        <w:t>-line</w:t>
      </w:r>
      <w:r w:rsidRPr="00E940C3">
        <w:rPr>
          <w:rFonts w:ascii="Book Antiqua" w:eastAsia="Book Antiqua" w:hAnsi="Book Antiqua" w:cs="Book Antiqua"/>
          <w:b/>
          <w:color w:val="000000"/>
        </w:rPr>
        <w:t xml:space="preserve"> GnP</w:t>
      </w:r>
      <w:r w:rsidR="00F967A1" w:rsidRPr="00E940C3">
        <w:rPr>
          <w:rFonts w:ascii="Book Antiqua" w:eastAsia="Book Antiqua" w:hAnsi="Book Antiqua" w:cs="Book Antiqua"/>
          <w:b/>
          <w:color w:val="000000"/>
        </w:rPr>
        <w:t xml:space="preserve">: </w:t>
      </w:r>
      <w:r w:rsidRPr="00E940C3">
        <w:rPr>
          <w:rFonts w:ascii="Book Antiqua" w:eastAsia="Book Antiqua" w:hAnsi="Book Antiqua" w:cs="Book Antiqua"/>
          <w:color w:val="000000"/>
        </w:rPr>
        <w:t>In the absence of a head-to-head comparison of FFX and GnP in advanced PDAC, a substantial proportion of patients are treated with GnP in the first</w:t>
      </w:r>
      <w:r w:rsidR="005A594A"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setting. Several chemotherapy regimens using a combination of fluoropyrimidines with irinotecan and/or oxaliplatin have been used in the real-world </w:t>
      </w:r>
      <w:r w:rsidR="00E50AF3" w:rsidRPr="00E940C3">
        <w:rPr>
          <w:rFonts w:ascii="Book Antiqua" w:eastAsia="Book Antiqua" w:hAnsi="Book Antiqua" w:cs="Book Antiqua"/>
          <w:color w:val="000000"/>
        </w:rPr>
        <w:t xml:space="preserve">as </w:t>
      </w:r>
      <w:r w:rsidRPr="00E940C3">
        <w:rPr>
          <w:rFonts w:ascii="Book Antiqua" w:eastAsia="Book Antiqua" w:hAnsi="Book Antiqua" w:cs="Book Antiqua"/>
          <w:color w:val="000000"/>
        </w:rPr>
        <w:t>salvage</w:t>
      </w:r>
      <w:r w:rsidR="00E50AF3"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second-line </w:t>
      </w:r>
      <w:r w:rsidR="00E50AF3" w:rsidRPr="00E940C3">
        <w:rPr>
          <w:rFonts w:ascii="Book Antiqua" w:eastAsia="Book Antiqua" w:hAnsi="Book Antiqua" w:cs="Book Antiqua"/>
          <w:color w:val="000000"/>
        </w:rPr>
        <w:t>therapy</w:t>
      </w:r>
      <w:r w:rsidRPr="00E940C3">
        <w:rPr>
          <w:rFonts w:ascii="Book Antiqua" w:eastAsia="Book Antiqua" w:hAnsi="Book Antiqua" w:cs="Book Antiqua"/>
          <w:color w:val="000000"/>
        </w:rPr>
        <w:t xml:space="preserve"> of such patients. It is intuitive to consider FFX in this setting. </w:t>
      </w:r>
      <w:r w:rsidR="002C08F4" w:rsidRPr="00E940C3">
        <w:rPr>
          <w:rFonts w:ascii="Book Antiqua" w:eastAsia="Book Antiqua" w:hAnsi="Book Antiqua" w:cs="Book Antiqua"/>
          <w:color w:val="000000"/>
        </w:rPr>
        <w:t>A</w:t>
      </w:r>
      <w:r w:rsidRPr="00E940C3">
        <w:rPr>
          <w:rFonts w:ascii="Book Antiqua" w:eastAsia="Book Antiqua" w:hAnsi="Book Antiqua" w:cs="Book Antiqua"/>
          <w:color w:val="000000"/>
        </w:rPr>
        <w:t xml:space="preserve"> recent retrospective analysis of 104 patients treated with modified FFX (</w:t>
      </w:r>
      <w:r w:rsidR="00865D63" w:rsidRPr="00421B03">
        <w:rPr>
          <w:rFonts w:ascii="Book Antiqua" w:eastAsia="Book Antiqua" w:hAnsi="Book Antiqua" w:cs="Book Antiqua"/>
          <w:i/>
          <w:iCs/>
          <w:color w:val="000000"/>
        </w:rPr>
        <w:t>i.e.</w:t>
      </w:r>
      <w:r w:rsidR="00865D63"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intravenous oxaliplatin 85</w:t>
      </w:r>
      <w:r w:rsidRPr="00E940C3">
        <w:rPr>
          <w:rFonts w:eastAsia="Book Antiqua"/>
          <w:color w:val="000000"/>
        </w:rPr>
        <w:t> </w:t>
      </w:r>
      <w:r w:rsidRPr="00E940C3">
        <w:rPr>
          <w:rFonts w:ascii="Book Antiqua" w:eastAsia="Book Antiqua" w:hAnsi="Book Antiqua" w:cs="Book Antiqua"/>
          <w:color w:val="000000"/>
        </w:rPr>
        <w:t>mg/m</w:t>
      </w:r>
      <w:r w:rsidRPr="00E940C3">
        <w:rPr>
          <w:rFonts w:ascii="Book Antiqua" w:eastAsia="Book Antiqua" w:hAnsi="Book Antiqua" w:cs="Book Antiqua"/>
          <w:color w:val="000000"/>
          <w:vertAlign w:val="superscript"/>
        </w:rPr>
        <w:t>2</w:t>
      </w:r>
      <w:r w:rsidRPr="00E940C3">
        <w:rPr>
          <w:rFonts w:ascii="Book Antiqua" w:eastAsia="Book Antiqua" w:hAnsi="Book Antiqua" w:cs="Book Antiqua"/>
          <w:color w:val="000000"/>
        </w:rPr>
        <w:t>, intravenous irinotecan 150</w:t>
      </w:r>
      <w:r w:rsidRPr="00E940C3">
        <w:rPr>
          <w:rFonts w:eastAsia="Book Antiqua"/>
          <w:color w:val="000000"/>
        </w:rPr>
        <w:t> </w:t>
      </w:r>
      <w:r w:rsidRPr="00E940C3">
        <w:rPr>
          <w:rFonts w:ascii="Book Antiqua" w:eastAsia="Book Antiqua" w:hAnsi="Book Antiqua" w:cs="Book Antiqua"/>
          <w:color w:val="000000"/>
        </w:rPr>
        <w:t>mg/m</w:t>
      </w:r>
      <w:r w:rsidRPr="00E940C3">
        <w:rPr>
          <w:rFonts w:ascii="Book Antiqua" w:eastAsia="Book Antiqua" w:hAnsi="Book Antiqua" w:cs="Book Antiqua"/>
          <w:color w:val="000000"/>
          <w:vertAlign w:val="superscript"/>
        </w:rPr>
        <w:t>2</w:t>
      </w:r>
      <w:r w:rsidRPr="00E940C3">
        <w:rPr>
          <w:rFonts w:ascii="Book Antiqua" w:eastAsia="Book Antiqua" w:hAnsi="Book Antiqua" w:cs="Book Antiqua"/>
          <w:color w:val="000000"/>
        </w:rPr>
        <w:t>, and continuous infusion of 5-fluorouracil 2400</w:t>
      </w:r>
      <w:r w:rsidRPr="00E940C3">
        <w:rPr>
          <w:rFonts w:eastAsia="Book Antiqua"/>
          <w:color w:val="000000"/>
        </w:rPr>
        <w:t> </w:t>
      </w:r>
      <w:r w:rsidRPr="00E940C3">
        <w:rPr>
          <w:rFonts w:ascii="Book Antiqua" w:eastAsia="Book Antiqua" w:hAnsi="Book Antiqua" w:cs="Book Antiqua"/>
          <w:color w:val="000000"/>
        </w:rPr>
        <w:t>mg/m</w:t>
      </w:r>
      <w:r w:rsidRPr="00E940C3">
        <w:rPr>
          <w:rFonts w:ascii="Book Antiqua" w:eastAsia="Book Antiqua" w:hAnsi="Book Antiqua" w:cs="Book Antiqua"/>
          <w:color w:val="000000"/>
          <w:vertAlign w:val="superscript"/>
        </w:rPr>
        <w:t>2</w:t>
      </w:r>
      <w:r w:rsidRPr="00E940C3">
        <w:rPr>
          <w:rFonts w:ascii="Book Antiqua" w:eastAsia="Book Antiqua" w:hAnsi="Book Antiqua" w:cs="Book Antiqua"/>
          <w:color w:val="000000"/>
        </w:rPr>
        <w:t xml:space="preserve"> for 46</w:t>
      </w:r>
      <w:r w:rsidRPr="00E940C3">
        <w:rPr>
          <w:rFonts w:eastAsia="Book Antiqua"/>
          <w:color w:val="000000"/>
        </w:rPr>
        <w:t> </w:t>
      </w:r>
      <w:r w:rsidRPr="00E940C3">
        <w:rPr>
          <w:rFonts w:ascii="Book Antiqua" w:eastAsia="Book Antiqua" w:hAnsi="Book Antiqua" w:cs="Book Antiqua"/>
          <w:color w:val="000000"/>
        </w:rPr>
        <w:t xml:space="preserve">h without bolus infusion) in </w:t>
      </w:r>
      <w:r w:rsidR="003C2E48" w:rsidRPr="00E940C3">
        <w:rPr>
          <w:rFonts w:ascii="Book Antiqua" w:eastAsia="Book Antiqua" w:hAnsi="Book Antiqua" w:cs="Book Antiqua"/>
          <w:color w:val="000000"/>
        </w:rPr>
        <w:t>that</w:t>
      </w:r>
      <w:r w:rsidRPr="00E940C3">
        <w:rPr>
          <w:rFonts w:ascii="Book Antiqua" w:eastAsia="Book Antiqua" w:hAnsi="Book Antiqua" w:cs="Book Antiqua"/>
          <w:color w:val="000000"/>
        </w:rPr>
        <w:t xml:space="preserve"> setting reported an objective response rate of 10.6% and a disease control rate of 56.7%</w:t>
      </w:r>
      <w:r w:rsidRPr="00E940C3">
        <w:rPr>
          <w:rFonts w:ascii="Book Antiqua" w:eastAsia="Book Antiqua" w:hAnsi="Book Antiqua" w:cs="Book Antiqua"/>
          <w:color w:val="000000"/>
          <w:vertAlign w:val="superscript"/>
        </w:rPr>
        <w:t>[46]</w:t>
      </w:r>
      <w:r w:rsidRPr="00E940C3">
        <w:rPr>
          <w:rFonts w:ascii="Book Antiqua" w:eastAsia="Book Antiqua" w:hAnsi="Book Antiqua" w:cs="Book Antiqua"/>
          <w:color w:val="000000"/>
        </w:rPr>
        <w:t>. The median PFS and OS2 were 3.9 mo and 7.0 mo, respectively. Grade 3-4 adverse events were reported in 54.8% patients and included hematological toxicities and peripheral sensory neuropathy.</w:t>
      </w:r>
      <w:r w:rsidR="0015296B"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A smaller study of 23 patients who received standard FFX (</w:t>
      </w:r>
      <w:r w:rsidRPr="00E940C3">
        <w:rPr>
          <w:rFonts w:ascii="Book Antiqua" w:eastAsia="Book Antiqua" w:hAnsi="Book Antiqua" w:cs="Book Antiqua"/>
          <w:i/>
          <w:iCs/>
          <w:color w:val="000000"/>
        </w:rPr>
        <w:t>n</w:t>
      </w:r>
      <w:r w:rsidRPr="00E940C3">
        <w:rPr>
          <w:rFonts w:ascii="Book Antiqua" w:eastAsia="Book Antiqua" w:hAnsi="Book Antiqua" w:cs="Book Antiqua"/>
          <w:color w:val="000000"/>
        </w:rPr>
        <w:t xml:space="preserve"> = 12) and modified FFX (</w:t>
      </w:r>
      <w:r w:rsidRPr="00E940C3">
        <w:rPr>
          <w:rFonts w:ascii="Book Antiqua" w:eastAsia="Book Antiqua" w:hAnsi="Book Antiqua" w:cs="Book Antiqua"/>
          <w:i/>
          <w:iCs/>
          <w:color w:val="000000"/>
        </w:rPr>
        <w:t>n</w:t>
      </w:r>
      <w:r w:rsidRPr="00E940C3">
        <w:rPr>
          <w:rFonts w:ascii="Book Antiqua" w:eastAsia="Book Antiqua" w:hAnsi="Book Antiqua" w:cs="Book Antiqua"/>
          <w:color w:val="000000"/>
        </w:rPr>
        <w:t xml:space="preserve"> = 11)</w:t>
      </w:r>
      <w:r w:rsidR="00203AD3" w:rsidRPr="00E940C3">
        <w:rPr>
          <w:rFonts w:ascii="Book Antiqua" w:eastAsia="Book Antiqua" w:hAnsi="Book Antiqua" w:cs="Book Antiqua"/>
          <w:color w:val="000000"/>
        </w:rPr>
        <w:t xml:space="preserve"> reported a</w:t>
      </w:r>
      <w:r w:rsidRPr="00E940C3">
        <w:rPr>
          <w:rFonts w:ascii="Book Antiqua" w:eastAsia="Book Antiqua" w:hAnsi="Book Antiqua" w:cs="Book Antiqua"/>
          <w:color w:val="000000"/>
        </w:rPr>
        <w:t xml:space="preserve"> median PFS </w:t>
      </w:r>
      <w:r w:rsidR="00203AD3" w:rsidRPr="00E940C3">
        <w:rPr>
          <w:rFonts w:ascii="Book Antiqua" w:eastAsia="Book Antiqua" w:hAnsi="Book Antiqua" w:cs="Book Antiqua"/>
          <w:color w:val="000000"/>
        </w:rPr>
        <w:t xml:space="preserve">of 5.3 mo </w:t>
      </w:r>
      <w:r w:rsidRPr="00E940C3">
        <w:rPr>
          <w:rFonts w:ascii="Book Antiqua" w:eastAsia="Book Antiqua" w:hAnsi="Book Antiqua" w:cs="Book Antiqua"/>
          <w:color w:val="000000"/>
        </w:rPr>
        <w:t xml:space="preserve">and </w:t>
      </w:r>
      <w:r w:rsidR="00203AD3" w:rsidRPr="00E940C3">
        <w:rPr>
          <w:rFonts w:ascii="Book Antiqua" w:eastAsia="Book Antiqua" w:hAnsi="Book Antiqua" w:cs="Book Antiqua"/>
          <w:color w:val="000000"/>
        </w:rPr>
        <w:t xml:space="preserve">an </w:t>
      </w:r>
      <w:r w:rsidRPr="00E940C3">
        <w:rPr>
          <w:rFonts w:ascii="Book Antiqua" w:eastAsia="Book Antiqua" w:hAnsi="Book Antiqua" w:cs="Book Antiqua"/>
          <w:color w:val="000000"/>
        </w:rPr>
        <w:t xml:space="preserve">OS of </w:t>
      </w:r>
      <w:r w:rsidR="00203AD3" w:rsidRPr="00E940C3">
        <w:rPr>
          <w:rFonts w:ascii="Book Antiqua" w:eastAsia="Book Antiqua" w:hAnsi="Book Antiqua" w:cs="Book Antiqua"/>
          <w:color w:val="000000"/>
        </w:rPr>
        <w:t xml:space="preserve">6.9 mo in </w:t>
      </w:r>
      <w:r w:rsidRPr="00E940C3">
        <w:rPr>
          <w:rFonts w:ascii="Book Antiqua" w:eastAsia="Book Antiqua" w:hAnsi="Book Antiqua" w:cs="Book Antiqua"/>
          <w:color w:val="000000"/>
        </w:rPr>
        <w:t>patients who received standard dosages</w:t>
      </w:r>
      <w:r w:rsidR="005A6101"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t>
      </w:r>
      <w:r w:rsidR="005A6101" w:rsidRPr="00E940C3">
        <w:rPr>
          <w:rFonts w:ascii="Book Antiqua" w:eastAsia="Book Antiqua" w:hAnsi="Book Antiqua" w:cs="Book Antiqua"/>
          <w:color w:val="000000"/>
        </w:rPr>
        <w:t>T</w:t>
      </w:r>
      <w:r w:rsidRPr="00E940C3">
        <w:rPr>
          <w:rFonts w:ascii="Book Antiqua" w:eastAsia="Book Antiqua" w:hAnsi="Book Antiqua" w:cs="Book Antiqua"/>
          <w:color w:val="000000"/>
        </w:rPr>
        <w:t xml:space="preserve">he corresponding numbers for those receiving </w:t>
      </w:r>
      <w:r w:rsidRPr="00E940C3">
        <w:rPr>
          <w:rFonts w:ascii="Book Antiqua" w:eastAsia="Book Antiqua" w:hAnsi="Book Antiqua" w:cs="Book Antiqua"/>
          <w:color w:val="000000"/>
        </w:rPr>
        <w:lastRenderedPageBreak/>
        <w:t>modified FFX were 4.3 and 12.8 mo, respectively</w:t>
      </w:r>
      <w:r w:rsidRPr="00E940C3">
        <w:rPr>
          <w:rFonts w:ascii="Book Antiqua" w:eastAsia="Book Antiqua" w:hAnsi="Book Antiqua" w:cs="Book Antiqua"/>
          <w:color w:val="000000"/>
          <w:vertAlign w:val="superscript"/>
        </w:rPr>
        <w:t>[47]</w:t>
      </w:r>
      <w:r w:rsidRPr="00E940C3">
        <w:rPr>
          <w:rFonts w:ascii="Book Antiqua" w:eastAsia="Book Antiqua" w:hAnsi="Book Antiqua" w:cs="Book Antiqua"/>
          <w:color w:val="000000"/>
        </w:rPr>
        <w:t>.</w:t>
      </w:r>
      <w:r w:rsidR="00E71EC5"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The observed differences in survival between the FFX and mFFX groups were not statistically significant.</w:t>
      </w:r>
    </w:p>
    <w:p w14:paraId="10A61C3D" w14:textId="45BB0164" w:rsidR="00A77B3E" w:rsidRPr="00E940C3" w:rsidRDefault="00B70BAD" w:rsidP="00C517B0">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 xml:space="preserve">Other real-world studies have reported the effectiveness of either the standard or modified </w:t>
      </w:r>
      <w:r w:rsidR="006108DF" w:rsidRPr="00E940C3">
        <w:rPr>
          <w:rFonts w:ascii="Book Antiqua" w:eastAsia="Book Antiqua" w:hAnsi="Book Antiqua" w:cs="Book Antiqua"/>
          <w:color w:val="000000"/>
        </w:rPr>
        <w:t xml:space="preserve">FFX </w:t>
      </w:r>
      <w:r w:rsidRPr="00E940C3">
        <w:rPr>
          <w:rFonts w:ascii="Book Antiqua" w:eastAsia="Book Antiqua" w:hAnsi="Book Antiqua" w:cs="Book Antiqua"/>
          <w:color w:val="000000"/>
        </w:rPr>
        <w:t>regimen after failure of single</w:t>
      </w:r>
      <w:r w:rsidR="006108DF"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agent gemcitabine </w:t>
      </w:r>
      <w:r w:rsidR="00582BE1" w:rsidRPr="00E940C3">
        <w:rPr>
          <w:rFonts w:ascii="Book Antiqua" w:eastAsia="Book Antiqua" w:hAnsi="Book Antiqua" w:cs="Book Antiqua"/>
          <w:color w:val="000000"/>
        </w:rPr>
        <w:t>as</w:t>
      </w:r>
      <w:r w:rsidRPr="00E940C3">
        <w:rPr>
          <w:rFonts w:ascii="Book Antiqua" w:eastAsia="Book Antiqua" w:hAnsi="Book Antiqua" w:cs="Book Antiqua"/>
          <w:color w:val="000000"/>
        </w:rPr>
        <w:t xml:space="preserve"> first</w:t>
      </w:r>
      <w:r w:rsidR="00582BE1" w:rsidRPr="00E940C3">
        <w:rPr>
          <w:rFonts w:ascii="Book Antiqua" w:eastAsia="Book Antiqua" w:hAnsi="Book Antiqua" w:cs="Book Antiqua"/>
          <w:color w:val="000000"/>
        </w:rPr>
        <w:t>-</w:t>
      </w:r>
      <w:r w:rsidRPr="00E940C3">
        <w:rPr>
          <w:rFonts w:ascii="Book Antiqua" w:eastAsia="Book Antiqua" w:hAnsi="Book Antiqua" w:cs="Book Antiqua"/>
          <w:color w:val="000000"/>
        </w:rPr>
        <w:t>line</w:t>
      </w:r>
      <w:r w:rsidR="00582BE1" w:rsidRPr="00E940C3">
        <w:rPr>
          <w:rFonts w:ascii="Book Antiqua" w:eastAsia="Book Antiqua" w:hAnsi="Book Antiqua" w:cs="Book Antiqua"/>
          <w:color w:val="000000"/>
        </w:rPr>
        <w:t xml:space="preserve"> therapy</w:t>
      </w:r>
      <w:r w:rsidRPr="00E940C3">
        <w:rPr>
          <w:rFonts w:ascii="Book Antiqua" w:eastAsia="Book Antiqua" w:hAnsi="Book Antiqua" w:cs="Book Antiqua"/>
          <w:color w:val="000000"/>
          <w:vertAlign w:val="superscript"/>
        </w:rPr>
        <w:t>[48</w:t>
      </w:r>
      <w:r w:rsidR="00F81FD9" w:rsidRPr="00E940C3">
        <w:rPr>
          <w:rFonts w:ascii="Book Antiqua" w:eastAsia="Book Antiqua" w:hAnsi="Book Antiqua" w:cs="Book Antiqua"/>
          <w:color w:val="000000"/>
          <w:vertAlign w:val="superscript"/>
        </w:rPr>
        <w:t>-</w:t>
      </w:r>
      <w:r w:rsidRPr="00E940C3">
        <w:rPr>
          <w:rFonts w:ascii="Book Antiqua" w:eastAsia="Book Antiqua" w:hAnsi="Book Antiqua" w:cs="Book Antiqua"/>
          <w:color w:val="000000"/>
          <w:vertAlign w:val="superscript"/>
        </w:rPr>
        <w:t>51]</w:t>
      </w:r>
      <w:r w:rsidRPr="00E940C3">
        <w:rPr>
          <w:rFonts w:ascii="Book Antiqua" w:eastAsia="Book Antiqua" w:hAnsi="Book Antiqua" w:cs="Book Antiqua"/>
          <w:color w:val="000000"/>
        </w:rPr>
        <w:t>. The studies</w:t>
      </w:r>
      <w:r w:rsidR="00582BE1"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t>
      </w:r>
      <w:r w:rsidR="00582BE1" w:rsidRPr="00E940C3">
        <w:rPr>
          <w:rFonts w:ascii="Book Antiqua" w:eastAsia="Book Antiqua" w:hAnsi="Book Antiqua" w:cs="Book Antiqua"/>
          <w:color w:val="000000"/>
        </w:rPr>
        <w:t>which</w:t>
      </w:r>
      <w:r w:rsidRPr="00E940C3">
        <w:rPr>
          <w:rFonts w:ascii="Book Antiqua" w:eastAsia="Book Antiqua" w:hAnsi="Book Antiqua" w:cs="Book Antiqua"/>
          <w:color w:val="000000"/>
        </w:rPr>
        <w:t xml:space="preserve"> adopted several modifications </w:t>
      </w:r>
      <w:r w:rsidR="0037455A" w:rsidRPr="00E940C3">
        <w:rPr>
          <w:rFonts w:ascii="Book Antiqua" w:eastAsia="Book Antiqua" w:hAnsi="Book Antiqua" w:cs="Book Antiqua"/>
          <w:color w:val="000000"/>
        </w:rPr>
        <w:t>of</w:t>
      </w:r>
      <w:r w:rsidRPr="00E940C3">
        <w:rPr>
          <w:rFonts w:ascii="Book Antiqua" w:eastAsia="Book Antiqua" w:hAnsi="Book Antiqua" w:cs="Book Antiqua"/>
          <w:color w:val="000000"/>
        </w:rPr>
        <w:t xml:space="preserve"> the original FFX </w:t>
      </w:r>
      <w:r w:rsidR="0037455A" w:rsidRPr="00E940C3">
        <w:rPr>
          <w:rFonts w:ascii="Book Antiqua" w:eastAsia="Book Antiqua" w:hAnsi="Book Antiqua" w:cs="Book Antiqua"/>
          <w:color w:val="000000"/>
        </w:rPr>
        <w:t xml:space="preserve">regimen, </w:t>
      </w:r>
      <w:r w:rsidRPr="00E940C3">
        <w:rPr>
          <w:rFonts w:ascii="Book Antiqua" w:eastAsia="Book Antiqua" w:hAnsi="Book Antiqua" w:cs="Book Antiqua"/>
          <w:color w:val="000000"/>
        </w:rPr>
        <w:t>reported a PFS of 2.8-5.8 mo and OS2 of 8.5-9.8 mo (Table 2).</w:t>
      </w:r>
      <w:r w:rsidR="0037455A" w:rsidRPr="00E940C3">
        <w:rPr>
          <w:rFonts w:ascii="Book Antiqua" w:eastAsia="Book Antiqua" w:hAnsi="Book Antiqua" w:cs="Book Antiqua"/>
          <w:color w:val="000000"/>
        </w:rPr>
        <w:t xml:space="preserve"> </w:t>
      </w:r>
      <w:r w:rsidR="00C517B0" w:rsidRPr="00E940C3">
        <w:rPr>
          <w:rFonts w:ascii="Book Antiqua" w:eastAsia="Book Antiqua" w:hAnsi="Book Antiqua" w:cs="Book Antiqua"/>
          <w:color w:val="000000"/>
        </w:rPr>
        <w:t>Overall</w:t>
      </w:r>
      <w:r w:rsidRPr="00E940C3">
        <w:rPr>
          <w:rFonts w:ascii="Book Antiqua" w:eastAsia="Book Antiqua" w:hAnsi="Book Antiqua" w:cs="Book Antiqua"/>
          <w:color w:val="000000"/>
        </w:rPr>
        <w:t xml:space="preserve">, limited data from real-world studies supports the use of modified FFX after failure of GnP. However, </w:t>
      </w:r>
      <w:r w:rsidR="00C517B0" w:rsidRPr="00E940C3">
        <w:rPr>
          <w:rFonts w:ascii="Book Antiqua" w:eastAsia="Book Antiqua" w:hAnsi="Book Antiqua" w:cs="Book Antiqua"/>
          <w:color w:val="000000"/>
        </w:rPr>
        <w:t>it</w:t>
      </w:r>
      <w:r w:rsidRPr="00E940C3">
        <w:rPr>
          <w:rFonts w:ascii="Book Antiqua" w:eastAsia="Book Antiqua" w:hAnsi="Book Antiqua" w:cs="Book Antiqua"/>
          <w:color w:val="000000"/>
        </w:rPr>
        <w:t xml:space="preserve"> is an intensive chemotherapy regimen and a high rate of grade 3-4 adverse events have been reported in above-mentioned studies, primarily hematological </w:t>
      </w:r>
      <w:r w:rsidR="0009188C" w:rsidRPr="00E940C3">
        <w:rPr>
          <w:rFonts w:ascii="Book Antiqua" w:eastAsia="Book Antiqua" w:hAnsi="Book Antiqua" w:cs="Book Antiqua"/>
          <w:color w:val="000000"/>
        </w:rPr>
        <w:t xml:space="preserve">events </w:t>
      </w:r>
      <w:r w:rsidRPr="00E940C3">
        <w:rPr>
          <w:rFonts w:ascii="Book Antiqua" w:eastAsia="Book Antiqua" w:hAnsi="Book Antiqua" w:cs="Book Antiqua"/>
          <w:color w:val="000000"/>
        </w:rPr>
        <w:t>and peripheral neuropathy. Patient selection remains paramount for e</w:t>
      </w:r>
      <w:r w:rsidR="00B940AC" w:rsidRPr="00E940C3">
        <w:rPr>
          <w:rFonts w:ascii="Book Antiqua" w:eastAsia="Book Antiqua" w:hAnsi="Book Antiqua" w:cs="Book Antiqua"/>
          <w:color w:val="000000"/>
        </w:rPr>
        <w:t>le</w:t>
      </w:r>
      <w:r w:rsidRPr="00E940C3">
        <w:rPr>
          <w:rFonts w:ascii="Book Antiqua" w:eastAsia="Book Antiqua" w:hAnsi="Book Antiqua" w:cs="Book Antiqua"/>
          <w:color w:val="000000"/>
        </w:rPr>
        <w:t>cting to use such a regimen.</w:t>
      </w:r>
    </w:p>
    <w:p w14:paraId="4F96182A" w14:textId="009FBBFB" w:rsidR="00A77B3E" w:rsidRPr="00E940C3" w:rsidRDefault="00B70BAD" w:rsidP="00265AC6">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A real-world study of 52 patients with gemcitabine</w:t>
      </w:r>
      <w:r w:rsidR="008C19B4">
        <w:rPr>
          <w:rFonts w:ascii="Book Antiqua" w:eastAsia="Book Antiqua" w:hAnsi="Book Antiqua" w:cs="Book Antiqua"/>
          <w:color w:val="000000"/>
        </w:rPr>
        <w:t>-</w:t>
      </w:r>
      <w:r w:rsidRPr="00E940C3">
        <w:rPr>
          <w:rFonts w:ascii="Book Antiqua" w:eastAsia="Book Antiqua" w:hAnsi="Book Antiqua" w:cs="Book Antiqua"/>
          <w:color w:val="000000"/>
        </w:rPr>
        <w:t>refractory advanced PDAC reported that nano-liposomal irinotecan with FF was associated with a median PFS of 3.8 mo and OS2 of 6.8 mo</w:t>
      </w:r>
      <w:r w:rsidRPr="00E940C3">
        <w:rPr>
          <w:rFonts w:ascii="Book Antiqua" w:eastAsia="Book Antiqua" w:hAnsi="Book Antiqua" w:cs="Book Antiqua"/>
          <w:color w:val="000000"/>
          <w:vertAlign w:val="superscript"/>
        </w:rPr>
        <w:t>[52]</w:t>
      </w:r>
      <w:r w:rsidRPr="00E940C3">
        <w:rPr>
          <w:rFonts w:ascii="Book Antiqua" w:eastAsia="Book Antiqua" w:hAnsi="Book Antiqua" w:cs="Book Antiqua"/>
          <w:color w:val="000000"/>
        </w:rPr>
        <w:t>. Th</w:t>
      </w:r>
      <w:r w:rsidR="00A37A0B" w:rsidRPr="00E940C3">
        <w:rPr>
          <w:rFonts w:ascii="Book Antiqua" w:eastAsia="Book Antiqua" w:hAnsi="Book Antiqua" w:cs="Book Antiqua"/>
          <w:color w:val="000000"/>
        </w:rPr>
        <w:t>e</w:t>
      </w:r>
      <w:r w:rsidRPr="00E940C3">
        <w:rPr>
          <w:rFonts w:ascii="Book Antiqua" w:eastAsia="Book Antiqua" w:hAnsi="Book Antiqua" w:cs="Book Antiqua"/>
          <w:color w:val="000000"/>
        </w:rPr>
        <w:t xml:space="preserve"> figures closely mirror the outcome reported from the phase III NAPOLI-1 study</w:t>
      </w:r>
      <w:r w:rsidRPr="00E940C3">
        <w:rPr>
          <w:rFonts w:ascii="Book Antiqua" w:eastAsia="Book Antiqua" w:hAnsi="Book Antiqua" w:cs="Book Antiqua"/>
          <w:color w:val="000000"/>
          <w:vertAlign w:val="superscript"/>
        </w:rPr>
        <w:t>[15]</w:t>
      </w:r>
      <w:r w:rsidRPr="00E940C3">
        <w:rPr>
          <w:rFonts w:ascii="Book Antiqua" w:eastAsia="Book Antiqua" w:hAnsi="Book Antiqua" w:cs="Book Antiqua"/>
          <w:color w:val="000000"/>
        </w:rPr>
        <w:t xml:space="preserve">. Capecitabine </w:t>
      </w:r>
      <w:r w:rsidR="00A37A0B" w:rsidRPr="00E940C3">
        <w:rPr>
          <w:rFonts w:ascii="Book Antiqua" w:eastAsia="Book Antiqua" w:hAnsi="Book Antiqua" w:cs="Book Antiqua"/>
          <w:color w:val="000000"/>
        </w:rPr>
        <w:t xml:space="preserve">combined </w:t>
      </w:r>
      <w:r w:rsidRPr="00E940C3">
        <w:rPr>
          <w:rFonts w:ascii="Book Antiqua" w:eastAsia="Book Antiqua" w:hAnsi="Book Antiqua" w:cs="Book Antiqua"/>
          <w:color w:val="000000"/>
        </w:rPr>
        <w:t>with oxaliplatin has also been used in this setting</w:t>
      </w:r>
      <w:r w:rsidR="00576BD5"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several studies have reported a PFS of around 3 m</w:t>
      </w:r>
      <w:r w:rsidR="00C80B5B" w:rsidRPr="00E940C3">
        <w:rPr>
          <w:rFonts w:ascii="Book Antiqua" w:eastAsia="Book Antiqua" w:hAnsi="Book Antiqua" w:cs="Book Antiqua"/>
          <w:color w:val="000000"/>
        </w:rPr>
        <w:t>o and OS2 of approximately 6 mo</w:t>
      </w:r>
      <w:r w:rsidRPr="00E940C3">
        <w:rPr>
          <w:rFonts w:ascii="Book Antiqua" w:eastAsia="Book Antiqua" w:hAnsi="Book Antiqua" w:cs="Book Antiqua"/>
          <w:color w:val="000000"/>
          <w:vertAlign w:val="superscript"/>
        </w:rPr>
        <w:t>[53</w:t>
      </w:r>
      <w:r w:rsidR="00C80B5B" w:rsidRPr="00E940C3">
        <w:rPr>
          <w:rFonts w:ascii="Book Antiqua" w:eastAsia="Book Antiqua" w:hAnsi="Book Antiqua" w:cs="Book Antiqua"/>
          <w:color w:val="000000"/>
          <w:vertAlign w:val="superscript"/>
        </w:rPr>
        <w:t>-</w:t>
      </w:r>
      <w:r w:rsidRPr="00E940C3">
        <w:rPr>
          <w:rFonts w:ascii="Book Antiqua" w:eastAsia="Book Antiqua" w:hAnsi="Book Antiqua" w:cs="Book Antiqua"/>
          <w:color w:val="000000"/>
          <w:vertAlign w:val="superscript"/>
        </w:rPr>
        <w:t>55]</w:t>
      </w:r>
      <w:r w:rsidRPr="00E940C3">
        <w:rPr>
          <w:rFonts w:ascii="Book Antiqua" w:eastAsia="Book Antiqua" w:hAnsi="Book Antiqua" w:cs="Book Antiqua"/>
          <w:color w:val="000000"/>
        </w:rPr>
        <w:t>. The median PFS and OS with single</w:t>
      </w:r>
      <w:r w:rsidR="00576BD5" w:rsidRPr="00E940C3">
        <w:rPr>
          <w:rFonts w:ascii="Book Antiqua" w:eastAsia="Book Antiqua" w:hAnsi="Book Antiqua" w:cs="Book Antiqua"/>
          <w:color w:val="000000"/>
        </w:rPr>
        <w:t>-</w:t>
      </w:r>
      <w:r w:rsidRPr="00E940C3">
        <w:rPr>
          <w:rFonts w:ascii="Book Antiqua" w:eastAsia="Book Antiqua" w:hAnsi="Book Antiqua" w:cs="Book Antiqua"/>
          <w:color w:val="000000"/>
        </w:rPr>
        <w:t>agent capecitabine in 41 patients who failed first</w:t>
      </w:r>
      <w:r w:rsidR="008C19B4">
        <w:rPr>
          <w:rFonts w:ascii="Book Antiqua" w:eastAsia="Book Antiqua" w:hAnsi="Book Antiqua" w:cs="Book Antiqua"/>
          <w:color w:val="000000"/>
        </w:rPr>
        <w:t>-</w:t>
      </w:r>
      <w:r w:rsidRPr="00E940C3">
        <w:rPr>
          <w:rFonts w:ascii="Book Antiqua" w:eastAsia="Book Antiqua" w:hAnsi="Book Antiqua" w:cs="Book Antiqua"/>
          <w:color w:val="000000"/>
        </w:rPr>
        <w:t xml:space="preserve">line therapy </w:t>
      </w:r>
      <w:r w:rsidR="00576BD5" w:rsidRPr="00E940C3">
        <w:rPr>
          <w:rFonts w:ascii="Book Antiqua" w:eastAsia="Book Antiqua" w:hAnsi="Book Antiqua" w:cs="Book Antiqua"/>
          <w:color w:val="000000"/>
        </w:rPr>
        <w:t>were</w:t>
      </w:r>
      <w:r w:rsidRPr="00E940C3">
        <w:rPr>
          <w:rFonts w:ascii="Book Antiqua" w:eastAsia="Book Antiqua" w:hAnsi="Book Antiqua" w:cs="Book Antiqua"/>
          <w:color w:val="000000"/>
        </w:rPr>
        <w:t xml:space="preserve"> reported to be 1.5 mo and 4.3 mo, respectively</w:t>
      </w:r>
      <w:r w:rsidRPr="00E940C3">
        <w:rPr>
          <w:rFonts w:ascii="Book Antiqua" w:eastAsia="Book Antiqua" w:hAnsi="Book Antiqua" w:cs="Book Antiqua"/>
          <w:color w:val="000000"/>
          <w:vertAlign w:val="superscript"/>
        </w:rPr>
        <w:t>[56]</w:t>
      </w:r>
      <w:r w:rsidRPr="00E940C3">
        <w:rPr>
          <w:rFonts w:ascii="Book Antiqua" w:eastAsia="Book Antiqua" w:hAnsi="Book Antiqua" w:cs="Book Antiqua"/>
          <w:color w:val="000000"/>
        </w:rPr>
        <w:t>.</w:t>
      </w:r>
    </w:p>
    <w:p w14:paraId="4C29F273" w14:textId="610B877E" w:rsidR="00A77B3E" w:rsidRPr="00E940C3" w:rsidRDefault="00B70BAD" w:rsidP="00265AC6">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 xml:space="preserve">Therefore, in patients considered unfit for FFX </w:t>
      </w:r>
      <w:r w:rsidR="002E1245" w:rsidRPr="00E940C3">
        <w:rPr>
          <w:rFonts w:ascii="Book Antiqua" w:eastAsia="Book Antiqua" w:hAnsi="Book Antiqua" w:cs="Book Antiqua"/>
          <w:color w:val="000000"/>
        </w:rPr>
        <w:t xml:space="preserve">as </w:t>
      </w:r>
      <w:r w:rsidRPr="00E940C3">
        <w:rPr>
          <w:rFonts w:ascii="Book Antiqua" w:eastAsia="Book Antiqua" w:hAnsi="Book Antiqua" w:cs="Book Antiqua"/>
          <w:color w:val="000000"/>
        </w:rPr>
        <w:t>second</w:t>
      </w:r>
      <w:r w:rsidR="002E1245"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treatment, a doublet chemotherapy with fluoropyrimidine and oxaliplatin or nano-liposomal irinotecan is reasonable, while monotherapy with capecitabine may be considered for those with borderline performance status. There are no clinical trials that have compared the efficacy of oxaliplatin with irinotecan in this setting. However, a meta-analysis reported that </w:t>
      </w:r>
      <w:r w:rsidR="001953DB" w:rsidRPr="00E940C3">
        <w:rPr>
          <w:rFonts w:ascii="Book Antiqua" w:eastAsia="Book Antiqua" w:hAnsi="Book Antiqua" w:cs="Book Antiqua"/>
          <w:color w:val="000000"/>
        </w:rPr>
        <w:t xml:space="preserve">the </w:t>
      </w:r>
      <w:r w:rsidRPr="00E940C3">
        <w:rPr>
          <w:rFonts w:ascii="Book Antiqua" w:eastAsia="Book Antiqua" w:hAnsi="Book Antiqua" w:cs="Book Antiqua"/>
          <w:color w:val="000000"/>
        </w:rPr>
        <w:t xml:space="preserve">combination of a fluoropyrimidine plus irinotecan significantly improved both PFS and OS2, while </w:t>
      </w:r>
      <w:r w:rsidR="00DF7B00" w:rsidRPr="00E940C3">
        <w:rPr>
          <w:rFonts w:ascii="Book Antiqua" w:eastAsia="Book Antiqua" w:hAnsi="Book Antiqua" w:cs="Book Antiqua"/>
          <w:color w:val="000000"/>
        </w:rPr>
        <w:t xml:space="preserve">the </w:t>
      </w:r>
      <w:r w:rsidRPr="00E940C3">
        <w:rPr>
          <w:rFonts w:ascii="Book Antiqua" w:eastAsia="Book Antiqua" w:hAnsi="Book Antiqua" w:cs="Book Antiqua"/>
          <w:color w:val="000000"/>
        </w:rPr>
        <w:t>oxaliplatin combination modestly improved PFS but not OS2</w:t>
      </w:r>
      <w:r w:rsidRPr="00E940C3">
        <w:rPr>
          <w:rFonts w:ascii="Book Antiqua" w:eastAsia="Book Antiqua" w:hAnsi="Book Antiqua" w:cs="Book Antiqua"/>
          <w:color w:val="000000"/>
          <w:vertAlign w:val="superscript"/>
        </w:rPr>
        <w:t>[57]</w:t>
      </w:r>
      <w:r w:rsidRPr="00E940C3">
        <w:rPr>
          <w:rFonts w:ascii="Book Antiqua" w:eastAsia="Book Antiqua" w:hAnsi="Book Antiqua" w:cs="Book Antiqua"/>
          <w:color w:val="000000"/>
        </w:rPr>
        <w:t>. The modest benefit with these regimens should be balanced with the associated adverse events</w:t>
      </w:r>
      <w:r w:rsidR="00DF7B00"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and best supportive care should be considered a viable option for patients with poor general condition.</w:t>
      </w:r>
    </w:p>
    <w:p w14:paraId="004714E6" w14:textId="77777777" w:rsidR="00A77B3E" w:rsidRPr="00E940C3" w:rsidRDefault="00A77B3E" w:rsidP="00265AC6">
      <w:pPr>
        <w:snapToGrid w:val="0"/>
        <w:spacing w:line="360" w:lineRule="auto"/>
        <w:jc w:val="both"/>
        <w:rPr>
          <w:rFonts w:ascii="Book Antiqua" w:hAnsi="Book Antiqua"/>
        </w:rPr>
      </w:pPr>
    </w:p>
    <w:p w14:paraId="41F97D58" w14:textId="77777777" w:rsidR="00A77B3E" w:rsidRPr="00E940C3" w:rsidRDefault="00B70BAD" w:rsidP="00265AC6">
      <w:pPr>
        <w:snapToGrid w:val="0"/>
        <w:spacing w:line="360" w:lineRule="auto"/>
        <w:jc w:val="both"/>
        <w:rPr>
          <w:rFonts w:ascii="Book Antiqua" w:hAnsi="Book Antiqua"/>
          <w:b/>
          <w:i/>
        </w:rPr>
      </w:pPr>
      <w:r w:rsidRPr="00E940C3">
        <w:rPr>
          <w:rFonts w:ascii="Book Antiqua" w:eastAsia="Book Antiqua" w:hAnsi="Book Antiqua" w:cs="Book Antiqua"/>
          <w:b/>
          <w:i/>
          <w:color w:val="000000"/>
        </w:rPr>
        <w:t>Targeted therapy and immunotherapy</w:t>
      </w:r>
    </w:p>
    <w:p w14:paraId="1B4A5EE2" w14:textId="278B647D"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lastRenderedPageBreak/>
        <w:t xml:space="preserve">As survival is still short, even when the most </w:t>
      </w:r>
      <w:r w:rsidR="00DE0BDD" w:rsidRPr="00E940C3">
        <w:rPr>
          <w:rFonts w:ascii="Book Antiqua" w:eastAsia="Book Antiqua" w:hAnsi="Book Antiqua" w:cs="Book Antiqua"/>
          <w:color w:val="000000"/>
        </w:rPr>
        <w:t>effective</w:t>
      </w:r>
      <w:r w:rsidRPr="00E940C3">
        <w:rPr>
          <w:rFonts w:ascii="Book Antiqua" w:eastAsia="Book Antiqua" w:hAnsi="Book Antiqua" w:cs="Book Antiqua"/>
          <w:color w:val="000000"/>
        </w:rPr>
        <w:t xml:space="preserve"> modern combinations of cytotoxic drugs are administered to patients with </w:t>
      </w:r>
      <w:r w:rsidR="00F04292" w:rsidRPr="00E940C3">
        <w:rPr>
          <w:rFonts w:ascii="Book Antiqua" w:eastAsia="Book Antiqua" w:hAnsi="Book Antiqua" w:cs="Book Antiqua"/>
          <w:color w:val="000000"/>
        </w:rPr>
        <w:t>good</w:t>
      </w:r>
      <w:r w:rsidRPr="00E940C3">
        <w:rPr>
          <w:rFonts w:ascii="Book Antiqua" w:eastAsia="Book Antiqua" w:hAnsi="Book Antiqua" w:cs="Book Antiqua"/>
          <w:color w:val="000000"/>
        </w:rPr>
        <w:t xml:space="preserve"> performance status, it is tempting to look for alternatives such as targeted therapies or immune checkpoint inhibitors for the treatment of advanced PDAC. While the major breakthrough is yet to come, some recent findings may </w:t>
      </w:r>
      <w:r w:rsidR="000857F2" w:rsidRPr="00E940C3">
        <w:rPr>
          <w:rFonts w:ascii="Book Antiqua" w:eastAsia="Book Antiqua" w:hAnsi="Book Antiqua" w:cs="Book Antiqua"/>
          <w:color w:val="000000"/>
        </w:rPr>
        <w:t>have</w:t>
      </w:r>
      <w:r w:rsidRPr="00E940C3">
        <w:rPr>
          <w:rFonts w:ascii="Book Antiqua" w:eastAsia="Book Antiqua" w:hAnsi="Book Antiqua" w:cs="Book Antiqua"/>
          <w:color w:val="000000"/>
        </w:rPr>
        <w:t xml:space="preserve"> the potential to </w:t>
      </w:r>
      <w:r w:rsidR="00CD62AB" w:rsidRPr="00E940C3">
        <w:rPr>
          <w:rFonts w:ascii="Book Antiqua" w:eastAsia="Book Antiqua" w:hAnsi="Book Antiqua" w:cs="Book Antiqua"/>
          <w:color w:val="000000"/>
        </w:rPr>
        <w:t xml:space="preserve">become </w:t>
      </w:r>
      <w:r w:rsidRPr="00E940C3">
        <w:rPr>
          <w:rFonts w:ascii="Book Antiqua" w:eastAsia="Book Antiqua" w:hAnsi="Book Antiqua" w:cs="Book Antiqua"/>
          <w:color w:val="000000"/>
        </w:rPr>
        <w:t>game</w:t>
      </w:r>
      <w:r w:rsidR="00CD62AB"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changing treatments </w:t>
      </w:r>
      <w:r w:rsidR="00E33D60" w:rsidRPr="00E940C3">
        <w:rPr>
          <w:rFonts w:ascii="Book Antiqua" w:eastAsia="Book Antiqua" w:hAnsi="Book Antiqua" w:cs="Book Antiqua"/>
          <w:color w:val="000000"/>
        </w:rPr>
        <w:t xml:space="preserve">of </w:t>
      </w:r>
      <w:r w:rsidRPr="00E940C3">
        <w:rPr>
          <w:rFonts w:ascii="Book Antiqua" w:eastAsia="Book Antiqua" w:hAnsi="Book Antiqua" w:cs="Book Antiqua"/>
          <w:color w:val="000000"/>
        </w:rPr>
        <w:t xml:space="preserve">at least </w:t>
      </w:r>
      <w:r w:rsidR="00DD1BD5" w:rsidRPr="00E940C3">
        <w:rPr>
          <w:rFonts w:ascii="Book Antiqua" w:eastAsia="Book Antiqua" w:hAnsi="Book Antiqua" w:cs="Book Antiqua"/>
          <w:color w:val="000000"/>
        </w:rPr>
        <w:t xml:space="preserve">some </w:t>
      </w:r>
      <w:r w:rsidRPr="00E940C3">
        <w:rPr>
          <w:rFonts w:ascii="Book Antiqua" w:eastAsia="Book Antiqua" w:hAnsi="Book Antiqua" w:cs="Book Antiqua"/>
          <w:color w:val="000000"/>
        </w:rPr>
        <w:t>types of PDAC</w:t>
      </w:r>
      <w:r w:rsidR="00DD1BD5" w:rsidRPr="00E940C3">
        <w:rPr>
          <w:rFonts w:ascii="Book Antiqua" w:eastAsia="Book Antiqua" w:hAnsi="Book Antiqua" w:cs="Book Antiqua"/>
          <w:color w:val="000000"/>
        </w:rPr>
        <w:t xml:space="preserve"> in the future</w:t>
      </w:r>
      <w:r w:rsidRPr="00E940C3">
        <w:rPr>
          <w:rFonts w:ascii="Book Antiqua" w:eastAsia="Book Antiqua" w:hAnsi="Book Antiqua" w:cs="Book Antiqua"/>
          <w:color w:val="000000"/>
        </w:rPr>
        <w:t>.</w:t>
      </w:r>
    </w:p>
    <w:p w14:paraId="5A7A64A7" w14:textId="2E0C681C" w:rsidR="00A77B3E" w:rsidRPr="00E940C3" w:rsidRDefault="00B70BAD" w:rsidP="00E90369">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Approximately one in every five patients with advanced PDAC harbor</w:t>
      </w:r>
      <w:r w:rsidR="00E90369"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 a germline or somatic mutation in the DNA damage repair pathway</w:t>
      </w:r>
      <w:r w:rsidRPr="00E940C3">
        <w:rPr>
          <w:rFonts w:ascii="Book Antiqua" w:eastAsia="Book Antiqua" w:hAnsi="Book Antiqua" w:cs="Book Antiqua"/>
          <w:color w:val="000000"/>
          <w:vertAlign w:val="superscript"/>
        </w:rPr>
        <w:t>[58]</w:t>
      </w:r>
      <w:r w:rsidRPr="00E940C3">
        <w:rPr>
          <w:rFonts w:ascii="Book Antiqua" w:eastAsia="Book Antiqua" w:hAnsi="Book Antiqua" w:cs="Book Antiqua"/>
          <w:color w:val="000000"/>
        </w:rPr>
        <w:t>. There are limited data to suggest that Poly (ADP-ribose) polymerase (PARP) inhibitors may be effective in such patients. For example, a retrospective analysis of patients with previously treated PDAC (median prior therapies</w:t>
      </w:r>
      <w:r w:rsidR="008D6D88"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w:t>
      </w:r>
      <w:r w:rsidR="008D6D88"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2) harboring a mutation in the DNA damage repair pathway reported an objective response rate of 23%, PFS of 7.6 mo and OS of 16.5 mo with olaparib</w:t>
      </w:r>
      <w:r w:rsidRPr="00E940C3">
        <w:rPr>
          <w:rFonts w:ascii="Book Antiqua" w:eastAsia="Book Antiqua" w:hAnsi="Book Antiqua" w:cs="Book Antiqua"/>
          <w:color w:val="000000"/>
          <w:vertAlign w:val="superscript"/>
        </w:rPr>
        <w:t>[59]</w:t>
      </w:r>
      <w:r w:rsidRPr="00E940C3">
        <w:rPr>
          <w:rFonts w:ascii="Book Antiqua" w:eastAsia="Book Antiqua" w:hAnsi="Book Antiqua" w:cs="Book Antiqua"/>
          <w:color w:val="000000"/>
        </w:rPr>
        <w:t xml:space="preserve">. Another report of 30 patients with BRCA1/2 </w:t>
      </w:r>
      <w:r w:rsidR="00E90369" w:rsidRPr="00E940C3">
        <w:rPr>
          <w:rFonts w:ascii="Book Antiqua" w:eastAsia="Book Antiqua" w:hAnsi="Book Antiqua" w:cs="Book Antiqua"/>
          <w:color w:val="000000"/>
        </w:rPr>
        <w:t>mutations and</w:t>
      </w:r>
      <w:r w:rsidRPr="00E940C3">
        <w:rPr>
          <w:rFonts w:ascii="Book Antiqua" w:eastAsia="Book Antiqua" w:hAnsi="Book Antiqua" w:cs="Book Antiqua"/>
          <w:color w:val="000000"/>
        </w:rPr>
        <w:t xml:space="preserve"> no </w:t>
      </w:r>
      <w:r w:rsidR="00E90369" w:rsidRPr="00E940C3">
        <w:rPr>
          <w:rFonts w:ascii="Book Antiqua" w:eastAsia="Book Antiqua" w:hAnsi="Book Antiqua" w:cs="Book Antiqua"/>
          <w:color w:val="000000"/>
        </w:rPr>
        <w:t xml:space="preserve">available </w:t>
      </w:r>
      <w:r w:rsidRPr="00E940C3">
        <w:rPr>
          <w:rFonts w:ascii="Book Antiqua" w:eastAsia="Book Antiqua" w:hAnsi="Book Antiqua" w:cs="Book Antiqua"/>
          <w:color w:val="000000"/>
        </w:rPr>
        <w:t>standard treatment options reported disease control rate of 31% and</w:t>
      </w:r>
      <w:r w:rsidR="00E90369" w:rsidRPr="00E940C3">
        <w:rPr>
          <w:rFonts w:ascii="Book Antiqua" w:eastAsia="Book Antiqua" w:hAnsi="Book Antiqua" w:cs="Book Antiqua"/>
          <w:color w:val="000000"/>
        </w:rPr>
        <w:t xml:space="preserve"> an</w:t>
      </w:r>
      <w:r w:rsidRPr="00E940C3">
        <w:rPr>
          <w:rFonts w:ascii="Book Antiqua" w:eastAsia="Book Antiqua" w:hAnsi="Book Antiqua" w:cs="Book Antiqua"/>
          <w:color w:val="000000"/>
        </w:rPr>
        <w:t xml:space="preserve"> objective response rate of 4% with olaparib</w:t>
      </w:r>
      <w:r w:rsidRPr="00E940C3">
        <w:rPr>
          <w:rFonts w:ascii="Book Antiqua" w:eastAsia="Book Antiqua" w:hAnsi="Book Antiqua" w:cs="Book Antiqua"/>
          <w:color w:val="000000"/>
          <w:vertAlign w:val="superscript"/>
        </w:rPr>
        <w:t>[60]</w:t>
      </w:r>
      <w:r w:rsidRPr="00E940C3">
        <w:rPr>
          <w:rFonts w:ascii="Book Antiqua" w:eastAsia="Book Antiqua" w:hAnsi="Book Antiqua" w:cs="Book Antiqua"/>
          <w:color w:val="000000"/>
        </w:rPr>
        <w:t>. The role of immunotherapy in advanced PDAC is still evolving. However, a low prevalence (&lt;</w:t>
      </w:r>
      <w:r w:rsidR="008D6D88"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2%) of deficient mismatch repair suggests a limited role of immune check point inhibitor</w:t>
      </w:r>
      <w:r w:rsidR="00E90369"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 in this setting, at least with the currently available drugs</w:t>
      </w:r>
      <w:r w:rsidRPr="00E940C3">
        <w:rPr>
          <w:rFonts w:ascii="Book Antiqua" w:eastAsia="Book Antiqua" w:hAnsi="Book Antiqua" w:cs="Book Antiqua"/>
          <w:color w:val="000000"/>
          <w:vertAlign w:val="superscript"/>
        </w:rPr>
        <w:t>[61,62]</w:t>
      </w:r>
      <w:r w:rsidRPr="00E940C3">
        <w:rPr>
          <w:rFonts w:ascii="Book Antiqua" w:eastAsia="Book Antiqua" w:hAnsi="Book Antiqua" w:cs="Book Antiqua"/>
          <w:color w:val="000000"/>
        </w:rPr>
        <w:t>.</w:t>
      </w:r>
    </w:p>
    <w:p w14:paraId="247446B7" w14:textId="77777777" w:rsidR="00A77B3E" w:rsidRPr="00E940C3" w:rsidRDefault="00A77B3E" w:rsidP="00265AC6">
      <w:pPr>
        <w:snapToGrid w:val="0"/>
        <w:spacing w:line="360" w:lineRule="auto"/>
        <w:jc w:val="both"/>
        <w:rPr>
          <w:rFonts w:ascii="Book Antiqua" w:hAnsi="Book Antiqua"/>
        </w:rPr>
      </w:pPr>
    </w:p>
    <w:p w14:paraId="1BC9B17A"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aps/>
          <w:color w:val="000000"/>
          <w:u w:val="single"/>
        </w:rPr>
        <w:t>CONCLUSION</w:t>
      </w:r>
    </w:p>
    <w:p w14:paraId="23AA4461" w14:textId="07F222FC"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Pancreatic cancer not amenable </w:t>
      </w:r>
      <w:r w:rsidR="005A0496" w:rsidRPr="00E940C3">
        <w:rPr>
          <w:rFonts w:ascii="Book Antiqua" w:eastAsia="Book Antiqua" w:hAnsi="Book Antiqua" w:cs="Book Antiqua"/>
          <w:color w:val="000000"/>
        </w:rPr>
        <w:t xml:space="preserve">to </w:t>
      </w:r>
      <w:r w:rsidRPr="00E940C3">
        <w:rPr>
          <w:rFonts w:ascii="Book Antiqua" w:eastAsia="Book Antiqua" w:hAnsi="Book Antiqua" w:cs="Book Antiqua"/>
          <w:color w:val="000000"/>
        </w:rPr>
        <w:t xml:space="preserve">surgical resection remains one of the most difficult challenges for medical oncologists around the globe. Despite improved diagnostic imaging tools, </w:t>
      </w:r>
      <w:r w:rsidR="005A0496" w:rsidRPr="00E940C3">
        <w:rPr>
          <w:rFonts w:ascii="Book Antiqua" w:eastAsia="Book Antiqua" w:hAnsi="Book Antiqua" w:cs="Book Antiqua"/>
          <w:color w:val="000000"/>
        </w:rPr>
        <w:t xml:space="preserve">most cases are </w:t>
      </w:r>
      <w:r w:rsidRPr="00E940C3">
        <w:rPr>
          <w:rFonts w:ascii="Book Antiqua" w:eastAsia="Book Antiqua" w:hAnsi="Book Antiqua" w:cs="Book Antiqua"/>
          <w:color w:val="000000"/>
        </w:rPr>
        <w:t>detected at a stage where cure or long</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term survival are not achievable. Nevertheless, there is reason for cautious optimism. Large RCTs over the last decade have introduced </w:t>
      </w:r>
      <w:r w:rsidR="005A0496" w:rsidRPr="00E940C3">
        <w:rPr>
          <w:rFonts w:ascii="Book Antiqua" w:eastAsia="Book Antiqua" w:hAnsi="Book Antiqua" w:cs="Book Antiqua"/>
          <w:color w:val="000000"/>
        </w:rPr>
        <w:t xml:space="preserve">first-line FFX and GnP regimens as </w:t>
      </w:r>
      <w:r w:rsidRPr="00E940C3">
        <w:rPr>
          <w:rFonts w:ascii="Book Antiqua" w:eastAsia="Book Antiqua" w:hAnsi="Book Antiqua" w:cs="Book Antiqua"/>
          <w:color w:val="000000"/>
        </w:rPr>
        <w:t>the current standard of care</w:t>
      </w:r>
      <w:r w:rsidR="005A0496"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which ha</w:t>
      </w:r>
      <w:r w:rsidR="005A0496"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 significantly changed the treatment landscape. Although extrapolation of the outcomes observed in highly selected RCT populations should be done with great care, combined evidence from real</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world studies across different countries and health care systems indicate</w:t>
      </w:r>
      <w:r w:rsidR="005A0496" w:rsidRPr="00E940C3">
        <w:rPr>
          <w:rFonts w:ascii="Book Antiqua" w:eastAsia="Book Antiqua" w:hAnsi="Book Antiqua" w:cs="Book Antiqua"/>
          <w:color w:val="000000"/>
        </w:rPr>
        <w:t>s</w:t>
      </w:r>
      <w:r w:rsidRPr="00E940C3">
        <w:rPr>
          <w:rFonts w:ascii="Book Antiqua" w:eastAsia="Book Antiqua" w:hAnsi="Book Antiqua" w:cs="Book Antiqua"/>
          <w:color w:val="000000"/>
        </w:rPr>
        <w:t xml:space="preserve"> that the regimens are effective and reasonably safe in the real</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world setting. In several of the</w:t>
      </w:r>
      <w:r w:rsidR="005A0496" w:rsidRPr="00E940C3">
        <w:rPr>
          <w:rFonts w:ascii="Book Antiqua" w:eastAsia="Book Antiqua" w:hAnsi="Book Antiqua" w:cs="Book Antiqua"/>
          <w:color w:val="000000"/>
        </w:rPr>
        <w:t xml:space="preserve"> real-world experience</w:t>
      </w:r>
      <w:r w:rsidRPr="00E940C3">
        <w:rPr>
          <w:rFonts w:ascii="Book Antiqua" w:eastAsia="Book Antiqua" w:hAnsi="Book Antiqua" w:cs="Book Antiqua"/>
          <w:color w:val="000000"/>
        </w:rPr>
        <w:t xml:space="preserve"> publications, FFX </w:t>
      </w:r>
      <w:r w:rsidR="005A0496" w:rsidRPr="00E940C3">
        <w:rPr>
          <w:rFonts w:ascii="Book Antiqua" w:eastAsia="Book Antiqua" w:hAnsi="Book Antiqua" w:cs="Book Antiqua"/>
          <w:color w:val="000000"/>
        </w:rPr>
        <w:t xml:space="preserve">was </w:t>
      </w:r>
      <w:r w:rsidRPr="00E940C3">
        <w:rPr>
          <w:rFonts w:ascii="Book Antiqua" w:eastAsia="Book Antiqua" w:hAnsi="Book Antiqua" w:cs="Book Antiqua"/>
          <w:color w:val="000000"/>
        </w:rPr>
        <w:t xml:space="preserve">associated with </w:t>
      </w:r>
      <w:r w:rsidR="005A0496" w:rsidRPr="00E940C3">
        <w:rPr>
          <w:rFonts w:ascii="Book Antiqua" w:eastAsia="Book Antiqua" w:hAnsi="Book Antiqua" w:cs="Book Antiqua"/>
          <w:color w:val="000000"/>
        </w:rPr>
        <w:t xml:space="preserve">a </w:t>
      </w:r>
      <w:r w:rsidRPr="00E940C3">
        <w:rPr>
          <w:rFonts w:ascii="Book Antiqua" w:eastAsia="Book Antiqua" w:hAnsi="Book Antiqua" w:cs="Book Antiqua"/>
          <w:color w:val="000000"/>
        </w:rPr>
        <w:lastRenderedPageBreak/>
        <w:t xml:space="preserve">slightly better median OS than GnP, but selection bias </w:t>
      </w:r>
      <w:r w:rsidR="005A0496" w:rsidRPr="00E940C3">
        <w:rPr>
          <w:rFonts w:ascii="Book Antiqua" w:eastAsia="Book Antiqua" w:hAnsi="Book Antiqua" w:cs="Book Antiqua"/>
          <w:color w:val="000000"/>
        </w:rPr>
        <w:t xml:space="preserve">was </w:t>
      </w:r>
      <w:r w:rsidRPr="00E940C3">
        <w:rPr>
          <w:rFonts w:ascii="Book Antiqua" w:eastAsia="Book Antiqua" w:hAnsi="Book Antiqua" w:cs="Book Antiqua"/>
          <w:color w:val="000000"/>
        </w:rPr>
        <w:t xml:space="preserve">probable. Thus, it is possible that the differences observed might be </w:t>
      </w:r>
      <w:r w:rsidR="005A0496" w:rsidRPr="00E940C3">
        <w:rPr>
          <w:rFonts w:ascii="Book Antiqua" w:eastAsia="Book Antiqua" w:hAnsi="Book Antiqua" w:cs="Book Antiqua"/>
          <w:color w:val="000000"/>
        </w:rPr>
        <w:t>the result of</w:t>
      </w:r>
      <w:r w:rsidRPr="00E940C3">
        <w:rPr>
          <w:rFonts w:ascii="Book Antiqua" w:eastAsia="Book Antiqua" w:hAnsi="Book Antiqua" w:cs="Book Antiqua"/>
          <w:color w:val="000000"/>
        </w:rPr>
        <w:t xml:space="preserve"> less fit patients being prescribed GnP rather than FFX. A sufficiently large head</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to</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head RCT comparing first</w:t>
      </w:r>
      <w:r w:rsidR="008C19B4">
        <w:rPr>
          <w:rFonts w:ascii="Book Antiqua" w:eastAsia="Book Antiqua" w:hAnsi="Book Antiqua" w:cs="Book Antiqua"/>
          <w:color w:val="000000"/>
        </w:rPr>
        <w:t>-line</w:t>
      </w:r>
      <w:r w:rsidRPr="00E940C3">
        <w:rPr>
          <w:rFonts w:ascii="Book Antiqua" w:eastAsia="Book Antiqua" w:hAnsi="Book Antiqua" w:cs="Book Antiqua"/>
          <w:color w:val="000000"/>
        </w:rPr>
        <w:t xml:space="preserve"> FFX and GnP would potentially resolve these issues, but such a study is unlikely to occur.</w:t>
      </w:r>
    </w:p>
    <w:p w14:paraId="560DF369" w14:textId="5ED557D7" w:rsidR="00A77B3E" w:rsidRPr="00E940C3" w:rsidRDefault="00B70BAD" w:rsidP="00265AC6">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In terms of second</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line therapies, there are still considerable gaps in our knowledge. The few </w:t>
      </w:r>
      <w:r w:rsidR="005A0496" w:rsidRPr="00E940C3">
        <w:rPr>
          <w:rFonts w:ascii="Book Antiqua" w:eastAsia="Book Antiqua" w:hAnsi="Book Antiqua" w:cs="Book Antiqua"/>
          <w:color w:val="000000"/>
        </w:rPr>
        <w:t xml:space="preserve">available </w:t>
      </w:r>
      <w:r w:rsidRPr="00E940C3">
        <w:rPr>
          <w:rFonts w:ascii="Book Antiqua" w:eastAsia="Book Antiqua" w:hAnsi="Book Antiqua" w:cs="Book Antiqua"/>
          <w:color w:val="000000"/>
        </w:rPr>
        <w:t>RCTs provide only limited guidance, and it is difficult to translate their results into real</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life practice. Notably, none of the </w:t>
      </w:r>
      <w:r w:rsidR="005A0496" w:rsidRPr="00E940C3">
        <w:rPr>
          <w:rFonts w:ascii="Book Antiqua" w:eastAsia="Book Antiqua" w:hAnsi="Book Antiqua" w:cs="Book Antiqua"/>
          <w:color w:val="000000"/>
        </w:rPr>
        <w:t xml:space="preserve">published </w:t>
      </w:r>
      <w:r w:rsidRPr="00E940C3">
        <w:rPr>
          <w:rFonts w:ascii="Book Antiqua" w:eastAsia="Book Antiqua" w:hAnsi="Book Antiqua" w:cs="Book Antiqua"/>
          <w:color w:val="000000"/>
        </w:rPr>
        <w:t>RCTs addresses whether the sequence of FFX followed by GnP or GnP followed by FFX is the most feasible or beneficial approach. Still</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th</w:t>
      </w:r>
      <w:r w:rsidR="005A0496" w:rsidRPr="00E940C3">
        <w:rPr>
          <w:rFonts w:ascii="Book Antiqua" w:eastAsia="Book Antiqua" w:hAnsi="Book Antiqua" w:cs="Book Antiqua"/>
          <w:color w:val="000000"/>
        </w:rPr>
        <w:t>o</w:t>
      </w:r>
      <w:r w:rsidRPr="00E940C3">
        <w:rPr>
          <w:rFonts w:ascii="Book Antiqua" w:eastAsia="Book Antiqua" w:hAnsi="Book Antiqua" w:cs="Book Antiqua"/>
          <w:color w:val="000000"/>
        </w:rPr>
        <w:t xml:space="preserve">se sequences are often advocated by expert guidelines, and several </w:t>
      </w:r>
      <w:r w:rsidR="005A0496" w:rsidRPr="00E940C3">
        <w:rPr>
          <w:rFonts w:ascii="Book Antiqua" w:eastAsia="Book Antiqua" w:hAnsi="Book Antiqua" w:cs="Book Antiqua"/>
          <w:color w:val="000000"/>
        </w:rPr>
        <w:t xml:space="preserve">real-world experience </w:t>
      </w:r>
      <w:r w:rsidRPr="00E940C3">
        <w:rPr>
          <w:rFonts w:ascii="Book Antiqua" w:eastAsia="Book Antiqua" w:hAnsi="Book Antiqua" w:cs="Book Antiqua"/>
          <w:color w:val="000000"/>
        </w:rPr>
        <w:t>studies support th</w:t>
      </w:r>
      <w:r w:rsidR="005A0496" w:rsidRPr="00E940C3">
        <w:rPr>
          <w:rFonts w:ascii="Book Antiqua" w:eastAsia="Book Antiqua" w:hAnsi="Book Antiqua" w:cs="Book Antiqua"/>
          <w:color w:val="000000"/>
        </w:rPr>
        <w:t>at</w:t>
      </w:r>
      <w:r w:rsidRPr="00E940C3">
        <w:rPr>
          <w:rFonts w:ascii="Book Antiqua" w:eastAsia="Book Antiqua" w:hAnsi="Book Antiqua" w:cs="Book Antiqua"/>
          <w:color w:val="000000"/>
        </w:rPr>
        <w:t xml:space="preserve"> strategy. The extrapolation of RCTs into </w:t>
      </w:r>
      <w:r w:rsidR="005A0496" w:rsidRPr="00E940C3">
        <w:rPr>
          <w:rFonts w:ascii="Book Antiqua" w:eastAsia="Book Antiqua" w:hAnsi="Book Antiqua" w:cs="Book Antiqua"/>
          <w:color w:val="000000"/>
        </w:rPr>
        <w:t xml:space="preserve">the </w:t>
      </w:r>
      <w:r w:rsidRPr="00E940C3">
        <w:rPr>
          <w:rFonts w:ascii="Book Antiqua" w:eastAsia="Book Antiqua" w:hAnsi="Book Antiqua" w:cs="Book Antiqua"/>
          <w:color w:val="000000"/>
        </w:rPr>
        <w:t>real world is, at least in theory, even more complex in the second</w:t>
      </w:r>
      <w:r w:rsidR="00A25CB3">
        <w:rPr>
          <w:rFonts w:ascii="Book Antiqua" w:eastAsia="Book Antiqua" w:hAnsi="Book Antiqua" w:cs="Book Antiqua"/>
          <w:color w:val="000000"/>
        </w:rPr>
        <w:t>-</w:t>
      </w:r>
      <w:r w:rsidRPr="00E940C3">
        <w:rPr>
          <w:rFonts w:ascii="Book Antiqua" w:eastAsia="Book Antiqua" w:hAnsi="Book Antiqua" w:cs="Book Antiqua"/>
          <w:color w:val="000000"/>
        </w:rPr>
        <w:t xml:space="preserve">line setting because patients at </w:t>
      </w:r>
      <w:r w:rsidR="005A0496" w:rsidRPr="00E940C3">
        <w:rPr>
          <w:rFonts w:ascii="Book Antiqua" w:eastAsia="Book Antiqua" w:hAnsi="Book Antiqua" w:cs="Book Antiqua"/>
          <w:color w:val="000000"/>
        </w:rPr>
        <w:t xml:space="preserve">that </w:t>
      </w:r>
      <w:r w:rsidRPr="00E940C3">
        <w:rPr>
          <w:rFonts w:ascii="Book Antiqua" w:eastAsia="Book Antiqua" w:hAnsi="Book Antiqua" w:cs="Book Antiqua"/>
          <w:color w:val="000000"/>
        </w:rPr>
        <w:t>point in their disease trajectory are likely to be frailer than patients eligible for first</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line therapy.</w:t>
      </w:r>
    </w:p>
    <w:p w14:paraId="703FE97E" w14:textId="4CFA9935" w:rsidR="00A77B3E" w:rsidRPr="00E940C3" w:rsidRDefault="00B70BAD" w:rsidP="00265AC6">
      <w:pPr>
        <w:snapToGrid w:val="0"/>
        <w:spacing w:line="360" w:lineRule="auto"/>
        <w:ind w:firstLineChars="100" w:firstLine="240"/>
        <w:jc w:val="both"/>
        <w:rPr>
          <w:rFonts w:ascii="Book Antiqua" w:hAnsi="Book Antiqua"/>
        </w:rPr>
      </w:pPr>
      <w:r w:rsidRPr="00E940C3">
        <w:rPr>
          <w:rFonts w:ascii="Book Antiqua" w:eastAsia="Book Antiqua" w:hAnsi="Book Antiqua" w:cs="Book Antiqua"/>
          <w:color w:val="000000"/>
        </w:rPr>
        <w:t>The accumulating real</w:t>
      </w:r>
      <w:r w:rsidR="008C19B4">
        <w:rPr>
          <w:rFonts w:ascii="Book Antiqua" w:eastAsia="Book Antiqua" w:hAnsi="Book Antiqua" w:cs="Book Antiqua"/>
          <w:color w:val="000000"/>
        </w:rPr>
        <w:t>-</w:t>
      </w:r>
      <w:r w:rsidRPr="00E940C3">
        <w:rPr>
          <w:rFonts w:ascii="Book Antiqua" w:eastAsia="Book Antiqua" w:hAnsi="Book Antiqua" w:cs="Book Antiqua"/>
          <w:color w:val="000000"/>
        </w:rPr>
        <w:t xml:space="preserve">world evidence presented in this review </w:t>
      </w:r>
      <w:r w:rsidR="005A0496" w:rsidRPr="00E940C3">
        <w:rPr>
          <w:rFonts w:ascii="Book Antiqua" w:eastAsia="Book Antiqua" w:hAnsi="Book Antiqua" w:cs="Book Antiqua"/>
          <w:color w:val="000000"/>
        </w:rPr>
        <w:t xml:space="preserve">does </w:t>
      </w:r>
      <w:r w:rsidRPr="00E940C3">
        <w:rPr>
          <w:rFonts w:ascii="Book Antiqua" w:eastAsia="Book Antiqua" w:hAnsi="Book Antiqua" w:cs="Book Antiqua"/>
          <w:color w:val="000000"/>
        </w:rPr>
        <w:t>points to some key conclusions</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 </w:t>
      </w:r>
      <w:r w:rsidR="005A0496" w:rsidRPr="00E940C3">
        <w:rPr>
          <w:rFonts w:ascii="Book Antiqua" w:eastAsia="Book Antiqua" w:hAnsi="Book Antiqua" w:cs="Book Antiqua"/>
          <w:color w:val="000000"/>
        </w:rPr>
        <w:t>S</w:t>
      </w:r>
      <w:r w:rsidRPr="00E940C3">
        <w:rPr>
          <w:rFonts w:ascii="Book Antiqua" w:eastAsia="Book Antiqua" w:hAnsi="Book Antiqua" w:cs="Book Antiqua"/>
          <w:color w:val="000000"/>
        </w:rPr>
        <w:t>everal multi</w:t>
      </w:r>
      <w:r w:rsidR="00A25CB3">
        <w:rPr>
          <w:rFonts w:ascii="Book Antiqua" w:eastAsia="Book Antiqua" w:hAnsi="Book Antiqua" w:cs="Book Antiqua"/>
          <w:color w:val="000000"/>
        </w:rPr>
        <w:t>drug</w:t>
      </w:r>
      <w:r w:rsidRPr="00E940C3">
        <w:rPr>
          <w:rFonts w:ascii="Book Antiqua" w:eastAsia="Book Antiqua" w:hAnsi="Book Antiqua" w:cs="Book Antiqua"/>
          <w:color w:val="000000"/>
        </w:rPr>
        <w:t xml:space="preserve"> regimens show promising potency and acceptable toxicity in the first</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line scenario, and to a somewhat lesser extent, the second</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line setting. Outcomes reported in RCTs seem to be relatively consistent when the respective regimens are administered in real</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life patients. Larger and/or pooled </w:t>
      </w:r>
      <w:r w:rsidR="005A0496" w:rsidRPr="00E940C3">
        <w:rPr>
          <w:rFonts w:ascii="Book Antiqua" w:eastAsia="Book Antiqua" w:hAnsi="Book Antiqua" w:cs="Book Antiqua"/>
          <w:color w:val="000000"/>
        </w:rPr>
        <w:t xml:space="preserve">real-world </w:t>
      </w:r>
      <w:r w:rsidRPr="00E940C3">
        <w:rPr>
          <w:rFonts w:ascii="Book Antiqua" w:eastAsia="Book Antiqua" w:hAnsi="Book Antiqua" w:cs="Book Antiqua"/>
          <w:color w:val="000000"/>
        </w:rPr>
        <w:t xml:space="preserve">studies are needed to further explore prognostic and predictive parameters such as serum albumin, serum CA-19-9, NLR and other novel biomarkers. </w:t>
      </w:r>
      <w:r w:rsidR="005A0496" w:rsidRPr="00E940C3">
        <w:rPr>
          <w:rFonts w:ascii="Book Antiqua" w:eastAsia="Book Antiqua" w:hAnsi="Book Antiqua" w:cs="Book Antiqua"/>
          <w:color w:val="000000"/>
        </w:rPr>
        <w:t>Regarding</w:t>
      </w:r>
      <w:r w:rsidRPr="00E940C3">
        <w:rPr>
          <w:rFonts w:ascii="Book Antiqua" w:eastAsia="Book Antiqua" w:hAnsi="Book Antiqua" w:cs="Book Antiqua"/>
          <w:color w:val="000000"/>
        </w:rPr>
        <w:t xml:space="preserve"> second</w:t>
      </w:r>
      <w:r w:rsidR="00A25CB3">
        <w:rPr>
          <w:rFonts w:ascii="Book Antiqua" w:eastAsia="Book Antiqua" w:hAnsi="Book Antiqua" w:cs="Book Antiqua"/>
          <w:color w:val="000000"/>
        </w:rPr>
        <w:t>-</w:t>
      </w:r>
      <w:r w:rsidRPr="00E940C3">
        <w:rPr>
          <w:rFonts w:ascii="Book Antiqua" w:eastAsia="Book Antiqua" w:hAnsi="Book Antiqua" w:cs="Book Antiqua"/>
          <w:color w:val="000000"/>
        </w:rPr>
        <w:t>line chemotherapy, the RCTs and real</w:t>
      </w:r>
      <w:r w:rsidR="005A0496" w:rsidRPr="00E940C3">
        <w:rPr>
          <w:rFonts w:ascii="Book Antiqua" w:eastAsia="Book Antiqua" w:hAnsi="Book Antiqua" w:cs="Book Antiqua"/>
          <w:color w:val="000000"/>
        </w:rPr>
        <w:t>-</w:t>
      </w:r>
      <w:r w:rsidRPr="00E940C3">
        <w:rPr>
          <w:rFonts w:ascii="Book Antiqua" w:eastAsia="Book Antiqua" w:hAnsi="Book Antiqua" w:cs="Book Antiqua"/>
          <w:color w:val="000000"/>
        </w:rPr>
        <w:t xml:space="preserve">world studies </w:t>
      </w:r>
      <w:r w:rsidR="005A0496" w:rsidRPr="00E940C3">
        <w:rPr>
          <w:rFonts w:ascii="Book Antiqua" w:eastAsia="Book Antiqua" w:hAnsi="Book Antiqua" w:cs="Book Antiqua"/>
          <w:color w:val="000000"/>
        </w:rPr>
        <w:t xml:space="preserve">published </w:t>
      </w:r>
      <w:r w:rsidRPr="00E940C3">
        <w:rPr>
          <w:rFonts w:ascii="Book Antiqua" w:eastAsia="Book Antiqua" w:hAnsi="Book Antiqua" w:cs="Book Antiqua"/>
          <w:color w:val="000000"/>
        </w:rPr>
        <w:t>to date are not fully aligned, and the key question regarding the optimal sequence of regimens remains uncertain. While most patients in this situation have very short expected survival, the identification of reliable clinical and biochemical biomarkers could be very helpful to inform treatment decision making.</w:t>
      </w:r>
    </w:p>
    <w:p w14:paraId="5EED8B9F" w14:textId="77777777" w:rsidR="00A77B3E" w:rsidRPr="00E940C3" w:rsidRDefault="00A77B3E" w:rsidP="00265AC6">
      <w:pPr>
        <w:snapToGrid w:val="0"/>
        <w:spacing w:line="360" w:lineRule="auto"/>
        <w:jc w:val="both"/>
        <w:rPr>
          <w:rFonts w:ascii="Book Antiqua" w:hAnsi="Book Antiqua"/>
        </w:rPr>
      </w:pPr>
    </w:p>
    <w:p w14:paraId="5A122E8C"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REFERENCES</w:t>
      </w:r>
    </w:p>
    <w:p w14:paraId="06909E42" w14:textId="77777777" w:rsidR="00A77B3E" w:rsidRPr="00E940C3" w:rsidRDefault="00B70BAD" w:rsidP="00265AC6">
      <w:pPr>
        <w:snapToGrid w:val="0"/>
        <w:spacing w:line="360" w:lineRule="auto"/>
        <w:jc w:val="both"/>
        <w:rPr>
          <w:rFonts w:ascii="Book Antiqua" w:hAnsi="Book Antiqua"/>
        </w:rPr>
      </w:pPr>
      <w:bookmarkStart w:id="3" w:name="OLE_LINK13"/>
      <w:r w:rsidRPr="00E940C3">
        <w:rPr>
          <w:rFonts w:ascii="Book Antiqua" w:eastAsia="Book Antiqua" w:hAnsi="Book Antiqua" w:cs="Book Antiqua"/>
          <w:color w:val="000000"/>
        </w:rPr>
        <w:t xml:space="preserve">1 </w:t>
      </w:r>
      <w:r w:rsidRPr="00E940C3">
        <w:rPr>
          <w:rFonts w:ascii="Book Antiqua" w:eastAsia="Book Antiqua" w:hAnsi="Book Antiqua" w:cs="Book Antiqua"/>
          <w:b/>
          <w:bCs/>
          <w:color w:val="000000"/>
        </w:rPr>
        <w:t>Ferlay J</w:t>
      </w:r>
      <w:r w:rsidRPr="00E940C3">
        <w:rPr>
          <w:rFonts w:ascii="Book Antiqua" w:eastAsia="Book Antiqua" w:hAnsi="Book Antiqua" w:cs="Book Antiqua"/>
          <w:color w:val="000000"/>
        </w:rPr>
        <w:t xml:space="preserve">, Partensky C, Bray F. More deaths from pancreatic cancer than breast cancer in the EU by 2017. </w:t>
      </w:r>
      <w:r w:rsidRPr="00E940C3">
        <w:rPr>
          <w:rFonts w:ascii="Book Antiqua" w:eastAsia="Book Antiqua" w:hAnsi="Book Antiqua" w:cs="Book Antiqua"/>
          <w:i/>
          <w:iCs/>
          <w:color w:val="000000"/>
        </w:rPr>
        <w:t>Acta Oncol</w:t>
      </w:r>
      <w:r w:rsidRPr="00E940C3">
        <w:rPr>
          <w:rFonts w:ascii="Book Antiqua" w:eastAsia="Book Antiqua" w:hAnsi="Book Antiqua" w:cs="Book Antiqua"/>
          <w:color w:val="000000"/>
        </w:rPr>
        <w:t xml:space="preserve"> 2016; </w:t>
      </w:r>
      <w:r w:rsidRPr="00E940C3">
        <w:rPr>
          <w:rFonts w:ascii="Book Antiqua" w:eastAsia="Book Antiqua" w:hAnsi="Book Antiqua" w:cs="Book Antiqua"/>
          <w:b/>
          <w:bCs/>
          <w:color w:val="000000"/>
        </w:rPr>
        <w:t>55</w:t>
      </w:r>
      <w:r w:rsidRPr="00E940C3">
        <w:rPr>
          <w:rFonts w:ascii="Book Antiqua" w:eastAsia="Book Antiqua" w:hAnsi="Book Antiqua" w:cs="Book Antiqua"/>
          <w:color w:val="000000"/>
        </w:rPr>
        <w:t>: 1158-1160 [PMID: 27551890 DOI: 10.1080/0284186X.2016.1197419]</w:t>
      </w:r>
    </w:p>
    <w:p w14:paraId="751404F1"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lastRenderedPageBreak/>
        <w:t xml:space="preserve">2 </w:t>
      </w:r>
      <w:r w:rsidRPr="00E940C3">
        <w:rPr>
          <w:rFonts w:ascii="Book Antiqua" w:eastAsia="Book Antiqua" w:hAnsi="Book Antiqua" w:cs="Book Antiqua"/>
          <w:b/>
          <w:bCs/>
          <w:color w:val="000000"/>
        </w:rPr>
        <w:t>Glimelius B</w:t>
      </w:r>
      <w:r w:rsidRPr="00E940C3">
        <w:rPr>
          <w:rFonts w:ascii="Book Antiqua" w:eastAsia="Book Antiqua" w:hAnsi="Book Antiqua" w:cs="Book Antiqua"/>
          <w:color w:val="000000"/>
        </w:rPr>
        <w:t xml:space="preserve">, Hoffman K, Sjödén PO, Jacobsson G, Sellström H, Enander LK, Linné T, Svensson C. Chemotherapy improves survival and quality of life in advanced pancreatic and biliary cancer. </w:t>
      </w:r>
      <w:r w:rsidRPr="00E940C3">
        <w:rPr>
          <w:rFonts w:ascii="Book Antiqua" w:eastAsia="Book Antiqua" w:hAnsi="Book Antiqua" w:cs="Book Antiqua"/>
          <w:i/>
          <w:iCs/>
          <w:color w:val="000000"/>
        </w:rPr>
        <w:t>Ann Oncol</w:t>
      </w:r>
      <w:r w:rsidRPr="00E940C3">
        <w:rPr>
          <w:rFonts w:ascii="Book Antiqua" w:eastAsia="Book Antiqua" w:hAnsi="Book Antiqua" w:cs="Book Antiqua"/>
          <w:color w:val="000000"/>
        </w:rPr>
        <w:t xml:space="preserve"> 1996; </w:t>
      </w:r>
      <w:r w:rsidRPr="00E940C3">
        <w:rPr>
          <w:rFonts w:ascii="Book Antiqua" w:eastAsia="Book Antiqua" w:hAnsi="Book Antiqua" w:cs="Book Antiqua"/>
          <w:b/>
          <w:bCs/>
          <w:color w:val="000000"/>
        </w:rPr>
        <w:t>7</w:t>
      </w:r>
      <w:r w:rsidRPr="00E940C3">
        <w:rPr>
          <w:rFonts w:ascii="Book Antiqua" w:eastAsia="Book Antiqua" w:hAnsi="Book Antiqua" w:cs="Book Antiqua"/>
          <w:color w:val="000000"/>
        </w:rPr>
        <w:t>: 593-600 [PMID: 8879373 DOI: 10.1093/oxfordjournals.annonc.a010676]</w:t>
      </w:r>
    </w:p>
    <w:p w14:paraId="1C0E8FE2"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3 </w:t>
      </w:r>
      <w:r w:rsidRPr="00E940C3">
        <w:rPr>
          <w:rFonts w:ascii="Book Antiqua" w:eastAsia="Book Antiqua" w:hAnsi="Book Antiqua" w:cs="Book Antiqua"/>
          <w:b/>
          <w:bCs/>
          <w:color w:val="000000"/>
        </w:rPr>
        <w:t>Burris HA 3rd</w:t>
      </w:r>
      <w:r w:rsidRPr="00E940C3">
        <w:rPr>
          <w:rFonts w:ascii="Book Antiqua" w:eastAsia="Book Antiqua" w:hAnsi="Book Antiqua" w:cs="Book Antiqua"/>
          <w:color w:val="000000"/>
        </w:rPr>
        <w:t xml:space="preserve">,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E940C3">
        <w:rPr>
          <w:rFonts w:ascii="Book Antiqua" w:eastAsia="Book Antiqua" w:hAnsi="Book Antiqua" w:cs="Book Antiqua"/>
          <w:i/>
          <w:iCs/>
          <w:color w:val="000000"/>
        </w:rPr>
        <w:t>J Clin Oncol</w:t>
      </w:r>
      <w:r w:rsidRPr="00E940C3">
        <w:rPr>
          <w:rFonts w:ascii="Book Antiqua" w:eastAsia="Book Antiqua" w:hAnsi="Book Antiqua" w:cs="Book Antiqua"/>
          <w:color w:val="000000"/>
        </w:rPr>
        <w:t xml:space="preserve"> 1997; </w:t>
      </w:r>
      <w:r w:rsidRPr="00E940C3">
        <w:rPr>
          <w:rFonts w:ascii="Book Antiqua" w:eastAsia="Book Antiqua" w:hAnsi="Book Antiqua" w:cs="Book Antiqua"/>
          <w:b/>
          <w:bCs/>
          <w:color w:val="000000"/>
        </w:rPr>
        <w:t>15</w:t>
      </w:r>
      <w:r w:rsidRPr="00E940C3">
        <w:rPr>
          <w:rFonts w:ascii="Book Antiqua" w:eastAsia="Book Antiqua" w:hAnsi="Book Antiqua" w:cs="Book Antiqua"/>
          <w:color w:val="000000"/>
        </w:rPr>
        <w:t>: 2403-2413 [PMID: 9196156 DOI: 10.1200/JCO.1997.15.6.2403]</w:t>
      </w:r>
    </w:p>
    <w:p w14:paraId="75B28E2A"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4 </w:t>
      </w:r>
      <w:r w:rsidRPr="00E940C3">
        <w:rPr>
          <w:rFonts w:ascii="Book Antiqua" w:eastAsia="Book Antiqua" w:hAnsi="Book Antiqua" w:cs="Book Antiqua"/>
          <w:b/>
          <w:bCs/>
          <w:color w:val="000000"/>
        </w:rPr>
        <w:t>Heinemann V</w:t>
      </w:r>
      <w:r w:rsidRPr="00E940C3">
        <w:rPr>
          <w:rFonts w:ascii="Book Antiqua" w:eastAsia="Book Antiqua" w:hAnsi="Book Antiqua" w:cs="Book Antiqua"/>
          <w:color w:val="000000"/>
        </w:rPr>
        <w:t xml:space="preserve">, Quietzsch D, Gieseler F, Gonnermann M, Schönekäs H, Rost A, Neuhaus H, Haag C, Clemens M, Heinrich B, Vehling-Kaiser U, Fuchs M, Fleckenstein D, Gesierich W, Uthgenannt D, Einsele H, Holstege A, Hinke A, Schalhorn A, Wilkowski R. Randomized phase III trial of gemcitabine plus cisplatin compared with gemcitabine alone in advanced pancreatic cancer. </w:t>
      </w:r>
      <w:r w:rsidRPr="00E940C3">
        <w:rPr>
          <w:rFonts w:ascii="Book Antiqua" w:eastAsia="Book Antiqua" w:hAnsi="Book Antiqua" w:cs="Book Antiqua"/>
          <w:i/>
          <w:iCs/>
          <w:color w:val="000000"/>
        </w:rPr>
        <w:t>J Clin Oncol</w:t>
      </w:r>
      <w:r w:rsidRPr="00E940C3">
        <w:rPr>
          <w:rFonts w:ascii="Book Antiqua" w:eastAsia="Book Antiqua" w:hAnsi="Book Antiqua" w:cs="Book Antiqua"/>
          <w:color w:val="000000"/>
        </w:rPr>
        <w:t xml:space="preserve"> 2006; </w:t>
      </w:r>
      <w:r w:rsidRPr="00E940C3">
        <w:rPr>
          <w:rFonts w:ascii="Book Antiqua" w:eastAsia="Book Antiqua" w:hAnsi="Book Antiqua" w:cs="Book Antiqua"/>
          <w:b/>
          <w:bCs/>
          <w:color w:val="000000"/>
        </w:rPr>
        <w:t>24</w:t>
      </w:r>
      <w:r w:rsidRPr="00E940C3">
        <w:rPr>
          <w:rFonts w:ascii="Book Antiqua" w:eastAsia="Book Antiqua" w:hAnsi="Book Antiqua" w:cs="Book Antiqua"/>
          <w:color w:val="000000"/>
        </w:rPr>
        <w:t>: 3946-3952 [PMID: 16921047 DOI: 10.1200/JCO.2005.05.1490]</w:t>
      </w:r>
    </w:p>
    <w:p w14:paraId="5E04E2E2"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5 </w:t>
      </w:r>
      <w:r w:rsidRPr="00E940C3">
        <w:rPr>
          <w:rFonts w:ascii="Book Antiqua" w:eastAsia="Book Antiqua" w:hAnsi="Book Antiqua" w:cs="Book Antiqua"/>
          <w:b/>
          <w:bCs/>
          <w:color w:val="000000"/>
        </w:rPr>
        <w:t>Herrmann R</w:t>
      </w:r>
      <w:r w:rsidRPr="00E940C3">
        <w:rPr>
          <w:rFonts w:ascii="Book Antiqua" w:eastAsia="Book Antiqua" w:hAnsi="Book Antiqua" w:cs="Book Antiqua"/>
          <w:color w:val="000000"/>
        </w:rPr>
        <w:t xml:space="preserve">, Bodoky G, Ruhstaller T, Glimelius B, Bajetta E, Schüller J, Saletti P, Bauer J, Figer A, Pestalozzi B, Köhne CH, Mingrone W, Stemmer SM, Tàmas K, Kornek GV, Koeberle D, Cina S, Bernhard J, Dietrich D, Scheithauer W; Swiss Group for Clinical Cancer Research; Central European Cooperative Oncology Group. Gemcitabine plus capecitabine compared with gemcitabine alone in advanced pancreatic cancer: a randomized, multicenter, phase III trial of the Swiss Group for Clinical Cancer Research and the Central European Cooperative Oncology Group. </w:t>
      </w:r>
      <w:r w:rsidRPr="00E940C3">
        <w:rPr>
          <w:rFonts w:ascii="Book Antiqua" w:eastAsia="Book Antiqua" w:hAnsi="Book Antiqua" w:cs="Book Antiqua"/>
          <w:i/>
          <w:iCs/>
          <w:color w:val="000000"/>
        </w:rPr>
        <w:t>J Clin Oncol</w:t>
      </w:r>
      <w:r w:rsidRPr="00E940C3">
        <w:rPr>
          <w:rFonts w:ascii="Book Antiqua" w:eastAsia="Book Antiqua" w:hAnsi="Book Antiqua" w:cs="Book Antiqua"/>
          <w:color w:val="000000"/>
        </w:rPr>
        <w:t xml:space="preserve"> 2007; </w:t>
      </w:r>
      <w:r w:rsidRPr="00E940C3">
        <w:rPr>
          <w:rFonts w:ascii="Book Antiqua" w:eastAsia="Book Antiqua" w:hAnsi="Book Antiqua" w:cs="Book Antiqua"/>
          <w:b/>
          <w:bCs/>
          <w:color w:val="000000"/>
        </w:rPr>
        <w:t>25</w:t>
      </w:r>
      <w:r w:rsidRPr="00E940C3">
        <w:rPr>
          <w:rFonts w:ascii="Book Antiqua" w:eastAsia="Book Antiqua" w:hAnsi="Book Antiqua" w:cs="Book Antiqua"/>
          <w:color w:val="000000"/>
        </w:rPr>
        <w:t>: 2212-2217 [PMID: 17538165 DOI: 10.1200/JCO.2006.09.0886]</w:t>
      </w:r>
    </w:p>
    <w:p w14:paraId="7C80DB3A"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6 </w:t>
      </w:r>
      <w:r w:rsidRPr="00E940C3">
        <w:rPr>
          <w:rFonts w:ascii="Book Antiqua" w:eastAsia="Book Antiqua" w:hAnsi="Book Antiqua" w:cs="Book Antiqua"/>
          <w:b/>
          <w:bCs/>
          <w:color w:val="000000"/>
        </w:rPr>
        <w:t>Kindler HL</w:t>
      </w:r>
      <w:r w:rsidRPr="00E940C3">
        <w:rPr>
          <w:rFonts w:ascii="Book Antiqua" w:eastAsia="Book Antiqua" w:hAnsi="Book Antiqua" w:cs="Book Antiqua"/>
          <w:color w:val="000000"/>
        </w:rPr>
        <w:t xml:space="preserve">, Wroblewski K, Wallace JA, Hall MJ, Locker G, Nattam S, Agamah E, Stadler WM, Vokes EE. Gemcitabine plus sorafenib in patients with advanced pancreatic cancer: a phase II trial of the University of Chicago Phase II Consortium. </w:t>
      </w:r>
      <w:r w:rsidRPr="00E940C3">
        <w:rPr>
          <w:rFonts w:ascii="Book Antiqua" w:eastAsia="Book Antiqua" w:hAnsi="Book Antiqua" w:cs="Book Antiqua"/>
          <w:i/>
          <w:iCs/>
          <w:color w:val="000000"/>
        </w:rPr>
        <w:t>Invest New Drugs</w:t>
      </w:r>
      <w:r w:rsidRPr="00E940C3">
        <w:rPr>
          <w:rFonts w:ascii="Book Antiqua" w:eastAsia="Book Antiqua" w:hAnsi="Book Antiqua" w:cs="Book Antiqua"/>
          <w:color w:val="000000"/>
        </w:rPr>
        <w:t xml:space="preserve"> 2012; </w:t>
      </w:r>
      <w:r w:rsidRPr="00E940C3">
        <w:rPr>
          <w:rFonts w:ascii="Book Antiqua" w:eastAsia="Book Antiqua" w:hAnsi="Book Antiqua" w:cs="Book Antiqua"/>
          <w:b/>
          <w:bCs/>
          <w:color w:val="000000"/>
        </w:rPr>
        <w:t>30</w:t>
      </w:r>
      <w:r w:rsidRPr="00E940C3">
        <w:rPr>
          <w:rFonts w:ascii="Book Antiqua" w:eastAsia="Book Antiqua" w:hAnsi="Book Antiqua" w:cs="Book Antiqua"/>
          <w:color w:val="000000"/>
        </w:rPr>
        <w:t>: 382-386 [PMID: 20803052 DOI: 10.1007/s10637-010-9526-z]</w:t>
      </w:r>
    </w:p>
    <w:p w14:paraId="76674C2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7 </w:t>
      </w:r>
      <w:r w:rsidRPr="00E940C3">
        <w:rPr>
          <w:rFonts w:ascii="Book Antiqua" w:eastAsia="Book Antiqua" w:hAnsi="Book Antiqua" w:cs="Book Antiqua"/>
          <w:b/>
          <w:bCs/>
          <w:color w:val="000000"/>
        </w:rPr>
        <w:t>Louvet C</w:t>
      </w:r>
      <w:r w:rsidRPr="00E940C3">
        <w:rPr>
          <w:rFonts w:ascii="Book Antiqua" w:eastAsia="Book Antiqua" w:hAnsi="Book Antiqua" w:cs="Book Antiqua"/>
          <w:color w:val="000000"/>
        </w:rPr>
        <w:t xml:space="preserve">, Labianca R, Hammel P, Lledo G, Zampino MG, André T, Zaniboni A, Ducreux M, Aitini E, Taïeb J, Faroux R, Lepere C, de Gramont A; GERCOR; GISCAD. Gemcitabine in combination with oxaliplatin compared with gemcitabine alone in locally </w:t>
      </w:r>
      <w:r w:rsidRPr="00E940C3">
        <w:rPr>
          <w:rFonts w:ascii="Book Antiqua" w:eastAsia="Book Antiqua" w:hAnsi="Book Antiqua" w:cs="Book Antiqua"/>
          <w:color w:val="000000"/>
        </w:rPr>
        <w:lastRenderedPageBreak/>
        <w:t xml:space="preserve">advanced or metastatic pancreatic cancer: results of a GERCOR and GISCAD phase III trial. </w:t>
      </w:r>
      <w:r w:rsidRPr="00E940C3">
        <w:rPr>
          <w:rFonts w:ascii="Book Antiqua" w:eastAsia="Book Antiqua" w:hAnsi="Book Antiqua" w:cs="Book Antiqua"/>
          <w:i/>
          <w:iCs/>
          <w:color w:val="000000"/>
        </w:rPr>
        <w:t>J Clin Oncol</w:t>
      </w:r>
      <w:r w:rsidRPr="00E940C3">
        <w:rPr>
          <w:rFonts w:ascii="Book Antiqua" w:eastAsia="Book Antiqua" w:hAnsi="Book Antiqua" w:cs="Book Antiqua"/>
          <w:color w:val="000000"/>
        </w:rPr>
        <w:t xml:space="preserve"> 2005; </w:t>
      </w:r>
      <w:r w:rsidRPr="00E940C3">
        <w:rPr>
          <w:rFonts w:ascii="Book Antiqua" w:eastAsia="Book Antiqua" w:hAnsi="Book Antiqua" w:cs="Book Antiqua"/>
          <w:b/>
          <w:bCs/>
          <w:color w:val="000000"/>
        </w:rPr>
        <w:t>23</w:t>
      </w:r>
      <w:r w:rsidRPr="00E940C3">
        <w:rPr>
          <w:rFonts w:ascii="Book Antiqua" w:eastAsia="Book Antiqua" w:hAnsi="Book Antiqua" w:cs="Book Antiqua"/>
          <w:color w:val="000000"/>
        </w:rPr>
        <w:t>: 3509-3516 [PMID: 15908661 DOI: 10.1200/JCO.2005.06.023]</w:t>
      </w:r>
    </w:p>
    <w:p w14:paraId="73E29AB0"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8 </w:t>
      </w:r>
      <w:r w:rsidRPr="00E940C3">
        <w:rPr>
          <w:rFonts w:ascii="Book Antiqua" w:eastAsia="Book Antiqua" w:hAnsi="Book Antiqua" w:cs="Book Antiqua"/>
          <w:b/>
          <w:bCs/>
          <w:color w:val="000000"/>
        </w:rPr>
        <w:t>Rocha Lima CM</w:t>
      </w:r>
      <w:r w:rsidRPr="00E940C3">
        <w:rPr>
          <w:rFonts w:ascii="Book Antiqua" w:eastAsia="Book Antiqua" w:hAnsi="Book Antiqua" w:cs="Book Antiqua"/>
          <w:color w:val="000000"/>
        </w:rPr>
        <w:t xml:space="preserve">, Green MR, Rotche R, Miller WH Jr, Jeffrey GM, Cisar LA, Morganti A, Orlando N, Gruia G, Miller LL. Irinotecan plus gemcitabine results in no survival advantage compared with gemcitabine monotherapy in patients with locally advanced or metastatic pancreatic cancer despite increased tumor response rate. </w:t>
      </w:r>
      <w:r w:rsidRPr="00E940C3">
        <w:rPr>
          <w:rFonts w:ascii="Book Antiqua" w:eastAsia="Book Antiqua" w:hAnsi="Book Antiqua" w:cs="Book Antiqua"/>
          <w:i/>
          <w:iCs/>
          <w:color w:val="000000"/>
        </w:rPr>
        <w:t>J Clin Oncol</w:t>
      </w:r>
      <w:r w:rsidRPr="00E940C3">
        <w:rPr>
          <w:rFonts w:ascii="Book Antiqua" w:eastAsia="Book Antiqua" w:hAnsi="Book Antiqua" w:cs="Book Antiqua"/>
          <w:color w:val="000000"/>
        </w:rPr>
        <w:t xml:space="preserve"> 2004; </w:t>
      </w:r>
      <w:r w:rsidRPr="00E940C3">
        <w:rPr>
          <w:rFonts w:ascii="Book Antiqua" w:eastAsia="Book Antiqua" w:hAnsi="Book Antiqua" w:cs="Book Antiqua"/>
          <w:b/>
          <w:bCs/>
          <w:color w:val="000000"/>
        </w:rPr>
        <w:t>22</w:t>
      </w:r>
      <w:r w:rsidRPr="00E940C3">
        <w:rPr>
          <w:rFonts w:ascii="Book Antiqua" w:eastAsia="Book Antiqua" w:hAnsi="Book Antiqua" w:cs="Book Antiqua"/>
          <w:color w:val="000000"/>
        </w:rPr>
        <w:t>: 3776-3783 [PMID: 15365074 DOI: 10.1200/JCO.2004.12.082]</w:t>
      </w:r>
    </w:p>
    <w:p w14:paraId="57553644"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9 </w:t>
      </w:r>
      <w:r w:rsidRPr="00E940C3">
        <w:rPr>
          <w:rFonts w:ascii="Book Antiqua" w:eastAsia="Book Antiqua" w:hAnsi="Book Antiqua" w:cs="Book Antiqua"/>
          <w:b/>
          <w:bCs/>
          <w:color w:val="000000"/>
        </w:rPr>
        <w:t>Moore MJ</w:t>
      </w:r>
      <w:r w:rsidRPr="00E940C3">
        <w:rPr>
          <w:rFonts w:ascii="Book Antiqua" w:eastAsia="Book Antiqua" w:hAnsi="Book Antiqua" w:cs="Book Antiqua"/>
          <w:color w:val="000000"/>
        </w:rPr>
        <w:t xml:space="preserve">, Goldstein D, Hamm J, Figer A, Hecht JR, Gallinger S, Au HJ, Murawa P, Walde D, Wolff RA, Campos D, Lim R, Ding K, Clark G, Voskoglou-Nomikos T, Ptasynski M, Parulekar W; National Cancer Institute of Canada Clinical Trials Group. Erlotinib plus gemcitabine compared with gemcitabine alone in patients with advanced pancreatic cancer: a phase III trial of the National Cancer Institute of Canada Clinical Trials Group. </w:t>
      </w:r>
      <w:r w:rsidRPr="00E940C3">
        <w:rPr>
          <w:rFonts w:ascii="Book Antiqua" w:eastAsia="Book Antiqua" w:hAnsi="Book Antiqua" w:cs="Book Antiqua"/>
          <w:i/>
          <w:iCs/>
          <w:color w:val="000000"/>
        </w:rPr>
        <w:t>J Clin Oncol</w:t>
      </w:r>
      <w:r w:rsidRPr="00E940C3">
        <w:rPr>
          <w:rFonts w:ascii="Book Antiqua" w:eastAsia="Book Antiqua" w:hAnsi="Book Antiqua" w:cs="Book Antiqua"/>
          <w:color w:val="000000"/>
        </w:rPr>
        <w:t xml:space="preserve"> 2007; </w:t>
      </w:r>
      <w:r w:rsidRPr="00E940C3">
        <w:rPr>
          <w:rFonts w:ascii="Book Antiqua" w:eastAsia="Book Antiqua" w:hAnsi="Book Antiqua" w:cs="Book Antiqua"/>
          <w:b/>
          <w:bCs/>
          <w:color w:val="000000"/>
        </w:rPr>
        <w:t>25</w:t>
      </w:r>
      <w:r w:rsidRPr="00E940C3">
        <w:rPr>
          <w:rFonts w:ascii="Book Antiqua" w:eastAsia="Book Antiqua" w:hAnsi="Book Antiqua" w:cs="Book Antiqua"/>
          <w:color w:val="000000"/>
        </w:rPr>
        <w:t>: 1960-1966 [PMID: 17452677 DOI: 10.1200/JCO.2006.07.9525]</w:t>
      </w:r>
    </w:p>
    <w:p w14:paraId="7B0FB0EE"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10 </w:t>
      </w:r>
      <w:r w:rsidRPr="00E940C3">
        <w:rPr>
          <w:rFonts w:ascii="Book Antiqua" w:eastAsia="Book Antiqua" w:hAnsi="Book Antiqua" w:cs="Book Antiqua"/>
          <w:b/>
          <w:bCs/>
          <w:color w:val="000000"/>
        </w:rPr>
        <w:t>Philip PA</w:t>
      </w:r>
      <w:r w:rsidRPr="00E940C3">
        <w:rPr>
          <w:rFonts w:ascii="Book Antiqua" w:eastAsia="Book Antiqua" w:hAnsi="Book Antiqua" w:cs="Book Antiqua"/>
          <w:color w:val="000000"/>
        </w:rPr>
        <w:t xml:space="preserve">, Benedetti J, Corless CL, Wong R, O'Reilly EM, Flynn PJ, Rowland KM, Atkins JN, Mirtsching BC, Rivkin SE, Khorana AA, Goldman B, Fenoglio-Preiser CM, Abbruzzese JL, Blanke CD. Phase III study comparing gemcitabine plus cetuximab </w:t>
      </w:r>
      <w:r w:rsidR="001E46EA" w:rsidRPr="00E940C3">
        <w:rPr>
          <w:rFonts w:ascii="Book Antiqua" w:eastAsia="Book Antiqua" w:hAnsi="Book Antiqua" w:cs="Book Antiqua"/>
          <w:iCs/>
          <w:color w:val="000000"/>
        </w:rPr>
        <w:t>versus</w:t>
      </w:r>
      <w:r w:rsidR="001E46EA" w:rsidRPr="00E940C3">
        <w:rPr>
          <w:rFonts w:ascii="Book Antiqua" w:eastAsia="Book Antiqua" w:hAnsi="Book Antiqua" w:cs="Book Antiqua"/>
          <w:i/>
          <w:iCs/>
          <w:color w:val="000000"/>
        </w:rPr>
        <w:t xml:space="preserve"> </w:t>
      </w:r>
      <w:r w:rsidRPr="00E940C3">
        <w:rPr>
          <w:rFonts w:ascii="Book Antiqua" w:eastAsia="Book Antiqua" w:hAnsi="Book Antiqua" w:cs="Book Antiqua"/>
          <w:color w:val="000000"/>
        </w:rPr>
        <w:t xml:space="preserve">gemcitabine in patients with advanced pancreatic adenocarcinoma: Southwest Oncology Group-directed intergroup trial S0205. </w:t>
      </w:r>
      <w:r w:rsidRPr="00E940C3">
        <w:rPr>
          <w:rFonts w:ascii="Book Antiqua" w:eastAsia="Book Antiqua" w:hAnsi="Book Antiqua" w:cs="Book Antiqua"/>
          <w:i/>
          <w:iCs/>
          <w:color w:val="000000"/>
        </w:rPr>
        <w:t>J Clin Oncol</w:t>
      </w:r>
      <w:r w:rsidRPr="00E940C3">
        <w:rPr>
          <w:rFonts w:ascii="Book Antiqua" w:eastAsia="Book Antiqua" w:hAnsi="Book Antiqua" w:cs="Book Antiqua"/>
          <w:color w:val="000000"/>
        </w:rPr>
        <w:t xml:space="preserve"> 2010; </w:t>
      </w:r>
      <w:r w:rsidRPr="00E940C3">
        <w:rPr>
          <w:rFonts w:ascii="Book Antiqua" w:eastAsia="Book Antiqua" w:hAnsi="Book Antiqua" w:cs="Book Antiqua"/>
          <w:b/>
          <w:bCs/>
          <w:color w:val="000000"/>
        </w:rPr>
        <w:t>28</w:t>
      </w:r>
      <w:r w:rsidRPr="00E940C3">
        <w:rPr>
          <w:rFonts w:ascii="Book Antiqua" w:eastAsia="Book Antiqua" w:hAnsi="Book Antiqua" w:cs="Book Antiqua"/>
          <w:color w:val="000000"/>
        </w:rPr>
        <w:t>: 3605-3610 [PMID: 20606093 DOI: 10.1200/JCO.2009.25.7550]</w:t>
      </w:r>
    </w:p>
    <w:p w14:paraId="24039FA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11 </w:t>
      </w:r>
      <w:r w:rsidRPr="00E940C3">
        <w:rPr>
          <w:rFonts w:ascii="Book Antiqua" w:eastAsia="Book Antiqua" w:hAnsi="Book Antiqua" w:cs="Book Antiqua"/>
          <w:b/>
          <w:bCs/>
          <w:color w:val="000000"/>
        </w:rPr>
        <w:t>Conroy T</w:t>
      </w:r>
      <w:r w:rsidRPr="00E940C3">
        <w:rPr>
          <w:rFonts w:ascii="Book Antiqua" w:eastAsia="Book Antiqua" w:hAnsi="Book Antiqua" w:cs="Book Antiqua"/>
          <w:color w:val="000000"/>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w:t>
      </w:r>
      <w:r w:rsidR="001E46EA" w:rsidRPr="00E940C3">
        <w:rPr>
          <w:rFonts w:ascii="Book Antiqua" w:eastAsia="Book Antiqua" w:hAnsi="Book Antiqua" w:cs="Book Antiqua"/>
          <w:iCs/>
          <w:color w:val="000000"/>
        </w:rPr>
        <w:t>versus</w:t>
      </w:r>
      <w:r w:rsidRPr="00E940C3">
        <w:rPr>
          <w:rFonts w:ascii="Book Antiqua" w:eastAsia="Book Antiqua" w:hAnsi="Book Antiqua" w:cs="Book Antiqua"/>
          <w:color w:val="000000"/>
        </w:rPr>
        <w:t xml:space="preserve"> gemcitabine for metastatic pancreatic cancer. </w:t>
      </w:r>
      <w:r w:rsidRPr="00E940C3">
        <w:rPr>
          <w:rFonts w:ascii="Book Antiqua" w:eastAsia="Book Antiqua" w:hAnsi="Book Antiqua" w:cs="Book Antiqua"/>
          <w:i/>
          <w:iCs/>
          <w:color w:val="000000"/>
        </w:rPr>
        <w:t>N Engl J Med</w:t>
      </w:r>
      <w:r w:rsidRPr="00E940C3">
        <w:rPr>
          <w:rFonts w:ascii="Book Antiqua" w:eastAsia="Book Antiqua" w:hAnsi="Book Antiqua" w:cs="Book Antiqua"/>
          <w:color w:val="000000"/>
        </w:rPr>
        <w:t xml:space="preserve"> 2011; </w:t>
      </w:r>
      <w:r w:rsidRPr="00E940C3">
        <w:rPr>
          <w:rFonts w:ascii="Book Antiqua" w:eastAsia="Book Antiqua" w:hAnsi="Book Antiqua" w:cs="Book Antiqua"/>
          <w:b/>
          <w:bCs/>
          <w:color w:val="000000"/>
        </w:rPr>
        <w:t>364</w:t>
      </w:r>
      <w:r w:rsidRPr="00E940C3">
        <w:rPr>
          <w:rFonts w:ascii="Book Antiqua" w:eastAsia="Book Antiqua" w:hAnsi="Book Antiqua" w:cs="Book Antiqua"/>
          <w:color w:val="000000"/>
        </w:rPr>
        <w:t>: 1817-1825 [PMID: 21561347 DOI: 10.1056/NEJMoa1011923]</w:t>
      </w:r>
    </w:p>
    <w:p w14:paraId="3A11D4EA"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12 </w:t>
      </w:r>
      <w:r w:rsidRPr="00E940C3">
        <w:rPr>
          <w:rFonts w:ascii="Book Antiqua" w:eastAsia="Book Antiqua" w:hAnsi="Book Antiqua" w:cs="Book Antiqua"/>
          <w:b/>
          <w:bCs/>
          <w:color w:val="000000"/>
        </w:rPr>
        <w:t>Von Hoff DD</w:t>
      </w:r>
      <w:r w:rsidRPr="00E940C3">
        <w:rPr>
          <w:rFonts w:ascii="Book Antiqua" w:eastAsia="Book Antiqua" w:hAnsi="Book Antiqua" w:cs="Book Antiqua"/>
          <w:color w:val="000000"/>
        </w:rPr>
        <w:t xml:space="preserve">, Ervin T, Arena FP, Chiorean EG, Infante J, Moore M, Seay T, Tjulandin SA, Ma WW, Saleh MN, Harris M, Reni M, Dowden S, Laheru D, Bahary N, Ramanathan RK, Tabernero J, Hidalgo M, Goldstein D, Van Cutsem E, Wei X, Iglesias J, Renschler MF. </w:t>
      </w:r>
      <w:r w:rsidRPr="00E940C3">
        <w:rPr>
          <w:rFonts w:ascii="Book Antiqua" w:eastAsia="Book Antiqua" w:hAnsi="Book Antiqua" w:cs="Book Antiqua"/>
          <w:color w:val="000000"/>
        </w:rPr>
        <w:lastRenderedPageBreak/>
        <w:t xml:space="preserve">Increased survival in pancreatic cancer with nab-paclitaxel plus gemcitabine. </w:t>
      </w:r>
      <w:r w:rsidRPr="00E940C3">
        <w:rPr>
          <w:rFonts w:ascii="Book Antiqua" w:eastAsia="Book Antiqua" w:hAnsi="Book Antiqua" w:cs="Book Antiqua"/>
          <w:i/>
          <w:iCs/>
          <w:color w:val="000000"/>
        </w:rPr>
        <w:t>N Engl J Med</w:t>
      </w:r>
      <w:r w:rsidRPr="00E940C3">
        <w:rPr>
          <w:rFonts w:ascii="Book Antiqua" w:eastAsia="Book Antiqua" w:hAnsi="Book Antiqua" w:cs="Book Antiqua"/>
          <w:color w:val="000000"/>
        </w:rPr>
        <w:t xml:space="preserve"> 2013; </w:t>
      </w:r>
      <w:r w:rsidRPr="00E940C3">
        <w:rPr>
          <w:rFonts w:ascii="Book Antiqua" w:eastAsia="Book Antiqua" w:hAnsi="Book Antiqua" w:cs="Book Antiqua"/>
          <w:b/>
          <w:bCs/>
          <w:color w:val="000000"/>
        </w:rPr>
        <w:t>369</w:t>
      </w:r>
      <w:r w:rsidRPr="00E940C3">
        <w:rPr>
          <w:rFonts w:ascii="Book Antiqua" w:eastAsia="Book Antiqua" w:hAnsi="Book Antiqua" w:cs="Book Antiqua"/>
          <w:color w:val="000000"/>
        </w:rPr>
        <w:t>: 1691-1703 [PMID: 24131140 DOI: 10.1056/NEJMoa1304369]</w:t>
      </w:r>
    </w:p>
    <w:p w14:paraId="5921F4C4"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13 </w:t>
      </w:r>
      <w:r w:rsidRPr="00E940C3">
        <w:rPr>
          <w:rFonts w:ascii="Book Antiqua" w:eastAsia="Book Antiqua" w:hAnsi="Book Antiqua" w:cs="Book Antiqua"/>
          <w:b/>
          <w:bCs/>
          <w:color w:val="000000"/>
        </w:rPr>
        <w:t>Oettle H</w:t>
      </w:r>
      <w:r w:rsidRPr="00E940C3">
        <w:rPr>
          <w:rFonts w:ascii="Book Antiqua" w:eastAsia="Book Antiqua" w:hAnsi="Book Antiqua" w:cs="Book Antiqua"/>
          <w:color w:val="000000"/>
        </w:rPr>
        <w:t xml:space="preserve">, Riess H, Stieler JM, Heil G, Schwaner I, Seraphin J, Görner M, Mölle M, Greten TF, Lakner V, Bischoff S, Sinn M, Dörken B, Pelzer U. Second-line oxaliplatin, folinic acid, and fluorouracil </w:t>
      </w:r>
      <w:r w:rsidR="001E46EA" w:rsidRPr="00E940C3">
        <w:rPr>
          <w:rFonts w:ascii="Book Antiqua" w:eastAsia="Book Antiqua" w:hAnsi="Book Antiqua" w:cs="Book Antiqua"/>
          <w:iCs/>
          <w:color w:val="000000"/>
        </w:rPr>
        <w:t>versus</w:t>
      </w:r>
      <w:r w:rsidRPr="00E940C3">
        <w:rPr>
          <w:rFonts w:ascii="Book Antiqua" w:eastAsia="Book Antiqua" w:hAnsi="Book Antiqua" w:cs="Book Antiqua"/>
          <w:color w:val="000000"/>
        </w:rPr>
        <w:t xml:space="preserve"> folinic acid and fluorouracil alone for gemcitabine-refractory pancreatic cancer: outcomes from the CONKO-003 trial. </w:t>
      </w:r>
      <w:r w:rsidRPr="00E940C3">
        <w:rPr>
          <w:rFonts w:ascii="Book Antiqua" w:eastAsia="Book Antiqua" w:hAnsi="Book Antiqua" w:cs="Book Antiqua"/>
          <w:i/>
          <w:iCs/>
          <w:color w:val="000000"/>
        </w:rPr>
        <w:t>J Clin Oncol</w:t>
      </w:r>
      <w:r w:rsidRPr="00E940C3">
        <w:rPr>
          <w:rFonts w:ascii="Book Antiqua" w:eastAsia="Book Antiqua" w:hAnsi="Book Antiqua" w:cs="Book Antiqua"/>
          <w:color w:val="000000"/>
        </w:rPr>
        <w:t xml:space="preserve"> 2014; </w:t>
      </w:r>
      <w:r w:rsidRPr="00E940C3">
        <w:rPr>
          <w:rFonts w:ascii="Book Antiqua" w:eastAsia="Book Antiqua" w:hAnsi="Book Antiqua" w:cs="Book Antiqua"/>
          <w:b/>
          <w:bCs/>
          <w:color w:val="000000"/>
        </w:rPr>
        <w:t>32</w:t>
      </w:r>
      <w:r w:rsidRPr="00E940C3">
        <w:rPr>
          <w:rFonts w:ascii="Book Antiqua" w:eastAsia="Book Antiqua" w:hAnsi="Book Antiqua" w:cs="Book Antiqua"/>
          <w:color w:val="000000"/>
        </w:rPr>
        <w:t>: 2423-2429 [PMID: 24982456 DOI: 10.1200/JCO.2013.53.6995]</w:t>
      </w:r>
    </w:p>
    <w:p w14:paraId="06B7E24A"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14 </w:t>
      </w:r>
      <w:r w:rsidRPr="00E940C3">
        <w:rPr>
          <w:rFonts w:ascii="Book Antiqua" w:eastAsia="Book Antiqua" w:hAnsi="Book Antiqua" w:cs="Book Antiqua"/>
          <w:b/>
          <w:bCs/>
          <w:color w:val="000000"/>
        </w:rPr>
        <w:t>Gill S</w:t>
      </w:r>
      <w:r w:rsidRPr="00E940C3">
        <w:rPr>
          <w:rFonts w:ascii="Book Antiqua" w:eastAsia="Book Antiqua" w:hAnsi="Book Antiqua" w:cs="Book Antiqua"/>
          <w:color w:val="000000"/>
        </w:rPr>
        <w:t xml:space="preserve">, Ko YJ, Cripps C, Beaudoin A, Dhesy-Thind S, Zulfiqar M, Zalewski P, Do T, Cano P, Lam WYH, Dowden S, Grassin H, Stewart J, Moore M. PANCREOX: A Randomized Phase III Study of Fluorouracil/Leucovorin With or Without Oxaliplatin for Second-Line Advanced Pancreatic Cancer in Patients Who Have Received Gemcitabine-Based Chemotherapy. </w:t>
      </w:r>
      <w:r w:rsidRPr="00E940C3">
        <w:rPr>
          <w:rFonts w:ascii="Book Antiqua" w:eastAsia="Book Antiqua" w:hAnsi="Book Antiqua" w:cs="Book Antiqua"/>
          <w:i/>
          <w:iCs/>
          <w:color w:val="000000"/>
        </w:rPr>
        <w:t>J Clin Oncol</w:t>
      </w:r>
      <w:r w:rsidRPr="00E940C3">
        <w:rPr>
          <w:rFonts w:ascii="Book Antiqua" w:eastAsia="Book Antiqua" w:hAnsi="Book Antiqua" w:cs="Book Antiqua"/>
          <w:color w:val="000000"/>
        </w:rPr>
        <w:t xml:space="preserve"> 2016; </w:t>
      </w:r>
      <w:r w:rsidRPr="00E940C3">
        <w:rPr>
          <w:rFonts w:ascii="Book Antiqua" w:eastAsia="Book Antiqua" w:hAnsi="Book Antiqua" w:cs="Book Antiqua"/>
          <w:b/>
          <w:bCs/>
          <w:color w:val="000000"/>
        </w:rPr>
        <w:t>34</w:t>
      </w:r>
      <w:r w:rsidRPr="00E940C3">
        <w:rPr>
          <w:rFonts w:ascii="Book Antiqua" w:eastAsia="Book Antiqua" w:hAnsi="Book Antiqua" w:cs="Book Antiqua"/>
          <w:color w:val="000000"/>
        </w:rPr>
        <w:t>: 3914-3920 [PMID: 27621395 DOI: 10.1200/JCO.2016.68.5776]</w:t>
      </w:r>
    </w:p>
    <w:p w14:paraId="5770F79D"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15 </w:t>
      </w:r>
      <w:r w:rsidRPr="00E940C3">
        <w:rPr>
          <w:rFonts w:ascii="Book Antiqua" w:eastAsia="Book Antiqua" w:hAnsi="Book Antiqua" w:cs="Book Antiqua"/>
          <w:b/>
          <w:bCs/>
          <w:color w:val="000000"/>
        </w:rPr>
        <w:t>Wang-Gillam A</w:t>
      </w:r>
      <w:r w:rsidRPr="00E940C3">
        <w:rPr>
          <w:rFonts w:ascii="Book Antiqua" w:eastAsia="Book Antiqua" w:hAnsi="Book Antiqua" w:cs="Book Antiqua"/>
          <w:color w:val="000000"/>
        </w:rPr>
        <w:t xml:space="preserve">, Li CP, Bodoky G, Dean A, Shan YS, Jameson G, Macarulla T, Lee KH, Cunningham D, Blanc JF, Hubner RA, Chiu CF, Schwartsmann G, Siveke JT, Braiteh F, Moyo V, Belanger B, Dhindsa N, Bayever E, Von Hoff DD, Chen LT; NAPOLI-1 Study Group. Nanoliposomal irinotecan with fluorouracil and folinic acid in metastatic pancreatic cancer after previous gemcitabine-based therapy (NAPOLI-1): a global, randomised, open-label, phase 3 trial. </w:t>
      </w:r>
      <w:r w:rsidRPr="00E940C3">
        <w:rPr>
          <w:rFonts w:ascii="Book Antiqua" w:eastAsia="Book Antiqua" w:hAnsi="Book Antiqua" w:cs="Book Antiqua"/>
          <w:i/>
          <w:iCs/>
          <w:color w:val="000000"/>
        </w:rPr>
        <w:t>Lancet</w:t>
      </w:r>
      <w:r w:rsidRPr="00E940C3">
        <w:rPr>
          <w:rFonts w:ascii="Book Antiqua" w:eastAsia="Book Antiqua" w:hAnsi="Book Antiqua" w:cs="Book Antiqua"/>
          <w:color w:val="000000"/>
        </w:rPr>
        <w:t xml:space="preserve"> 2016; </w:t>
      </w:r>
      <w:r w:rsidRPr="00E940C3">
        <w:rPr>
          <w:rFonts w:ascii="Book Antiqua" w:eastAsia="Book Antiqua" w:hAnsi="Book Antiqua" w:cs="Book Antiqua"/>
          <w:b/>
          <w:bCs/>
          <w:color w:val="000000"/>
        </w:rPr>
        <w:t>387</w:t>
      </w:r>
      <w:r w:rsidRPr="00E940C3">
        <w:rPr>
          <w:rFonts w:ascii="Book Antiqua" w:eastAsia="Book Antiqua" w:hAnsi="Book Antiqua" w:cs="Book Antiqua"/>
          <w:color w:val="000000"/>
        </w:rPr>
        <w:t>: 545-557 [PMID: 26615328 DOI: 10.1016/S0140-6736(15)00986-1]</w:t>
      </w:r>
    </w:p>
    <w:p w14:paraId="23D82DDC" w14:textId="5FD8F4F8" w:rsidR="00A77B3E" w:rsidRPr="00E940C3" w:rsidRDefault="00B70BAD" w:rsidP="00265AC6">
      <w:pPr>
        <w:snapToGrid w:val="0"/>
        <w:spacing w:line="360" w:lineRule="auto"/>
        <w:jc w:val="both"/>
        <w:rPr>
          <w:rFonts w:ascii="Book Antiqua" w:eastAsia="Book Antiqua" w:hAnsi="Book Antiqua" w:cs="Book Antiqua"/>
          <w:color w:val="000000"/>
          <w:highlight w:val="yellow"/>
        </w:rPr>
      </w:pPr>
      <w:r w:rsidRPr="00E940C3">
        <w:rPr>
          <w:rFonts w:ascii="Book Antiqua" w:eastAsia="Book Antiqua" w:hAnsi="Book Antiqua" w:cs="Book Antiqua"/>
          <w:color w:val="000000"/>
          <w:highlight w:val="yellow"/>
        </w:rPr>
        <w:t xml:space="preserve">16 </w:t>
      </w:r>
      <w:r w:rsidR="00411E4E" w:rsidRPr="00E940C3">
        <w:rPr>
          <w:rFonts w:ascii="Book Antiqua" w:eastAsia="Book Antiqua" w:hAnsi="Book Antiqua" w:cs="Book Antiqua"/>
          <w:b/>
          <w:color w:val="000000"/>
          <w:highlight w:val="yellow"/>
        </w:rPr>
        <w:t>United States Food and Drug Administration</w:t>
      </w:r>
      <w:r w:rsidR="00802EAF" w:rsidRPr="00E940C3">
        <w:rPr>
          <w:rFonts w:ascii="Book Antiqua" w:hAnsi="Book Antiqua" w:cs="Book Antiqua"/>
          <w:color w:val="000000"/>
          <w:highlight w:val="yellow"/>
          <w:lang w:eastAsia="zh-CN"/>
        </w:rPr>
        <w:t>.</w:t>
      </w:r>
      <w:r w:rsidR="00411E4E" w:rsidRPr="00E940C3">
        <w:rPr>
          <w:rFonts w:ascii="Book Antiqua" w:eastAsia="Book Antiqua" w:hAnsi="Book Antiqua" w:cs="Book Antiqua"/>
          <w:color w:val="000000"/>
          <w:highlight w:val="yellow"/>
        </w:rPr>
        <w:t xml:space="preserve"> </w:t>
      </w:r>
      <w:r w:rsidR="00BD42A3" w:rsidRPr="00E940C3">
        <w:rPr>
          <w:rFonts w:ascii="Book Antiqua" w:eastAsia="Book Antiqua" w:hAnsi="Book Antiqua" w:cs="Book Antiqua"/>
          <w:color w:val="000000"/>
          <w:highlight w:val="yellow"/>
        </w:rPr>
        <w:t xml:space="preserve">FDA approves </w:t>
      </w:r>
      <w:r w:rsidRPr="00E940C3">
        <w:rPr>
          <w:rFonts w:ascii="Book Antiqua" w:eastAsia="Book Antiqua" w:hAnsi="Book Antiqua" w:cs="Book Antiqua"/>
          <w:color w:val="000000"/>
          <w:highlight w:val="yellow"/>
        </w:rPr>
        <w:t>ONIVYDE (ir</w:t>
      </w:r>
      <w:r w:rsidR="00411E4E" w:rsidRPr="00E940C3">
        <w:rPr>
          <w:rFonts w:ascii="Book Antiqua" w:eastAsia="Book Antiqua" w:hAnsi="Book Antiqua" w:cs="Book Antiqua"/>
          <w:color w:val="000000"/>
          <w:highlight w:val="yellow"/>
        </w:rPr>
        <w:t>inotecan liposome injection)</w:t>
      </w:r>
      <w:r w:rsidR="00BD42A3" w:rsidRPr="00E940C3">
        <w:rPr>
          <w:rFonts w:ascii="Book Antiqua" w:eastAsia="Book Antiqua" w:hAnsi="Book Antiqua" w:cs="Book Antiqua"/>
          <w:color w:val="000000"/>
          <w:highlight w:val="yellow"/>
        </w:rPr>
        <w:t xml:space="preserve"> for advanced pancreatic cancer</w:t>
      </w:r>
      <w:r w:rsidR="00802EAF" w:rsidRPr="00E940C3">
        <w:rPr>
          <w:rFonts w:ascii="Book Antiqua" w:eastAsia="Book Antiqua" w:hAnsi="Book Antiqua" w:cs="Book Antiqua"/>
          <w:color w:val="000000"/>
          <w:highlight w:val="yellow"/>
        </w:rPr>
        <w:t>.</w:t>
      </w:r>
      <w:r w:rsidR="00BD42A3" w:rsidRPr="00E940C3">
        <w:rPr>
          <w:rFonts w:ascii="Book Antiqua" w:eastAsia="Book Antiqua" w:hAnsi="Book Antiqua" w:cs="Book Antiqua"/>
          <w:color w:val="000000"/>
          <w:highlight w:val="yellow"/>
        </w:rPr>
        <w:t xml:space="preserve"> 2015</w:t>
      </w:r>
      <w:r w:rsidR="005504DA" w:rsidRPr="00E940C3">
        <w:rPr>
          <w:rFonts w:ascii="Book Antiqua" w:eastAsia="Book Antiqua" w:hAnsi="Book Antiqua" w:cs="Book Antiqua"/>
          <w:color w:val="000000"/>
          <w:highlight w:val="yellow"/>
        </w:rPr>
        <w:t xml:space="preserve"> </w:t>
      </w:r>
      <w:r w:rsidR="00802EAF" w:rsidRPr="00E940C3">
        <w:rPr>
          <w:rFonts w:ascii="Book Antiqua" w:eastAsia="Book Antiqua" w:hAnsi="Book Antiqua" w:cs="Book Antiqua"/>
          <w:color w:val="000000"/>
          <w:highlight w:val="yellow"/>
        </w:rPr>
        <w:t>[cited 9 February 2021]. Available from:</w:t>
      </w:r>
      <w:r w:rsidR="00411E4E" w:rsidRPr="00E940C3">
        <w:rPr>
          <w:rFonts w:ascii="Book Antiqua" w:eastAsia="Book Antiqua" w:hAnsi="Book Antiqua" w:cs="Book Antiqua"/>
          <w:color w:val="000000"/>
          <w:highlight w:val="yellow"/>
        </w:rPr>
        <w:t xml:space="preserve"> </w:t>
      </w:r>
      <w:hyperlink r:id="rId7" w:history="1">
        <w:r w:rsidR="008801A8" w:rsidRPr="00E940C3">
          <w:rPr>
            <w:rStyle w:val="Hyperlink"/>
            <w:rFonts w:ascii="Book Antiqua" w:eastAsia="Book Antiqua" w:hAnsi="Book Antiqua" w:cs="Book Antiqua"/>
            <w:highlight w:val="yellow"/>
          </w:rPr>
          <w:t>https://www.accessdata.fda.gov/drugsatfda_docs/Label/2015/207793 Lbl.pdf</w:t>
        </w:r>
      </w:hyperlink>
    </w:p>
    <w:p w14:paraId="37641302" w14:textId="0251417F" w:rsidR="00A77B3E" w:rsidRPr="00E940C3" w:rsidRDefault="00B70BAD" w:rsidP="00265AC6">
      <w:pPr>
        <w:snapToGrid w:val="0"/>
        <w:spacing w:line="360" w:lineRule="auto"/>
        <w:jc w:val="both"/>
        <w:rPr>
          <w:rFonts w:ascii="Book Antiqua" w:hAnsi="Book Antiqua"/>
          <w:highlight w:val="yellow"/>
        </w:rPr>
      </w:pPr>
      <w:r w:rsidRPr="00E940C3">
        <w:rPr>
          <w:rFonts w:ascii="Book Antiqua" w:eastAsia="Book Antiqua" w:hAnsi="Book Antiqua" w:cs="Book Antiqua"/>
          <w:color w:val="000000"/>
          <w:highlight w:val="yellow"/>
        </w:rPr>
        <w:t>17</w:t>
      </w:r>
      <w:r w:rsidR="001B1EE0" w:rsidRPr="00E940C3">
        <w:rPr>
          <w:rFonts w:ascii="Book Antiqua" w:eastAsia="Book Antiqua" w:hAnsi="Book Antiqua" w:cs="Book Antiqua"/>
          <w:color w:val="000000"/>
          <w:highlight w:val="yellow"/>
        </w:rPr>
        <w:t xml:space="preserve"> </w:t>
      </w:r>
      <w:r w:rsidR="00411E4E" w:rsidRPr="00E940C3">
        <w:rPr>
          <w:rFonts w:ascii="Book Antiqua" w:eastAsia="Book Antiqua" w:hAnsi="Book Antiqua" w:cs="Book Antiqua"/>
          <w:b/>
          <w:color w:val="000000"/>
          <w:highlight w:val="yellow"/>
        </w:rPr>
        <w:t>Pan-Canadian Oncology Drug Review</w:t>
      </w:r>
      <w:r w:rsidR="00A521C9" w:rsidRPr="00E940C3">
        <w:rPr>
          <w:rFonts w:ascii="Book Antiqua" w:eastAsia="Book Antiqua" w:hAnsi="Book Antiqua" w:cs="Book Antiqua"/>
          <w:color w:val="000000"/>
          <w:highlight w:val="yellow"/>
        </w:rPr>
        <w:t>.</w:t>
      </w:r>
      <w:r w:rsidR="00411E4E" w:rsidRPr="00E940C3">
        <w:rPr>
          <w:rFonts w:ascii="Book Antiqua" w:eastAsia="Book Antiqua" w:hAnsi="Book Antiqua" w:cs="Book Antiqua"/>
          <w:color w:val="000000"/>
          <w:highlight w:val="yellow"/>
        </w:rPr>
        <w:t xml:space="preserve"> Irinotecan liposome (Onivyde) for metastatic pancreatic cancer</w:t>
      </w:r>
      <w:r w:rsidR="00E40BE8" w:rsidRPr="00E940C3">
        <w:rPr>
          <w:rFonts w:ascii="Book Antiqua" w:eastAsia="Book Antiqua" w:hAnsi="Book Antiqua" w:cs="Book Antiqua"/>
          <w:color w:val="000000"/>
          <w:highlight w:val="yellow"/>
        </w:rPr>
        <w:t>.</w:t>
      </w:r>
      <w:r w:rsidR="00411E4E" w:rsidRPr="00E940C3">
        <w:rPr>
          <w:rFonts w:ascii="Book Antiqua" w:eastAsia="Book Antiqua" w:hAnsi="Book Antiqua" w:cs="Book Antiqua"/>
          <w:color w:val="000000"/>
          <w:highlight w:val="yellow"/>
        </w:rPr>
        <w:t xml:space="preserve"> 2017</w:t>
      </w:r>
      <w:r w:rsidR="005504DA" w:rsidRPr="00E940C3">
        <w:rPr>
          <w:rFonts w:ascii="Book Antiqua" w:eastAsia="Book Antiqua" w:hAnsi="Book Antiqua" w:cs="Book Antiqua"/>
          <w:color w:val="000000"/>
          <w:highlight w:val="yellow"/>
        </w:rPr>
        <w:t xml:space="preserve"> </w:t>
      </w:r>
      <w:r w:rsidR="00E40BE8" w:rsidRPr="00E940C3">
        <w:rPr>
          <w:rFonts w:ascii="Book Antiqua" w:eastAsia="Book Antiqua" w:hAnsi="Book Antiqua" w:cs="Book Antiqua"/>
          <w:color w:val="000000"/>
          <w:highlight w:val="yellow"/>
        </w:rPr>
        <w:t xml:space="preserve">[cited 9 February 2021]. Available from: </w:t>
      </w:r>
      <w:r w:rsidRPr="00E940C3">
        <w:rPr>
          <w:rFonts w:ascii="Book Antiqua" w:eastAsia="Book Antiqua" w:hAnsi="Book Antiqua" w:cs="Book Antiqua"/>
          <w:color w:val="000000"/>
          <w:highlight w:val="yellow"/>
        </w:rPr>
        <w:t>https://cadth.ca/sites/default/files/pcodr/pcodr_irinotecan_liposome_onivyde_mpc_in_cgr.pdf</w:t>
      </w:r>
    </w:p>
    <w:p w14:paraId="153A1583" w14:textId="213ABDBD"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highlight w:val="yellow"/>
        </w:rPr>
        <w:t>18</w:t>
      </w:r>
      <w:r w:rsidR="00960506" w:rsidRPr="00E940C3">
        <w:rPr>
          <w:rFonts w:ascii="Book Antiqua" w:eastAsia="Book Antiqua" w:hAnsi="Book Antiqua" w:cs="Book Antiqua"/>
          <w:color w:val="000000"/>
          <w:highlight w:val="yellow"/>
        </w:rPr>
        <w:t xml:space="preserve"> </w:t>
      </w:r>
      <w:r w:rsidR="00411E4E" w:rsidRPr="00E940C3">
        <w:rPr>
          <w:rFonts w:ascii="Book Antiqua" w:eastAsia="Book Antiqua" w:hAnsi="Book Antiqua" w:cs="Book Antiqua"/>
          <w:b/>
          <w:color w:val="000000"/>
          <w:highlight w:val="yellow"/>
        </w:rPr>
        <w:t>NT-rådet</w:t>
      </w:r>
      <w:r w:rsidR="00960506" w:rsidRPr="00E940C3">
        <w:rPr>
          <w:rFonts w:ascii="Book Antiqua" w:eastAsia="Book Antiqua" w:hAnsi="Book Antiqua" w:cs="Book Antiqua"/>
          <w:color w:val="000000"/>
          <w:highlight w:val="yellow"/>
        </w:rPr>
        <w:t>.</w:t>
      </w:r>
      <w:r w:rsidR="00411E4E" w:rsidRPr="00E940C3">
        <w:rPr>
          <w:rFonts w:ascii="Book Antiqua" w:eastAsia="Book Antiqua" w:hAnsi="Book Antiqua" w:cs="Book Antiqua"/>
          <w:color w:val="000000"/>
          <w:highlight w:val="yellow"/>
        </w:rPr>
        <w:t xml:space="preserve"> </w:t>
      </w:r>
      <w:r w:rsidR="007D0EB0" w:rsidRPr="00E940C3">
        <w:rPr>
          <w:rFonts w:ascii="Book Antiqua" w:eastAsia="Book Antiqua" w:hAnsi="Book Antiqua" w:cs="Book Antiqua"/>
          <w:color w:val="000000"/>
          <w:highlight w:val="yellow"/>
        </w:rPr>
        <w:t>Onivyde (irinotekan) vid bukspottkörtelcancer</w:t>
      </w:r>
      <w:r w:rsidR="00ED42F2" w:rsidRPr="00E940C3">
        <w:rPr>
          <w:rFonts w:ascii="Book Antiqua" w:eastAsia="Book Antiqua" w:hAnsi="Book Antiqua" w:cs="Book Antiqua"/>
          <w:color w:val="000000"/>
          <w:highlight w:val="yellow"/>
        </w:rPr>
        <w:t>.</w:t>
      </w:r>
      <w:r w:rsidR="00411E4E" w:rsidRPr="00E940C3">
        <w:rPr>
          <w:rFonts w:ascii="Book Antiqua" w:eastAsia="Book Antiqua" w:hAnsi="Book Antiqua" w:cs="Book Antiqua"/>
          <w:color w:val="000000"/>
          <w:highlight w:val="yellow"/>
        </w:rPr>
        <w:t xml:space="preserve"> 2018</w:t>
      </w:r>
      <w:r w:rsidR="005504DA" w:rsidRPr="00E940C3">
        <w:rPr>
          <w:rFonts w:ascii="Book Antiqua" w:eastAsia="Book Antiqua" w:hAnsi="Book Antiqua" w:cs="Book Antiqua"/>
          <w:color w:val="000000"/>
          <w:highlight w:val="yellow"/>
        </w:rPr>
        <w:t xml:space="preserve"> </w:t>
      </w:r>
      <w:r w:rsidR="004C3F10" w:rsidRPr="00E940C3">
        <w:rPr>
          <w:rFonts w:ascii="Book Antiqua" w:eastAsia="Book Antiqua" w:hAnsi="Book Antiqua" w:cs="Book Antiqua"/>
          <w:color w:val="000000"/>
          <w:highlight w:val="yellow"/>
        </w:rPr>
        <w:t xml:space="preserve">[cited 9 February 2021]. Available from: </w:t>
      </w:r>
      <w:hyperlink r:id="rId8" w:history="1">
        <w:r w:rsidR="007D0EB0" w:rsidRPr="00E940C3">
          <w:rPr>
            <w:rStyle w:val="Hyperlink"/>
            <w:rFonts w:ascii="Book Antiqua" w:eastAsia="Book Antiqua" w:hAnsi="Book Antiqua" w:cs="Book Antiqua"/>
            <w:highlight w:val="yellow"/>
          </w:rPr>
          <w:t>https://janusinfo.se/download/18.840e7ca163033c061f1e082/1535626615047/Irinotekan-(Onivyde)-180302.pdf</w:t>
        </w:r>
      </w:hyperlink>
    </w:p>
    <w:p w14:paraId="7057F7A3"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19 </w:t>
      </w:r>
      <w:r w:rsidRPr="00E940C3">
        <w:rPr>
          <w:rFonts w:ascii="Book Antiqua" w:eastAsia="Book Antiqua" w:hAnsi="Book Antiqua" w:cs="Book Antiqua"/>
          <w:b/>
          <w:bCs/>
          <w:color w:val="000000"/>
        </w:rPr>
        <w:t>Prager GW</w:t>
      </w:r>
      <w:r w:rsidRPr="00E940C3">
        <w:rPr>
          <w:rFonts w:ascii="Book Antiqua" w:eastAsia="Book Antiqua" w:hAnsi="Book Antiqua" w:cs="Book Antiqua"/>
          <w:color w:val="000000"/>
        </w:rPr>
        <w:t xml:space="preserve">, Oehler L, Gerger A, Mlineritsch B, Andel J, Petzer A, Wilthoner K, Sliwa T, Pichler P, Winder T, Heibl S, Gruenberger B, Laengle F, Hubmann E, Korger M, Pecherstorfer M, Djanani A, Neumann HJ, Philipp-Abbrederis K, Wöll E, Trondl R, Arnold-Schrauf C, Eisterer W. Comparison of nab-paclitaxel plus gemcitabine in elderly </w:t>
      </w:r>
      <w:r w:rsidR="001E46EA" w:rsidRPr="00E940C3">
        <w:rPr>
          <w:rFonts w:ascii="Book Antiqua" w:eastAsia="Book Antiqua" w:hAnsi="Book Antiqua" w:cs="Book Antiqua"/>
          <w:iCs/>
          <w:color w:val="000000"/>
        </w:rPr>
        <w:t>versus</w:t>
      </w:r>
      <w:r w:rsidRPr="00E940C3">
        <w:rPr>
          <w:rFonts w:ascii="Book Antiqua" w:eastAsia="Book Antiqua" w:hAnsi="Book Antiqua" w:cs="Book Antiqua"/>
          <w:color w:val="000000"/>
        </w:rPr>
        <w:t xml:space="preserve"> younger patients with metastatic pancreatic cancer: Analysis of a multicentre, prospective, non-interventional study. </w:t>
      </w:r>
      <w:r w:rsidRPr="00E940C3">
        <w:rPr>
          <w:rFonts w:ascii="Book Antiqua" w:eastAsia="Book Antiqua" w:hAnsi="Book Antiqua" w:cs="Book Antiqua"/>
          <w:i/>
          <w:iCs/>
          <w:color w:val="000000"/>
        </w:rPr>
        <w:t>Eur J Cancer</w:t>
      </w:r>
      <w:r w:rsidRPr="00E940C3">
        <w:rPr>
          <w:rFonts w:ascii="Book Antiqua" w:eastAsia="Book Antiqua" w:hAnsi="Book Antiqua" w:cs="Book Antiqua"/>
          <w:color w:val="000000"/>
        </w:rPr>
        <w:t xml:space="preserve"> 2021; </w:t>
      </w:r>
      <w:r w:rsidRPr="00E940C3">
        <w:rPr>
          <w:rFonts w:ascii="Book Antiqua" w:eastAsia="Book Antiqua" w:hAnsi="Book Antiqua" w:cs="Book Antiqua"/>
          <w:b/>
          <w:bCs/>
          <w:color w:val="000000"/>
        </w:rPr>
        <w:t>143</w:t>
      </w:r>
      <w:r w:rsidRPr="00E940C3">
        <w:rPr>
          <w:rFonts w:ascii="Book Antiqua" w:eastAsia="Book Antiqua" w:hAnsi="Book Antiqua" w:cs="Book Antiqua"/>
          <w:color w:val="000000"/>
        </w:rPr>
        <w:t>: 101-112 [PMID: 33296830 DOI: 10.1016/j.ejca.2020.11.003]</w:t>
      </w:r>
    </w:p>
    <w:p w14:paraId="79C41921"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20 </w:t>
      </w:r>
      <w:r w:rsidRPr="00E940C3">
        <w:rPr>
          <w:rFonts w:ascii="Book Antiqua" w:eastAsia="Book Antiqua" w:hAnsi="Book Antiqua" w:cs="Book Antiqua"/>
          <w:b/>
          <w:bCs/>
          <w:color w:val="000000"/>
        </w:rPr>
        <w:t>Blomstrand H</w:t>
      </w:r>
      <w:r w:rsidRPr="00E940C3">
        <w:rPr>
          <w:rFonts w:ascii="Book Antiqua" w:eastAsia="Book Antiqua" w:hAnsi="Book Antiqua" w:cs="Book Antiqua"/>
          <w:color w:val="000000"/>
        </w:rPr>
        <w:t xml:space="preserve">, Scheibling U, Bratthäll C, Green H, Elander NO. Real world evidence on gemcitabine and nab-paclitaxel combination chemotherapy in advanced pancreatic cancer. </w:t>
      </w:r>
      <w:r w:rsidRPr="00E940C3">
        <w:rPr>
          <w:rFonts w:ascii="Book Antiqua" w:eastAsia="Book Antiqua" w:hAnsi="Book Antiqua" w:cs="Book Antiqua"/>
          <w:i/>
          <w:iCs/>
          <w:color w:val="000000"/>
        </w:rPr>
        <w:t>BMC Cancer</w:t>
      </w:r>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19</w:t>
      </w:r>
      <w:r w:rsidRPr="00E940C3">
        <w:rPr>
          <w:rFonts w:ascii="Book Antiqua" w:eastAsia="Book Antiqua" w:hAnsi="Book Antiqua" w:cs="Book Antiqua"/>
          <w:color w:val="000000"/>
        </w:rPr>
        <w:t>: 40 [PMID: 30621618 DOI: 10.1186/s12885-018-5244-2]</w:t>
      </w:r>
    </w:p>
    <w:p w14:paraId="7304FCF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21 </w:t>
      </w:r>
      <w:r w:rsidRPr="00E940C3">
        <w:rPr>
          <w:rFonts w:ascii="Book Antiqua" w:eastAsia="Book Antiqua" w:hAnsi="Book Antiqua" w:cs="Book Antiqua"/>
          <w:b/>
          <w:bCs/>
          <w:color w:val="000000"/>
        </w:rPr>
        <w:t>Blomstrand H</w:t>
      </w:r>
      <w:r w:rsidRPr="00E940C3">
        <w:rPr>
          <w:rFonts w:ascii="Book Antiqua" w:eastAsia="Book Antiqua" w:hAnsi="Book Antiqua" w:cs="Book Antiqua"/>
          <w:color w:val="000000"/>
        </w:rPr>
        <w:t xml:space="preserve">, Green H, Fredrikson M, Gränsmark E, Björnsson B, Elander NO. Clinical characteristics and blood/serum bound prognostic biomarkers in advanced pancreatic cancer treated with gemcitabine and nab-paclitaxel. </w:t>
      </w:r>
      <w:r w:rsidRPr="00E940C3">
        <w:rPr>
          <w:rFonts w:ascii="Book Antiqua" w:eastAsia="Book Antiqua" w:hAnsi="Book Antiqua" w:cs="Book Antiqua"/>
          <w:i/>
          <w:iCs/>
          <w:color w:val="000000"/>
        </w:rPr>
        <w:t>BMC Cancer</w:t>
      </w:r>
      <w:r w:rsidRPr="00E940C3">
        <w:rPr>
          <w:rFonts w:ascii="Book Antiqua" w:eastAsia="Book Antiqua" w:hAnsi="Book Antiqua" w:cs="Book Antiqua"/>
          <w:color w:val="000000"/>
        </w:rPr>
        <w:t xml:space="preserve"> 2020; </w:t>
      </w:r>
      <w:r w:rsidRPr="00E940C3">
        <w:rPr>
          <w:rFonts w:ascii="Book Antiqua" w:eastAsia="Book Antiqua" w:hAnsi="Book Antiqua" w:cs="Book Antiqua"/>
          <w:b/>
          <w:bCs/>
          <w:color w:val="000000"/>
        </w:rPr>
        <w:t>20</w:t>
      </w:r>
      <w:r w:rsidRPr="00E940C3">
        <w:rPr>
          <w:rFonts w:ascii="Book Antiqua" w:eastAsia="Book Antiqua" w:hAnsi="Book Antiqua" w:cs="Book Antiqua"/>
          <w:color w:val="000000"/>
        </w:rPr>
        <w:t>: 950 [PMID: 33008332 DOI: 10.1186/s12885-020-07426-8]</w:t>
      </w:r>
    </w:p>
    <w:p w14:paraId="216AC623"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22 </w:t>
      </w:r>
      <w:r w:rsidRPr="00E940C3">
        <w:rPr>
          <w:rFonts w:ascii="Book Antiqua" w:eastAsia="Book Antiqua" w:hAnsi="Book Antiqua" w:cs="Book Antiqua"/>
          <w:b/>
          <w:bCs/>
          <w:color w:val="000000"/>
        </w:rPr>
        <w:t>Ostwal V</w:t>
      </w:r>
      <w:r w:rsidRPr="00E940C3">
        <w:rPr>
          <w:rFonts w:ascii="Book Antiqua" w:eastAsia="Book Antiqua" w:hAnsi="Book Antiqua" w:cs="Book Antiqua"/>
          <w:color w:val="000000"/>
        </w:rPr>
        <w:t xml:space="preserve">, Sahu A, Zanwar S, Nayak L, Shrikhande SV, Shetty N, Gupta S, Ramaswamy A. Experience with non-cremophor-based paclitaxel-gemcitabine regimen in advanced pancreatic cancer: Results from a single tertiary cancer centre. </w:t>
      </w:r>
      <w:r w:rsidRPr="00E940C3">
        <w:rPr>
          <w:rFonts w:ascii="Book Antiqua" w:eastAsia="Book Antiqua" w:hAnsi="Book Antiqua" w:cs="Book Antiqua"/>
          <w:i/>
          <w:iCs/>
          <w:color w:val="000000"/>
        </w:rPr>
        <w:t>Indian J Med Res</w:t>
      </w:r>
      <w:r w:rsidRPr="00E940C3">
        <w:rPr>
          <w:rFonts w:ascii="Book Antiqua" w:eastAsia="Book Antiqua" w:hAnsi="Book Antiqua" w:cs="Book Antiqua"/>
          <w:color w:val="000000"/>
        </w:rPr>
        <w:t xml:space="preserve"> 2018; </w:t>
      </w:r>
      <w:r w:rsidRPr="00E940C3">
        <w:rPr>
          <w:rFonts w:ascii="Book Antiqua" w:eastAsia="Book Antiqua" w:hAnsi="Book Antiqua" w:cs="Book Antiqua"/>
          <w:b/>
          <w:bCs/>
          <w:color w:val="000000"/>
        </w:rPr>
        <w:t>148</w:t>
      </w:r>
      <w:r w:rsidRPr="00E940C3">
        <w:rPr>
          <w:rFonts w:ascii="Book Antiqua" w:eastAsia="Book Antiqua" w:hAnsi="Book Antiqua" w:cs="Book Antiqua"/>
          <w:color w:val="000000"/>
        </w:rPr>
        <w:t>: 284-290 [PMID: 30425218 DOI: 10.4103/ijmr.IJMR_249_17]</w:t>
      </w:r>
    </w:p>
    <w:p w14:paraId="183FFE2A"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23 </w:t>
      </w:r>
      <w:r w:rsidRPr="00E940C3">
        <w:rPr>
          <w:rFonts w:ascii="Book Antiqua" w:eastAsia="Book Antiqua" w:hAnsi="Book Antiqua" w:cs="Book Antiqua"/>
          <w:b/>
          <w:bCs/>
          <w:color w:val="000000"/>
        </w:rPr>
        <w:t>Quinton AE</w:t>
      </w:r>
      <w:r w:rsidRPr="00E940C3">
        <w:rPr>
          <w:rFonts w:ascii="Book Antiqua" w:eastAsia="Book Antiqua" w:hAnsi="Book Antiqua" w:cs="Book Antiqua"/>
          <w:color w:val="000000"/>
        </w:rPr>
        <w:t xml:space="preserve">, Gwynne SH, Yim KL. Nab-paclitaxel in combination with gemcitabine for the treatment of metastatic pancreas cancer: the South Wales experience. </w:t>
      </w:r>
      <w:r w:rsidRPr="00E940C3">
        <w:rPr>
          <w:rFonts w:ascii="Book Antiqua" w:eastAsia="Book Antiqua" w:hAnsi="Book Antiqua" w:cs="Book Antiqua"/>
          <w:i/>
          <w:iCs/>
          <w:color w:val="000000"/>
        </w:rPr>
        <w:t>Med Oncol</w:t>
      </w:r>
      <w:r w:rsidRPr="00E940C3">
        <w:rPr>
          <w:rFonts w:ascii="Book Antiqua" w:eastAsia="Book Antiqua" w:hAnsi="Book Antiqua" w:cs="Book Antiqua"/>
          <w:color w:val="000000"/>
        </w:rPr>
        <w:t xml:space="preserve"> 2018; </w:t>
      </w:r>
      <w:r w:rsidRPr="00E940C3">
        <w:rPr>
          <w:rFonts w:ascii="Book Antiqua" w:eastAsia="Book Antiqua" w:hAnsi="Book Antiqua" w:cs="Book Antiqua"/>
          <w:b/>
          <w:bCs/>
          <w:color w:val="000000"/>
        </w:rPr>
        <w:t>35</w:t>
      </w:r>
      <w:r w:rsidRPr="00E940C3">
        <w:rPr>
          <w:rFonts w:ascii="Book Antiqua" w:eastAsia="Book Antiqua" w:hAnsi="Book Antiqua" w:cs="Book Antiqua"/>
          <w:color w:val="000000"/>
        </w:rPr>
        <w:t>: 115 [PMID: 29968204 DOI: 10.1007/s12032-018-1175-7]</w:t>
      </w:r>
    </w:p>
    <w:p w14:paraId="6A0655BD"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24 </w:t>
      </w:r>
      <w:r w:rsidRPr="00E940C3">
        <w:rPr>
          <w:rFonts w:ascii="Book Antiqua" w:eastAsia="Book Antiqua" w:hAnsi="Book Antiqua" w:cs="Book Antiqua"/>
          <w:b/>
          <w:bCs/>
          <w:color w:val="000000"/>
        </w:rPr>
        <w:t>Cavanna L</w:t>
      </w:r>
      <w:r w:rsidRPr="00E940C3">
        <w:rPr>
          <w:rFonts w:ascii="Book Antiqua" w:eastAsia="Book Antiqua" w:hAnsi="Book Antiqua" w:cs="Book Antiqua"/>
          <w:color w:val="000000"/>
        </w:rPr>
        <w:t xml:space="preserve">, Stroppa EM, Citterio C, Mordenti P, Di Nunzio C, Peveri S, Orlandi E, Vecchia S. Modified FOLFIRINOX for unresectable locally advanced/metastatic pancreatic cancer. A real-world comparison of an attenuated with a full dose in a single center experience. </w:t>
      </w:r>
      <w:r w:rsidRPr="00E940C3">
        <w:rPr>
          <w:rFonts w:ascii="Book Antiqua" w:eastAsia="Book Antiqua" w:hAnsi="Book Antiqua" w:cs="Book Antiqua"/>
          <w:i/>
          <w:iCs/>
          <w:color w:val="000000"/>
        </w:rPr>
        <w:t>Onco Targets Ther</w:t>
      </w:r>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12</w:t>
      </w:r>
      <w:r w:rsidRPr="00E940C3">
        <w:rPr>
          <w:rFonts w:ascii="Book Antiqua" w:eastAsia="Book Antiqua" w:hAnsi="Book Antiqua" w:cs="Book Antiqua"/>
          <w:color w:val="000000"/>
        </w:rPr>
        <w:t>: 3077-3085 [PMID: 31118666 DOI: 10.2147/OTT.S200754]</w:t>
      </w:r>
    </w:p>
    <w:p w14:paraId="1014349D"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25 </w:t>
      </w:r>
      <w:r w:rsidR="00B1017E" w:rsidRPr="00E940C3">
        <w:rPr>
          <w:rFonts w:ascii="Book Antiqua" w:eastAsia="Book Antiqua" w:hAnsi="Book Antiqua" w:cs="Book Antiqua"/>
          <w:b/>
          <w:bCs/>
          <w:color w:val="000000"/>
        </w:rPr>
        <w:t>Franco F</w:t>
      </w:r>
      <w:r w:rsidR="00B1017E" w:rsidRPr="00E940C3">
        <w:rPr>
          <w:rFonts w:ascii="Book Antiqua" w:eastAsia="Book Antiqua" w:hAnsi="Book Antiqua" w:cs="Book Antiqua"/>
          <w:bCs/>
          <w:color w:val="000000"/>
        </w:rPr>
        <w:t xml:space="preserve">, Camara JC, Martín-Valadés JI, López-Alfonso A, Marrupe D, Gutiérrez-Abad D, Martínez-Amores B, León A, Juez I, Pérez M, Royuela A, Ruiz-Casado A. Clinical </w:t>
      </w:r>
      <w:r w:rsidR="00B1017E" w:rsidRPr="00E940C3">
        <w:rPr>
          <w:rFonts w:ascii="Book Antiqua" w:eastAsia="Book Antiqua" w:hAnsi="Book Antiqua" w:cs="Book Antiqua"/>
          <w:bCs/>
          <w:color w:val="000000"/>
        </w:rPr>
        <w:lastRenderedPageBreak/>
        <w:t>outcomes of FOLFIRINOX and gemcitabine-nab paclitaxel for metastatic pancreatic cancer in the real world setting. </w:t>
      </w:r>
      <w:r w:rsidR="00B1017E" w:rsidRPr="00E940C3">
        <w:rPr>
          <w:rFonts w:ascii="Book Antiqua" w:eastAsia="Book Antiqua" w:hAnsi="Book Antiqua" w:cs="Book Antiqua"/>
          <w:bCs/>
          <w:i/>
          <w:iCs/>
          <w:color w:val="000000"/>
        </w:rPr>
        <w:t>Clin Transl Oncol</w:t>
      </w:r>
      <w:r w:rsidR="00B1017E" w:rsidRPr="00E940C3">
        <w:rPr>
          <w:rFonts w:ascii="Book Antiqua" w:eastAsia="Book Antiqua" w:hAnsi="Book Antiqua" w:cs="Book Antiqua"/>
          <w:bCs/>
          <w:color w:val="000000"/>
        </w:rPr>
        <w:t> 2021;</w:t>
      </w:r>
      <w:r w:rsidR="00ED53D6" w:rsidRPr="00E940C3">
        <w:rPr>
          <w:rFonts w:ascii="Book Antiqua" w:eastAsia="Book Antiqua" w:hAnsi="Book Antiqua" w:cs="Book Antiqua"/>
          <w:bCs/>
          <w:color w:val="000000"/>
        </w:rPr>
        <w:t xml:space="preserve"> </w:t>
      </w:r>
      <w:r w:rsidR="00B1017E" w:rsidRPr="00E940C3">
        <w:rPr>
          <w:rFonts w:ascii="Book Antiqua" w:eastAsia="Book Antiqua" w:hAnsi="Book Antiqua" w:cs="Book Antiqua"/>
          <w:b/>
          <w:bCs/>
          <w:color w:val="000000"/>
        </w:rPr>
        <w:t>23</w:t>
      </w:r>
      <w:r w:rsidR="00B1017E" w:rsidRPr="00E940C3">
        <w:rPr>
          <w:rFonts w:ascii="Book Antiqua" w:eastAsia="Book Antiqua" w:hAnsi="Book Antiqua" w:cs="Book Antiqua"/>
          <w:bCs/>
          <w:color w:val="000000"/>
        </w:rPr>
        <w:t>: 812-819 [PMID: 32857340 DOI: 10.1007/s12094-020-02473-w]</w:t>
      </w:r>
    </w:p>
    <w:p w14:paraId="723335A9"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26 </w:t>
      </w:r>
      <w:r w:rsidRPr="00E940C3">
        <w:rPr>
          <w:rFonts w:ascii="Book Antiqua" w:eastAsia="Book Antiqua" w:hAnsi="Book Antiqua" w:cs="Book Antiqua"/>
          <w:b/>
          <w:bCs/>
          <w:color w:val="000000"/>
        </w:rPr>
        <w:t>Wang Y</w:t>
      </w:r>
      <w:r w:rsidRPr="00E940C3">
        <w:rPr>
          <w:rFonts w:ascii="Book Antiqua" w:eastAsia="Book Antiqua" w:hAnsi="Book Antiqua" w:cs="Book Antiqua"/>
          <w:color w:val="000000"/>
        </w:rPr>
        <w:t xml:space="preserve">, Camateros P, Cheung WY. A Real-World Comparison of FOLFIRINOX, Gemcitabine Plus nab-Paclitaxel, and Gemcitabine in Advanced Pancreatic Cancers. </w:t>
      </w:r>
      <w:r w:rsidRPr="00E940C3">
        <w:rPr>
          <w:rFonts w:ascii="Book Antiqua" w:eastAsia="Book Antiqua" w:hAnsi="Book Antiqua" w:cs="Book Antiqua"/>
          <w:i/>
          <w:iCs/>
          <w:color w:val="000000"/>
        </w:rPr>
        <w:t>J Gastrointest Cancer</w:t>
      </w:r>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50</w:t>
      </w:r>
      <w:r w:rsidRPr="00E940C3">
        <w:rPr>
          <w:rFonts w:ascii="Book Antiqua" w:eastAsia="Book Antiqua" w:hAnsi="Book Antiqua" w:cs="Book Antiqua"/>
          <w:color w:val="000000"/>
        </w:rPr>
        <w:t>: 62-68 [PMID: 29143916 DOI: 10.1007/s12029-017-0028-5]</w:t>
      </w:r>
    </w:p>
    <w:p w14:paraId="319E914D"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27 </w:t>
      </w:r>
      <w:r w:rsidRPr="00E940C3">
        <w:rPr>
          <w:rFonts w:ascii="Book Antiqua" w:eastAsia="Book Antiqua" w:hAnsi="Book Antiqua" w:cs="Book Antiqua"/>
          <w:b/>
          <w:bCs/>
          <w:color w:val="000000"/>
        </w:rPr>
        <w:t>Pusceddu S</w:t>
      </w:r>
      <w:r w:rsidRPr="00E940C3">
        <w:rPr>
          <w:rFonts w:ascii="Book Antiqua" w:eastAsia="Book Antiqua" w:hAnsi="Book Antiqua" w:cs="Book Antiqua"/>
          <w:color w:val="000000"/>
        </w:rPr>
        <w:t xml:space="preserve">, Ghidini M, Torchio M, Corti F, Tomasello G, Niger M, Prinzi N, Nichetti F, Coinu A, Di Bartolomeo M, Cabiddu M, Passalacqua R, de Braud F, Petrelli F. Comparative Effectiveness of Gemcitabine plus Nab-Paclitaxel and FOLFIRINOX in the First-Line Setting of Metastatic Pancreatic Cancer: A Systematic Review and Meta-Analysis. </w:t>
      </w:r>
      <w:r w:rsidRPr="00E940C3">
        <w:rPr>
          <w:rFonts w:ascii="Book Antiqua" w:eastAsia="Book Antiqua" w:hAnsi="Book Antiqua" w:cs="Book Antiqua"/>
          <w:i/>
          <w:iCs/>
          <w:color w:val="000000"/>
        </w:rPr>
        <w:t>Cancers (Basel)</w:t>
      </w:r>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11</w:t>
      </w:r>
      <w:r w:rsidRPr="00E940C3">
        <w:rPr>
          <w:rFonts w:ascii="Book Antiqua" w:eastAsia="Book Antiqua" w:hAnsi="Book Antiqua" w:cs="Book Antiqua"/>
          <w:color w:val="000000"/>
        </w:rPr>
        <w:t xml:space="preserve"> [PMID: 30959763 DOI: 10.3390/cancers11040484]</w:t>
      </w:r>
    </w:p>
    <w:p w14:paraId="2B390905"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28 </w:t>
      </w:r>
      <w:r w:rsidRPr="00E940C3">
        <w:rPr>
          <w:rFonts w:ascii="Book Antiqua" w:eastAsia="Book Antiqua" w:hAnsi="Book Antiqua" w:cs="Book Antiqua"/>
          <w:b/>
          <w:bCs/>
          <w:color w:val="000000"/>
        </w:rPr>
        <w:t>Chiorean EG</w:t>
      </w:r>
      <w:r w:rsidRPr="00E940C3">
        <w:rPr>
          <w:rFonts w:ascii="Book Antiqua" w:eastAsia="Book Antiqua" w:hAnsi="Book Antiqua" w:cs="Book Antiqua"/>
          <w:color w:val="000000"/>
        </w:rPr>
        <w:t xml:space="preserve">, Cheung WY, Giordano G, Kim G, Al-Batran SE. Real-world comparative effectiveness of nab-paclitaxel plus gemcitabine </w:t>
      </w:r>
      <w:r w:rsidRPr="00E940C3">
        <w:rPr>
          <w:rFonts w:ascii="Book Antiqua" w:eastAsia="Book Antiqua" w:hAnsi="Book Antiqua" w:cs="Book Antiqua"/>
          <w:i/>
          <w:iCs/>
          <w:color w:val="000000"/>
        </w:rPr>
        <w:t>versus</w:t>
      </w:r>
      <w:r w:rsidRPr="00E940C3">
        <w:rPr>
          <w:rFonts w:ascii="Book Antiqua" w:eastAsia="Book Antiqua" w:hAnsi="Book Antiqua" w:cs="Book Antiqua"/>
          <w:color w:val="000000"/>
        </w:rPr>
        <w:t xml:space="preserve"> FOLFIRINOX in advanced pancreatic cancer: a systematic review. </w:t>
      </w:r>
      <w:r w:rsidRPr="00E940C3">
        <w:rPr>
          <w:rFonts w:ascii="Book Antiqua" w:eastAsia="Book Antiqua" w:hAnsi="Book Antiqua" w:cs="Book Antiqua"/>
          <w:i/>
          <w:iCs/>
          <w:color w:val="000000"/>
        </w:rPr>
        <w:t>Ther Adv Med Oncol</w:t>
      </w:r>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11</w:t>
      </w:r>
      <w:r w:rsidRPr="00E940C3">
        <w:rPr>
          <w:rFonts w:ascii="Book Antiqua" w:eastAsia="Book Antiqua" w:hAnsi="Book Antiqua" w:cs="Book Antiqua"/>
          <w:color w:val="000000"/>
        </w:rPr>
        <w:t>: 1758835919850367 [PMID: 31205510 DOI: 10.1177/1758835919850367]</w:t>
      </w:r>
    </w:p>
    <w:p w14:paraId="461BDAA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29 </w:t>
      </w:r>
      <w:r w:rsidRPr="00E940C3">
        <w:rPr>
          <w:rFonts w:ascii="Book Antiqua" w:eastAsia="Book Antiqua" w:hAnsi="Book Antiqua" w:cs="Book Antiqua"/>
          <w:b/>
          <w:bCs/>
          <w:color w:val="000000"/>
        </w:rPr>
        <w:t>Papneja N</w:t>
      </w:r>
      <w:r w:rsidRPr="00E940C3">
        <w:rPr>
          <w:rFonts w:ascii="Book Antiqua" w:eastAsia="Book Antiqua" w:hAnsi="Book Antiqua" w:cs="Book Antiqua"/>
          <w:color w:val="000000"/>
        </w:rPr>
        <w:t xml:space="preserve">, Zaidi A, Chalchal H, Moser M, Tan K, Olson C, Haider K, Shaw J, Ahmed S. Comparisons of Outcomes of Real-World Patients With Advanced Pancreatic Cancer Treated With FOLFIRINOX Versus Gemcitabine and Nab-Paclitaxel: A Population-Based Cohort Study. </w:t>
      </w:r>
      <w:r w:rsidRPr="00E940C3">
        <w:rPr>
          <w:rFonts w:ascii="Book Antiqua" w:eastAsia="Book Antiqua" w:hAnsi="Book Antiqua" w:cs="Book Antiqua"/>
          <w:i/>
          <w:iCs/>
          <w:color w:val="000000"/>
        </w:rPr>
        <w:t>Pancreas</w:t>
      </w:r>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48</w:t>
      </w:r>
      <w:r w:rsidRPr="00E940C3">
        <w:rPr>
          <w:rFonts w:ascii="Book Antiqua" w:eastAsia="Book Antiqua" w:hAnsi="Book Antiqua" w:cs="Book Antiqua"/>
          <w:color w:val="000000"/>
        </w:rPr>
        <w:t>: 920-926 [PMID: 31180981 DOI: 10.1097/MPA.0000000000001340]</w:t>
      </w:r>
    </w:p>
    <w:p w14:paraId="35A14B8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30 </w:t>
      </w:r>
      <w:r w:rsidRPr="00E940C3">
        <w:rPr>
          <w:rFonts w:ascii="Book Antiqua" w:eastAsia="Book Antiqua" w:hAnsi="Book Antiqua" w:cs="Book Antiqua"/>
          <w:b/>
          <w:bCs/>
          <w:color w:val="000000"/>
        </w:rPr>
        <w:t>Cartwright TH</w:t>
      </w:r>
      <w:r w:rsidRPr="00E940C3">
        <w:rPr>
          <w:rFonts w:ascii="Book Antiqua" w:eastAsia="Book Antiqua" w:hAnsi="Book Antiqua" w:cs="Book Antiqua"/>
          <w:color w:val="000000"/>
        </w:rPr>
        <w:t xml:space="preserve">, Parisi M, Espirito JL, Wilson TW, Pelletier C, Patel M, Babiker HM. Clinical Outcomes with First-Line Chemotherapy in a Large Retrospective Study of Patients with Metastatic Pancreatic Cancer Treated in a US Community Oncology Setting. </w:t>
      </w:r>
      <w:r w:rsidRPr="00E940C3">
        <w:rPr>
          <w:rFonts w:ascii="Book Antiqua" w:eastAsia="Book Antiqua" w:hAnsi="Book Antiqua" w:cs="Book Antiqua"/>
          <w:i/>
          <w:iCs/>
          <w:color w:val="000000"/>
        </w:rPr>
        <w:t>Drugs Real World Outcomes</w:t>
      </w:r>
      <w:r w:rsidRPr="00E940C3">
        <w:rPr>
          <w:rFonts w:ascii="Book Antiqua" w:eastAsia="Book Antiqua" w:hAnsi="Book Antiqua" w:cs="Book Antiqua"/>
          <w:color w:val="000000"/>
        </w:rPr>
        <w:t xml:space="preserve"> 2018; </w:t>
      </w:r>
      <w:r w:rsidRPr="00E940C3">
        <w:rPr>
          <w:rFonts w:ascii="Book Antiqua" w:eastAsia="Book Antiqua" w:hAnsi="Book Antiqua" w:cs="Book Antiqua"/>
          <w:b/>
          <w:bCs/>
          <w:color w:val="000000"/>
        </w:rPr>
        <w:t>5</w:t>
      </w:r>
      <w:r w:rsidRPr="00E940C3">
        <w:rPr>
          <w:rFonts w:ascii="Book Antiqua" w:eastAsia="Book Antiqua" w:hAnsi="Book Antiqua" w:cs="Book Antiqua"/>
          <w:color w:val="000000"/>
        </w:rPr>
        <w:t>: 149-159 [PMID: 29946913 DOI: 10.1007/s40801-018-0137-x]</w:t>
      </w:r>
    </w:p>
    <w:p w14:paraId="07DC7A94"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31 </w:t>
      </w:r>
      <w:r w:rsidRPr="00E940C3">
        <w:rPr>
          <w:rFonts w:ascii="Book Antiqua" w:eastAsia="Book Antiqua" w:hAnsi="Book Antiqua" w:cs="Book Antiqua"/>
          <w:b/>
          <w:bCs/>
          <w:color w:val="000000"/>
        </w:rPr>
        <w:t>Kim S</w:t>
      </w:r>
      <w:r w:rsidRPr="00E940C3">
        <w:rPr>
          <w:rFonts w:ascii="Book Antiqua" w:eastAsia="Book Antiqua" w:hAnsi="Book Antiqua" w:cs="Book Antiqua"/>
          <w:color w:val="000000"/>
        </w:rPr>
        <w:t xml:space="preserve">, Signorovitch JE, Yang H, Patterson-Lomba O, Xiang CQ, Ung B, Parisi M, Marshall JL. Comparative Effectiveness of nab-Paclitaxel Plus Gemcitabine </w:t>
      </w:r>
      <w:r w:rsidRPr="00E940C3">
        <w:rPr>
          <w:rFonts w:ascii="Book Antiqua" w:eastAsia="Book Antiqua" w:hAnsi="Book Antiqua" w:cs="Book Antiqua"/>
          <w:i/>
          <w:iCs/>
          <w:color w:val="000000"/>
        </w:rPr>
        <w:t>vs</w:t>
      </w:r>
      <w:r w:rsidRPr="00E940C3">
        <w:rPr>
          <w:rFonts w:ascii="Book Antiqua" w:eastAsia="Book Antiqua" w:hAnsi="Book Antiqua" w:cs="Book Antiqua"/>
          <w:color w:val="000000"/>
        </w:rPr>
        <w:t xml:space="preserve"> FOLFIRINOX in Metastatic Pancreatic Cancer: A Retrospective Nationwide Chart Review in the United States. </w:t>
      </w:r>
      <w:r w:rsidRPr="00E940C3">
        <w:rPr>
          <w:rFonts w:ascii="Book Antiqua" w:eastAsia="Book Antiqua" w:hAnsi="Book Antiqua" w:cs="Book Antiqua"/>
          <w:i/>
          <w:iCs/>
          <w:color w:val="000000"/>
        </w:rPr>
        <w:t>Adv Ther</w:t>
      </w:r>
      <w:r w:rsidRPr="00E940C3">
        <w:rPr>
          <w:rFonts w:ascii="Book Antiqua" w:eastAsia="Book Antiqua" w:hAnsi="Book Antiqua" w:cs="Book Antiqua"/>
          <w:color w:val="000000"/>
        </w:rPr>
        <w:t xml:space="preserve"> 2018; </w:t>
      </w:r>
      <w:r w:rsidRPr="00E940C3">
        <w:rPr>
          <w:rFonts w:ascii="Book Antiqua" w:eastAsia="Book Antiqua" w:hAnsi="Book Antiqua" w:cs="Book Antiqua"/>
          <w:b/>
          <w:bCs/>
          <w:color w:val="000000"/>
        </w:rPr>
        <w:t>35</w:t>
      </w:r>
      <w:r w:rsidRPr="00E940C3">
        <w:rPr>
          <w:rFonts w:ascii="Book Antiqua" w:eastAsia="Book Antiqua" w:hAnsi="Book Antiqua" w:cs="Book Antiqua"/>
          <w:color w:val="000000"/>
        </w:rPr>
        <w:t>: 1564-1577 [PMID: 30209750 DOI: 10.1007/s12325-018-0784-z]</w:t>
      </w:r>
    </w:p>
    <w:p w14:paraId="30573A23"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lastRenderedPageBreak/>
        <w:t xml:space="preserve">32 </w:t>
      </w:r>
      <w:r w:rsidRPr="00E940C3">
        <w:rPr>
          <w:rFonts w:ascii="Book Antiqua" w:eastAsia="Book Antiqua" w:hAnsi="Book Antiqua" w:cs="Book Antiqua"/>
          <w:b/>
          <w:bCs/>
          <w:color w:val="000000"/>
        </w:rPr>
        <w:t>Kordes M</w:t>
      </w:r>
      <w:r w:rsidRPr="00E940C3">
        <w:rPr>
          <w:rFonts w:ascii="Book Antiqua" w:eastAsia="Book Antiqua" w:hAnsi="Book Antiqua" w:cs="Book Antiqua"/>
          <w:color w:val="000000"/>
        </w:rPr>
        <w:t xml:space="preserve">, Yu J, Malgerud O, Gustafsson Liljefors M, Löhr J-. Survival Benefits of Chemotherapy for Patients with Advanced Pancreatic Cancer in A Clinical Real-World Cohort. </w:t>
      </w:r>
      <w:r w:rsidRPr="00E940C3">
        <w:rPr>
          <w:rFonts w:ascii="Book Antiqua" w:eastAsia="Book Antiqua" w:hAnsi="Book Antiqua" w:cs="Book Antiqua"/>
          <w:i/>
          <w:iCs/>
          <w:color w:val="000000"/>
        </w:rPr>
        <w:t>Cancers (Basel)</w:t>
      </w:r>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11</w:t>
      </w:r>
      <w:r w:rsidRPr="00E940C3">
        <w:rPr>
          <w:rFonts w:ascii="Book Antiqua" w:eastAsia="Book Antiqua" w:hAnsi="Book Antiqua" w:cs="Book Antiqua"/>
          <w:color w:val="000000"/>
        </w:rPr>
        <w:t xml:space="preserve"> [PMID: 31500236 DOI: 10.3390/cancers11091326]</w:t>
      </w:r>
    </w:p>
    <w:p w14:paraId="1D5E174D"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33 </w:t>
      </w:r>
      <w:r w:rsidRPr="00E940C3">
        <w:rPr>
          <w:rFonts w:ascii="Book Antiqua" w:eastAsia="Book Antiqua" w:hAnsi="Book Antiqua" w:cs="Book Antiqua"/>
          <w:b/>
          <w:bCs/>
          <w:color w:val="000000"/>
        </w:rPr>
        <w:t>Gränsmark E</w:t>
      </w:r>
      <w:r w:rsidRPr="00E940C3">
        <w:rPr>
          <w:rFonts w:ascii="Book Antiqua" w:eastAsia="Book Antiqua" w:hAnsi="Book Antiqua" w:cs="Book Antiqua"/>
          <w:color w:val="000000"/>
        </w:rPr>
        <w:t xml:space="preserve">, Bågenholm Bylin N, Blomstrand H, Fredrikson M, Åvall-Lundqvist E, Elander NO. Real World Evidence on Second-Line Palliative Chemotherapy in Advanced Pancreatic Cancer. </w:t>
      </w:r>
      <w:r w:rsidRPr="00E940C3">
        <w:rPr>
          <w:rFonts w:ascii="Book Antiqua" w:eastAsia="Book Antiqua" w:hAnsi="Book Antiqua" w:cs="Book Antiqua"/>
          <w:i/>
          <w:iCs/>
          <w:color w:val="000000"/>
        </w:rPr>
        <w:t>Front Oncol</w:t>
      </w:r>
      <w:r w:rsidRPr="00E940C3">
        <w:rPr>
          <w:rFonts w:ascii="Book Antiqua" w:eastAsia="Book Antiqua" w:hAnsi="Book Antiqua" w:cs="Book Antiqua"/>
          <w:color w:val="000000"/>
        </w:rPr>
        <w:t xml:space="preserve"> 2020; </w:t>
      </w:r>
      <w:r w:rsidRPr="00E940C3">
        <w:rPr>
          <w:rFonts w:ascii="Book Antiqua" w:eastAsia="Book Antiqua" w:hAnsi="Book Antiqua" w:cs="Book Antiqua"/>
          <w:b/>
          <w:bCs/>
          <w:color w:val="000000"/>
        </w:rPr>
        <w:t>10</w:t>
      </w:r>
      <w:r w:rsidRPr="00E940C3">
        <w:rPr>
          <w:rFonts w:ascii="Book Antiqua" w:eastAsia="Book Antiqua" w:hAnsi="Book Antiqua" w:cs="Book Antiqua"/>
          <w:color w:val="000000"/>
        </w:rPr>
        <w:t>: 1176 [PMID: 32850339 DOI: 10.3389/fonc.2020.01176]</w:t>
      </w:r>
    </w:p>
    <w:p w14:paraId="3DB09C7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34 </w:t>
      </w:r>
      <w:r w:rsidRPr="00E940C3">
        <w:rPr>
          <w:rFonts w:ascii="Book Antiqua" w:eastAsia="Book Antiqua" w:hAnsi="Book Antiqua" w:cs="Book Antiqua"/>
          <w:b/>
          <w:bCs/>
          <w:color w:val="000000"/>
        </w:rPr>
        <w:t>Berger AK</w:t>
      </w:r>
      <w:r w:rsidRPr="00E940C3">
        <w:rPr>
          <w:rFonts w:ascii="Book Antiqua" w:eastAsia="Book Antiqua" w:hAnsi="Book Antiqua" w:cs="Book Antiqua"/>
          <w:color w:val="000000"/>
        </w:rPr>
        <w:t xml:space="preserve">, Weber TF, Jäger D, Springfeld C. Successful treatment with nab-paclitaxel and gemcitabine after FOLFIRINOX failure in a patient with metastasized pancreatic adenocarcinoma. </w:t>
      </w:r>
      <w:r w:rsidRPr="00E940C3">
        <w:rPr>
          <w:rFonts w:ascii="Book Antiqua" w:eastAsia="Book Antiqua" w:hAnsi="Book Antiqua" w:cs="Book Antiqua"/>
          <w:i/>
          <w:iCs/>
          <w:color w:val="000000"/>
        </w:rPr>
        <w:t>Onkologie</w:t>
      </w:r>
      <w:r w:rsidRPr="00E940C3">
        <w:rPr>
          <w:rFonts w:ascii="Book Antiqua" w:eastAsia="Book Antiqua" w:hAnsi="Book Antiqua" w:cs="Book Antiqua"/>
          <w:color w:val="000000"/>
        </w:rPr>
        <w:t xml:space="preserve"> 2013; </w:t>
      </w:r>
      <w:r w:rsidRPr="00E940C3">
        <w:rPr>
          <w:rFonts w:ascii="Book Antiqua" w:eastAsia="Book Antiqua" w:hAnsi="Book Antiqua" w:cs="Book Antiqua"/>
          <w:b/>
          <w:bCs/>
          <w:color w:val="000000"/>
        </w:rPr>
        <w:t>36</w:t>
      </w:r>
      <w:r w:rsidRPr="00E940C3">
        <w:rPr>
          <w:rFonts w:ascii="Book Antiqua" w:eastAsia="Book Antiqua" w:hAnsi="Book Antiqua" w:cs="Book Antiqua"/>
          <w:color w:val="000000"/>
        </w:rPr>
        <w:t>: 763-765 [PMID: 24356569 DOI: 10.1159/000356811]</w:t>
      </w:r>
    </w:p>
    <w:p w14:paraId="3B707E77"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35 </w:t>
      </w:r>
      <w:r w:rsidRPr="00E940C3">
        <w:rPr>
          <w:rFonts w:ascii="Book Antiqua" w:eastAsia="Book Antiqua" w:hAnsi="Book Antiqua" w:cs="Book Antiqua"/>
          <w:b/>
          <w:bCs/>
          <w:color w:val="000000"/>
        </w:rPr>
        <w:t>Portal A</w:t>
      </w:r>
      <w:r w:rsidRPr="00E940C3">
        <w:rPr>
          <w:rFonts w:ascii="Book Antiqua" w:eastAsia="Book Antiqua" w:hAnsi="Book Antiqua" w:cs="Book Antiqua"/>
          <w:color w:val="000000"/>
        </w:rPr>
        <w:t xml:space="preserve">, Pernot S, Siauve N, Landi B, Lepère C, Colussi O, Rougier P, Zaanan A, Verrière B, Taieb J. Sustained response with gemcitabine plus Nab-paclitaxel after folfirinox failure in metastatic pancreatic cancer: report of an effective new strategy. </w:t>
      </w:r>
      <w:r w:rsidRPr="00E940C3">
        <w:rPr>
          <w:rFonts w:ascii="Book Antiqua" w:eastAsia="Book Antiqua" w:hAnsi="Book Antiqua" w:cs="Book Antiqua"/>
          <w:i/>
          <w:iCs/>
          <w:color w:val="000000"/>
        </w:rPr>
        <w:t>Clin Res Hepatol Gastroenterol</w:t>
      </w:r>
      <w:r w:rsidRPr="00E940C3">
        <w:rPr>
          <w:rFonts w:ascii="Book Antiqua" w:eastAsia="Book Antiqua" w:hAnsi="Book Antiqua" w:cs="Book Antiqua"/>
          <w:color w:val="000000"/>
        </w:rPr>
        <w:t xml:space="preserve"> 2014; </w:t>
      </w:r>
      <w:r w:rsidRPr="00E940C3">
        <w:rPr>
          <w:rFonts w:ascii="Book Antiqua" w:eastAsia="Book Antiqua" w:hAnsi="Book Antiqua" w:cs="Book Antiqua"/>
          <w:b/>
          <w:bCs/>
          <w:color w:val="000000"/>
        </w:rPr>
        <w:t>38</w:t>
      </w:r>
      <w:r w:rsidRPr="00E940C3">
        <w:rPr>
          <w:rFonts w:ascii="Book Antiqua" w:eastAsia="Book Antiqua" w:hAnsi="Book Antiqua" w:cs="Book Antiqua"/>
          <w:color w:val="000000"/>
        </w:rPr>
        <w:t>: e23-e26 [PMID: 24559766 DOI: 10.1016/j.clinre.2014.01.005]</w:t>
      </w:r>
    </w:p>
    <w:p w14:paraId="65B07C43"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36 </w:t>
      </w:r>
      <w:r w:rsidRPr="00E940C3">
        <w:rPr>
          <w:rFonts w:ascii="Book Antiqua" w:eastAsia="Book Antiqua" w:hAnsi="Book Antiqua" w:cs="Book Antiqua"/>
          <w:b/>
          <w:bCs/>
          <w:color w:val="000000"/>
        </w:rPr>
        <w:t>Portal A</w:t>
      </w:r>
      <w:r w:rsidRPr="00E940C3">
        <w:rPr>
          <w:rFonts w:ascii="Book Antiqua" w:eastAsia="Book Antiqua" w:hAnsi="Book Antiqua" w:cs="Book Antiqua"/>
          <w:color w:val="000000"/>
        </w:rPr>
        <w:t xml:space="preserve">, Pernot S, Tougeron D, Arbaud C, Bidault AT, de la Fouchardière C, Hammel P, Lecomte T, Dréanic J, Coriat R, Bachet JB, Dubreuil O, Marthey L, Dahan L, Tchoundjeu B, Locher C, Lepère C, Bonnetain F, Taieb J. Nab-paclitaxel plus gemcitabine for metastatic pancreatic adenocarcinoma after Folfirinox failure: an AGEO prospective multicentre cohort. </w:t>
      </w:r>
      <w:r w:rsidRPr="00E940C3">
        <w:rPr>
          <w:rFonts w:ascii="Book Antiqua" w:eastAsia="Book Antiqua" w:hAnsi="Book Antiqua" w:cs="Book Antiqua"/>
          <w:i/>
          <w:iCs/>
          <w:color w:val="000000"/>
        </w:rPr>
        <w:t>Br J Cancer</w:t>
      </w:r>
      <w:r w:rsidRPr="00E940C3">
        <w:rPr>
          <w:rFonts w:ascii="Book Antiqua" w:eastAsia="Book Antiqua" w:hAnsi="Book Antiqua" w:cs="Book Antiqua"/>
          <w:color w:val="000000"/>
        </w:rPr>
        <w:t xml:space="preserve"> 2015; </w:t>
      </w:r>
      <w:r w:rsidRPr="00E940C3">
        <w:rPr>
          <w:rFonts w:ascii="Book Antiqua" w:eastAsia="Book Antiqua" w:hAnsi="Book Antiqua" w:cs="Book Antiqua"/>
          <w:b/>
          <w:bCs/>
          <w:color w:val="000000"/>
        </w:rPr>
        <w:t>113</w:t>
      </w:r>
      <w:r w:rsidRPr="00E940C3">
        <w:rPr>
          <w:rFonts w:ascii="Book Antiqua" w:eastAsia="Book Antiqua" w:hAnsi="Book Antiqua" w:cs="Book Antiqua"/>
          <w:color w:val="000000"/>
        </w:rPr>
        <w:t xml:space="preserve">: 989-995 [PMID: 26372701 </w:t>
      </w:r>
      <w:r w:rsidR="00716AE3" w:rsidRPr="00E940C3">
        <w:rPr>
          <w:rFonts w:ascii="Book Antiqua" w:eastAsia="Book Antiqua" w:hAnsi="Book Antiqua" w:cs="Book Antiqua"/>
          <w:color w:val="000000"/>
        </w:rPr>
        <w:t>DOI: 10.1038/bjc.2015.328</w:t>
      </w:r>
      <w:r w:rsidRPr="00E940C3">
        <w:rPr>
          <w:rFonts w:ascii="Book Antiqua" w:eastAsia="Book Antiqua" w:hAnsi="Book Antiqua" w:cs="Book Antiqua"/>
          <w:color w:val="000000"/>
        </w:rPr>
        <w:t>]</w:t>
      </w:r>
    </w:p>
    <w:p w14:paraId="3E9BF8CC"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37 </w:t>
      </w:r>
      <w:r w:rsidRPr="00E940C3">
        <w:rPr>
          <w:rFonts w:ascii="Book Antiqua" w:eastAsia="Book Antiqua" w:hAnsi="Book Antiqua" w:cs="Book Antiqua"/>
          <w:b/>
          <w:bCs/>
          <w:color w:val="000000"/>
        </w:rPr>
        <w:t>Mita N</w:t>
      </w:r>
      <w:r w:rsidRPr="00E940C3">
        <w:rPr>
          <w:rFonts w:ascii="Book Antiqua" w:eastAsia="Book Antiqua" w:hAnsi="Book Antiqua" w:cs="Book Antiqua"/>
          <w:color w:val="000000"/>
        </w:rPr>
        <w:t xml:space="preserve">, Iwashita T, Uemura S, Yoshida K, Iwasa Y, Ando N, Iwata K, Okuno M, Mukai T, Shimizu M. Second-Line Gemcitabine Plus Nab-Paclitaxel for Patients with Unresectable Advanced Pancreatic Cancer after First-Line FOLFIRINOX Failure. </w:t>
      </w:r>
      <w:r w:rsidRPr="00E940C3">
        <w:rPr>
          <w:rFonts w:ascii="Book Antiqua" w:eastAsia="Book Antiqua" w:hAnsi="Book Antiqua" w:cs="Book Antiqua"/>
          <w:i/>
          <w:iCs/>
          <w:color w:val="000000"/>
        </w:rPr>
        <w:t>J Clin Med</w:t>
      </w:r>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8</w:t>
      </w:r>
      <w:r w:rsidRPr="00E940C3">
        <w:rPr>
          <w:rFonts w:ascii="Book Antiqua" w:eastAsia="Book Antiqua" w:hAnsi="Book Antiqua" w:cs="Book Antiqua"/>
          <w:color w:val="000000"/>
        </w:rPr>
        <w:t xml:space="preserve"> [PMID: 31146420 DOI: 10.3390/jcm8060761]</w:t>
      </w:r>
    </w:p>
    <w:p w14:paraId="00A47784"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38 </w:t>
      </w:r>
      <w:r w:rsidRPr="00E940C3">
        <w:rPr>
          <w:rFonts w:ascii="Book Antiqua" w:eastAsia="Book Antiqua" w:hAnsi="Book Antiqua" w:cs="Book Antiqua"/>
          <w:b/>
          <w:bCs/>
          <w:color w:val="000000"/>
        </w:rPr>
        <w:t>Tsang ES</w:t>
      </w:r>
      <w:r w:rsidRPr="00E940C3">
        <w:rPr>
          <w:rFonts w:ascii="Book Antiqua" w:eastAsia="Book Antiqua" w:hAnsi="Book Antiqua" w:cs="Book Antiqua"/>
          <w:color w:val="000000"/>
        </w:rPr>
        <w:t xml:space="preserve">, Spratlin J, Cheung WY, Kim CA, Kong S, Xu Y, Gill S. Real-world Outcomes Among Patients Treated With Gemcitabine-based Therapy Post-FOLFIRINOX Failure in Advanced Pancreatic Cancer. </w:t>
      </w:r>
      <w:r w:rsidRPr="00E940C3">
        <w:rPr>
          <w:rFonts w:ascii="Book Antiqua" w:eastAsia="Book Antiqua" w:hAnsi="Book Antiqua" w:cs="Book Antiqua"/>
          <w:i/>
          <w:iCs/>
          <w:color w:val="000000"/>
        </w:rPr>
        <w:t>Am J Clin Oncol</w:t>
      </w:r>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42</w:t>
      </w:r>
      <w:r w:rsidRPr="00E940C3">
        <w:rPr>
          <w:rFonts w:ascii="Book Antiqua" w:eastAsia="Book Antiqua" w:hAnsi="Book Antiqua" w:cs="Book Antiqua"/>
          <w:color w:val="000000"/>
        </w:rPr>
        <w:t>: 903-908 [PMID: 31693510 DOI: 10.1097/COC.0000000000000625]</w:t>
      </w:r>
    </w:p>
    <w:p w14:paraId="4089A86B"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lastRenderedPageBreak/>
        <w:t xml:space="preserve">39 </w:t>
      </w:r>
      <w:r w:rsidRPr="00E940C3">
        <w:rPr>
          <w:rFonts w:ascii="Book Antiqua" w:eastAsia="Book Antiqua" w:hAnsi="Book Antiqua" w:cs="Book Antiqua"/>
          <w:b/>
          <w:bCs/>
          <w:color w:val="000000"/>
        </w:rPr>
        <w:t>Zhang H</w:t>
      </w:r>
      <w:r w:rsidRPr="00E940C3">
        <w:rPr>
          <w:rFonts w:ascii="Book Antiqua" w:eastAsia="Book Antiqua" w:hAnsi="Book Antiqua" w:cs="Book Antiqua"/>
          <w:color w:val="000000"/>
        </w:rPr>
        <w:t xml:space="preserve">, Kellett C, Lambert P, Kim CA. Efficacy and Tolerability of Second-line Nab-paclitaxel and Gemcitabine After Failure of First-line FOLFIRINOX for Advanced Pancreas Cancer: A Single-institution Experience. </w:t>
      </w:r>
      <w:r w:rsidRPr="00E940C3">
        <w:rPr>
          <w:rFonts w:ascii="Book Antiqua" w:eastAsia="Book Antiqua" w:hAnsi="Book Antiqua" w:cs="Book Antiqua"/>
          <w:i/>
          <w:iCs/>
          <w:color w:val="000000"/>
        </w:rPr>
        <w:t>Clin Colorectal Cancer</w:t>
      </w:r>
      <w:r w:rsidRPr="00E940C3">
        <w:rPr>
          <w:rFonts w:ascii="Book Antiqua" w:eastAsia="Book Antiqua" w:hAnsi="Book Antiqua" w:cs="Book Antiqua"/>
          <w:color w:val="000000"/>
        </w:rPr>
        <w:t xml:space="preserve"> 2018; </w:t>
      </w:r>
      <w:r w:rsidRPr="00E940C3">
        <w:rPr>
          <w:rFonts w:ascii="Book Antiqua" w:eastAsia="Book Antiqua" w:hAnsi="Book Antiqua" w:cs="Book Antiqua"/>
          <w:b/>
          <w:bCs/>
          <w:color w:val="000000"/>
        </w:rPr>
        <w:t>17</w:t>
      </w:r>
      <w:r w:rsidRPr="00E940C3">
        <w:rPr>
          <w:rFonts w:ascii="Book Antiqua" w:eastAsia="Book Antiqua" w:hAnsi="Book Antiqua" w:cs="Book Antiqua"/>
          <w:color w:val="000000"/>
        </w:rPr>
        <w:t>: e451-e456 [PMID: 29631907 DOI: 10.1016/j.clcc.2018.03.003]</w:t>
      </w:r>
    </w:p>
    <w:p w14:paraId="7C0EE3D1"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40 </w:t>
      </w:r>
      <w:r w:rsidRPr="00E940C3">
        <w:rPr>
          <w:rFonts w:ascii="Book Antiqua" w:eastAsia="Book Antiqua" w:hAnsi="Book Antiqua" w:cs="Book Antiqua"/>
          <w:b/>
          <w:bCs/>
          <w:color w:val="000000"/>
        </w:rPr>
        <w:t>Nguyen KT</w:t>
      </w:r>
      <w:r w:rsidRPr="00E940C3">
        <w:rPr>
          <w:rFonts w:ascii="Book Antiqua" w:eastAsia="Book Antiqua" w:hAnsi="Book Antiqua" w:cs="Book Antiqua"/>
          <w:color w:val="000000"/>
        </w:rPr>
        <w:t xml:space="preserve">, Kalyan A, Beasley HS, Singhi AD, Sun W, Zeh HJ, Normolle D, Bahary N. Gemcitabine/nab-paclitaxel as second-line therapy following FOLFIRINOX in metastatic/advanced pancreatic cancer-retrospective analysis of response. </w:t>
      </w:r>
      <w:r w:rsidRPr="00E940C3">
        <w:rPr>
          <w:rFonts w:ascii="Book Antiqua" w:eastAsia="Book Antiqua" w:hAnsi="Book Antiqua" w:cs="Book Antiqua"/>
          <w:i/>
          <w:iCs/>
          <w:color w:val="000000"/>
        </w:rPr>
        <w:t>J Gastrointest Oncol</w:t>
      </w:r>
      <w:r w:rsidRPr="00E940C3">
        <w:rPr>
          <w:rFonts w:ascii="Book Antiqua" w:eastAsia="Book Antiqua" w:hAnsi="Book Antiqua" w:cs="Book Antiqua"/>
          <w:color w:val="000000"/>
        </w:rPr>
        <w:t xml:space="preserve"> 2017; </w:t>
      </w:r>
      <w:r w:rsidRPr="00E940C3">
        <w:rPr>
          <w:rFonts w:ascii="Book Antiqua" w:eastAsia="Book Antiqua" w:hAnsi="Book Antiqua" w:cs="Book Antiqua"/>
          <w:b/>
          <w:bCs/>
          <w:color w:val="000000"/>
        </w:rPr>
        <w:t>8</w:t>
      </w:r>
      <w:r w:rsidRPr="00E940C3">
        <w:rPr>
          <w:rFonts w:ascii="Book Antiqua" w:eastAsia="Book Antiqua" w:hAnsi="Book Antiqua" w:cs="Book Antiqua"/>
          <w:color w:val="000000"/>
        </w:rPr>
        <w:t>: 556-565 [PMID: 28736642 DOI: 10.21037/jgo.2017.01.23]</w:t>
      </w:r>
    </w:p>
    <w:p w14:paraId="6246B126"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41 </w:t>
      </w:r>
      <w:r w:rsidRPr="00E940C3">
        <w:rPr>
          <w:rFonts w:ascii="Book Antiqua" w:eastAsia="Book Antiqua" w:hAnsi="Book Antiqua" w:cs="Book Antiqua"/>
          <w:b/>
          <w:bCs/>
          <w:color w:val="000000"/>
        </w:rPr>
        <w:t>Bertocchi P</w:t>
      </w:r>
      <w:r w:rsidRPr="00E940C3">
        <w:rPr>
          <w:rFonts w:ascii="Book Antiqua" w:eastAsia="Book Antiqua" w:hAnsi="Book Antiqua" w:cs="Book Antiqua"/>
          <w:color w:val="000000"/>
        </w:rPr>
        <w:t xml:space="preserve">, Abeni C, Meriggi F, Rota L, Rizzi A, Di Biasi B, Aroldi F, Ogliosi C, Savelli G, Rosso E, Zaniboni A. Gemcitabine Plus Nab-Paclitaxel as Second-Line and Beyond Treatment for Metastatic Pancreatic Cancer: a Single Institution Retrospective Analysis. </w:t>
      </w:r>
      <w:r w:rsidRPr="00E940C3">
        <w:rPr>
          <w:rFonts w:ascii="Book Antiqua" w:eastAsia="Book Antiqua" w:hAnsi="Book Antiqua" w:cs="Book Antiqua"/>
          <w:i/>
          <w:iCs/>
          <w:color w:val="000000"/>
        </w:rPr>
        <w:t>Rev Recent Clin Trials</w:t>
      </w:r>
      <w:r w:rsidRPr="00E940C3">
        <w:rPr>
          <w:rFonts w:ascii="Book Antiqua" w:eastAsia="Book Antiqua" w:hAnsi="Book Antiqua" w:cs="Book Antiqua"/>
          <w:color w:val="000000"/>
        </w:rPr>
        <w:t xml:space="preserve"> 2015; </w:t>
      </w:r>
      <w:r w:rsidRPr="00E940C3">
        <w:rPr>
          <w:rFonts w:ascii="Book Antiqua" w:eastAsia="Book Antiqua" w:hAnsi="Book Antiqua" w:cs="Book Antiqua"/>
          <w:b/>
          <w:bCs/>
          <w:color w:val="000000"/>
        </w:rPr>
        <w:t>10</w:t>
      </w:r>
      <w:r w:rsidRPr="00E940C3">
        <w:rPr>
          <w:rFonts w:ascii="Book Antiqua" w:eastAsia="Book Antiqua" w:hAnsi="Book Antiqua" w:cs="Book Antiqua"/>
          <w:color w:val="000000"/>
        </w:rPr>
        <w:t>: 142-145 [PMID: 25881637 DOI: 10.2174/1574887110666150417115303]</w:t>
      </w:r>
    </w:p>
    <w:p w14:paraId="4D06F21E"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42 </w:t>
      </w:r>
      <w:r w:rsidRPr="00E940C3">
        <w:rPr>
          <w:rFonts w:ascii="Book Antiqua" w:eastAsia="Book Antiqua" w:hAnsi="Book Antiqua" w:cs="Book Antiqua"/>
          <w:b/>
          <w:bCs/>
          <w:color w:val="000000"/>
        </w:rPr>
        <w:t>Zhang Y</w:t>
      </w:r>
      <w:r w:rsidRPr="00E940C3">
        <w:rPr>
          <w:rFonts w:ascii="Book Antiqua" w:eastAsia="Book Antiqua" w:hAnsi="Book Antiqua" w:cs="Book Antiqua"/>
          <w:color w:val="000000"/>
        </w:rPr>
        <w:t xml:space="preserve">, Hochster H, Stein S, Lacy J. Gemcitabine plus nab-paclitaxel for advanced pancreatic cancer after first-line FOLFIRINOX: single institution retrospective review of efficacy and toxicity. </w:t>
      </w:r>
      <w:r w:rsidRPr="00E940C3">
        <w:rPr>
          <w:rFonts w:ascii="Book Antiqua" w:eastAsia="Book Antiqua" w:hAnsi="Book Antiqua" w:cs="Book Antiqua"/>
          <w:i/>
          <w:iCs/>
          <w:color w:val="000000"/>
        </w:rPr>
        <w:t>Exp Hematol Oncol</w:t>
      </w:r>
      <w:r w:rsidRPr="00E940C3">
        <w:rPr>
          <w:rFonts w:ascii="Book Antiqua" w:eastAsia="Book Antiqua" w:hAnsi="Book Antiqua" w:cs="Book Antiqua"/>
          <w:color w:val="000000"/>
        </w:rPr>
        <w:t xml:space="preserve"> 2015; </w:t>
      </w:r>
      <w:r w:rsidRPr="00E940C3">
        <w:rPr>
          <w:rFonts w:ascii="Book Antiqua" w:eastAsia="Book Antiqua" w:hAnsi="Book Antiqua" w:cs="Book Antiqua"/>
          <w:b/>
          <w:bCs/>
          <w:color w:val="000000"/>
        </w:rPr>
        <w:t>4</w:t>
      </w:r>
      <w:r w:rsidRPr="00E940C3">
        <w:rPr>
          <w:rFonts w:ascii="Book Antiqua" w:eastAsia="Book Antiqua" w:hAnsi="Book Antiqua" w:cs="Book Antiqua"/>
          <w:color w:val="000000"/>
        </w:rPr>
        <w:t>: 29 [PMID: 26451276 DOI: 10.1186/s40164-015-0025-y]</w:t>
      </w:r>
    </w:p>
    <w:p w14:paraId="1E8357A5"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43 </w:t>
      </w:r>
      <w:r w:rsidRPr="00E940C3">
        <w:rPr>
          <w:rFonts w:ascii="Book Antiqua" w:eastAsia="Book Antiqua" w:hAnsi="Book Antiqua" w:cs="Book Antiqua"/>
          <w:b/>
          <w:bCs/>
          <w:color w:val="000000"/>
        </w:rPr>
        <w:t>El Rassy E</w:t>
      </w:r>
      <w:r w:rsidRPr="00E940C3">
        <w:rPr>
          <w:rFonts w:ascii="Book Antiqua" w:eastAsia="Book Antiqua" w:hAnsi="Book Antiqua" w:cs="Book Antiqua"/>
          <w:color w:val="000000"/>
        </w:rPr>
        <w:t xml:space="preserve">, Assi T, El Karak F, Ghosn M, Kattan J. Could the combination of Nab-paclitaxel plus gemcitabine salvage metastatic pancreatic adenocarcinoma after folfirinox failure? A single institutional retrospective analysis. </w:t>
      </w:r>
      <w:r w:rsidRPr="00E940C3">
        <w:rPr>
          <w:rFonts w:ascii="Book Antiqua" w:eastAsia="Book Antiqua" w:hAnsi="Book Antiqua" w:cs="Book Antiqua"/>
          <w:i/>
          <w:iCs/>
          <w:color w:val="000000"/>
        </w:rPr>
        <w:t>Clin Res Hepatol Gastroenterol</w:t>
      </w:r>
      <w:r w:rsidRPr="00E940C3">
        <w:rPr>
          <w:rFonts w:ascii="Book Antiqua" w:eastAsia="Book Antiqua" w:hAnsi="Book Antiqua" w:cs="Book Antiqua"/>
          <w:color w:val="000000"/>
        </w:rPr>
        <w:t xml:space="preserve"> 2017; </w:t>
      </w:r>
      <w:r w:rsidRPr="00E940C3">
        <w:rPr>
          <w:rFonts w:ascii="Book Antiqua" w:eastAsia="Book Antiqua" w:hAnsi="Book Antiqua" w:cs="Book Antiqua"/>
          <w:b/>
          <w:bCs/>
          <w:color w:val="000000"/>
        </w:rPr>
        <w:t>41</w:t>
      </w:r>
      <w:r w:rsidRPr="00E940C3">
        <w:rPr>
          <w:rFonts w:ascii="Book Antiqua" w:eastAsia="Book Antiqua" w:hAnsi="Book Antiqua" w:cs="Book Antiqua"/>
          <w:color w:val="000000"/>
        </w:rPr>
        <w:t>: e26-e28 [PMID: 28215539 DOI: 10.1016/j.clinre.2016.11.012]</w:t>
      </w:r>
    </w:p>
    <w:p w14:paraId="2FC61A40"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44 </w:t>
      </w:r>
      <w:r w:rsidRPr="00E940C3">
        <w:rPr>
          <w:rFonts w:ascii="Book Antiqua" w:eastAsia="Book Antiqua" w:hAnsi="Book Antiqua" w:cs="Book Antiqua"/>
          <w:b/>
          <w:bCs/>
          <w:color w:val="000000"/>
        </w:rPr>
        <w:t>Caparello C</w:t>
      </w:r>
      <w:r w:rsidRPr="00E940C3">
        <w:rPr>
          <w:rFonts w:ascii="Book Antiqua" w:eastAsia="Book Antiqua" w:hAnsi="Book Antiqua" w:cs="Book Antiqua"/>
          <w:color w:val="000000"/>
        </w:rPr>
        <w:t xml:space="preserve">, Vivaldi C, Fornaro L, Musettini G, Pasquini G, Catanese S, Masi G, Lencioni M, Falcone A, Vasile E. Second-line therapy for advanced pancreatic cancer: evaluation of prognostic factors and review of current literature. </w:t>
      </w:r>
      <w:r w:rsidRPr="00E940C3">
        <w:rPr>
          <w:rFonts w:ascii="Book Antiqua" w:eastAsia="Book Antiqua" w:hAnsi="Book Antiqua" w:cs="Book Antiqua"/>
          <w:i/>
          <w:iCs/>
          <w:color w:val="000000"/>
        </w:rPr>
        <w:t>Future Oncol</w:t>
      </w:r>
      <w:r w:rsidRPr="00E940C3">
        <w:rPr>
          <w:rFonts w:ascii="Book Antiqua" w:eastAsia="Book Antiqua" w:hAnsi="Book Antiqua" w:cs="Book Antiqua"/>
          <w:color w:val="000000"/>
        </w:rPr>
        <w:t xml:space="preserve"> 2016; </w:t>
      </w:r>
      <w:r w:rsidRPr="00E940C3">
        <w:rPr>
          <w:rFonts w:ascii="Book Antiqua" w:eastAsia="Book Antiqua" w:hAnsi="Book Antiqua" w:cs="Book Antiqua"/>
          <w:b/>
          <w:bCs/>
          <w:color w:val="000000"/>
        </w:rPr>
        <w:t>12</w:t>
      </w:r>
      <w:r w:rsidRPr="00E940C3">
        <w:rPr>
          <w:rFonts w:ascii="Book Antiqua" w:eastAsia="Book Antiqua" w:hAnsi="Book Antiqua" w:cs="Book Antiqua"/>
          <w:color w:val="000000"/>
        </w:rPr>
        <w:t>: 901-908 [PMID: 26883177 DOI: 10.2217/fon.16.16]</w:t>
      </w:r>
    </w:p>
    <w:p w14:paraId="5DE9E3C3"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45 </w:t>
      </w:r>
      <w:r w:rsidRPr="00E940C3">
        <w:rPr>
          <w:rFonts w:ascii="Book Antiqua" w:eastAsia="Book Antiqua" w:hAnsi="Book Antiqua" w:cs="Book Antiqua"/>
          <w:b/>
          <w:bCs/>
          <w:color w:val="000000"/>
        </w:rPr>
        <w:t>de Jesus VHF</w:t>
      </w:r>
      <w:r w:rsidRPr="00E940C3">
        <w:rPr>
          <w:rFonts w:ascii="Book Antiqua" w:eastAsia="Book Antiqua" w:hAnsi="Book Antiqua" w:cs="Book Antiqua"/>
          <w:color w:val="000000"/>
        </w:rPr>
        <w:t xml:space="preserve">, Camandaroba MPG, Calsavara VF, Riechelmann RP. Systematic review and meta-analysis of gemcitabine-based chemotherapy after FOLFIRINOX in advanced pancreatic cancer. </w:t>
      </w:r>
      <w:r w:rsidRPr="00E940C3">
        <w:rPr>
          <w:rFonts w:ascii="Book Antiqua" w:eastAsia="Book Antiqua" w:hAnsi="Book Antiqua" w:cs="Book Antiqua"/>
          <w:i/>
          <w:iCs/>
          <w:color w:val="000000"/>
        </w:rPr>
        <w:t>Ther Adv Med Oncol</w:t>
      </w:r>
      <w:r w:rsidRPr="00E940C3">
        <w:rPr>
          <w:rFonts w:ascii="Book Antiqua" w:eastAsia="Book Antiqua" w:hAnsi="Book Antiqua" w:cs="Book Antiqua"/>
          <w:color w:val="000000"/>
        </w:rPr>
        <w:t xml:space="preserve"> 2020; </w:t>
      </w:r>
      <w:r w:rsidRPr="00E940C3">
        <w:rPr>
          <w:rFonts w:ascii="Book Antiqua" w:eastAsia="Book Antiqua" w:hAnsi="Book Antiqua" w:cs="Book Antiqua"/>
          <w:b/>
          <w:bCs/>
          <w:color w:val="000000"/>
        </w:rPr>
        <w:t>12</w:t>
      </w:r>
      <w:r w:rsidRPr="00E940C3">
        <w:rPr>
          <w:rFonts w:ascii="Book Antiqua" w:eastAsia="Book Antiqua" w:hAnsi="Book Antiqua" w:cs="Book Antiqua"/>
          <w:color w:val="000000"/>
        </w:rPr>
        <w:t>: 1758835920905408 [PMID: 32165927 DOI: 10.1177/1758835920905408]</w:t>
      </w:r>
    </w:p>
    <w:p w14:paraId="70D399DC"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lastRenderedPageBreak/>
        <w:t xml:space="preserve">46 </w:t>
      </w:r>
      <w:r w:rsidRPr="00E940C3">
        <w:rPr>
          <w:rFonts w:ascii="Book Antiqua" w:eastAsia="Book Antiqua" w:hAnsi="Book Antiqua" w:cs="Book Antiqua"/>
          <w:b/>
          <w:bCs/>
          <w:color w:val="000000"/>
        </w:rPr>
        <w:t>Sawada M</w:t>
      </w:r>
      <w:r w:rsidRPr="00E940C3">
        <w:rPr>
          <w:rFonts w:ascii="Book Antiqua" w:eastAsia="Book Antiqua" w:hAnsi="Book Antiqua" w:cs="Book Antiqua"/>
          <w:color w:val="000000"/>
        </w:rPr>
        <w:t xml:space="preserve">, Kasuga A, Mie T, Furukawa T, Taniguchi T, Fukuda K, Yamada Y, Takeda T, Kanata R, Matsuyama M, Sasaki T, Ozaka M, Sasahira N. Modified FOLFIRINOX as a second-line therapy following gemcitabine plus nab-paclitaxel therapy in metastatic pancreatic cancer. </w:t>
      </w:r>
      <w:r w:rsidRPr="00E940C3">
        <w:rPr>
          <w:rFonts w:ascii="Book Antiqua" w:eastAsia="Book Antiqua" w:hAnsi="Book Antiqua" w:cs="Book Antiqua"/>
          <w:i/>
          <w:iCs/>
          <w:color w:val="000000"/>
        </w:rPr>
        <w:t>BMC Cancer</w:t>
      </w:r>
      <w:r w:rsidRPr="00E940C3">
        <w:rPr>
          <w:rFonts w:ascii="Book Antiqua" w:eastAsia="Book Antiqua" w:hAnsi="Book Antiqua" w:cs="Book Antiqua"/>
          <w:color w:val="000000"/>
        </w:rPr>
        <w:t xml:space="preserve"> 2020; </w:t>
      </w:r>
      <w:r w:rsidRPr="00E940C3">
        <w:rPr>
          <w:rFonts w:ascii="Book Antiqua" w:eastAsia="Book Antiqua" w:hAnsi="Book Antiqua" w:cs="Book Antiqua"/>
          <w:b/>
          <w:bCs/>
          <w:color w:val="000000"/>
        </w:rPr>
        <w:t>20</w:t>
      </w:r>
      <w:r w:rsidRPr="00E940C3">
        <w:rPr>
          <w:rFonts w:ascii="Book Antiqua" w:eastAsia="Book Antiqua" w:hAnsi="Book Antiqua" w:cs="Book Antiqua"/>
          <w:color w:val="000000"/>
        </w:rPr>
        <w:t>: 449 [PMID: 32434547 DOI: 10.1186/s12885-020-06945-8]</w:t>
      </w:r>
    </w:p>
    <w:p w14:paraId="00C28DF4"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47 </w:t>
      </w:r>
      <w:r w:rsidRPr="00E940C3">
        <w:rPr>
          <w:rFonts w:ascii="Book Antiqua" w:eastAsia="Book Antiqua" w:hAnsi="Book Antiqua" w:cs="Book Antiqua"/>
          <w:b/>
          <w:bCs/>
          <w:color w:val="000000"/>
        </w:rPr>
        <w:t>Matsumoto T</w:t>
      </w:r>
      <w:r w:rsidRPr="00E940C3">
        <w:rPr>
          <w:rFonts w:ascii="Book Antiqua" w:eastAsia="Book Antiqua" w:hAnsi="Book Antiqua" w:cs="Book Antiqua"/>
          <w:color w:val="000000"/>
        </w:rPr>
        <w:t xml:space="preserve">, Kurioka Y, Okazaki U, Matsuo Y, Kimura S, Miura K, Tsuduki T, Takagi S, Takatani M, Morishita H. FOLFIRINOX for Advanced Pancreatic Cancer Patients After Nab-Paclitaxel Plus Gemcitabine Failure. </w:t>
      </w:r>
      <w:r w:rsidRPr="00E940C3">
        <w:rPr>
          <w:rFonts w:ascii="Book Antiqua" w:eastAsia="Book Antiqua" w:hAnsi="Book Antiqua" w:cs="Book Antiqua"/>
          <w:i/>
          <w:iCs/>
          <w:color w:val="000000"/>
        </w:rPr>
        <w:t>Pancreas</w:t>
      </w:r>
      <w:r w:rsidRPr="00E940C3">
        <w:rPr>
          <w:rFonts w:ascii="Book Antiqua" w:eastAsia="Book Antiqua" w:hAnsi="Book Antiqua" w:cs="Book Antiqua"/>
          <w:color w:val="000000"/>
        </w:rPr>
        <w:t xml:space="preserve"> 2020; </w:t>
      </w:r>
      <w:r w:rsidRPr="00E940C3">
        <w:rPr>
          <w:rFonts w:ascii="Book Antiqua" w:eastAsia="Book Antiqua" w:hAnsi="Book Antiqua" w:cs="Book Antiqua"/>
          <w:b/>
          <w:bCs/>
          <w:color w:val="000000"/>
        </w:rPr>
        <w:t>49</w:t>
      </w:r>
      <w:r w:rsidRPr="00E940C3">
        <w:rPr>
          <w:rFonts w:ascii="Book Antiqua" w:eastAsia="Book Antiqua" w:hAnsi="Book Antiqua" w:cs="Book Antiqua"/>
          <w:color w:val="000000"/>
        </w:rPr>
        <w:t>: 574-578 [PMID: 32282772 DOI: 10.1097/MPA.0000000000001534]</w:t>
      </w:r>
    </w:p>
    <w:p w14:paraId="42CC7506"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 xml:space="preserve">48 </w:t>
      </w:r>
      <w:r w:rsidRPr="00E940C3">
        <w:rPr>
          <w:rFonts w:ascii="Book Antiqua" w:eastAsia="Book Antiqua" w:hAnsi="Book Antiqua" w:cs="Book Antiqua"/>
          <w:b/>
          <w:bCs/>
          <w:color w:val="000000"/>
        </w:rPr>
        <w:t>Kobayashi N</w:t>
      </w:r>
      <w:r w:rsidRPr="00E940C3">
        <w:rPr>
          <w:rFonts w:ascii="Book Antiqua" w:eastAsia="Book Antiqua" w:hAnsi="Book Antiqua" w:cs="Book Antiqua"/>
          <w:color w:val="000000"/>
        </w:rPr>
        <w:t xml:space="preserve">, Shimamura T, Tokuhisa M, Goto A, Endo I, Ichikawa Y. Effect of FOLFIRINOX as second-line chemotherapy for metastatic pancreatic cancer after gemcitabine-based chemotherapy failure. </w:t>
      </w:r>
      <w:r w:rsidRPr="00E940C3">
        <w:rPr>
          <w:rFonts w:ascii="Book Antiqua" w:eastAsia="Book Antiqua" w:hAnsi="Book Antiqua" w:cs="Book Antiqua"/>
          <w:i/>
          <w:iCs/>
          <w:color w:val="000000"/>
        </w:rPr>
        <w:t>Medicine (Baltimore)</w:t>
      </w:r>
      <w:r w:rsidRPr="00E940C3">
        <w:rPr>
          <w:rFonts w:ascii="Book Antiqua" w:eastAsia="Book Antiqua" w:hAnsi="Book Antiqua" w:cs="Book Antiqua"/>
          <w:color w:val="000000"/>
        </w:rPr>
        <w:t xml:space="preserve"> 2017; </w:t>
      </w:r>
      <w:r w:rsidRPr="00E940C3">
        <w:rPr>
          <w:rFonts w:ascii="Book Antiqua" w:eastAsia="Book Antiqua" w:hAnsi="Book Antiqua" w:cs="Book Antiqua"/>
          <w:b/>
          <w:bCs/>
          <w:color w:val="000000"/>
        </w:rPr>
        <w:t>96</w:t>
      </w:r>
      <w:r w:rsidRPr="00E940C3">
        <w:rPr>
          <w:rFonts w:ascii="Book Antiqua" w:eastAsia="Book Antiqua" w:hAnsi="Book Antiqua" w:cs="Book Antiqua"/>
          <w:color w:val="000000"/>
        </w:rPr>
        <w:t>: e6769 [PMID: 28489753 DOI: 10.1097/MD.0000000000006769]</w:t>
      </w:r>
    </w:p>
    <w:p w14:paraId="38B2478A"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49</w:t>
      </w:r>
      <w:r w:rsidR="00C42B56" w:rsidRPr="00E940C3">
        <w:rPr>
          <w:rFonts w:ascii="Book Antiqua" w:hAnsi="Book Antiqua"/>
          <w:lang w:eastAsia="zh-CN"/>
        </w:rPr>
        <w:t xml:space="preserve"> </w:t>
      </w:r>
      <w:r w:rsidRPr="00E940C3">
        <w:rPr>
          <w:rFonts w:ascii="Book Antiqua" w:eastAsia="Book Antiqua" w:hAnsi="Book Antiqua" w:cs="Book Antiqua"/>
          <w:b/>
          <w:bCs/>
          <w:color w:val="000000"/>
        </w:rPr>
        <w:t>Chung MJ</w:t>
      </w:r>
      <w:r w:rsidRPr="00E940C3">
        <w:rPr>
          <w:rFonts w:ascii="Book Antiqua" w:eastAsia="Book Antiqua" w:hAnsi="Book Antiqua" w:cs="Book Antiqua"/>
          <w:color w:val="000000"/>
        </w:rPr>
        <w:t xml:space="preserve">, Kang H, Kim HG, Hyun JJ, Lee JK, Lee KH, Noh MH, Kang DH, Lee SH, Bang S; Pancreatobiliary Cancer Study Group of Korean Society of Gastrointestinal Cancer. Multicenter phase II trial of modified FOLFIRINOX in gemcitabine-refractory pancreatic cancer. </w:t>
      </w:r>
      <w:r w:rsidRPr="00E940C3">
        <w:rPr>
          <w:rFonts w:ascii="Book Antiqua" w:eastAsia="Book Antiqua" w:hAnsi="Book Antiqua" w:cs="Book Antiqua"/>
          <w:i/>
          <w:iCs/>
          <w:color w:val="000000"/>
        </w:rPr>
        <w:t>World J Gastrointest Oncol</w:t>
      </w:r>
      <w:r w:rsidRPr="00E940C3">
        <w:rPr>
          <w:rFonts w:ascii="Book Antiqua" w:eastAsia="Book Antiqua" w:hAnsi="Book Antiqua" w:cs="Book Antiqua"/>
          <w:color w:val="000000"/>
        </w:rPr>
        <w:t xml:space="preserve"> 2018; </w:t>
      </w:r>
      <w:r w:rsidRPr="00E940C3">
        <w:rPr>
          <w:rFonts w:ascii="Book Antiqua" w:eastAsia="Book Antiqua" w:hAnsi="Book Antiqua" w:cs="Book Antiqua"/>
          <w:b/>
          <w:bCs/>
          <w:color w:val="000000"/>
        </w:rPr>
        <w:t>10</w:t>
      </w:r>
      <w:r w:rsidRPr="00E940C3">
        <w:rPr>
          <w:rFonts w:ascii="Book Antiqua" w:eastAsia="Book Antiqua" w:hAnsi="Book Antiqua" w:cs="Book Antiqua"/>
          <w:color w:val="000000"/>
        </w:rPr>
        <w:t>: 505-515 [PMID: 30595804 DOI: 10.4251/wjgo.v10.i12.505]</w:t>
      </w:r>
    </w:p>
    <w:p w14:paraId="2A6F4EB4"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5</w:t>
      </w:r>
      <w:r w:rsidR="00C42B56" w:rsidRPr="00E940C3">
        <w:rPr>
          <w:rFonts w:ascii="Book Antiqua" w:eastAsia="Book Antiqua" w:hAnsi="Book Antiqua" w:cs="Book Antiqua"/>
          <w:color w:val="000000"/>
        </w:rPr>
        <w:t>0</w:t>
      </w:r>
      <w:r w:rsidRPr="00E940C3">
        <w:rPr>
          <w:rFonts w:ascii="Book Antiqua" w:eastAsia="Book Antiqua" w:hAnsi="Book Antiqua" w:cs="Book Antiqua"/>
          <w:color w:val="000000"/>
        </w:rPr>
        <w:t xml:space="preserve"> </w:t>
      </w:r>
      <w:r w:rsidRPr="00E940C3">
        <w:rPr>
          <w:rFonts w:ascii="Book Antiqua" w:eastAsia="Book Antiqua" w:hAnsi="Book Antiqua" w:cs="Book Antiqua"/>
          <w:b/>
          <w:bCs/>
          <w:color w:val="000000"/>
        </w:rPr>
        <w:t>Assaf E</w:t>
      </w:r>
      <w:r w:rsidRPr="00E940C3">
        <w:rPr>
          <w:rFonts w:ascii="Book Antiqua" w:eastAsia="Book Antiqua" w:hAnsi="Book Antiqua" w:cs="Book Antiqua"/>
          <w:color w:val="000000"/>
        </w:rPr>
        <w:t>, Verlinde-Carvalho M, Delbaldo C, Grenier J, Sellam Z, Pouessel D, Bouaita L, Baumgaertner I, Sobhani I, Tayar C, Paul M, Culine S. 5-fluorouracil/</w:t>
      </w:r>
      <w:r w:rsidR="001E46EA" w:rsidRPr="00E940C3">
        <w:rPr>
          <w:rFonts w:ascii="Book Antiqua" w:eastAsia="Book Antiqua" w:hAnsi="Book Antiqua" w:cs="Book Antiqua"/>
          <w:color w:val="000000"/>
        </w:rPr>
        <w:t>l</w:t>
      </w:r>
      <w:r w:rsidRPr="00E940C3">
        <w:rPr>
          <w:rFonts w:ascii="Book Antiqua" w:eastAsia="Book Antiqua" w:hAnsi="Book Antiqua" w:cs="Book Antiqua"/>
          <w:color w:val="000000"/>
        </w:rPr>
        <w:t xml:space="preserve">eucovorin combined with irinotecan and oxaliplatin (FOLFIRINOX) as second-line chemotherapy in patients with metastatic pancreatic adenocarcinoma. </w:t>
      </w:r>
      <w:r w:rsidRPr="00E940C3">
        <w:rPr>
          <w:rFonts w:ascii="Book Antiqua" w:eastAsia="Book Antiqua" w:hAnsi="Book Antiqua" w:cs="Book Antiqua"/>
          <w:i/>
          <w:iCs/>
          <w:color w:val="000000"/>
        </w:rPr>
        <w:t>Oncology</w:t>
      </w:r>
      <w:r w:rsidRPr="00E940C3">
        <w:rPr>
          <w:rFonts w:ascii="Book Antiqua" w:eastAsia="Book Antiqua" w:hAnsi="Book Antiqua" w:cs="Book Antiqua"/>
          <w:color w:val="000000"/>
        </w:rPr>
        <w:t xml:space="preserve"> 2011; </w:t>
      </w:r>
      <w:r w:rsidRPr="00E940C3">
        <w:rPr>
          <w:rFonts w:ascii="Book Antiqua" w:eastAsia="Book Antiqua" w:hAnsi="Book Antiqua" w:cs="Book Antiqua"/>
          <w:b/>
          <w:bCs/>
          <w:color w:val="000000"/>
        </w:rPr>
        <w:t>80</w:t>
      </w:r>
      <w:r w:rsidRPr="00E940C3">
        <w:rPr>
          <w:rFonts w:ascii="Book Antiqua" w:eastAsia="Book Antiqua" w:hAnsi="Book Antiqua" w:cs="Book Antiqua"/>
          <w:color w:val="000000"/>
        </w:rPr>
        <w:t>: 301-306 [PMID: 21778770 DOI: 10.1159/000329803]</w:t>
      </w:r>
    </w:p>
    <w:p w14:paraId="0B2B1381"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5</w:t>
      </w:r>
      <w:r w:rsidR="00C42B56" w:rsidRPr="00E940C3">
        <w:rPr>
          <w:rFonts w:ascii="Book Antiqua" w:eastAsia="Book Antiqua" w:hAnsi="Book Antiqua" w:cs="Book Antiqua"/>
          <w:color w:val="000000"/>
        </w:rPr>
        <w:t>1</w:t>
      </w:r>
      <w:r w:rsidRPr="00E940C3">
        <w:rPr>
          <w:rFonts w:ascii="Book Antiqua" w:eastAsia="Book Antiqua" w:hAnsi="Book Antiqua" w:cs="Book Antiqua"/>
          <w:color w:val="000000"/>
        </w:rPr>
        <w:t xml:space="preserve"> </w:t>
      </w:r>
      <w:r w:rsidRPr="00E940C3">
        <w:rPr>
          <w:rFonts w:ascii="Book Antiqua" w:eastAsia="Book Antiqua" w:hAnsi="Book Antiqua" w:cs="Book Antiqua"/>
          <w:b/>
          <w:bCs/>
          <w:color w:val="000000"/>
        </w:rPr>
        <w:t>Kim JH</w:t>
      </w:r>
      <w:r w:rsidRPr="00E940C3">
        <w:rPr>
          <w:rFonts w:ascii="Book Antiqua" w:eastAsia="Book Antiqua" w:hAnsi="Book Antiqua" w:cs="Book Antiqua"/>
          <w:color w:val="000000"/>
        </w:rPr>
        <w:t xml:space="preserve">, Lee SC, Oh SY, Song SY, Lee N, Nam EM, Lee S, Hwang IG, Lee HR, Lee KT, Bae SB, Kim HJ, Jang JS, Lim DH, Lee HW, Kang SY, Kang JH. Attenuated FOLFIRINOX in the salvage treatment of gemcitabine-refractory advanced pancreatic cancer: a phase II study. </w:t>
      </w:r>
      <w:r w:rsidRPr="00E940C3">
        <w:rPr>
          <w:rFonts w:ascii="Book Antiqua" w:eastAsia="Book Antiqua" w:hAnsi="Book Antiqua" w:cs="Book Antiqua"/>
          <w:i/>
          <w:iCs/>
          <w:color w:val="000000"/>
        </w:rPr>
        <w:t>Cancer Commun (Lond)</w:t>
      </w:r>
      <w:r w:rsidRPr="00E940C3">
        <w:rPr>
          <w:rFonts w:ascii="Book Antiqua" w:eastAsia="Book Antiqua" w:hAnsi="Book Antiqua" w:cs="Book Antiqua"/>
          <w:color w:val="000000"/>
        </w:rPr>
        <w:t xml:space="preserve"> 2018; </w:t>
      </w:r>
      <w:r w:rsidRPr="00E940C3">
        <w:rPr>
          <w:rFonts w:ascii="Book Antiqua" w:eastAsia="Book Antiqua" w:hAnsi="Book Antiqua" w:cs="Book Antiqua"/>
          <w:b/>
          <w:bCs/>
          <w:color w:val="000000"/>
        </w:rPr>
        <w:t>38</w:t>
      </w:r>
      <w:r w:rsidRPr="00E940C3">
        <w:rPr>
          <w:rFonts w:ascii="Book Antiqua" w:eastAsia="Book Antiqua" w:hAnsi="Book Antiqua" w:cs="Book Antiqua"/>
          <w:color w:val="000000"/>
        </w:rPr>
        <w:t>: 32 [PMID: 29866170 DOI: 10.1186/s40880-018-0304-1]</w:t>
      </w:r>
    </w:p>
    <w:p w14:paraId="0E97F39D"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5</w:t>
      </w:r>
      <w:r w:rsidR="00C42B56" w:rsidRPr="00E940C3">
        <w:rPr>
          <w:rFonts w:ascii="Book Antiqua" w:eastAsia="Book Antiqua" w:hAnsi="Book Antiqua" w:cs="Book Antiqua"/>
          <w:color w:val="000000"/>
        </w:rPr>
        <w:t>2</w:t>
      </w:r>
      <w:r w:rsidRPr="00E940C3">
        <w:rPr>
          <w:rFonts w:ascii="Book Antiqua" w:eastAsia="Book Antiqua" w:hAnsi="Book Antiqua" w:cs="Book Antiqua"/>
          <w:color w:val="000000"/>
        </w:rPr>
        <w:t xml:space="preserve"> </w:t>
      </w:r>
      <w:r w:rsidRPr="00E940C3">
        <w:rPr>
          <w:rFonts w:ascii="Book Antiqua" w:eastAsia="Book Antiqua" w:hAnsi="Book Antiqua" w:cs="Book Antiqua"/>
          <w:b/>
          <w:bCs/>
          <w:color w:val="000000"/>
        </w:rPr>
        <w:t>Kieler M</w:t>
      </w:r>
      <w:r w:rsidRPr="00E940C3">
        <w:rPr>
          <w:rFonts w:ascii="Book Antiqua" w:eastAsia="Book Antiqua" w:hAnsi="Book Antiqua" w:cs="Book Antiqua"/>
          <w:color w:val="000000"/>
        </w:rPr>
        <w:t>, Unseld M, Bianconi D, Scheithauer W, Prager GW. A real-world analysis of second-line treatment options in pancreatic cancer: liposomal-irinotecan plus 5-</w:t>
      </w:r>
      <w:r w:rsidRPr="00E940C3">
        <w:rPr>
          <w:rFonts w:ascii="Book Antiqua" w:eastAsia="Book Antiqua" w:hAnsi="Book Antiqua" w:cs="Book Antiqua"/>
          <w:color w:val="000000"/>
        </w:rPr>
        <w:lastRenderedPageBreak/>
        <w:t xml:space="preserve">fluorouracil and folinic acid. </w:t>
      </w:r>
      <w:r w:rsidRPr="00E940C3">
        <w:rPr>
          <w:rFonts w:ascii="Book Antiqua" w:eastAsia="Book Antiqua" w:hAnsi="Book Antiqua" w:cs="Book Antiqua"/>
          <w:i/>
          <w:iCs/>
          <w:color w:val="000000"/>
        </w:rPr>
        <w:t>Ther Adv Med Oncol</w:t>
      </w:r>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11</w:t>
      </w:r>
      <w:r w:rsidRPr="00E940C3">
        <w:rPr>
          <w:rFonts w:ascii="Book Antiqua" w:eastAsia="Book Antiqua" w:hAnsi="Book Antiqua" w:cs="Book Antiqua"/>
          <w:color w:val="000000"/>
        </w:rPr>
        <w:t>: 1758835919853196 [PMID: 31360237 DOI: 10.1177/1758835919853196]</w:t>
      </w:r>
    </w:p>
    <w:p w14:paraId="766986E7"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5</w:t>
      </w:r>
      <w:r w:rsidR="00C42B56" w:rsidRPr="00E940C3">
        <w:rPr>
          <w:rFonts w:ascii="Book Antiqua" w:eastAsia="Book Antiqua" w:hAnsi="Book Antiqua" w:cs="Book Antiqua"/>
          <w:color w:val="000000"/>
        </w:rPr>
        <w:t>3</w:t>
      </w:r>
      <w:r w:rsidRPr="00E940C3">
        <w:rPr>
          <w:rFonts w:ascii="Book Antiqua" w:eastAsia="Book Antiqua" w:hAnsi="Book Antiqua" w:cs="Book Antiqua"/>
          <w:color w:val="000000"/>
        </w:rPr>
        <w:t xml:space="preserve"> </w:t>
      </w:r>
      <w:r w:rsidRPr="00E940C3">
        <w:rPr>
          <w:rFonts w:ascii="Book Antiqua" w:eastAsia="Book Antiqua" w:hAnsi="Book Antiqua" w:cs="Book Antiqua"/>
          <w:b/>
          <w:bCs/>
          <w:color w:val="000000"/>
        </w:rPr>
        <w:t>Bullock A</w:t>
      </w:r>
      <w:r w:rsidRPr="00E940C3">
        <w:rPr>
          <w:rFonts w:ascii="Book Antiqua" w:eastAsia="Book Antiqua" w:hAnsi="Book Antiqua" w:cs="Book Antiqua"/>
          <w:color w:val="000000"/>
        </w:rPr>
        <w:t xml:space="preserve">, Stuart K, Jacobus S, Abrams T, Wadlow R, Goldstein M, Miksad R. Capecitabine and oxaliplatin as first and second line treatment for locally advanced and metastatic pancreatic ductal adenocarcinoma. </w:t>
      </w:r>
      <w:r w:rsidRPr="00E940C3">
        <w:rPr>
          <w:rFonts w:ascii="Book Antiqua" w:eastAsia="Book Antiqua" w:hAnsi="Book Antiqua" w:cs="Book Antiqua"/>
          <w:i/>
          <w:iCs/>
          <w:color w:val="000000"/>
        </w:rPr>
        <w:t>J Gastrointest Oncol</w:t>
      </w:r>
      <w:r w:rsidRPr="00E940C3">
        <w:rPr>
          <w:rFonts w:ascii="Book Antiqua" w:eastAsia="Book Antiqua" w:hAnsi="Book Antiqua" w:cs="Book Antiqua"/>
          <w:color w:val="000000"/>
        </w:rPr>
        <w:t xml:space="preserve"> 2017; </w:t>
      </w:r>
      <w:r w:rsidRPr="00E940C3">
        <w:rPr>
          <w:rFonts w:ascii="Book Antiqua" w:eastAsia="Book Antiqua" w:hAnsi="Book Antiqua" w:cs="Book Antiqua"/>
          <w:b/>
          <w:bCs/>
          <w:color w:val="000000"/>
        </w:rPr>
        <w:t>8</w:t>
      </w:r>
      <w:r w:rsidRPr="00E940C3">
        <w:rPr>
          <w:rFonts w:ascii="Book Antiqua" w:eastAsia="Book Antiqua" w:hAnsi="Book Antiqua" w:cs="Book Antiqua"/>
          <w:color w:val="000000"/>
        </w:rPr>
        <w:t>: 945-952 [PMID: 29299353 DOI: 10.21037/jgo.2017.06.06]</w:t>
      </w:r>
    </w:p>
    <w:p w14:paraId="496946F3"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5</w:t>
      </w:r>
      <w:r w:rsidR="00C42B56" w:rsidRPr="00E940C3">
        <w:rPr>
          <w:rFonts w:ascii="Book Antiqua" w:eastAsia="Book Antiqua" w:hAnsi="Book Antiqua" w:cs="Book Antiqua"/>
          <w:color w:val="000000"/>
        </w:rPr>
        <w:t>4</w:t>
      </w:r>
      <w:r w:rsidRPr="00E940C3">
        <w:rPr>
          <w:rFonts w:ascii="Book Antiqua" w:eastAsia="Book Antiqua" w:hAnsi="Book Antiqua" w:cs="Book Antiqua"/>
          <w:color w:val="000000"/>
        </w:rPr>
        <w:t xml:space="preserve"> </w:t>
      </w:r>
      <w:r w:rsidRPr="00E940C3">
        <w:rPr>
          <w:rFonts w:ascii="Book Antiqua" w:eastAsia="Book Antiqua" w:hAnsi="Book Antiqua" w:cs="Book Antiqua"/>
          <w:b/>
          <w:bCs/>
          <w:color w:val="000000"/>
        </w:rPr>
        <w:t>Chung KH</w:t>
      </w:r>
      <w:r w:rsidRPr="00E940C3">
        <w:rPr>
          <w:rFonts w:ascii="Book Antiqua" w:eastAsia="Book Antiqua" w:hAnsi="Book Antiqua" w:cs="Book Antiqua"/>
          <w:color w:val="000000"/>
        </w:rPr>
        <w:t xml:space="preserve">, Ryu JK, Son JH, Lee JW, Jang DK, Lee SH, Kim YT. Efficacy of Capecitabine Plus Oxaliplatin Combination Chemotherapy for Advanced Pancreatic Cancer after Failure of First-Line Gemcitabine-Based Therapy. </w:t>
      </w:r>
      <w:r w:rsidRPr="00E940C3">
        <w:rPr>
          <w:rFonts w:ascii="Book Antiqua" w:eastAsia="Book Antiqua" w:hAnsi="Book Antiqua" w:cs="Book Antiqua"/>
          <w:i/>
          <w:iCs/>
          <w:color w:val="000000"/>
        </w:rPr>
        <w:t>Gut Liver</w:t>
      </w:r>
      <w:r w:rsidRPr="00E940C3">
        <w:rPr>
          <w:rFonts w:ascii="Book Antiqua" w:eastAsia="Book Antiqua" w:hAnsi="Book Antiqua" w:cs="Book Antiqua"/>
          <w:color w:val="000000"/>
        </w:rPr>
        <w:t xml:space="preserve"> 2017; </w:t>
      </w:r>
      <w:r w:rsidRPr="00E940C3">
        <w:rPr>
          <w:rFonts w:ascii="Book Antiqua" w:eastAsia="Book Antiqua" w:hAnsi="Book Antiqua" w:cs="Book Antiqua"/>
          <w:b/>
          <w:bCs/>
          <w:color w:val="000000"/>
        </w:rPr>
        <w:t>11</w:t>
      </w:r>
      <w:r w:rsidRPr="00E940C3">
        <w:rPr>
          <w:rFonts w:ascii="Book Antiqua" w:eastAsia="Book Antiqua" w:hAnsi="Book Antiqua" w:cs="Book Antiqua"/>
          <w:color w:val="000000"/>
        </w:rPr>
        <w:t>: 298-305 [PMID: 27965478 DOI: 10.5009/gnl16307]</w:t>
      </w:r>
    </w:p>
    <w:p w14:paraId="66D3BC01"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5</w:t>
      </w:r>
      <w:r w:rsidR="00C42B56" w:rsidRPr="00E940C3">
        <w:rPr>
          <w:rFonts w:ascii="Book Antiqua" w:eastAsia="Book Antiqua" w:hAnsi="Book Antiqua" w:cs="Book Antiqua"/>
          <w:color w:val="000000"/>
        </w:rPr>
        <w:t>5</w:t>
      </w:r>
      <w:r w:rsidRPr="00E940C3">
        <w:rPr>
          <w:rFonts w:ascii="Book Antiqua" w:eastAsia="Book Antiqua" w:hAnsi="Book Antiqua" w:cs="Book Antiqua"/>
          <w:color w:val="000000"/>
        </w:rPr>
        <w:t xml:space="preserve"> </w:t>
      </w:r>
      <w:r w:rsidRPr="00E940C3">
        <w:rPr>
          <w:rFonts w:ascii="Book Antiqua" w:eastAsia="Book Antiqua" w:hAnsi="Book Antiqua" w:cs="Book Antiqua"/>
          <w:b/>
          <w:bCs/>
          <w:color w:val="000000"/>
        </w:rPr>
        <w:t>Bayoglu IV</w:t>
      </w:r>
      <w:r w:rsidRPr="00E940C3">
        <w:rPr>
          <w:rFonts w:ascii="Book Antiqua" w:eastAsia="Book Antiqua" w:hAnsi="Book Antiqua" w:cs="Book Antiqua"/>
          <w:color w:val="000000"/>
        </w:rPr>
        <w:t xml:space="preserve">, Varol U, Yildiz I, Muslu U, Alacacioglu A, Kucukzeybek Y, Akyol M, Demir L, Dirican A, Cokmert S, Yildiz Y, Karabulut B, Uslu R, Tarhan MO. Second-line capecitabine and oxaliplatin combination for gemcitabine-resistant advanced pancreatic cancer. </w:t>
      </w:r>
      <w:r w:rsidRPr="00E940C3">
        <w:rPr>
          <w:rFonts w:ascii="Book Antiqua" w:eastAsia="Book Antiqua" w:hAnsi="Book Antiqua" w:cs="Book Antiqua"/>
          <w:i/>
          <w:iCs/>
          <w:color w:val="000000"/>
        </w:rPr>
        <w:t>Asian Pac J Cancer Prev</w:t>
      </w:r>
      <w:r w:rsidRPr="00E940C3">
        <w:rPr>
          <w:rFonts w:ascii="Book Antiqua" w:eastAsia="Book Antiqua" w:hAnsi="Book Antiqua" w:cs="Book Antiqua"/>
          <w:color w:val="000000"/>
        </w:rPr>
        <w:t xml:space="preserve"> 2014; </w:t>
      </w:r>
      <w:r w:rsidRPr="00E940C3">
        <w:rPr>
          <w:rFonts w:ascii="Book Antiqua" w:eastAsia="Book Antiqua" w:hAnsi="Book Antiqua" w:cs="Book Antiqua"/>
          <w:b/>
          <w:bCs/>
          <w:color w:val="000000"/>
        </w:rPr>
        <w:t>15</w:t>
      </w:r>
      <w:r w:rsidRPr="00E940C3">
        <w:rPr>
          <w:rFonts w:ascii="Book Antiqua" w:eastAsia="Book Antiqua" w:hAnsi="Book Antiqua" w:cs="Book Antiqua"/>
          <w:color w:val="000000"/>
        </w:rPr>
        <w:t>: 7119-7123 [PMID: 25227800 DOI: 10.7314/apjcp.2014.15.17.7119]</w:t>
      </w:r>
    </w:p>
    <w:p w14:paraId="63E0697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5</w:t>
      </w:r>
      <w:r w:rsidR="00C42B56" w:rsidRPr="00E940C3">
        <w:rPr>
          <w:rFonts w:ascii="Book Antiqua" w:eastAsia="Book Antiqua" w:hAnsi="Book Antiqua" w:cs="Book Antiqua"/>
          <w:color w:val="000000"/>
        </w:rPr>
        <w:t>6</w:t>
      </w:r>
      <w:r w:rsidRPr="00E940C3">
        <w:rPr>
          <w:rFonts w:ascii="Book Antiqua" w:eastAsia="Book Antiqua" w:hAnsi="Book Antiqua" w:cs="Book Antiqua"/>
          <w:color w:val="000000"/>
        </w:rPr>
        <w:t xml:space="preserve"> </w:t>
      </w:r>
      <w:r w:rsidRPr="00E940C3">
        <w:rPr>
          <w:rFonts w:ascii="Book Antiqua" w:eastAsia="Book Antiqua" w:hAnsi="Book Antiqua" w:cs="Book Antiqua"/>
          <w:b/>
          <w:bCs/>
          <w:color w:val="000000"/>
        </w:rPr>
        <w:t>Park SJ</w:t>
      </w:r>
      <w:r w:rsidRPr="00E940C3">
        <w:rPr>
          <w:rFonts w:ascii="Book Antiqua" w:eastAsia="Book Antiqua" w:hAnsi="Book Antiqua" w:cs="Book Antiqua"/>
          <w:color w:val="000000"/>
        </w:rPr>
        <w:t xml:space="preserve">, Kim H, Shin K, Lee MA, Hong TH. Oral chemotherapy for second-line treatment in patients with gemcitabine-refractory advanced pancreatic cancer. </w:t>
      </w:r>
      <w:r w:rsidRPr="00E940C3">
        <w:rPr>
          <w:rFonts w:ascii="Book Antiqua" w:eastAsia="Book Antiqua" w:hAnsi="Book Antiqua" w:cs="Book Antiqua"/>
          <w:i/>
          <w:iCs/>
          <w:color w:val="000000"/>
        </w:rPr>
        <w:t>World J Gastrointest Oncol</w:t>
      </w:r>
      <w:r w:rsidRPr="00E940C3">
        <w:rPr>
          <w:rFonts w:ascii="Book Antiqua" w:eastAsia="Book Antiqua" w:hAnsi="Book Antiqua" w:cs="Book Antiqua"/>
          <w:color w:val="000000"/>
        </w:rPr>
        <w:t xml:space="preserve"> 2019; </w:t>
      </w:r>
      <w:r w:rsidRPr="00E940C3">
        <w:rPr>
          <w:rFonts w:ascii="Book Antiqua" w:eastAsia="Book Antiqua" w:hAnsi="Book Antiqua" w:cs="Book Antiqua"/>
          <w:b/>
          <w:bCs/>
          <w:color w:val="000000"/>
        </w:rPr>
        <w:t>11</w:t>
      </w:r>
      <w:r w:rsidRPr="00E940C3">
        <w:rPr>
          <w:rFonts w:ascii="Book Antiqua" w:eastAsia="Book Antiqua" w:hAnsi="Book Antiqua" w:cs="Book Antiqua"/>
          <w:color w:val="000000"/>
        </w:rPr>
        <w:t>: 1021-1030 [PMID: 31798782 DOI: 10.4251/wjgo.v11.i11.1021]</w:t>
      </w:r>
    </w:p>
    <w:p w14:paraId="333C25F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5</w:t>
      </w:r>
      <w:r w:rsidR="00C42B56" w:rsidRPr="00E940C3">
        <w:rPr>
          <w:rFonts w:ascii="Book Antiqua" w:eastAsia="Book Antiqua" w:hAnsi="Book Antiqua" w:cs="Book Antiqua"/>
          <w:color w:val="000000"/>
        </w:rPr>
        <w:t>7</w:t>
      </w:r>
      <w:r w:rsidRPr="00E940C3">
        <w:rPr>
          <w:rFonts w:ascii="Book Antiqua" w:eastAsia="Book Antiqua" w:hAnsi="Book Antiqua" w:cs="Book Antiqua"/>
          <w:color w:val="000000"/>
        </w:rPr>
        <w:t xml:space="preserve"> </w:t>
      </w:r>
      <w:r w:rsidRPr="00E940C3">
        <w:rPr>
          <w:rFonts w:ascii="Book Antiqua" w:eastAsia="Book Antiqua" w:hAnsi="Book Antiqua" w:cs="Book Antiqua"/>
          <w:b/>
          <w:bCs/>
          <w:color w:val="000000"/>
        </w:rPr>
        <w:t>Sonbol MB</w:t>
      </w:r>
      <w:r w:rsidRPr="00E940C3">
        <w:rPr>
          <w:rFonts w:ascii="Book Antiqua" w:eastAsia="Book Antiqua" w:hAnsi="Book Antiqua" w:cs="Book Antiqua"/>
          <w:color w:val="000000"/>
        </w:rPr>
        <w:t xml:space="preserve">, Firwana B, Wang Z, Almader-Douglas D, Borad MJ, Makhoul I, Ramanathan RK, Ahn DH, Bekaii-Saab T. Second-line treatment in patients with pancreatic ductal adenocarcinoma: A meta-analysis. </w:t>
      </w:r>
      <w:r w:rsidRPr="00E940C3">
        <w:rPr>
          <w:rFonts w:ascii="Book Antiqua" w:eastAsia="Book Antiqua" w:hAnsi="Book Antiqua" w:cs="Book Antiqua"/>
          <w:i/>
          <w:iCs/>
          <w:color w:val="000000"/>
        </w:rPr>
        <w:t>Cancer</w:t>
      </w:r>
      <w:r w:rsidRPr="00E940C3">
        <w:rPr>
          <w:rFonts w:ascii="Book Antiqua" w:eastAsia="Book Antiqua" w:hAnsi="Book Antiqua" w:cs="Book Antiqua"/>
          <w:color w:val="000000"/>
        </w:rPr>
        <w:t xml:space="preserve"> 2017; </w:t>
      </w:r>
      <w:r w:rsidRPr="00E940C3">
        <w:rPr>
          <w:rFonts w:ascii="Book Antiqua" w:eastAsia="Book Antiqua" w:hAnsi="Book Antiqua" w:cs="Book Antiqua"/>
          <w:b/>
          <w:bCs/>
          <w:color w:val="000000"/>
        </w:rPr>
        <w:t>123</w:t>
      </w:r>
      <w:r w:rsidRPr="00E940C3">
        <w:rPr>
          <w:rFonts w:ascii="Book Antiqua" w:eastAsia="Book Antiqua" w:hAnsi="Book Antiqua" w:cs="Book Antiqua"/>
          <w:color w:val="000000"/>
        </w:rPr>
        <w:t>: 4680-4686 [PMID: 28817187 DOI: 10.1002/cncr.30927]</w:t>
      </w:r>
    </w:p>
    <w:p w14:paraId="258A80F4"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5</w:t>
      </w:r>
      <w:r w:rsidR="00C42B56" w:rsidRPr="00E940C3">
        <w:rPr>
          <w:rFonts w:ascii="Book Antiqua" w:eastAsia="Book Antiqua" w:hAnsi="Book Antiqua" w:cs="Book Antiqua"/>
          <w:color w:val="000000"/>
        </w:rPr>
        <w:t>8</w:t>
      </w:r>
      <w:r w:rsidRPr="00E940C3">
        <w:rPr>
          <w:rFonts w:ascii="Book Antiqua" w:eastAsia="Book Antiqua" w:hAnsi="Book Antiqua" w:cs="Book Antiqua"/>
          <w:color w:val="000000"/>
        </w:rPr>
        <w:t xml:space="preserve"> </w:t>
      </w:r>
      <w:r w:rsidRPr="00E940C3">
        <w:rPr>
          <w:rFonts w:ascii="Book Antiqua" w:eastAsia="Book Antiqua" w:hAnsi="Book Antiqua" w:cs="Book Antiqua"/>
          <w:b/>
          <w:bCs/>
          <w:color w:val="000000"/>
        </w:rPr>
        <w:t>Park W</w:t>
      </w:r>
      <w:r w:rsidRPr="00E940C3">
        <w:rPr>
          <w:rFonts w:ascii="Book Antiqua" w:eastAsia="Book Antiqua" w:hAnsi="Book Antiqua" w:cs="Book Antiqua"/>
          <w:color w:val="000000"/>
        </w:rPr>
        <w:t xml:space="preserve">, Chen J, Chou JF, Varghese AM, Yu KH, Wong W, Capanu M, Balachandran V, McIntyre CA, El Dika I, Khalil DN, Harding JJ, Ghalehsari N, McKinnell Z, Chalasani SB, Makarov V, Selenica P, Pei X, Lecomte N, Kelsen DP, Abou-Alfa GK, Robson ME, Zhang L, Berger MF, Schultz N, Chan TA, Powell SN, Reis-Filho JS, Iacobuzio-Donahue CA, Riaz N, O'Reilly EM. Genomic Methods Identify Homologous Recombination Deficiency in Pancreas Adenocarcinoma and Optimize Treatment Selection. </w:t>
      </w:r>
      <w:r w:rsidRPr="00E940C3">
        <w:rPr>
          <w:rFonts w:ascii="Book Antiqua" w:eastAsia="Book Antiqua" w:hAnsi="Book Antiqua" w:cs="Book Antiqua"/>
          <w:i/>
          <w:iCs/>
          <w:color w:val="000000"/>
        </w:rPr>
        <w:t>Clin Cancer Res</w:t>
      </w:r>
      <w:r w:rsidRPr="00E940C3">
        <w:rPr>
          <w:rFonts w:ascii="Book Antiqua" w:eastAsia="Book Antiqua" w:hAnsi="Book Antiqua" w:cs="Book Antiqua"/>
          <w:color w:val="000000"/>
        </w:rPr>
        <w:t xml:space="preserve"> 2020; </w:t>
      </w:r>
      <w:r w:rsidRPr="00E940C3">
        <w:rPr>
          <w:rFonts w:ascii="Book Antiqua" w:eastAsia="Book Antiqua" w:hAnsi="Book Antiqua" w:cs="Book Antiqua"/>
          <w:b/>
          <w:bCs/>
          <w:color w:val="000000"/>
        </w:rPr>
        <w:t>26</w:t>
      </w:r>
      <w:r w:rsidRPr="00E940C3">
        <w:rPr>
          <w:rFonts w:ascii="Book Antiqua" w:eastAsia="Book Antiqua" w:hAnsi="Book Antiqua" w:cs="Book Antiqua"/>
          <w:color w:val="000000"/>
        </w:rPr>
        <w:t>: 3239-3247 [PMID: 32444418 DOI: 10.1158/1078-0432.CCR-20-0418]</w:t>
      </w:r>
    </w:p>
    <w:p w14:paraId="4D81D7E6" w14:textId="77777777" w:rsidR="00A77B3E" w:rsidRPr="00E940C3" w:rsidRDefault="00C42B56" w:rsidP="00265AC6">
      <w:pPr>
        <w:snapToGrid w:val="0"/>
        <w:spacing w:line="360" w:lineRule="auto"/>
        <w:jc w:val="both"/>
        <w:rPr>
          <w:rFonts w:ascii="Book Antiqua" w:hAnsi="Book Antiqua"/>
        </w:rPr>
      </w:pPr>
      <w:r w:rsidRPr="00E940C3">
        <w:rPr>
          <w:rFonts w:ascii="Book Antiqua" w:eastAsia="Book Antiqua" w:hAnsi="Book Antiqua" w:cs="Book Antiqua"/>
          <w:color w:val="000000"/>
        </w:rPr>
        <w:lastRenderedPageBreak/>
        <w:t>59</w:t>
      </w:r>
      <w:r w:rsidR="00B70BAD" w:rsidRPr="00E940C3">
        <w:rPr>
          <w:rFonts w:ascii="Book Antiqua" w:eastAsia="Book Antiqua" w:hAnsi="Book Antiqua" w:cs="Book Antiqua"/>
          <w:color w:val="000000"/>
        </w:rPr>
        <w:t xml:space="preserve"> </w:t>
      </w:r>
      <w:r w:rsidR="00B70BAD" w:rsidRPr="00E940C3">
        <w:rPr>
          <w:rFonts w:ascii="Book Antiqua" w:eastAsia="Book Antiqua" w:hAnsi="Book Antiqua" w:cs="Book Antiqua"/>
          <w:b/>
          <w:bCs/>
          <w:color w:val="000000"/>
        </w:rPr>
        <w:t>Borazanci E</w:t>
      </w:r>
      <w:r w:rsidR="00B70BAD" w:rsidRPr="00E940C3">
        <w:rPr>
          <w:rFonts w:ascii="Book Antiqua" w:eastAsia="Book Antiqua" w:hAnsi="Book Antiqua" w:cs="Book Antiqua"/>
          <w:color w:val="000000"/>
        </w:rPr>
        <w:t xml:space="preserve">, Korn R, Liang WS, Guarnieri C, Haag S, Snyder C, Hendrickson K, Caldwell L, Von Hoff D, Jameson G. An Analysis of Patients with DNA Repair Pathway Mutations Treated with a PARP Inhibitor. </w:t>
      </w:r>
      <w:r w:rsidR="00B70BAD" w:rsidRPr="00E940C3">
        <w:rPr>
          <w:rFonts w:ascii="Book Antiqua" w:eastAsia="Book Antiqua" w:hAnsi="Book Antiqua" w:cs="Book Antiqua"/>
          <w:i/>
          <w:iCs/>
          <w:color w:val="000000"/>
        </w:rPr>
        <w:t>Oncologist</w:t>
      </w:r>
      <w:r w:rsidR="00B70BAD" w:rsidRPr="00E940C3">
        <w:rPr>
          <w:rFonts w:ascii="Book Antiqua" w:eastAsia="Book Antiqua" w:hAnsi="Book Antiqua" w:cs="Book Antiqua"/>
          <w:color w:val="000000"/>
        </w:rPr>
        <w:t xml:space="preserve"> 2020; </w:t>
      </w:r>
      <w:r w:rsidR="00B70BAD" w:rsidRPr="00E940C3">
        <w:rPr>
          <w:rFonts w:ascii="Book Antiqua" w:eastAsia="Book Antiqua" w:hAnsi="Book Antiqua" w:cs="Book Antiqua"/>
          <w:b/>
          <w:bCs/>
          <w:color w:val="000000"/>
        </w:rPr>
        <w:t>25</w:t>
      </w:r>
      <w:r w:rsidR="00B70BAD" w:rsidRPr="00E940C3">
        <w:rPr>
          <w:rFonts w:ascii="Book Antiqua" w:eastAsia="Book Antiqua" w:hAnsi="Book Antiqua" w:cs="Book Antiqua"/>
          <w:color w:val="000000"/>
        </w:rPr>
        <w:t>: e60-e67 [PMID: 31391296 DOI: 10.1634/theoncologist.2018-0905]</w:t>
      </w:r>
    </w:p>
    <w:p w14:paraId="0944626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6</w:t>
      </w:r>
      <w:r w:rsidR="00C42B56" w:rsidRPr="00E940C3">
        <w:rPr>
          <w:rFonts w:ascii="Book Antiqua" w:eastAsia="Book Antiqua" w:hAnsi="Book Antiqua" w:cs="Book Antiqua"/>
          <w:color w:val="000000"/>
        </w:rPr>
        <w:t>0</w:t>
      </w:r>
      <w:r w:rsidRPr="00E940C3">
        <w:rPr>
          <w:rFonts w:ascii="Book Antiqua" w:eastAsia="Book Antiqua" w:hAnsi="Book Antiqua" w:cs="Book Antiqua"/>
          <w:color w:val="000000"/>
        </w:rPr>
        <w:t xml:space="preserve"> </w:t>
      </w:r>
      <w:r w:rsidRPr="00E940C3">
        <w:rPr>
          <w:rFonts w:ascii="Book Antiqua" w:eastAsia="Book Antiqua" w:hAnsi="Book Antiqua" w:cs="Book Antiqua"/>
          <w:b/>
          <w:bCs/>
          <w:color w:val="000000"/>
        </w:rPr>
        <w:t>Ahn ER,</w:t>
      </w:r>
      <w:r w:rsidRPr="00E940C3">
        <w:rPr>
          <w:rFonts w:ascii="Book Antiqua" w:eastAsia="Book Antiqua" w:hAnsi="Book Antiqua" w:cs="Book Antiqua"/>
          <w:color w:val="000000"/>
        </w:rPr>
        <w:t xml:space="preserve"> Garrett-Mayer E, Halabi S, Mangat PK, Calfa CJ, Alva AS, Suhag VS, Hamid O, Dotan E, Yang ESH, Alese OB, Yost KJ, Marr AS, Palmer MC, Thompson FL, Rygiel AL, Anderson ST, Islam S, Schilsky RL. Olaparib (O) in patients (pts) with pancreatic cancer with BRCA1/2 inactivating mutations: Results from the Targeted Agent and Profiling Utilization Registry (TAPUR) study.</w:t>
      </w:r>
      <w:r w:rsidR="007C157C" w:rsidRPr="00E940C3">
        <w:rPr>
          <w:rFonts w:ascii="Book Antiqua" w:hAnsi="Book Antiqua"/>
        </w:rPr>
        <w:t xml:space="preserve"> </w:t>
      </w:r>
      <w:r w:rsidR="007C157C" w:rsidRPr="00E940C3">
        <w:rPr>
          <w:rFonts w:ascii="Book Antiqua" w:eastAsia="Book Antiqua" w:hAnsi="Book Antiqua" w:cs="Book Antiqua"/>
          <w:i/>
          <w:color w:val="000000"/>
        </w:rPr>
        <w:t>J Clin Oncol</w:t>
      </w:r>
      <w:r w:rsidR="007C157C"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2020;</w:t>
      </w:r>
      <w:r w:rsidR="008623D7" w:rsidRPr="00E940C3">
        <w:rPr>
          <w:rFonts w:ascii="Book Antiqua" w:eastAsia="Book Antiqua" w:hAnsi="Book Antiqua" w:cs="Book Antiqua"/>
          <w:color w:val="000000"/>
        </w:rPr>
        <w:t xml:space="preserve"> </w:t>
      </w:r>
      <w:r w:rsidRPr="00E940C3">
        <w:rPr>
          <w:rFonts w:ascii="Book Antiqua" w:eastAsia="Book Antiqua" w:hAnsi="Book Antiqua" w:cs="Book Antiqua"/>
          <w:b/>
          <w:color w:val="000000"/>
        </w:rPr>
        <w:t>38</w:t>
      </w:r>
      <w:r w:rsidRPr="00E940C3">
        <w:rPr>
          <w:rFonts w:ascii="Book Antiqua" w:eastAsia="Book Antiqua" w:hAnsi="Book Antiqua" w:cs="Book Antiqua"/>
          <w:color w:val="000000"/>
        </w:rPr>
        <w:t>:</w:t>
      </w:r>
      <w:r w:rsidR="008623D7"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4637</w:t>
      </w:r>
      <w:r w:rsidR="008623D7" w:rsidRPr="00E940C3">
        <w:rPr>
          <w:rFonts w:ascii="Book Antiqua" w:eastAsia="Book Antiqua" w:hAnsi="Book Antiqua" w:cs="Book Antiqua"/>
          <w:color w:val="000000"/>
        </w:rPr>
        <w:t>-</w:t>
      </w:r>
      <w:r w:rsidRPr="00E940C3">
        <w:rPr>
          <w:rFonts w:ascii="Book Antiqua" w:eastAsia="Book Antiqua" w:hAnsi="Book Antiqua" w:cs="Book Antiqua"/>
          <w:color w:val="000000"/>
        </w:rPr>
        <w:t>4637</w:t>
      </w:r>
      <w:r w:rsidR="008623D7" w:rsidRPr="00E940C3">
        <w:rPr>
          <w:rFonts w:ascii="Book Antiqua" w:eastAsia="Book Antiqua" w:hAnsi="Book Antiqua" w:cs="Book Antiqua"/>
          <w:color w:val="000000"/>
        </w:rPr>
        <w:t xml:space="preserve"> [</w:t>
      </w:r>
      <w:r w:rsidRPr="00E940C3">
        <w:rPr>
          <w:rFonts w:ascii="Book Antiqua" w:eastAsia="Book Antiqua" w:hAnsi="Book Antiqua" w:cs="Book Antiqua"/>
          <w:color w:val="000000"/>
        </w:rPr>
        <w:t>DOI: 10.1200/JCO.2020.38.15_suppl.4637</w:t>
      </w:r>
      <w:r w:rsidR="008623D7" w:rsidRPr="00E940C3">
        <w:rPr>
          <w:rFonts w:ascii="Book Antiqua" w:eastAsia="Book Antiqua" w:hAnsi="Book Antiqua" w:cs="Book Antiqua"/>
          <w:color w:val="000000"/>
        </w:rPr>
        <w:t>]</w:t>
      </w:r>
    </w:p>
    <w:p w14:paraId="1F80E191"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6</w:t>
      </w:r>
      <w:r w:rsidR="00C42B56" w:rsidRPr="00E940C3">
        <w:rPr>
          <w:rFonts w:ascii="Book Antiqua" w:eastAsia="Book Antiqua" w:hAnsi="Book Antiqua" w:cs="Book Antiqua"/>
          <w:color w:val="000000"/>
        </w:rPr>
        <w:t>1</w:t>
      </w:r>
      <w:r w:rsidRPr="00E940C3">
        <w:rPr>
          <w:rFonts w:ascii="Book Antiqua" w:eastAsia="Book Antiqua" w:hAnsi="Book Antiqua" w:cs="Book Antiqua"/>
          <w:color w:val="000000"/>
        </w:rPr>
        <w:t xml:space="preserve"> </w:t>
      </w:r>
      <w:r w:rsidRPr="00E940C3">
        <w:rPr>
          <w:rFonts w:ascii="Book Antiqua" w:eastAsia="Book Antiqua" w:hAnsi="Book Antiqua" w:cs="Book Antiqua"/>
          <w:b/>
          <w:bCs/>
          <w:color w:val="000000"/>
        </w:rPr>
        <w:t>Middha S</w:t>
      </w:r>
      <w:r w:rsidRPr="00E940C3">
        <w:rPr>
          <w:rFonts w:ascii="Book Antiqua" w:eastAsia="Book Antiqua" w:hAnsi="Book Antiqua" w:cs="Book Antiqua"/>
          <w:color w:val="000000"/>
        </w:rPr>
        <w:t xml:space="preserve">, Zhang L, Nafa K, Jayakumaran G, Wong D, Kim HR, Sadowska J, Berger MF, Delair DF, Shia J, Stadler Z, Klimstra DS, Ladanyi M, Zehir A, Hechtman JF. Reliable Pan-Cancer Microsatellite Instability Assessment by Using Targeted Next-Generation Sequencing Data. </w:t>
      </w:r>
      <w:r w:rsidRPr="00E940C3">
        <w:rPr>
          <w:rFonts w:ascii="Book Antiqua" w:eastAsia="Book Antiqua" w:hAnsi="Book Antiqua" w:cs="Book Antiqua"/>
          <w:i/>
          <w:iCs/>
          <w:color w:val="000000"/>
        </w:rPr>
        <w:t>JCO Precis Oncol</w:t>
      </w:r>
      <w:r w:rsidRPr="00E940C3">
        <w:rPr>
          <w:rFonts w:ascii="Book Antiqua" w:eastAsia="Book Antiqua" w:hAnsi="Book Antiqua" w:cs="Book Antiqua"/>
          <w:color w:val="000000"/>
        </w:rPr>
        <w:t xml:space="preserve"> 2017; </w:t>
      </w:r>
      <w:r w:rsidRPr="00E940C3">
        <w:rPr>
          <w:rFonts w:ascii="Book Antiqua" w:eastAsia="Book Antiqua" w:hAnsi="Book Antiqua" w:cs="Book Antiqua"/>
          <w:b/>
          <w:bCs/>
          <w:color w:val="000000"/>
        </w:rPr>
        <w:t>2017</w:t>
      </w:r>
      <w:r w:rsidRPr="00E940C3">
        <w:rPr>
          <w:rFonts w:ascii="Book Antiqua" w:eastAsia="Book Antiqua" w:hAnsi="Book Antiqua" w:cs="Book Antiqua"/>
          <w:color w:val="000000"/>
        </w:rPr>
        <w:t xml:space="preserve"> [PMID: 30211344 DOI: 10.1200/PO.17.00084]</w:t>
      </w:r>
    </w:p>
    <w:p w14:paraId="2E5A35B8"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6</w:t>
      </w:r>
      <w:r w:rsidR="00C42B56" w:rsidRPr="00E940C3">
        <w:rPr>
          <w:rFonts w:ascii="Book Antiqua" w:eastAsia="Book Antiqua" w:hAnsi="Book Antiqua" w:cs="Book Antiqua"/>
          <w:color w:val="000000"/>
        </w:rPr>
        <w:t>2</w:t>
      </w:r>
      <w:r w:rsidRPr="00E940C3">
        <w:rPr>
          <w:rFonts w:ascii="Book Antiqua" w:eastAsia="Book Antiqua" w:hAnsi="Book Antiqua" w:cs="Book Antiqua"/>
          <w:color w:val="000000"/>
        </w:rPr>
        <w:t xml:space="preserve"> </w:t>
      </w:r>
      <w:r w:rsidRPr="00E940C3">
        <w:rPr>
          <w:rFonts w:ascii="Book Antiqua" w:eastAsia="Book Antiqua" w:hAnsi="Book Antiqua" w:cs="Book Antiqua"/>
          <w:b/>
          <w:bCs/>
          <w:color w:val="000000"/>
        </w:rPr>
        <w:t>Le DT</w:t>
      </w:r>
      <w:r w:rsidRPr="00E940C3">
        <w:rPr>
          <w:rFonts w:ascii="Book Antiqua" w:eastAsia="Book Antiqua" w:hAnsi="Book Antiqua" w:cs="Book Antiqua"/>
          <w:color w:val="000000"/>
        </w:rPr>
        <w:t xml:space="preserve">, Durham JN, Smith KN, Wang H, Bartlett BR, Aulakh LK, Lu S, Kemberling H, Wilt C, Luber BS, Wong F, Azad NS, Rucki AA, Laheru D, Donehower R, Zaheer A, Fisher GA, Crocenzi TS, Lee JJ, Greten TF, Duffy AG, Ciombor KK, Eyring AD, Lam BH, Joe A, Kang SP, Holdhoff M, Danilova L, Cope L, Meyer C, Zhou S, Goldberg RM, Armstrong DK, Bever KM, Fader AN, Taube J, Housseau F, Spetzler D, Xiao N, Pardoll DM, Papadopoulos N, Kinzler KW, Eshleman JR, Vogelstein B, Anders RA, Diaz LA Jr. Mismatch repair deficiency predicts response of solid tumors to PD-1 blockade. </w:t>
      </w:r>
      <w:r w:rsidRPr="00E940C3">
        <w:rPr>
          <w:rFonts w:ascii="Book Antiqua" w:eastAsia="Book Antiqua" w:hAnsi="Book Antiqua" w:cs="Book Antiqua"/>
          <w:i/>
          <w:iCs/>
          <w:color w:val="000000"/>
        </w:rPr>
        <w:t>Science</w:t>
      </w:r>
      <w:r w:rsidRPr="00E940C3">
        <w:rPr>
          <w:rFonts w:ascii="Book Antiqua" w:eastAsia="Book Antiqua" w:hAnsi="Book Antiqua" w:cs="Book Antiqua"/>
          <w:color w:val="000000"/>
        </w:rPr>
        <w:t xml:space="preserve"> 2017; </w:t>
      </w:r>
      <w:r w:rsidRPr="00E940C3">
        <w:rPr>
          <w:rFonts w:ascii="Book Antiqua" w:eastAsia="Book Antiqua" w:hAnsi="Book Antiqua" w:cs="Book Antiqua"/>
          <w:b/>
          <w:bCs/>
          <w:color w:val="000000"/>
        </w:rPr>
        <w:t>357</w:t>
      </w:r>
      <w:r w:rsidRPr="00E940C3">
        <w:rPr>
          <w:rFonts w:ascii="Book Antiqua" w:eastAsia="Book Antiqua" w:hAnsi="Book Antiqua" w:cs="Book Antiqua"/>
          <w:color w:val="000000"/>
        </w:rPr>
        <w:t>: 409-413 [PMID: 28596308 DOI: 10.1126/science.aan6733]</w:t>
      </w:r>
    </w:p>
    <w:bookmarkEnd w:id="3"/>
    <w:p w14:paraId="55CB969B" w14:textId="77777777" w:rsidR="00A77B3E" w:rsidRPr="00E940C3" w:rsidRDefault="00A77B3E" w:rsidP="00265AC6">
      <w:pPr>
        <w:snapToGrid w:val="0"/>
        <w:spacing w:line="360" w:lineRule="auto"/>
        <w:jc w:val="both"/>
        <w:rPr>
          <w:rFonts w:ascii="Book Antiqua" w:hAnsi="Book Antiqua"/>
        </w:rPr>
        <w:sectPr w:rsidR="00A77B3E" w:rsidRPr="00E940C3">
          <w:pgSz w:w="12240" w:h="15840"/>
          <w:pgMar w:top="1440" w:right="1440" w:bottom="1440" w:left="1440" w:header="720" w:footer="720" w:gutter="0"/>
          <w:cols w:space="720"/>
          <w:docGrid w:linePitch="360"/>
        </w:sectPr>
      </w:pPr>
    </w:p>
    <w:p w14:paraId="7E5D8C13"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lastRenderedPageBreak/>
        <w:t>Footnotes</w:t>
      </w:r>
    </w:p>
    <w:p w14:paraId="65D3B7F3" w14:textId="38C89C23"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Conflict-of-interest statement: </w:t>
      </w:r>
      <w:r w:rsidR="00D766F6" w:rsidRPr="00E940C3">
        <w:rPr>
          <w:rFonts w:ascii="Book Antiqua" w:eastAsia="Book Antiqua" w:hAnsi="Book Antiqua" w:cs="Book Antiqua"/>
          <w:color w:val="000000"/>
        </w:rPr>
        <w:t>The</w:t>
      </w:r>
      <w:r w:rsidRPr="00E940C3">
        <w:rPr>
          <w:rFonts w:ascii="Book Antiqua" w:eastAsia="Book Antiqua" w:hAnsi="Book Antiqua" w:cs="Book Antiqua"/>
          <w:color w:val="000000"/>
        </w:rPr>
        <w:t xml:space="preserve"> authors</w:t>
      </w:r>
      <w:r w:rsidR="00D766F6" w:rsidRPr="00E940C3">
        <w:rPr>
          <w:rFonts w:ascii="Book Antiqua" w:eastAsia="Book Antiqua" w:hAnsi="Book Antiqua" w:cs="Book Antiqua"/>
          <w:color w:val="000000"/>
        </w:rPr>
        <w:t xml:space="preserve"> declare that they </w:t>
      </w:r>
      <w:r w:rsidR="00BE688F" w:rsidRPr="00E940C3">
        <w:rPr>
          <w:rFonts w:ascii="Book Antiqua" w:eastAsia="Book Antiqua" w:hAnsi="Book Antiqua" w:cs="Book Antiqua"/>
          <w:color w:val="000000"/>
        </w:rPr>
        <w:t>do not</w:t>
      </w:r>
      <w:r w:rsidRPr="00E940C3">
        <w:rPr>
          <w:rFonts w:ascii="Book Antiqua" w:eastAsia="Book Antiqua" w:hAnsi="Book Antiqua" w:cs="Book Antiqua"/>
          <w:color w:val="000000"/>
        </w:rPr>
        <w:t xml:space="preserve"> have any conflict</w:t>
      </w:r>
      <w:r w:rsidR="00BE688F" w:rsidRPr="00E940C3">
        <w:rPr>
          <w:rFonts w:ascii="Book Antiqua" w:eastAsia="Book Antiqua" w:hAnsi="Book Antiqua" w:cs="Book Antiqua"/>
          <w:color w:val="000000"/>
        </w:rPr>
        <w:t>ing</w:t>
      </w:r>
      <w:r w:rsidRPr="00E940C3">
        <w:rPr>
          <w:rFonts w:ascii="Book Antiqua" w:eastAsia="Book Antiqua" w:hAnsi="Book Antiqua" w:cs="Book Antiqua"/>
          <w:color w:val="000000"/>
        </w:rPr>
        <w:t xml:space="preserve"> interest</w:t>
      </w:r>
      <w:r w:rsidR="00BE688F" w:rsidRPr="00E940C3">
        <w:rPr>
          <w:rFonts w:ascii="Book Antiqua" w:eastAsia="Book Antiqua" w:hAnsi="Book Antiqua" w:cs="Book Antiqua"/>
          <w:color w:val="000000"/>
        </w:rPr>
        <w:t>s</w:t>
      </w:r>
      <w:r w:rsidRPr="00E940C3">
        <w:rPr>
          <w:rFonts w:ascii="Book Antiqua" w:eastAsia="Book Antiqua" w:hAnsi="Book Antiqua" w:cs="Book Antiqua"/>
          <w:color w:val="000000"/>
        </w:rPr>
        <w:t>.</w:t>
      </w:r>
    </w:p>
    <w:p w14:paraId="0644D9A5" w14:textId="77777777" w:rsidR="00A77B3E" w:rsidRPr="00E940C3" w:rsidRDefault="00A77B3E" w:rsidP="00265AC6">
      <w:pPr>
        <w:snapToGrid w:val="0"/>
        <w:spacing w:line="360" w:lineRule="auto"/>
        <w:jc w:val="both"/>
        <w:rPr>
          <w:rFonts w:ascii="Book Antiqua" w:hAnsi="Book Antiqua"/>
        </w:rPr>
      </w:pPr>
    </w:p>
    <w:p w14:paraId="1A5E45CB"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bCs/>
          <w:color w:val="000000"/>
        </w:rPr>
        <w:t xml:space="preserve">Open-Access: </w:t>
      </w:r>
      <w:r w:rsidRPr="00E940C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A82EBA" w14:textId="77777777" w:rsidR="00A77B3E" w:rsidRPr="00E940C3" w:rsidRDefault="00A77B3E" w:rsidP="00265AC6">
      <w:pPr>
        <w:snapToGrid w:val="0"/>
        <w:spacing w:line="360" w:lineRule="auto"/>
        <w:jc w:val="both"/>
        <w:rPr>
          <w:rFonts w:ascii="Book Antiqua" w:hAnsi="Book Antiqua"/>
        </w:rPr>
      </w:pPr>
    </w:p>
    <w:p w14:paraId="28154EF8"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 xml:space="preserve">Manuscript source: </w:t>
      </w:r>
      <w:r w:rsidRPr="00E940C3">
        <w:rPr>
          <w:rFonts w:ascii="Book Antiqua" w:eastAsia="Book Antiqua" w:hAnsi="Book Antiqua" w:cs="Book Antiqua"/>
          <w:color w:val="000000"/>
        </w:rPr>
        <w:t xml:space="preserve">Invited </w:t>
      </w:r>
      <w:r w:rsidR="00C42B56" w:rsidRPr="00E940C3">
        <w:rPr>
          <w:rFonts w:ascii="Book Antiqua" w:eastAsia="Book Antiqua" w:hAnsi="Book Antiqua" w:cs="Book Antiqua"/>
          <w:color w:val="000000"/>
        </w:rPr>
        <w:t>m</w:t>
      </w:r>
      <w:r w:rsidRPr="00E940C3">
        <w:rPr>
          <w:rFonts w:ascii="Book Antiqua" w:eastAsia="Book Antiqua" w:hAnsi="Book Antiqua" w:cs="Book Antiqua"/>
          <w:color w:val="000000"/>
        </w:rPr>
        <w:t>anuscript</w:t>
      </w:r>
    </w:p>
    <w:p w14:paraId="548338D0" w14:textId="77777777" w:rsidR="00A77B3E" w:rsidRPr="00E940C3" w:rsidRDefault="00A77B3E" w:rsidP="00265AC6">
      <w:pPr>
        <w:snapToGrid w:val="0"/>
        <w:spacing w:line="360" w:lineRule="auto"/>
        <w:jc w:val="both"/>
        <w:rPr>
          <w:rFonts w:ascii="Book Antiqua" w:hAnsi="Book Antiqua"/>
        </w:rPr>
      </w:pPr>
    </w:p>
    <w:p w14:paraId="492770A8"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 xml:space="preserve">Peer-review started: </w:t>
      </w:r>
      <w:r w:rsidRPr="00E940C3">
        <w:rPr>
          <w:rFonts w:ascii="Book Antiqua" w:eastAsia="Book Antiqua" w:hAnsi="Book Antiqua" w:cs="Book Antiqua"/>
          <w:color w:val="000000"/>
        </w:rPr>
        <w:t>February 28, 2021</w:t>
      </w:r>
    </w:p>
    <w:p w14:paraId="0919C8DB"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 xml:space="preserve">First decision: </w:t>
      </w:r>
      <w:r w:rsidRPr="00E940C3">
        <w:rPr>
          <w:rFonts w:ascii="Book Antiqua" w:eastAsia="Book Antiqua" w:hAnsi="Book Antiqua" w:cs="Book Antiqua"/>
          <w:color w:val="000000"/>
        </w:rPr>
        <w:t>April 27, 2021</w:t>
      </w:r>
    </w:p>
    <w:p w14:paraId="3D3B3BA5" w14:textId="658DC7DC"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Article in press:</w:t>
      </w:r>
    </w:p>
    <w:p w14:paraId="246C0ABA" w14:textId="77777777" w:rsidR="00A77B3E" w:rsidRPr="00E940C3" w:rsidRDefault="00A77B3E" w:rsidP="00265AC6">
      <w:pPr>
        <w:snapToGrid w:val="0"/>
        <w:spacing w:line="360" w:lineRule="auto"/>
        <w:jc w:val="both"/>
        <w:rPr>
          <w:rFonts w:ascii="Book Antiqua" w:hAnsi="Book Antiqua"/>
        </w:rPr>
      </w:pPr>
    </w:p>
    <w:p w14:paraId="5FE4369E" w14:textId="0B3938B6"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 xml:space="preserve">Specialty type: </w:t>
      </w:r>
      <w:r w:rsidRPr="00E940C3">
        <w:rPr>
          <w:rFonts w:ascii="Book Antiqua" w:eastAsia="Book Antiqua" w:hAnsi="Book Antiqua" w:cs="Book Antiqua"/>
          <w:color w:val="000000"/>
        </w:rPr>
        <w:t>Oncology</w:t>
      </w:r>
    </w:p>
    <w:p w14:paraId="51103C51"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 xml:space="preserve">Country/Territory of origin: </w:t>
      </w:r>
      <w:r w:rsidRPr="00E940C3">
        <w:rPr>
          <w:rFonts w:ascii="Book Antiqua" w:eastAsia="Book Antiqua" w:hAnsi="Book Antiqua" w:cs="Book Antiqua"/>
          <w:color w:val="000000"/>
        </w:rPr>
        <w:t>Sweden</w:t>
      </w:r>
    </w:p>
    <w:p w14:paraId="76E6BEFF"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b/>
          <w:color w:val="000000"/>
        </w:rPr>
        <w:t>Peer-review report’s scientific quality classification</w:t>
      </w:r>
    </w:p>
    <w:p w14:paraId="0D3A3919"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Grade A (Excellent): A</w:t>
      </w:r>
    </w:p>
    <w:p w14:paraId="0DAD1C52"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Grade B (Very good): 0</w:t>
      </w:r>
    </w:p>
    <w:p w14:paraId="45243E05"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Grade C (Good): 0</w:t>
      </w:r>
    </w:p>
    <w:p w14:paraId="1A6C238E"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Grade D (Fair): 0</w:t>
      </w:r>
    </w:p>
    <w:p w14:paraId="419CBAFA" w14:textId="77777777" w:rsidR="00A77B3E" w:rsidRPr="00E940C3" w:rsidRDefault="00B70BAD" w:rsidP="00265AC6">
      <w:pPr>
        <w:snapToGrid w:val="0"/>
        <w:spacing w:line="360" w:lineRule="auto"/>
        <w:jc w:val="both"/>
        <w:rPr>
          <w:rFonts w:ascii="Book Antiqua" w:hAnsi="Book Antiqua"/>
        </w:rPr>
      </w:pPr>
      <w:r w:rsidRPr="00E940C3">
        <w:rPr>
          <w:rFonts w:ascii="Book Antiqua" w:eastAsia="Book Antiqua" w:hAnsi="Book Antiqua" w:cs="Book Antiqua"/>
          <w:color w:val="000000"/>
        </w:rPr>
        <w:t>Grade E (Poor): 0</w:t>
      </w:r>
    </w:p>
    <w:p w14:paraId="34BDF218" w14:textId="77777777" w:rsidR="00A77B3E" w:rsidRPr="00E940C3" w:rsidRDefault="00A77B3E" w:rsidP="00265AC6">
      <w:pPr>
        <w:snapToGrid w:val="0"/>
        <w:spacing w:line="360" w:lineRule="auto"/>
        <w:jc w:val="both"/>
        <w:rPr>
          <w:rFonts w:ascii="Book Antiqua" w:hAnsi="Book Antiqua"/>
        </w:rPr>
      </w:pPr>
    </w:p>
    <w:p w14:paraId="75FD646C" w14:textId="2D416646" w:rsidR="00A77B3E" w:rsidRPr="00E940C3" w:rsidRDefault="00B70BAD" w:rsidP="00265AC6">
      <w:pPr>
        <w:snapToGrid w:val="0"/>
        <w:spacing w:line="360" w:lineRule="auto"/>
        <w:jc w:val="both"/>
        <w:rPr>
          <w:rFonts w:ascii="Book Antiqua" w:eastAsia="Book Antiqua" w:hAnsi="Book Antiqua" w:cs="Book Antiqua"/>
          <w:b/>
          <w:color w:val="000000"/>
        </w:rPr>
      </w:pPr>
      <w:r w:rsidRPr="00E940C3">
        <w:rPr>
          <w:rFonts w:ascii="Book Antiqua" w:eastAsia="Book Antiqua" w:hAnsi="Book Antiqua" w:cs="Book Antiqua"/>
          <w:b/>
          <w:color w:val="000000"/>
        </w:rPr>
        <w:t xml:space="preserve">P-Reviewer: </w:t>
      </w:r>
      <w:r w:rsidRPr="00E940C3">
        <w:rPr>
          <w:rFonts w:ascii="Book Antiqua" w:eastAsia="Book Antiqua" w:hAnsi="Book Antiqua" w:cs="Book Antiqua"/>
          <w:color w:val="000000"/>
        </w:rPr>
        <w:t>Sugimoto M</w:t>
      </w:r>
      <w:r w:rsidRPr="00E940C3">
        <w:rPr>
          <w:rFonts w:ascii="Book Antiqua" w:eastAsia="Book Antiqua" w:hAnsi="Book Antiqua" w:cs="Book Antiqua"/>
          <w:b/>
          <w:color w:val="000000"/>
        </w:rPr>
        <w:t xml:space="preserve"> S-Editor: </w:t>
      </w:r>
      <w:r w:rsidRPr="00E940C3">
        <w:rPr>
          <w:rFonts w:ascii="Book Antiqua" w:eastAsia="Book Antiqua" w:hAnsi="Book Antiqua" w:cs="Book Antiqua"/>
          <w:color w:val="000000"/>
        </w:rPr>
        <w:t>Gong ZM</w:t>
      </w:r>
      <w:r w:rsidRPr="00E940C3">
        <w:rPr>
          <w:rFonts w:ascii="Book Antiqua" w:eastAsia="Book Antiqua" w:hAnsi="Book Antiqua" w:cs="Book Antiqua"/>
          <w:b/>
          <w:color w:val="000000"/>
        </w:rPr>
        <w:t xml:space="preserve"> L-Editor: </w:t>
      </w:r>
      <w:r w:rsidR="00481697" w:rsidRPr="00E940C3">
        <w:rPr>
          <w:rFonts w:ascii="Book Antiqua" w:eastAsia="Book Antiqua" w:hAnsi="Book Antiqua" w:cs="Book Antiqua"/>
          <w:bCs/>
          <w:color w:val="000000"/>
        </w:rPr>
        <w:t xml:space="preserve">Filipodia </w:t>
      </w:r>
      <w:r w:rsidRPr="00E940C3">
        <w:rPr>
          <w:rFonts w:ascii="Book Antiqua" w:eastAsia="Book Antiqua" w:hAnsi="Book Antiqua" w:cs="Book Antiqua"/>
          <w:b/>
          <w:color w:val="000000"/>
        </w:rPr>
        <w:t>P-Editor:</w:t>
      </w:r>
    </w:p>
    <w:p w14:paraId="678314AC" w14:textId="77777777" w:rsidR="00265AC6" w:rsidRPr="00E940C3" w:rsidRDefault="00C42B56" w:rsidP="00265AC6">
      <w:pPr>
        <w:snapToGrid w:val="0"/>
        <w:spacing w:line="360" w:lineRule="auto"/>
        <w:rPr>
          <w:rFonts w:ascii="Book Antiqua" w:eastAsia="Book Antiqua" w:hAnsi="Book Antiqua" w:cs="Book Antiqua"/>
          <w:b/>
          <w:color w:val="000000"/>
        </w:rPr>
        <w:sectPr w:rsidR="00265AC6" w:rsidRPr="00E940C3">
          <w:pgSz w:w="12240" w:h="15840"/>
          <w:pgMar w:top="1440" w:right="1440" w:bottom="1440" w:left="1440" w:header="720" w:footer="720" w:gutter="0"/>
          <w:cols w:space="720"/>
          <w:docGrid w:linePitch="360"/>
        </w:sectPr>
      </w:pPr>
      <w:r w:rsidRPr="00E940C3">
        <w:rPr>
          <w:rFonts w:ascii="Book Antiqua" w:eastAsia="Book Antiqua" w:hAnsi="Book Antiqua" w:cs="Book Antiqua"/>
          <w:b/>
          <w:color w:val="000000"/>
        </w:rPr>
        <w:br w:type="page"/>
      </w:r>
    </w:p>
    <w:p w14:paraId="319AA18D" w14:textId="317DF517" w:rsidR="00861060" w:rsidRPr="00E940C3" w:rsidRDefault="00861060" w:rsidP="00265AC6">
      <w:pPr>
        <w:snapToGrid w:val="0"/>
        <w:spacing w:line="360" w:lineRule="auto"/>
        <w:rPr>
          <w:rFonts w:ascii="Book Antiqua" w:hAnsi="Book Antiqua" w:cstheme="minorHAnsi"/>
          <w:color w:val="0D0D0D" w:themeColor="text1" w:themeTint="F2"/>
        </w:rPr>
      </w:pPr>
      <w:r w:rsidRPr="00E940C3">
        <w:rPr>
          <w:rFonts w:ascii="Book Antiqua" w:hAnsi="Book Antiqua" w:cstheme="minorHAnsi"/>
          <w:b/>
          <w:bCs/>
          <w:color w:val="0D0D0D" w:themeColor="text1" w:themeTint="F2"/>
        </w:rPr>
        <w:lastRenderedPageBreak/>
        <w:t>Table 1</w:t>
      </w:r>
      <w:r w:rsidR="00A447B0" w:rsidRPr="00E940C3">
        <w:rPr>
          <w:rFonts w:ascii="Book Antiqua" w:hAnsi="Book Antiqua" w:cstheme="minorHAnsi"/>
          <w:b/>
          <w:bCs/>
          <w:color w:val="0D0D0D" w:themeColor="text1" w:themeTint="F2"/>
        </w:rPr>
        <w:t xml:space="preserve"> </w:t>
      </w:r>
      <w:r w:rsidRPr="00E940C3">
        <w:rPr>
          <w:rFonts w:ascii="Book Antiqua" w:hAnsi="Book Antiqua" w:cstheme="minorHAnsi"/>
          <w:b/>
          <w:bCs/>
          <w:color w:val="0D0D0D" w:themeColor="text1" w:themeTint="F2"/>
        </w:rPr>
        <w:t>Real</w:t>
      </w:r>
      <w:r w:rsidR="00FD4E0F" w:rsidRPr="00E940C3">
        <w:rPr>
          <w:rFonts w:ascii="Book Antiqua" w:hAnsi="Book Antiqua" w:cstheme="minorHAnsi"/>
          <w:b/>
          <w:bCs/>
          <w:color w:val="0D0D0D" w:themeColor="text1" w:themeTint="F2"/>
        </w:rPr>
        <w:t>-</w:t>
      </w:r>
      <w:r w:rsidRPr="00E940C3">
        <w:rPr>
          <w:rFonts w:ascii="Book Antiqua" w:hAnsi="Book Antiqua" w:cstheme="minorHAnsi"/>
          <w:b/>
          <w:bCs/>
          <w:color w:val="0D0D0D" w:themeColor="text1" w:themeTint="F2"/>
        </w:rPr>
        <w:t>world studies of</w:t>
      </w:r>
      <w:r w:rsidR="00A447B0" w:rsidRPr="00E940C3">
        <w:t xml:space="preserve"> </w:t>
      </w:r>
      <w:r w:rsidR="00A447B0" w:rsidRPr="00E940C3">
        <w:rPr>
          <w:rFonts w:ascii="Book Antiqua" w:hAnsi="Book Antiqua" w:cstheme="minorHAnsi"/>
          <w:b/>
          <w:bCs/>
          <w:color w:val="0D0D0D" w:themeColor="text1" w:themeTint="F2"/>
        </w:rPr>
        <w:t>gemcitabine/nab-paclitaxel</w:t>
      </w:r>
      <w:r w:rsidRPr="00E940C3">
        <w:rPr>
          <w:rFonts w:ascii="Book Antiqua" w:hAnsi="Book Antiqua" w:cstheme="minorHAnsi"/>
          <w:b/>
          <w:bCs/>
          <w:color w:val="0D0D0D" w:themeColor="text1" w:themeTint="F2"/>
        </w:rPr>
        <w:t xml:space="preserve"> in the first</w:t>
      </w:r>
      <w:r w:rsidR="00FD4E0F" w:rsidRPr="00E940C3">
        <w:rPr>
          <w:rFonts w:ascii="Book Antiqua" w:hAnsi="Book Antiqua" w:cstheme="minorHAnsi"/>
          <w:b/>
          <w:bCs/>
          <w:color w:val="0D0D0D" w:themeColor="text1" w:themeTint="F2"/>
        </w:rPr>
        <w:t>-</w:t>
      </w:r>
      <w:r w:rsidRPr="00E940C3">
        <w:rPr>
          <w:rFonts w:ascii="Book Antiqua" w:hAnsi="Book Antiqua" w:cstheme="minorHAnsi"/>
          <w:b/>
          <w:bCs/>
          <w:color w:val="0D0D0D" w:themeColor="text1" w:themeTint="F2"/>
        </w:rPr>
        <w:t>line setting</w:t>
      </w:r>
      <w:r w:rsidRPr="00E940C3">
        <w:rPr>
          <w:rFonts w:ascii="Book Antiqua" w:hAnsi="Book Antiqua" w:cstheme="minorHAnsi"/>
          <w:b/>
          <w:bCs/>
          <w:color w:val="0D0D0D" w:themeColor="text1" w:themeTint="F2"/>
          <w:vertAlign w:val="superscript"/>
        </w:rPr>
        <w:t>[19-23]</w:t>
      </w:r>
    </w:p>
    <w:tbl>
      <w:tblPr>
        <w:tblStyle w:val="ListTable1Light-Accent3"/>
        <w:tblpPr w:leftFromText="141" w:rightFromText="141" w:vertAnchor="text" w:horzAnchor="margin" w:tblpX="-546" w:tblpY="173"/>
        <w:tblW w:w="13035" w:type="dxa"/>
        <w:tblLayout w:type="fixed"/>
        <w:tblLook w:val="04A0" w:firstRow="1" w:lastRow="0" w:firstColumn="1" w:lastColumn="0" w:noHBand="0" w:noVBand="1"/>
      </w:tblPr>
      <w:tblGrid>
        <w:gridCol w:w="1448"/>
        <w:gridCol w:w="1268"/>
        <w:gridCol w:w="1629"/>
        <w:gridCol w:w="906"/>
        <w:gridCol w:w="724"/>
        <w:gridCol w:w="1267"/>
        <w:gridCol w:w="1268"/>
        <w:gridCol w:w="1448"/>
        <w:gridCol w:w="1267"/>
        <w:gridCol w:w="1810"/>
      </w:tblGrid>
      <w:tr w:rsidR="001B4F62" w:rsidRPr="00E940C3" w14:paraId="5DA895C4" w14:textId="77777777" w:rsidTr="001B4F62">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48" w:type="dxa"/>
            <w:tcBorders>
              <w:top w:val="single" w:sz="4" w:space="0" w:color="auto"/>
              <w:bottom w:val="single" w:sz="4" w:space="0" w:color="auto"/>
            </w:tcBorders>
            <w:shd w:val="clear" w:color="auto" w:fill="auto"/>
            <w:noWrap/>
            <w:hideMark/>
          </w:tcPr>
          <w:p w14:paraId="14347C8F" w14:textId="60D06A4D" w:rsidR="00861060" w:rsidRPr="00E940C3" w:rsidRDefault="00985A4F" w:rsidP="00265AC6">
            <w:pPr>
              <w:snapToGrid w:val="0"/>
              <w:spacing w:line="360" w:lineRule="auto"/>
              <w:ind w:left="-38"/>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Ref.</w:t>
            </w:r>
          </w:p>
        </w:tc>
        <w:tc>
          <w:tcPr>
            <w:tcW w:w="1268" w:type="dxa"/>
            <w:tcBorders>
              <w:top w:val="single" w:sz="4" w:space="0" w:color="auto"/>
              <w:bottom w:val="single" w:sz="4" w:space="0" w:color="auto"/>
            </w:tcBorders>
            <w:shd w:val="clear" w:color="auto" w:fill="auto"/>
            <w:noWrap/>
            <w:hideMark/>
          </w:tcPr>
          <w:p w14:paraId="3C9B47BA"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Location</w:t>
            </w:r>
          </w:p>
        </w:tc>
        <w:tc>
          <w:tcPr>
            <w:tcW w:w="1629" w:type="dxa"/>
            <w:tcBorders>
              <w:top w:val="single" w:sz="4" w:space="0" w:color="auto"/>
              <w:bottom w:val="single" w:sz="4" w:space="0" w:color="auto"/>
            </w:tcBorders>
            <w:shd w:val="clear" w:color="auto" w:fill="auto"/>
            <w:noWrap/>
            <w:hideMark/>
          </w:tcPr>
          <w:p w14:paraId="2C1B72E1"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Study design </w:t>
            </w:r>
          </w:p>
        </w:tc>
        <w:tc>
          <w:tcPr>
            <w:tcW w:w="906" w:type="dxa"/>
            <w:tcBorders>
              <w:top w:val="single" w:sz="4" w:space="0" w:color="auto"/>
              <w:bottom w:val="single" w:sz="4" w:space="0" w:color="auto"/>
            </w:tcBorders>
            <w:shd w:val="clear" w:color="auto" w:fill="auto"/>
          </w:tcPr>
          <w:p w14:paraId="3412E014"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Stage M1 </w:t>
            </w:r>
          </w:p>
        </w:tc>
        <w:tc>
          <w:tcPr>
            <w:tcW w:w="724" w:type="dxa"/>
            <w:tcBorders>
              <w:top w:val="single" w:sz="4" w:space="0" w:color="auto"/>
              <w:bottom w:val="single" w:sz="4" w:space="0" w:color="auto"/>
            </w:tcBorders>
            <w:shd w:val="clear" w:color="auto" w:fill="auto"/>
            <w:noWrap/>
            <w:hideMark/>
          </w:tcPr>
          <w:p w14:paraId="532B3DE6" w14:textId="200034B1" w:rsidR="00861060" w:rsidRPr="00E940C3" w:rsidRDefault="0042032D"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i/>
                <w:color w:val="0D0D0D" w:themeColor="text1" w:themeTint="F2"/>
                <w:lang w:val="en-US"/>
              </w:rPr>
            </w:pPr>
            <w:r w:rsidRPr="00E940C3">
              <w:rPr>
                <w:rFonts w:ascii="Book Antiqua" w:hAnsi="Book Antiqua" w:cstheme="minorHAnsi"/>
                <w:i/>
                <w:color w:val="0D0D0D" w:themeColor="text1" w:themeTint="F2"/>
                <w:lang w:val="en-US"/>
              </w:rPr>
              <w:t>n</w:t>
            </w:r>
          </w:p>
        </w:tc>
        <w:tc>
          <w:tcPr>
            <w:tcW w:w="1267" w:type="dxa"/>
            <w:tcBorders>
              <w:top w:val="single" w:sz="4" w:space="0" w:color="auto"/>
              <w:bottom w:val="single" w:sz="4" w:space="0" w:color="auto"/>
            </w:tcBorders>
            <w:shd w:val="clear" w:color="auto" w:fill="auto"/>
            <w:noWrap/>
            <w:hideMark/>
          </w:tcPr>
          <w:p w14:paraId="3CF28A34"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Regimen</w:t>
            </w:r>
          </w:p>
        </w:tc>
        <w:tc>
          <w:tcPr>
            <w:tcW w:w="1268" w:type="dxa"/>
            <w:tcBorders>
              <w:top w:val="single" w:sz="4" w:space="0" w:color="auto"/>
              <w:bottom w:val="single" w:sz="4" w:space="0" w:color="auto"/>
            </w:tcBorders>
            <w:shd w:val="clear" w:color="auto" w:fill="auto"/>
            <w:noWrap/>
            <w:hideMark/>
          </w:tcPr>
          <w:p w14:paraId="3FACCB13" w14:textId="007B9AEE" w:rsidR="00861060" w:rsidRPr="00E940C3" w:rsidRDefault="00861060" w:rsidP="0042032D">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mOS </w:t>
            </w:r>
            <w:r w:rsidR="008809D9">
              <w:rPr>
                <w:rFonts w:ascii="Book Antiqua" w:hAnsi="Book Antiqua" w:cstheme="minorHAnsi"/>
                <w:color w:val="0D0D0D" w:themeColor="text1" w:themeTint="F2"/>
                <w:lang w:val="en-US"/>
              </w:rPr>
              <w:t xml:space="preserve">in </w:t>
            </w:r>
            <w:r w:rsidRPr="00E940C3">
              <w:rPr>
                <w:rFonts w:ascii="Book Antiqua" w:hAnsi="Book Antiqua" w:cstheme="minorHAnsi"/>
                <w:color w:val="0D0D0D" w:themeColor="text1" w:themeTint="F2"/>
                <w:lang w:val="en-US"/>
              </w:rPr>
              <w:t>mo</w:t>
            </w:r>
          </w:p>
        </w:tc>
        <w:tc>
          <w:tcPr>
            <w:tcW w:w="1448" w:type="dxa"/>
            <w:tcBorders>
              <w:top w:val="single" w:sz="4" w:space="0" w:color="auto"/>
              <w:bottom w:val="single" w:sz="4" w:space="0" w:color="auto"/>
            </w:tcBorders>
            <w:shd w:val="clear" w:color="auto" w:fill="auto"/>
            <w:noWrap/>
            <w:hideMark/>
          </w:tcPr>
          <w:p w14:paraId="62F77E1A"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Subgroup analysis</w:t>
            </w:r>
          </w:p>
        </w:tc>
        <w:tc>
          <w:tcPr>
            <w:tcW w:w="1267" w:type="dxa"/>
            <w:tcBorders>
              <w:top w:val="single" w:sz="4" w:space="0" w:color="auto"/>
              <w:bottom w:val="single" w:sz="4" w:space="0" w:color="auto"/>
            </w:tcBorders>
            <w:shd w:val="clear" w:color="auto" w:fill="auto"/>
            <w:noWrap/>
            <w:hideMark/>
          </w:tcPr>
          <w:p w14:paraId="4BADA25B" w14:textId="2F68B1B8" w:rsidR="00861060" w:rsidRPr="00E940C3" w:rsidRDefault="00861060" w:rsidP="0042032D">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mPFS </w:t>
            </w:r>
            <w:r w:rsidR="008809D9">
              <w:rPr>
                <w:rFonts w:ascii="Book Antiqua" w:hAnsi="Book Antiqua" w:cstheme="minorHAnsi"/>
                <w:color w:val="0D0D0D" w:themeColor="text1" w:themeTint="F2"/>
                <w:lang w:val="en-US"/>
              </w:rPr>
              <w:t xml:space="preserve">in </w:t>
            </w:r>
            <w:r w:rsidRPr="00E940C3">
              <w:rPr>
                <w:rFonts w:ascii="Book Antiqua" w:hAnsi="Book Antiqua" w:cstheme="minorHAnsi"/>
                <w:color w:val="0D0D0D" w:themeColor="text1" w:themeTint="F2"/>
                <w:lang w:val="en-US"/>
              </w:rPr>
              <w:t xml:space="preserve">mo </w:t>
            </w:r>
          </w:p>
        </w:tc>
        <w:tc>
          <w:tcPr>
            <w:tcW w:w="1810" w:type="dxa"/>
            <w:tcBorders>
              <w:top w:val="single" w:sz="4" w:space="0" w:color="auto"/>
              <w:bottom w:val="single" w:sz="4" w:space="0" w:color="auto"/>
            </w:tcBorders>
            <w:shd w:val="clear" w:color="auto" w:fill="auto"/>
            <w:noWrap/>
            <w:hideMark/>
          </w:tcPr>
          <w:p w14:paraId="5F3A6103"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Remarks</w:t>
            </w:r>
          </w:p>
        </w:tc>
      </w:tr>
      <w:tr w:rsidR="00265AC6" w:rsidRPr="00E940C3" w14:paraId="743EB0C9" w14:textId="77777777" w:rsidTr="001B4F6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48" w:type="dxa"/>
            <w:tcBorders>
              <w:top w:val="single" w:sz="4" w:space="0" w:color="auto"/>
            </w:tcBorders>
            <w:shd w:val="clear" w:color="auto" w:fill="auto"/>
            <w:noWrap/>
            <w:hideMark/>
          </w:tcPr>
          <w:p w14:paraId="27866CB3" w14:textId="635C0D75" w:rsidR="00861060" w:rsidRPr="00E940C3" w:rsidRDefault="00861060" w:rsidP="00803E82">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color w:val="0D0D0D" w:themeColor="text1" w:themeTint="F2"/>
                <w:lang w:val="en-US"/>
              </w:rPr>
              <w:t>Prager</w:t>
            </w:r>
            <w:r w:rsidRPr="00E940C3">
              <w:rPr>
                <w:rFonts w:ascii="Book Antiqua" w:hAnsi="Book Antiqua" w:cstheme="minorHAnsi"/>
                <w:b w:val="0"/>
                <w:i/>
                <w:color w:val="0D0D0D" w:themeColor="text1" w:themeTint="F2"/>
                <w:lang w:val="en-US"/>
              </w:rPr>
              <w:t xml:space="preserve"> </w:t>
            </w:r>
            <w:r w:rsidR="00803E82" w:rsidRPr="00E940C3">
              <w:rPr>
                <w:rFonts w:ascii="Book Antiqua" w:hAnsi="Book Antiqua" w:cstheme="minorHAnsi"/>
                <w:b w:val="0"/>
                <w:i/>
                <w:color w:val="0D0D0D" w:themeColor="text1" w:themeTint="F2"/>
                <w:lang w:val="en-US"/>
              </w:rPr>
              <w:t>et al</w:t>
            </w:r>
            <w:r w:rsidR="00803E82" w:rsidRPr="00E940C3">
              <w:rPr>
                <w:rFonts w:ascii="Book Antiqua" w:hAnsi="Book Antiqua" w:cstheme="minorHAnsi"/>
                <w:b w:val="0"/>
                <w:color w:val="0D0D0D" w:themeColor="text1" w:themeTint="F2"/>
                <w:vertAlign w:val="superscript"/>
                <w:lang w:val="en-US"/>
              </w:rPr>
              <w:t>[19]</w:t>
            </w:r>
            <w:r w:rsidRPr="00E940C3">
              <w:rPr>
                <w:rFonts w:ascii="Book Antiqua" w:hAnsi="Book Antiqua" w:cstheme="minorHAnsi"/>
                <w:b w:val="0"/>
                <w:color w:val="0D0D0D" w:themeColor="text1" w:themeTint="F2"/>
                <w:lang w:val="en-US"/>
              </w:rPr>
              <w:t xml:space="preserve">, 2021 </w:t>
            </w:r>
          </w:p>
        </w:tc>
        <w:tc>
          <w:tcPr>
            <w:tcW w:w="1268" w:type="dxa"/>
            <w:tcBorders>
              <w:top w:val="single" w:sz="4" w:space="0" w:color="auto"/>
            </w:tcBorders>
            <w:shd w:val="clear" w:color="auto" w:fill="auto"/>
            <w:noWrap/>
            <w:hideMark/>
          </w:tcPr>
          <w:p w14:paraId="6B04E977"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Austria</w:t>
            </w:r>
          </w:p>
        </w:tc>
        <w:tc>
          <w:tcPr>
            <w:tcW w:w="1629" w:type="dxa"/>
            <w:tcBorders>
              <w:top w:val="single" w:sz="4" w:space="0" w:color="auto"/>
            </w:tcBorders>
            <w:shd w:val="clear" w:color="auto" w:fill="auto"/>
            <w:noWrap/>
            <w:hideMark/>
          </w:tcPr>
          <w:p w14:paraId="367D5D49"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Prospective cohort</w:t>
            </w:r>
          </w:p>
        </w:tc>
        <w:tc>
          <w:tcPr>
            <w:tcW w:w="906" w:type="dxa"/>
            <w:tcBorders>
              <w:top w:val="single" w:sz="4" w:space="0" w:color="auto"/>
            </w:tcBorders>
            <w:shd w:val="clear" w:color="auto" w:fill="auto"/>
          </w:tcPr>
          <w:p w14:paraId="02709875"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100%</w:t>
            </w:r>
          </w:p>
        </w:tc>
        <w:tc>
          <w:tcPr>
            <w:tcW w:w="724" w:type="dxa"/>
            <w:tcBorders>
              <w:top w:val="single" w:sz="4" w:space="0" w:color="auto"/>
            </w:tcBorders>
            <w:shd w:val="clear" w:color="auto" w:fill="auto"/>
            <w:noWrap/>
            <w:hideMark/>
          </w:tcPr>
          <w:p w14:paraId="3495794D"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317</w:t>
            </w:r>
          </w:p>
        </w:tc>
        <w:tc>
          <w:tcPr>
            <w:tcW w:w="1267" w:type="dxa"/>
            <w:tcBorders>
              <w:top w:val="single" w:sz="4" w:space="0" w:color="auto"/>
            </w:tcBorders>
            <w:shd w:val="clear" w:color="auto" w:fill="auto"/>
            <w:noWrap/>
            <w:hideMark/>
          </w:tcPr>
          <w:p w14:paraId="655B4CAC"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w:t>
            </w:r>
          </w:p>
        </w:tc>
        <w:tc>
          <w:tcPr>
            <w:tcW w:w="1268" w:type="dxa"/>
            <w:tcBorders>
              <w:top w:val="single" w:sz="4" w:space="0" w:color="auto"/>
            </w:tcBorders>
            <w:shd w:val="clear" w:color="auto" w:fill="auto"/>
            <w:noWrap/>
            <w:hideMark/>
          </w:tcPr>
          <w:p w14:paraId="7A99612F"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10.6/10.2</w:t>
            </w:r>
          </w:p>
        </w:tc>
        <w:tc>
          <w:tcPr>
            <w:tcW w:w="1448" w:type="dxa"/>
            <w:tcBorders>
              <w:top w:val="single" w:sz="4" w:space="0" w:color="auto"/>
            </w:tcBorders>
            <w:shd w:val="clear" w:color="auto" w:fill="auto"/>
            <w:noWrap/>
            <w:hideMark/>
          </w:tcPr>
          <w:p w14:paraId="69324E32" w14:textId="33DB17CE"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Age &lt;</w:t>
            </w:r>
            <w:r w:rsidR="0042032D" w:rsidRPr="00E940C3">
              <w:rPr>
                <w:rFonts w:ascii="Book Antiqua" w:hAnsi="Book Antiqua" w:cstheme="minorHAnsi"/>
                <w:color w:val="0D0D0D" w:themeColor="text1" w:themeTint="F2"/>
                <w:lang w:val="en-US"/>
              </w:rPr>
              <w:t xml:space="preserve"> </w:t>
            </w:r>
            <w:r w:rsidRPr="00E940C3">
              <w:rPr>
                <w:rFonts w:ascii="Book Antiqua" w:hAnsi="Book Antiqua" w:cstheme="minorHAnsi"/>
                <w:color w:val="0D0D0D" w:themeColor="text1" w:themeTint="F2"/>
                <w:lang w:val="en-US"/>
              </w:rPr>
              <w:t>70/&gt;</w:t>
            </w:r>
            <w:r w:rsidR="0042032D" w:rsidRPr="00E940C3">
              <w:rPr>
                <w:rFonts w:ascii="Book Antiqua" w:hAnsi="Book Antiqua" w:cstheme="minorHAnsi"/>
                <w:color w:val="0D0D0D" w:themeColor="text1" w:themeTint="F2"/>
                <w:lang w:val="en-US"/>
              </w:rPr>
              <w:t xml:space="preserve"> </w:t>
            </w:r>
            <w:r w:rsidRPr="00E940C3">
              <w:rPr>
                <w:rFonts w:ascii="Book Antiqua" w:hAnsi="Book Antiqua" w:cstheme="minorHAnsi"/>
                <w:color w:val="0D0D0D" w:themeColor="text1" w:themeTint="F2"/>
                <w:lang w:val="en-US"/>
              </w:rPr>
              <w:t>70</w:t>
            </w:r>
          </w:p>
        </w:tc>
        <w:tc>
          <w:tcPr>
            <w:tcW w:w="1267" w:type="dxa"/>
            <w:tcBorders>
              <w:top w:val="single" w:sz="4" w:space="0" w:color="auto"/>
            </w:tcBorders>
            <w:shd w:val="clear" w:color="auto" w:fill="auto"/>
            <w:noWrap/>
            <w:hideMark/>
          </w:tcPr>
          <w:p w14:paraId="49EEB366"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5.6/5.5</w:t>
            </w:r>
          </w:p>
        </w:tc>
        <w:tc>
          <w:tcPr>
            <w:tcW w:w="1810" w:type="dxa"/>
            <w:tcBorders>
              <w:top w:val="single" w:sz="4" w:space="0" w:color="auto"/>
            </w:tcBorders>
            <w:shd w:val="clear" w:color="auto" w:fill="auto"/>
            <w:noWrap/>
            <w:hideMark/>
          </w:tcPr>
          <w:p w14:paraId="656524B9"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No difference in frequent toxicities</w:t>
            </w:r>
          </w:p>
        </w:tc>
      </w:tr>
      <w:tr w:rsidR="001B4F62" w:rsidRPr="00E940C3" w14:paraId="1A6EA77D" w14:textId="77777777" w:rsidTr="001B4F62">
        <w:trPr>
          <w:trHeight w:val="245"/>
        </w:trPr>
        <w:tc>
          <w:tcPr>
            <w:cnfStyle w:val="001000000000" w:firstRow="0" w:lastRow="0" w:firstColumn="1" w:lastColumn="0" w:oddVBand="0" w:evenVBand="0" w:oddHBand="0" w:evenHBand="0" w:firstRowFirstColumn="0" w:firstRowLastColumn="0" w:lastRowFirstColumn="0" w:lastRowLastColumn="0"/>
            <w:tcW w:w="1448" w:type="dxa"/>
            <w:shd w:val="clear" w:color="auto" w:fill="auto"/>
            <w:noWrap/>
            <w:hideMark/>
          </w:tcPr>
          <w:p w14:paraId="2410F839" w14:textId="07011361" w:rsidR="00861060" w:rsidRPr="00E940C3" w:rsidRDefault="00861060" w:rsidP="00803E82">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color w:val="0D0D0D" w:themeColor="text1" w:themeTint="F2"/>
                <w:lang w:val="en-US"/>
              </w:rPr>
              <w:t xml:space="preserve">Blomstrand </w:t>
            </w:r>
            <w:r w:rsidR="00803E82" w:rsidRPr="00E940C3">
              <w:rPr>
                <w:rFonts w:ascii="Book Antiqua" w:hAnsi="Book Antiqua" w:cstheme="minorHAnsi"/>
                <w:b w:val="0"/>
                <w:i/>
                <w:color w:val="0D0D0D" w:themeColor="text1" w:themeTint="F2"/>
                <w:lang w:val="en-US"/>
              </w:rPr>
              <w:t>et al</w:t>
            </w:r>
            <w:r w:rsidR="00803E82" w:rsidRPr="00E940C3">
              <w:rPr>
                <w:rFonts w:ascii="Book Antiqua" w:hAnsi="Book Antiqua" w:cstheme="minorHAnsi"/>
                <w:b w:val="0"/>
                <w:color w:val="0D0D0D" w:themeColor="text1" w:themeTint="F2"/>
                <w:vertAlign w:val="superscript"/>
                <w:lang w:val="en-US"/>
              </w:rPr>
              <w:t>[20,21]</w:t>
            </w:r>
            <w:r w:rsidRPr="00E940C3">
              <w:rPr>
                <w:rFonts w:ascii="Book Antiqua" w:hAnsi="Book Antiqua" w:cstheme="minorHAnsi"/>
                <w:b w:val="0"/>
                <w:color w:val="0D0D0D" w:themeColor="text1" w:themeTint="F2"/>
                <w:lang w:val="en-US"/>
              </w:rPr>
              <w:t>, 2019/2020</w:t>
            </w:r>
          </w:p>
        </w:tc>
        <w:tc>
          <w:tcPr>
            <w:tcW w:w="1268" w:type="dxa"/>
            <w:shd w:val="clear" w:color="auto" w:fill="auto"/>
            <w:noWrap/>
            <w:hideMark/>
          </w:tcPr>
          <w:p w14:paraId="3A0F5715"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Sweden</w:t>
            </w:r>
          </w:p>
        </w:tc>
        <w:tc>
          <w:tcPr>
            <w:tcW w:w="1629" w:type="dxa"/>
            <w:shd w:val="clear" w:color="auto" w:fill="auto"/>
            <w:noWrap/>
            <w:hideMark/>
          </w:tcPr>
          <w:p w14:paraId="798C9931"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906" w:type="dxa"/>
            <w:shd w:val="clear" w:color="auto" w:fill="auto"/>
          </w:tcPr>
          <w:p w14:paraId="21DDE177"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71%</w:t>
            </w:r>
          </w:p>
        </w:tc>
        <w:tc>
          <w:tcPr>
            <w:tcW w:w="724" w:type="dxa"/>
            <w:shd w:val="clear" w:color="auto" w:fill="auto"/>
            <w:noWrap/>
            <w:hideMark/>
          </w:tcPr>
          <w:p w14:paraId="581F6506"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75</w:t>
            </w:r>
          </w:p>
        </w:tc>
        <w:tc>
          <w:tcPr>
            <w:tcW w:w="1267" w:type="dxa"/>
            <w:shd w:val="clear" w:color="auto" w:fill="auto"/>
            <w:noWrap/>
            <w:hideMark/>
          </w:tcPr>
          <w:p w14:paraId="47738C5E"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w:t>
            </w:r>
          </w:p>
        </w:tc>
        <w:tc>
          <w:tcPr>
            <w:tcW w:w="1268" w:type="dxa"/>
            <w:shd w:val="clear" w:color="auto" w:fill="auto"/>
            <w:noWrap/>
            <w:hideMark/>
          </w:tcPr>
          <w:p w14:paraId="36DCCF49"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10.9</w:t>
            </w:r>
          </w:p>
        </w:tc>
        <w:tc>
          <w:tcPr>
            <w:tcW w:w="1448" w:type="dxa"/>
            <w:shd w:val="clear" w:color="auto" w:fill="auto"/>
            <w:noWrap/>
            <w:hideMark/>
          </w:tcPr>
          <w:p w14:paraId="5008F4E4" w14:textId="6AF18C74"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Alb &lt;3</w:t>
            </w:r>
            <w:r w:rsidR="00591B3B" w:rsidRPr="00E940C3">
              <w:rPr>
                <w:rFonts w:ascii="Book Antiqua" w:hAnsi="Book Antiqua" w:cstheme="minorHAnsi"/>
                <w:color w:val="0D0D0D" w:themeColor="text1" w:themeTint="F2"/>
                <w:lang w:val="en-US"/>
              </w:rPr>
              <w:t xml:space="preserve"> </w:t>
            </w:r>
            <w:r w:rsidRPr="00E940C3">
              <w:rPr>
                <w:rFonts w:ascii="Book Antiqua" w:hAnsi="Book Antiqua" w:cstheme="minorHAnsi"/>
                <w:color w:val="0D0D0D" w:themeColor="text1" w:themeTint="F2"/>
                <w:lang w:val="en-US"/>
              </w:rPr>
              <w:t>7, age &lt;</w:t>
            </w:r>
            <w:r w:rsidR="00591B3B" w:rsidRPr="00E940C3">
              <w:rPr>
                <w:rFonts w:ascii="Book Antiqua" w:hAnsi="Book Antiqua" w:cstheme="minorHAnsi"/>
                <w:color w:val="0D0D0D" w:themeColor="text1" w:themeTint="F2"/>
                <w:lang w:val="en-US"/>
              </w:rPr>
              <w:t xml:space="preserve"> </w:t>
            </w:r>
            <w:r w:rsidRPr="00E940C3">
              <w:rPr>
                <w:rFonts w:ascii="Book Antiqua" w:hAnsi="Book Antiqua" w:cstheme="minorHAnsi"/>
                <w:color w:val="0D0D0D" w:themeColor="text1" w:themeTint="F2"/>
                <w:lang w:val="en-US"/>
              </w:rPr>
              <w:t>65 with shorter survival</w:t>
            </w:r>
          </w:p>
        </w:tc>
        <w:tc>
          <w:tcPr>
            <w:tcW w:w="1267" w:type="dxa"/>
            <w:shd w:val="clear" w:color="auto" w:fill="auto"/>
            <w:noWrap/>
            <w:hideMark/>
          </w:tcPr>
          <w:p w14:paraId="02A7B2B6"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5.2</w:t>
            </w:r>
          </w:p>
        </w:tc>
        <w:tc>
          <w:tcPr>
            <w:tcW w:w="1810" w:type="dxa"/>
            <w:shd w:val="clear" w:color="auto" w:fill="auto"/>
            <w:noWrap/>
            <w:hideMark/>
          </w:tcPr>
          <w:p w14:paraId="767FA876"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Less hematotoxicity than MPACT</w:t>
            </w:r>
          </w:p>
        </w:tc>
      </w:tr>
      <w:tr w:rsidR="00265AC6" w:rsidRPr="00E940C3" w14:paraId="6B1E2C7E" w14:textId="77777777" w:rsidTr="001B4F6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48" w:type="dxa"/>
            <w:shd w:val="clear" w:color="auto" w:fill="auto"/>
            <w:noWrap/>
            <w:hideMark/>
          </w:tcPr>
          <w:p w14:paraId="221C311E" w14:textId="4F511BEC" w:rsidR="00861060" w:rsidRPr="00E940C3" w:rsidRDefault="00861060" w:rsidP="00262930">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color w:val="0D0D0D" w:themeColor="text1" w:themeTint="F2"/>
                <w:lang w:val="en-US"/>
              </w:rPr>
              <w:t xml:space="preserve">Ostwal </w:t>
            </w:r>
            <w:r w:rsidR="00262930" w:rsidRPr="00E940C3">
              <w:rPr>
                <w:rFonts w:ascii="Book Antiqua" w:hAnsi="Book Antiqua" w:cstheme="minorHAnsi"/>
                <w:b w:val="0"/>
                <w:i/>
                <w:color w:val="0D0D0D" w:themeColor="text1" w:themeTint="F2"/>
                <w:lang w:val="en-US"/>
              </w:rPr>
              <w:t>et al</w:t>
            </w:r>
            <w:r w:rsidR="00262930" w:rsidRPr="00E940C3">
              <w:rPr>
                <w:rFonts w:ascii="Book Antiqua" w:hAnsi="Book Antiqua" w:cstheme="minorHAnsi"/>
                <w:b w:val="0"/>
                <w:color w:val="0D0D0D" w:themeColor="text1" w:themeTint="F2"/>
                <w:vertAlign w:val="superscript"/>
                <w:lang w:val="en-US"/>
              </w:rPr>
              <w:t>[22]</w:t>
            </w:r>
            <w:r w:rsidRPr="00E940C3">
              <w:rPr>
                <w:rFonts w:ascii="Book Antiqua" w:hAnsi="Book Antiqua" w:cstheme="minorHAnsi"/>
                <w:b w:val="0"/>
                <w:color w:val="0D0D0D" w:themeColor="text1" w:themeTint="F2"/>
                <w:lang w:val="en-US"/>
              </w:rPr>
              <w:t>, 2018</w:t>
            </w:r>
          </w:p>
        </w:tc>
        <w:tc>
          <w:tcPr>
            <w:tcW w:w="1268" w:type="dxa"/>
            <w:shd w:val="clear" w:color="auto" w:fill="auto"/>
            <w:noWrap/>
            <w:hideMark/>
          </w:tcPr>
          <w:p w14:paraId="2E95030C"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India</w:t>
            </w:r>
          </w:p>
        </w:tc>
        <w:tc>
          <w:tcPr>
            <w:tcW w:w="1629" w:type="dxa"/>
            <w:shd w:val="clear" w:color="auto" w:fill="auto"/>
            <w:noWrap/>
            <w:hideMark/>
          </w:tcPr>
          <w:p w14:paraId="25A2B136"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906" w:type="dxa"/>
            <w:shd w:val="clear" w:color="auto" w:fill="auto"/>
          </w:tcPr>
          <w:p w14:paraId="6D7533E4"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83%</w:t>
            </w:r>
          </w:p>
        </w:tc>
        <w:tc>
          <w:tcPr>
            <w:tcW w:w="724" w:type="dxa"/>
            <w:shd w:val="clear" w:color="auto" w:fill="auto"/>
            <w:noWrap/>
            <w:hideMark/>
          </w:tcPr>
          <w:p w14:paraId="44549269"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78</w:t>
            </w:r>
          </w:p>
        </w:tc>
        <w:tc>
          <w:tcPr>
            <w:tcW w:w="1267" w:type="dxa"/>
            <w:shd w:val="clear" w:color="auto" w:fill="auto"/>
            <w:noWrap/>
            <w:hideMark/>
          </w:tcPr>
          <w:p w14:paraId="7B81A53A"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w:t>
            </w:r>
          </w:p>
        </w:tc>
        <w:tc>
          <w:tcPr>
            <w:tcW w:w="1268" w:type="dxa"/>
            <w:shd w:val="clear" w:color="auto" w:fill="auto"/>
            <w:noWrap/>
            <w:hideMark/>
          </w:tcPr>
          <w:p w14:paraId="37AC8F2B"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11.6</w:t>
            </w:r>
          </w:p>
        </w:tc>
        <w:tc>
          <w:tcPr>
            <w:tcW w:w="1448" w:type="dxa"/>
            <w:shd w:val="clear" w:color="auto" w:fill="auto"/>
            <w:noWrap/>
            <w:hideMark/>
          </w:tcPr>
          <w:p w14:paraId="71FD2A14"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
        </w:tc>
        <w:tc>
          <w:tcPr>
            <w:tcW w:w="1267" w:type="dxa"/>
            <w:shd w:val="clear" w:color="auto" w:fill="auto"/>
            <w:noWrap/>
            <w:hideMark/>
          </w:tcPr>
          <w:p w14:paraId="184429B8"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5.6</w:t>
            </w:r>
          </w:p>
        </w:tc>
        <w:tc>
          <w:tcPr>
            <w:tcW w:w="1810" w:type="dxa"/>
            <w:shd w:val="clear" w:color="auto" w:fill="auto"/>
            <w:noWrap/>
            <w:hideMark/>
          </w:tcPr>
          <w:p w14:paraId="0A01336A"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Grade III-IV toxicity 35%</w:t>
            </w:r>
          </w:p>
        </w:tc>
      </w:tr>
      <w:tr w:rsidR="001B4F62" w:rsidRPr="00E940C3" w14:paraId="37C52AB9" w14:textId="77777777" w:rsidTr="001B4F62">
        <w:trPr>
          <w:trHeight w:val="245"/>
        </w:trPr>
        <w:tc>
          <w:tcPr>
            <w:cnfStyle w:val="001000000000" w:firstRow="0" w:lastRow="0" w:firstColumn="1" w:lastColumn="0" w:oddVBand="0" w:evenVBand="0" w:oddHBand="0" w:evenHBand="0" w:firstRowFirstColumn="0" w:firstRowLastColumn="0" w:lastRowFirstColumn="0" w:lastRowLastColumn="0"/>
            <w:tcW w:w="1448" w:type="dxa"/>
            <w:tcBorders>
              <w:bottom w:val="single" w:sz="4" w:space="0" w:color="auto"/>
            </w:tcBorders>
            <w:shd w:val="clear" w:color="auto" w:fill="auto"/>
            <w:noWrap/>
            <w:hideMark/>
          </w:tcPr>
          <w:p w14:paraId="7F9DC672" w14:textId="75A90299" w:rsidR="00861060" w:rsidRPr="00E940C3" w:rsidRDefault="00861060" w:rsidP="00262930">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color w:val="0D0D0D" w:themeColor="text1" w:themeTint="F2"/>
                <w:lang w:val="en-US"/>
              </w:rPr>
              <w:t xml:space="preserve">Quinton </w:t>
            </w:r>
            <w:r w:rsidR="00262930" w:rsidRPr="00E940C3">
              <w:rPr>
                <w:rFonts w:ascii="Book Antiqua" w:hAnsi="Book Antiqua" w:cstheme="minorHAnsi"/>
                <w:b w:val="0"/>
                <w:i/>
                <w:color w:val="0D0D0D" w:themeColor="text1" w:themeTint="F2"/>
                <w:lang w:val="en-US"/>
              </w:rPr>
              <w:t>et al</w:t>
            </w:r>
            <w:r w:rsidR="00262930" w:rsidRPr="00E940C3">
              <w:rPr>
                <w:rFonts w:ascii="Book Antiqua" w:hAnsi="Book Antiqua" w:cstheme="minorHAnsi"/>
                <w:b w:val="0"/>
                <w:color w:val="0D0D0D" w:themeColor="text1" w:themeTint="F2"/>
                <w:vertAlign w:val="superscript"/>
                <w:lang w:val="en-US"/>
              </w:rPr>
              <w:t>[23]</w:t>
            </w:r>
            <w:r w:rsidRPr="00E940C3">
              <w:rPr>
                <w:rFonts w:ascii="Book Antiqua" w:hAnsi="Book Antiqua" w:cstheme="minorHAnsi"/>
                <w:b w:val="0"/>
                <w:color w:val="0D0D0D" w:themeColor="text1" w:themeTint="F2"/>
                <w:lang w:val="en-US"/>
              </w:rPr>
              <w:t>, 2018</w:t>
            </w:r>
          </w:p>
        </w:tc>
        <w:tc>
          <w:tcPr>
            <w:tcW w:w="1268" w:type="dxa"/>
            <w:tcBorders>
              <w:bottom w:val="single" w:sz="4" w:space="0" w:color="auto"/>
            </w:tcBorders>
            <w:shd w:val="clear" w:color="auto" w:fill="auto"/>
            <w:noWrap/>
            <w:hideMark/>
          </w:tcPr>
          <w:p w14:paraId="62D2FA2C"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United Kingdom</w:t>
            </w:r>
          </w:p>
        </w:tc>
        <w:tc>
          <w:tcPr>
            <w:tcW w:w="1629" w:type="dxa"/>
            <w:tcBorders>
              <w:bottom w:val="single" w:sz="4" w:space="0" w:color="auto"/>
            </w:tcBorders>
            <w:shd w:val="clear" w:color="auto" w:fill="auto"/>
            <w:noWrap/>
            <w:hideMark/>
          </w:tcPr>
          <w:p w14:paraId="52D46670"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906" w:type="dxa"/>
            <w:tcBorders>
              <w:bottom w:val="single" w:sz="4" w:space="0" w:color="auto"/>
            </w:tcBorders>
            <w:shd w:val="clear" w:color="auto" w:fill="auto"/>
          </w:tcPr>
          <w:p w14:paraId="396ACB94"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100%</w:t>
            </w:r>
          </w:p>
        </w:tc>
        <w:tc>
          <w:tcPr>
            <w:tcW w:w="724" w:type="dxa"/>
            <w:tcBorders>
              <w:bottom w:val="single" w:sz="4" w:space="0" w:color="auto"/>
            </w:tcBorders>
            <w:shd w:val="clear" w:color="auto" w:fill="auto"/>
            <w:noWrap/>
            <w:hideMark/>
          </w:tcPr>
          <w:p w14:paraId="5110AE07"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74</w:t>
            </w:r>
          </w:p>
        </w:tc>
        <w:tc>
          <w:tcPr>
            <w:tcW w:w="1267" w:type="dxa"/>
            <w:tcBorders>
              <w:bottom w:val="single" w:sz="4" w:space="0" w:color="auto"/>
            </w:tcBorders>
            <w:shd w:val="clear" w:color="auto" w:fill="auto"/>
            <w:noWrap/>
            <w:hideMark/>
          </w:tcPr>
          <w:p w14:paraId="07F12467"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
        </w:tc>
        <w:tc>
          <w:tcPr>
            <w:tcW w:w="1268" w:type="dxa"/>
            <w:tcBorders>
              <w:bottom w:val="single" w:sz="4" w:space="0" w:color="auto"/>
            </w:tcBorders>
            <w:shd w:val="clear" w:color="auto" w:fill="auto"/>
            <w:noWrap/>
            <w:hideMark/>
          </w:tcPr>
          <w:p w14:paraId="490E3F6F"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8.4</w:t>
            </w:r>
          </w:p>
        </w:tc>
        <w:tc>
          <w:tcPr>
            <w:tcW w:w="1448" w:type="dxa"/>
            <w:tcBorders>
              <w:bottom w:val="single" w:sz="4" w:space="0" w:color="auto"/>
            </w:tcBorders>
            <w:shd w:val="clear" w:color="auto" w:fill="auto"/>
            <w:noWrap/>
            <w:hideMark/>
          </w:tcPr>
          <w:p w14:paraId="42A4721F"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
        </w:tc>
        <w:tc>
          <w:tcPr>
            <w:tcW w:w="1267" w:type="dxa"/>
            <w:tcBorders>
              <w:bottom w:val="single" w:sz="4" w:space="0" w:color="auto"/>
            </w:tcBorders>
            <w:shd w:val="clear" w:color="auto" w:fill="auto"/>
            <w:noWrap/>
            <w:hideMark/>
          </w:tcPr>
          <w:p w14:paraId="39BADF36"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810" w:type="dxa"/>
            <w:tcBorders>
              <w:bottom w:val="single" w:sz="4" w:space="0" w:color="auto"/>
            </w:tcBorders>
            <w:shd w:val="clear" w:color="auto" w:fill="auto"/>
            <w:noWrap/>
            <w:hideMark/>
          </w:tcPr>
          <w:p w14:paraId="5111ED30"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Hematotoxicity similar to MPACT</w:t>
            </w:r>
          </w:p>
        </w:tc>
      </w:tr>
    </w:tbl>
    <w:p w14:paraId="57DF5197" w14:textId="0BCA76A1" w:rsidR="00567E54" w:rsidRPr="00E940C3" w:rsidRDefault="00861060" w:rsidP="00265AC6">
      <w:pPr>
        <w:snapToGrid w:val="0"/>
        <w:spacing w:line="360" w:lineRule="auto"/>
        <w:rPr>
          <w:rFonts w:ascii="Book Antiqua" w:hAnsi="Book Antiqua" w:cstheme="minorHAnsi"/>
          <w:color w:val="0D0D0D" w:themeColor="text1" w:themeTint="F2"/>
        </w:rPr>
      </w:pPr>
      <w:r w:rsidRPr="00E940C3">
        <w:rPr>
          <w:rFonts w:ascii="Book Antiqua" w:hAnsi="Book Antiqua" w:cstheme="minorHAnsi"/>
          <w:color w:val="0D0D0D" w:themeColor="text1" w:themeTint="F2"/>
        </w:rPr>
        <w:t>GnP: Gemcitabine/Nab-paclitaxel;</w:t>
      </w:r>
      <w:r w:rsidR="00567E54" w:rsidRPr="00E940C3">
        <w:rPr>
          <w:rFonts w:ascii="Book Antiqua" w:hAnsi="Book Antiqua" w:cstheme="minorHAnsi"/>
          <w:color w:val="0D0D0D" w:themeColor="text1" w:themeTint="F2"/>
        </w:rPr>
        <w:t xml:space="preserve"> </w:t>
      </w:r>
      <w:r w:rsidRPr="00E940C3">
        <w:rPr>
          <w:rFonts w:ascii="Book Antiqua" w:hAnsi="Book Antiqua" w:cstheme="minorHAnsi"/>
          <w:color w:val="0D0D0D" w:themeColor="text1" w:themeTint="F2"/>
        </w:rPr>
        <w:t xml:space="preserve">M1: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etastatic disease; mOS: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edian overall survival; mPFS: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edian progression</w:t>
      </w:r>
      <w:r w:rsidR="008C19B4">
        <w:rPr>
          <w:rFonts w:ascii="Book Antiqua" w:hAnsi="Book Antiqua" w:cstheme="minorHAnsi"/>
          <w:color w:val="0D0D0D" w:themeColor="text1" w:themeTint="F2"/>
        </w:rPr>
        <w:t>-</w:t>
      </w:r>
      <w:r w:rsidRPr="00E940C3">
        <w:rPr>
          <w:rFonts w:ascii="Book Antiqua" w:hAnsi="Book Antiqua" w:cstheme="minorHAnsi"/>
          <w:color w:val="0D0D0D" w:themeColor="text1" w:themeTint="F2"/>
        </w:rPr>
        <w:t>free survival</w:t>
      </w:r>
      <w:r w:rsidR="00567E54" w:rsidRPr="00E940C3">
        <w:rPr>
          <w:rFonts w:ascii="Book Antiqua" w:hAnsi="Book Antiqua" w:cstheme="minorHAnsi"/>
          <w:color w:val="0D0D0D" w:themeColor="text1" w:themeTint="F2"/>
        </w:rPr>
        <w:t>.</w:t>
      </w:r>
    </w:p>
    <w:p w14:paraId="2B070638" w14:textId="2D49EF44" w:rsidR="00265AC6" w:rsidRPr="00E940C3" w:rsidRDefault="00265AC6" w:rsidP="00265AC6">
      <w:pPr>
        <w:snapToGrid w:val="0"/>
        <w:spacing w:line="360" w:lineRule="auto"/>
        <w:rPr>
          <w:rFonts w:ascii="Book Antiqua" w:hAnsi="Book Antiqua" w:cstheme="minorHAnsi"/>
          <w:color w:val="0D0D0D" w:themeColor="text1" w:themeTint="F2"/>
        </w:rPr>
      </w:pPr>
      <w:r w:rsidRPr="00E940C3">
        <w:rPr>
          <w:rFonts w:ascii="Book Antiqua" w:hAnsi="Book Antiqua" w:cstheme="minorHAnsi"/>
          <w:color w:val="0D0D0D" w:themeColor="text1" w:themeTint="F2"/>
        </w:rPr>
        <w:br w:type="page"/>
      </w:r>
    </w:p>
    <w:p w14:paraId="47865A6D" w14:textId="5E76A44A" w:rsidR="00861060" w:rsidRPr="00E940C3" w:rsidRDefault="00861060" w:rsidP="00265AC6">
      <w:pPr>
        <w:pStyle w:val="EndNoteBibliography"/>
        <w:snapToGrid w:val="0"/>
        <w:spacing w:after="0" w:line="360" w:lineRule="auto"/>
        <w:rPr>
          <w:rFonts w:ascii="Book Antiqua" w:hAnsi="Book Antiqua" w:cstheme="minorHAnsi"/>
          <w:noProof w:val="0"/>
          <w:color w:val="0D0D0D" w:themeColor="text1" w:themeTint="F2"/>
          <w:sz w:val="24"/>
          <w:szCs w:val="24"/>
        </w:rPr>
      </w:pPr>
      <w:r w:rsidRPr="00E940C3">
        <w:rPr>
          <w:rFonts w:ascii="Book Antiqua" w:hAnsi="Book Antiqua" w:cstheme="minorHAnsi"/>
          <w:b/>
          <w:bCs/>
          <w:noProof w:val="0"/>
          <w:color w:val="0D0D0D" w:themeColor="text1" w:themeTint="F2"/>
          <w:sz w:val="24"/>
          <w:szCs w:val="24"/>
        </w:rPr>
        <w:lastRenderedPageBreak/>
        <w:t>Table 2 Real</w:t>
      </w:r>
      <w:r w:rsidR="00FD4E0F" w:rsidRPr="00E940C3">
        <w:rPr>
          <w:rFonts w:ascii="Book Antiqua" w:hAnsi="Book Antiqua" w:cstheme="minorHAnsi"/>
          <w:b/>
          <w:bCs/>
          <w:noProof w:val="0"/>
          <w:color w:val="0D0D0D" w:themeColor="text1" w:themeTint="F2"/>
          <w:sz w:val="24"/>
          <w:szCs w:val="24"/>
        </w:rPr>
        <w:t>-</w:t>
      </w:r>
      <w:r w:rsidRPr="00E940C3">
        <w:rPr>
          <w:rFonts w:ascii="Book Antiqua" w:hAnsi="Book Antiqua" w:cstheme="minorHAnsi"/>
          <w:b/>
          <w:bCs/>
          <w:noProof w:val="0"/>
          <w:color w:val="0D0D0D" w:themeColor="text1" w:themeTint="F2"/>
          <w:sz w:val="24"/>
          <w:szCs w:val="24"/>
        </w:rPr>
        <w:t xml:space="preserve">world studies of </w:t>
      </w:r>
      <w:r w:rsidR="00706ECB" w:rsidRPr="00E940C3">
        <w:rPr>
          <w:rFonts w:ascii="Book Antiqua" w:hAnsi="Book Antiqua" w:cstheme="minorHAnsi"/>
          <w:b/>
          <w:bCs/>
          <w:noProof w:val="0"/>
          <w:color w:val="0D0D0D" w:themeColor="text1" w:themeTint="F2"/>
          <w:sz w:val="24"/>
          <w:szCs w:val="24"/>
        </w:rPr>
        <w:t>Folfirinox</w:t>
      </w:r>
      <w:r w:rsidRPr="00E940C3">
        <w:rPr>
          <w:rFonts w:ascii="Book Antiqua" w:hAnsi="Book Antiqua" w:cstheme="minorHAnsi"/>
          <w:b/>
          <w:bCs/>
          <w:noProof w:val="0"/>
          <w:color w:val="0D0D0D" w:themeColor="text1" w:themeTint="F2"/>
          <w:sz w:val="24"/>
          <w:szCs w:val="24"/>
        </w:rPr>
        <w:t xml:space="preserve"> in the first-line setting</w:t>
      </w:r>
      <w:r w:rsidRPr="00E940C3">
        <w:rPr>
          <w:rFonts w:ascii="Book Antiqua" w:hAnsi="Book Antiqua" w:cstheme="minorHAnsi"/>
          <w:b/>
          <w:bCs/>
          <w:noProof w:val="0"/>
          <w:color w:val="0D0D0D" w:themeColor="text1" w:themeTint="F2"/>
          <w:sz w:val="24"/>
          <w:szCs w:val="24"/>
          <w:vertAlign w:val="superscript"/>
        </w:rPr>
        <w:t>[24]</w:t>
      </w:r>
    </w:p>
    <w:tbl>
      <w:tblPr>
        <w:tblStyle w:val="ListTable1Light-Accent3"/>
        <w:tblW w:w="12889" w:type="dxa"/>
        <w:tblInd w:w="-457" w:type="dxa"/>
        <w:tblBorders>
          <w:top w:val="single" w:sz="4" w:space="0" w:color="auto"/>
          <w:bottom w:val="single" w:sz="4" w:space="0" w:color="auto"/>
          <w:insideH w:val="single" w:sz="4" w:space="0" w:color="C2D69B" w:themeColor="accent3" w:themeTint="99"/>
        </w:tblBorders>
        <w:tblLook w:val="04A0" w:firstRow="1" w:lastRow="0" w:firstColumn="1" w:lastColumn="0" w:noHBand="0" w:noVBand="1"/>
      </w:tblPr>
      <w:tblGrid>
        <w:gridCol w:w="1418"/>
        <w:gridCol w:w="1403"/>
        <w:gridCol w:w="2005"/>
        <w:gridCol w:w="680"/>
        <w:gridCol w:w="793"/>
        <w:gridCol w:w="1722"/>
        <w:gridCol w:w="1622"/>
        <w:gridCol w:w="1624"/>
        <w:gridCol w:w="1622"/>
      </w:tblGrid>
      <w:tr w:rsidR="00AF5051" w:rsidRPr="00E940C3" w14:paraId="2B21D4DD" w14:textId="77777777" w:rsidTr="00A01F21">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bottom w:val="single" w:sz="4" w:space="0" w:color="auto"/>
            </w:tcBorders>
            <w:shd w:val="clear" w:color="auto" w:fill="auto"/>
            <w:noWrap/>
            <w:hideMark/>
          </w:tcPr>
          <w:p w14:paraId="471F28B0" w14:textId="052E4D3D" w:rsidR="00861060" w:rsidRPr="00E940C3" w:rsidRDefault="00985A4F" w:rsidP="00265AC6">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Ref.</w:t>
            </w:r>
          </w:p>
        </w:tc>
        <w:tc>
          <w:tcPr>
            <w:tcW w:w="1403" w:type="dxa"/>
            <w:tcBorders>
              <w:top w:val="single" w:sz="4" w:space="0" w:color="auto"/>
              <w:bottom w:val="single" w:sz="4" w:space="0" w:color="auto"/>
            </w:tcBorders>
            <w:shd w:val="clear" w:color="auto" w:fill="auto"/>
            <w:noWrap/>
            <w:hideMark/>
          </w:tcPr>
          <w:p w14:paraId="1168D077"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Location</w:t>
            </w:r>
          </w:p>
        </w:tc>
        <w:tc>
          <w:tcPr>
            <w:tcW w:w="2005" w:type="dxa"/>
            <w:tcBorders>
              <w:top w:val="single" w:sz="4" w:space="0" w:color="auto"/>
              <w:bottom w:val="single" w:sz="4" w:space="0" w:color="auto"/>
            </w:tcBorders>
            <w:shd w:val="clear" w:color="auto" w:fill="auto"/>
            <w:noWrap/>
            <w:hideMark/>
          </w:tcPr>
          <w:p w14:paraId="7D12279D"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 xml:space="preserve">Study design </w:t>
            </w:r>
          </w:p>
        </w:tc>
        <w:tc>
          <w:tcPr>
            <w:tcW w:w="680" w:type="dxa"/>
            <w:tcBorders>
              <w:top w:val="single" w:sz="4" w:space="0" w:color="auto"/>
              <w:bottom w:val="single" w:sz="4" w:space="0" w:color="auto"/>
            </w:tcBorders>
            <w:shd w:val="clear" w:color="auto" w:fill="auto"/>
            <w:noWrap/>
            <w:hideMark/>
          </w:tcPr>
          <w:p w14:paraId="3C86AFB1" w14:textId="04DCF5E0" w:rsidR="00861060" w:rsidRPr="00E940C3" w:rsidRDefault="0042032D"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i/>
                <w:color w:val="0D0D0D" w:themeColor="text1" w:themeTint="F2"/>
                <w:lang w:val="en-US"/>
              </w:rPr>
              <w:t>n</w:t>
            </w:r>
          </w:p>
        </w:tc>
        <w:tc>
          <w:tcPr>
            <w:tcW w:w="793" w:type="dxa"/>
            <w:tcBorders>
              <w:top w:val="single" w:sz="4" w:space="0" w:color="auto"/>
              <w:bottom w:val="single" w:sz="4" w:space="0" w:color="auto"/>
            </w:tcBorders>
            <w:shd w:val="clear" w:color="auto" w:fill="auto"/>
          </w:tcPr>
          <w:p w14:paraId="160EE44F"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M1</w:t>
            </w:r>
          </w:p>
        </w:tc>
        <w:tc>
          <w:tcPr>
            <w:tcW w:w="1722" w:type="dxa"/>
            <w:tcBorders>
              <w:top w:val="single" w:sz="4" w:space="0" w:color="auto"/>
              <w:bottom w:val="single" w:sz="4" w:space="0" w:color="auto"/>
            </w:tcBorders>
            <w:shd w:val="clear" w:color="auto" w:fill="auto"/>
            <w:noWrap/>
            <w:hideMark/>
          </w:tcPr>
          <w:p w14:paraId="5459575B"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Regimen</w:t>
            </w:r>
          </w:p>
        </w:tc>
        <w:tc>
          <w:tcPr>
            <w:tcW w:w="1622" w:type="dxa"/>
            <w:tcBorders>
              <w:top w:val="single" w:sz="4" w:space="0" w:color="auto"/>
              <w:bottom w:val="single" w:sz="4" w:space="0" w:color="auto"/>
            </w:tcBorders>
            <w:shd w:val="clear" w:color="auto" w:fill="auto"/>
            <w:noWrap/>
            <w:hideMark/>
          </w:tcPr>
          <w:p w14:paraId="027921CB" w14:textId="212C7288" w:rsidR="00861060" w:rsidRPr="00E940C3" w:rsidRDefault="00861060" w:rsidP="0042032D">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 xml:space="preserve">mOS </w:t>
            </w:r>
            <w:r w:rsidR="008809D9">
              <w:rPr>
                <w:rFonts w:ascii="Book Antiqua" w:hAnsi="Book Antiqua" w:cstheme="minorHAnsi"/>
                <w:color w:val="0D0D0D" w:themeColor="text1" w:themeTint="F2"/>
                <w:lang w:val="en-US"/>
              </w:rPr>
              <w:t xml:space="preserve">in </w:t>
            </w:r>
            <w:r w:rsidRPr="00E940C3">
              <w:rPr>
                <w:rFonts w:ascii="Book Antiqua" w:hAnsi="Book Antiqua" w:cstheme="minorHAnsi"/>
                <w:color w:val="0D0D0D" w:themeColor="text1" w:themeTint="F2"/>
                <w:lang w:val="en-US"/>
              </w:rPr>
              <w:t>mo</w:t>
            </w:r>
          </w:p>
        </w:tc>
        <w:tc>
          <w:tcPr>
            <w:tcW w:w="1624" w:type="dxa"/>
            <w:tcBorders>
              <w:top w:val="single" w:sz="4" w:space="0" w:color="auto"/>
              <w:bottom w:val="single" w:sz="4" w:space="0" w:color="auto"/>
            </w:tcBorders>
            <w:shd w:val="clear" w:color="auto" w:fill="auto"/>
            <w:noWrap/>
            <w:hideMark/>
          </w:tcPr>
          <w:p w14:paraId="7C121327" w14:textId="4C1A54AA" w:rsidR="00861060" w:rsidRPr="00E940C3" w:rsidRDefault="00861060" w:rsidP="0042032D">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 xml:space="preserve">mPFS </w:t>
            </w:r>
            <w:r w:rsidR="008809D9">
              <w:rPr>
                <w:rFonts w:ascii="Book Antiqua" w:hAnsi="Book Antiqua" w:cstheme="minorHAnsi"/>
                <w:color w:val="0D0D0D" w:themeColor="text1" w:themeTint="F2"/>
                <w:lang w:val="en-US"/>
              </w:rPr>
              <w:t xml:space="preserve">in </w:t>
            </w:r>
            <w:r w:rsidRPr="00E940C3">
              <w:rPr>
                <w:rFonts w:ascii="Book Antiqua" w:hAnsi="Book Antiqua" w:cstheme="minorHAnsi"/>
                <w:color w:val="0D0D0D" w:themeColor="text1" w:themeTint="F2"/>
                <w:lang w:val="en-US"/>
              </w:rPr>
              <w:t xml:space="preserve">mo </w:t>
            </w:r>
          </w:p>
        </w:tc>
        <w:tc>
          <w:tcPr>
            <w:tcW w:w="1622" w:type="dxa"/>
            <w:tcBorders>
              <w:top w:val="single" w:sz="4" w:space="0" w:color="auto"/>
              <w:bottom w:val="single" w:sz="4" w:space="0" w:color="auto"/>
            </w:tcBorders>
            <w:shd w:val="clear" w:color="auto" w:fill="auto"/>
            <w:noWrap/>
            <w:hideMark/>
          </w:tcPr>
          <w:p w14:paraId="5C75B807"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Remarks</w:t>
            </w:r>
          </w:p>
        </w:tc>
      </w:tr>
      <w:tr w:rsidR="00265AC6" w:rsidRPr="00E940C3" w14:paraId="65F3F7C7" w14:textId="77777777" w:rsidTr="00A01F21">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shd w:val="clear" w:color="auto" w:fill="auto"/>
            <w:noWrap/>
            <w:hideMark/>
          </w:tcPr>
          <w:p w14:paraId="4BEFE07A" w14:textId="5A4CCBEF" w:rsidR="00861060" w:rsidRPr="00E940C3" w:rsidRDefault="00861060" w:rsidP="00D90952">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color w:val="0D0D0D" w:themeColor="text1" w:themeTint="F2"/>
                <w:lang w:val="en-US"/>
              </w:rPr>
              <w:t xml:space="preserve">Cavanna </w:t>
            </w:r>
            <w:r w:rsidR="00D90952" w:rsidRPr="00E940C3">
              <w:rPr>
                <w:rFonts w:ascii="Book Antiqua" w:hAnsi="Book Antiqua" w:cstheme="minorHAnsi"/>
                <w:b w:val="0"/>
                <w:i/>
                <w:color w:val="0D0D0D" w:themeColor="text1" w:themeTint="F2"/>
                <w:lang w:val="en-US"/>
              </w:rPr>
              <w:t>et al</w:t>
            </w:r>
            <w:r w:rsidR="00D90952" w:rsidRPr="00E940C3">
              <w:rPr>
                <w:rFonts w:ascii="Book Antiqua" w:hAnsi="Book Antiqua" w:cstheme="minorHAnsi"/>
                <w:b w:val="0"/>
                <w:color w:val="0D0D0D" w:themeColor="text1" w:themeTint="F2"/>
                <w:vertAlign w:val="superscript"/>
                <w:lang w:val="en-US"/>
              </w:rPr>
              <w:t>[24]</w:t>
            </w:r>
            <w:r w:rsidRPr="00E940C3">
              <w:rPr>
                <w:rFonts w:ascii="Book Antiqua" w:hAnsi="Book Antiqua" w:cstheme="minorHAnsi"/>
                <w:b w:val="0"/>
                <w:color w:val="0D0D0D" w:themeColor="text1" w:themeTint="F2"/>
                <w:lang w:val="en-US"/>
              </w:rPr>
              <w:t>, 2019</w:t>
            </w:r>
          </w:p>
        </w:tc>
        <w:tc>
          <w:tcPr>
            <w:tcW w:w="1403" w:type="dxa"/>
            <w:tcBorders>
              <w:top w:val="single" w:sz="4" w:space="0" w:color="auto"/>
            </w:tcBorders>
            <w:shd w:val="clear" w:color="auto" w:fill="auto"/>
            <w:noWrap/>
            <w:hideMark/>
          </w:tcPr>
          <w:p w14:paraId="4C837905"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Italy</w:t>
            </w:r>
          </w:p>
        </w:tc>
        <w:tc>
          <w:tcPr>
            <w:tcW w:w="2005" w:type="dxa"/>
            <w:tcBorders>
              <w:top w:val="single" w:sz="4" w:space="0" w:color="auto"/>
            </w:tcBorders>
            <w:shd w:val="clear" w:color="auto" w:fill="auto"/>
            <w:noWrap/>
            <w:hideMark/>
          </w:tcPr>
          <w:p w14:paraId="6AC68058"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680" w:type="dxa"/>
            <w:tcBorders>
              <w:top w:val="single" w:sz="4" w:space="0" w:color="auto"/>
            </w:tcBorders>
            <w:shd w:val="clear" w:color="auto" w:fill="auto"/>
            <w:noWrap/>
            <w:hideMark/>
          </w:tcPr>
          <w:p w14:paraId="5C368D67"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50</w:t>
            </w:r>
          </w:p>
        </w:tc>
        <w:tc>
          <w:tcPr>
            <w:tcW w:w="793" w:type="dxa"/>
            <w:tcBorders>
              <w:top w:val="single" w:sz="4" w:space="0" w:color="auto"/>
            </w:tcBorders>
            <w:shd w:val="clear" w:color="auto" w:fill="auto"/>
          </w:tcPr>
          <w:p w14:paraId="33DB95BD"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74%</w:t>
            </w:r>
          </w:p>
        </w:tc>
        <w:tc>
          <w:tcPr>
            <w:tcW w:w="1722" w:type="dxa"/>
            <w:tcBorders>
              <w:top w:val="single" w:sz="4" w:space="0" w:color="auto"/>
            </w:tcBorders>
            <w:shd w:val="clear" w:color="auto" w:fill="auto"/>
            <w:noWrap/>
            <w:hideMark/>
          </w:tcPr>
          <w:p w14:paraId="0A0C4E07"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FFX/mFFX</w:t>
            </w:r>
          </w:p>
        </w:tc>
        <w:tc>
          <w:tcPr>
            <w:tcW w:w="1622" w:type="dxa"/>
            <w:tcBorders>
              <w:top w:val="single" w:sz="4" w:space="0" w:color="auto"/>
            </w:tcBorders>
            <w:shd w:val="clear" w:color="auto" w:fill="auto"/>
            <w:noWrap/>
            <w:hideMark/>
          </w:tcPr>
          <w:p w14:paraId="151A1845"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10.1</w:t>
            </w:r>
          </w:p>
        </w:tc>
        <w:tc>
          <w:tcPr>
            <w:tcW w:w="1624" w:type="dxa"/>
            <w:tcBorders>
              <w:top w:val="single" w:sz="4" w:space="0" w:color="auto"/>
            </w:tcBorders>
            <w:shd w:val="clear" w:color="auto" w:fill="auto"/>
            <w:noWrap/>
            <w:hideMark/>
          </w:tcPr>
          <w:p w14:paraId="2521CB9C"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5.6</w:t>
            </w:r>
          </w:p>
        </w:tc>
        <w:tc>
          <w:tcPr>
            <w:tcW w:w="1622" w:type="dxa"/>
            <w:tcBorders>
              <w:top w:val="single" w:sz="4" w:space="0" w:color="auto"/>
            </w:tcBorders>
            <w:shd w:val="clear" w:color="auto" w:fill="auto"/>
            <w:noWrap/>
            <w:hideMark/>
          </w:tcPr>
          <w:p w14:paraId="1C8CF086"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mFFX sign less toxicity</w:t>
            </w:r>
          </w:p>
        </w:tc>
      </w:tr>
    </w:tbl>
    <w:p w14:paraId="4322528C" w14:textId="72683934" w:rsidR="00861060" w:rsidRPr="00E940C3" w:rsidRDefault="00861060" w:rsidP="00265AC6">
      <w:pPr>
        <w:snapToGrid w:val="0"/>
        <w:spacing w:line="360" w:lineRule="auto"/>
        <w:rPr>
          <w:rFonts w:ascii="Book Antiqua" w:hAnsi="Book Antiqua" w:cstheme="minorHAnsi"/>
          <w:color w:val="0D0D0D" w:themeColor="text1" w:themeTint="F2"/>
        </w:rPr>
      </w:pPr>
      <w:r w:rsidRPr="00E940C3">
        <w:rPr>
          <w:rFonts w:ascii="Book Antiqua" w:hAnsi="Book Antiqua" w:cstheme="minorHAnsi"/>
          <w:color w:val="0D0D0D" w:themeColor="text1" w:themeTint="F2"/>
        </w:rPr>
        <w:t xml:space="preserve">FFX: Folfirinox; M1: metastatic disease; mFFX: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odified Folfirinox; mOS: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edian overall survival; mPFS: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edian progression</w:t>
      </w:r>
      <w:r w:rsidR="008C19B4">
        <w:rPr>
          <w:rFonts w:ascii="Book Antiqua" w:hAnsi="Book Antiqua" w:cstheme="minorHAnsi"/>
          <w:color w:val="0D0D0D" w:themeColor="text1" w:themeTint="F2"/>
        </w:rPr>
        <w:t>-</w:t>
      </w:r>
      <w:r w:rsidRPr="00E940C3">
        <w:rPr>
          <w:rFonts w:ascii="Book Antiqua" w:hAnsi="Book Antiqua" w:cstheme="minorHAnsi"/>
          <w:color w:val="0D0D0D" w:themeColor="text1" w:themeTint="F2"/>
        </w:rPr>
        <w:t>free survival</w:t>
      </w:r>
      <w:r w:rsidR="009C79A8" w:rsidRPr="00E940C3">
        <w:rPr>
          <w:rFonts w:ascii="Book Antiqua" w:hAnsi="Book Antiqua" w:cstheme="minorHAnsi"/>
          <w:color w:val="0D0D0D" w:themeColor="text1" w:themeTint="F2"/>
        </w:rPr>
        <w:t>.</w:t>
      </w:r>
    </w:p>
    <w:p w14:paraId="16C5921D" w14:textId="3D300EBA" w:rsidR="00265AC6" w:rsidRPr="00E940C3" w:rsidRDefault="00265AC6">
      <w:pPr>
        <w:rPr>
          <w:rFonts w:ascii="Book Antiqua" w:eastAsiaTheme="minorHAnsi" w:hAnsi="Book Antiqua" w:cstheme="minorHAnsi"/>
          <w:color w:val="0D0D0D" w:themeColor="text1" w:themeTint="F2"/>
        </w:rPr>
      </w:pPr>
      <w:r w:rsidRPr="00E940C3">
        <w:rPr>
          <w:rFonts w:ascii="Book Antiqua" w:hAnsi="Book Antiqua" w:cstheme="minorHAnsi"/>
          <w:color w:val="0D0D0D" w:themeColor="text1" w:themeTint="F2"/>
        </w:rPr>
        <w:br w:type="page"/>
      </w:r>
    </w:p>
    <w:p w14:paraId="320B6438" w14:textId="07E079ED" w:rsidR="00861060" w:rsidRPr="00E940C3" w:rsidRDefault="00861060" w:rsidP="00265AC6">
      <w:pPr>
        <w:pStyle w:val="EndNoteBibliography"/>
        <w:snapToGrid w:val="0"/>
        <w:spacing w:after="0" w:line="360" w:lineRule="auto"/>
        <w:rPr>
          <w:rFonts w:ascii="Book Antiqua" w:hAnsi="Book Antiqua" w:cstheme="minorHAnsi"/>
          <w:b/>
          <w:bCs/>
          <w:noProof w:val="0"/>
          <w:color w:val="0D0D0D" w:themeColor="text1" w:themeTint="F2"/>
          <w:sz w:val="24"/>
          <w:szCs w:val="24"/>
        </w:rPr>
      </w:pPr>
      <w:r w:rsidRPr="00E940C3">
        <w:rPr>
          <w:rFonts w:ascii="Book Antiqua" w:hAnsi="Book Antiqua" w:cstheme="minorHAnsi"/>
          <w:b/>
          <w:bCs/>
          <w:noProof w:val="0"/>
          <w:color w:val="0D0D0D" w:themeColor="text1" w:themeTint="F2"/>
          <w:sz w:val="24"/>
          <w:szCs w:val="24"/>
        </w:rPr>
        <w:lastRenderedPageBreak/>
        <w:t>Table 3</w:t>
      </w:r>
      <w:r w:rsidR="00A0447C" w:rsidRPr="00E940C3">
        <w:rPr>
          <w:rFonts w:ascii="Book Antiqua" w:hAnsi="Book Antiqua" w:cstheme="minorHAnsi"/>
          <w:b/>
          <w:bCs/>
          <w:noProof w:val="0"/>
          <w:color w:val="0D0D0D" w:themeColor="text1" w:themeTint="F2"/>
          <w:sz w:val="24"/>
          <w:szCs w:val="24"/>
        </w:rPr>
        <w:t xml:space="preserve"> </w:t>
      </w:r>
      <w:r w:rsidRPr="00E940C3">
        <w:rPr>
          <w:rFonts w:ascii="Book Antiqua" w:hAnsi="Book Antiqua" w:cstheme="minorHAnsi"/>
          <w:b/>
          <w:bCs/>
          <w:noProof w:val="0"/>
          <w:color w:val="0D0D0D" w:themeColor="text1" w:themeTint="F2"/>
          <w:sz w:val="24"/>
          <w:szCs w:val="24"/>
        </w:rPr>
        <w:t>Real</w:t>
      </w:r>
      <w:r w:rsidR="00FD4E0F" w:rsidRPr="00E940C3">
        <w:rPr>
          <w:rFonts w:ascii="Book Antiqua" w:hAnsi="Book Antiqua" w:cstheme="minorHAnsi"/>
          <w:b/>
          <w:bCs/>
          <w:noProof w:val="0"/>
          <w:color w:val="0D0D0D" w:themeColor="text1" w:themeTint="F2"/>
          <w:sz w:val="24"/>
          <w:szCs w:val="24"/>
        </w:rPr>
        <w:t>-</w:t>
      </w:r>
      <w:r w:rsidRPr="00E940C3">
        <w:rPr>
          <w:rFonts w:ascii="Book Antiqua" w:hAnsi="Book Antiqua" w:cstheme="minorHAnsi"/>
          <w:b/>
          <w:bCs/>
          <w:noProof w:val="0"/>
          <w:color w:val="0D0D0D" w:themeColor="text1" w:themeTint="F2"/>
          <w:sz w:val="24"/>
          <w:szCs w:val="24"/>
        </w:rPr>
        <w:t xml:space="preserve">world studies comparing </w:t>
      </w:r>
      <w:r w:rsidR="000401F1" w:rsidRPr="00E940C3">
        <w:rPr>
          <w:rFonts w:ascii="Book Antiqua" w:hAnsi="Book Antiqua" w:cstheme="minorHAnsi"/>
          <w:b/>
          <w:bCs/>
          <w:noProof w:val="0"/>
          <w:color w:val="0D0D0D" w:themeColor="text1" w:themeTint="F2"/>
          <w:sz w:val="24"/>
          <w:szCs w:val="24"/>
        </w:rPr>
        <w:t xml:space="preserve">Folfirinox </w:t>
      </w:r>
      <w:r w:rsidRPr="00E940C3">
        <w:rPr>
          <w:rFonts w:ascii="Book Antiqua" w:hAnsi="Book Antiqua" w:cstheme="minorHAnsi"/>
          <w:b/>
          <w:bCs/>
          <w:noProof w:val="0"/>
          <w:color w:val="0D0D0D" w:themeColor="text1" w:themeTint="F2"/>
          <w:sz w:val="24"/>
          <w:szCs w:val="24"/>
        </w:rPr>
        <w:t xml:space="preserve">and </w:t>
      </w:r>
      <w:r w:rsidR="000401F1" w:rsidRPr="00E940C3">
        <w:rPr>
          <w:rFonts w:ascii="Book Antiqua" w:hAnsi="Book Antiqua" w:cstheme="minorHAnsi"/>
          <w:b/>
          <w:bCs/>
          <w:noProof w:val="0"/>
          <w:color w:val="0D0D0D" w:themeColor="text1" w:themeTint="F2"/>
          <w:sz w:val="24"/>
          <w:szCs w:val="24"/>
        </w:rPr>
        <w:t>Gemcitabine/Nab-paclitaxel</w:t>
      </w:r>
      <w:r w:rsidRPr="00E940C3">
        <w:rPr>
          <w:rFonts w:ascii="Book Antiqua" w:hAnsi="Book Antiqua" w:cstheme="minorHAnsi"/>
          <w:b/>
          <w:bCs/>
          <w:noProof w:val="0"/>
          <w:color w:val="0D0D0D" w:themeColor="text1" w:themeTint="F2"/>
          <w:sz w:val="24"/>
          <w:szCs w:val="24"/>
        </w:rPr>
        <w:t xml:space="preserve"> in the first</w:t>
      </w:r>
      <w:r w:rsidR="00FD4E0F" w:rsidRPr="00E940C3">
        <w:rPr>
          <w:rFonts w:ascii="Book Antiqua" w:hAnsi="Book Antiqua" w:cstheme="minorHAnsi"/>
          <w:b/>
          <w:bCs/>
          <w:noProof w:val="0"/>
          <w:color w:val="0D0D0D" w:themeColor="text1" w:themeTint="F2"/>
          <w:sz w:val="24"/>
          <w:szCs w:val="24"/>
        </w:rPr>
        <w:t>-</w:t>
      </w:r>
      <w:r w:rsidRPr="00E940C3">
        <w:rPr>
          <w:rFonts w:ascii="Book Antiqua" w:hAnsi="Book Antiqua" w:cstheme="minorHAnsi"/>
          <w:b/>
          <w:bCs/>
          <w:noProof w:val="0"/>
          <w:color w:val="0D0D0D" w:themeColor="text1" w:themeTint="F2"/>
          <w:sz w:val="24"/>
          <w:szCs w:val="24"/>
        </w:rPr>
        <w:t>line setting</w:t>
      </w:r>
      <w:r w:rsidR="005C6E57" w:rsidRPr="00E940C3">
        <w:rPr>
          <w:rFonts w:ascii="Book Antiqua" w:hAnsi="Book Antiqua" w:cstheme="minorHAnsi"/>
          <w:b/>
          <w:bCs/>
          <w:noProof w:val="0"/>
          <w:color w:val="0D0D0D" w:themeColor="text1" w:themeTint="F2"/>
          <w:sz w:val="24"/>
          <w:szCs w:val="24"/>
          <w:vertAlign w:val="superscript"/>
        </w:rPr>
        <w:t>[25-32]</w:t>
      </w:r>
    </w:p>
    <w:tbl>
      <w:tblPr>
        <w:tblStyle w:val="ListTable1Light-Accent3"/>
        <w:tblW w:w="12672" w:type="dxa"/>
        <w:jc w:val="center"/>
        <w:tblLook w:val="04A0" w:firstRow="1" w:lastRow="0" w:firstColumn="1" w:lastColumn="0" w:noHBand="0" w:noVBand="1"/>
      </w:tblPr>
      <w:tblGrid>
        <w:gridCol w:w="1687"/>
        <w:gridCol w:w="1163"/>
        <w:gridCol w:w="1662"/>
        <w:gridCol w:w="696"/>
        <w:gridCol w:w="778"/>
        <w:gridCol w:w="1347"/>
        <w:gridCol w:w="1263"/>
        <w:gridCol w:w="1376"/>
        <w:gridCol w:w="1139"/>
        <w:gridCol w:w="2240"/>
      </w:tblGrid>
      <w:tr w:rsidR="0042032D" w:rsidRPr="00E940C3" w14:paraId="0F5F4217" w14:textId="77777777" w:rsidTr="00A01F21">
        <w:trPr>
          <w:cnfStyle w:val="100000000000" w:firstRow="1" w:lastRow="0"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687" w:type="dxa"/>
            <w:tcBorders>
              <w:top w:val="single" w:sz="4" w:space="0" w:color="auto"/>
              <w:bottom w:val="single" w:sz="4" w:space="0" w:color="auto"/>
            </w:tcBorders>
            <w:shd w:val="clear" w:color="auto" w:fill="auto"/>
            <w:noWrap/>
            <w:hideMark/>
          </w:tcPr>
          <w:p w14:paraId="257FD0CA" w14:textId="156F7A35" w:rsidR="00861060" w:rsidRPr="00E940C3" w:rsidRDefault="00A0447C" w:rsidP="0002107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Ref.</w:t>
            </w:r>
          </w:p>
        </w:tc>
        <w:tc>
          <w:tcPr>
            <w:tcW w:w="1041" w:type="dxa"/>
            <w:tcBorders>
              <w:top w:val="single" w:sz="4" w:space="0" w:color="auto"/>
              <w:bottom w:val="single" w:sz="4" w:space="0" w:color="auto"/>
            </w:tcBorders>
            <w:shd w:val="clear" w:color="auto" w:fill="auto"/>
            <w:noWrap/>
            <w:hideMark/>
          </w:tcPr>
          <w:p w14:paraId="33798B08" w14:textId="77777777" w:rsidR="00861060" w:rsidRPr="00E940C3" w:rsidRDefault="00861060" w:rsidP="0002107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Location</w:t>
            </w:r>
          </w:p>
        </w:tc>
        <w:tc>
          <w:tcPr>
            <w:tcW w:w="1476" w:type="dxa"/>
            <w:tcBorders>
              <w:top w:val="single" w:sz="4" w:space="0" w:color="auto"/>
              <w:bottom w:val="single" w:sz="4" w:space="0" w:color="auto"/>
            </w:tcBorders>
            <w:shd w:val="clear" w:color="auto" w:fill="auto"/>
            <w:noWrap/>
            <w:hideMark/>
          </w:tcPr>
          <w:p w14:paraId="58D78DD8" w14:textId="77777777" w:rsidR="00861060" w:rsidRPr="00E940C3" w:rsidRDefault="00861060" w:rsidP="0002107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 xml:space="preserve">Study design </w:t>
            </w:r>
          </w:p>
        </w:tc>
        <w:tc>
          <w:tcPr>
            <w:tcW w:w="761" w:type="dxa"/>
            <w:tcBorders>
              <w:top w:val="single" w:sz="4" w:space="0" w:color="auto"/>
              <w:bottom w:val="single" w:sz="4" w:space="0" w:color="auto"/>
            </w:tcBorders>
            <w:shd w:val="clear" w:color="auto" w:fill="auto"/>
          </w:tcPr>
          <w:p w14:paraId="60696C70" w14:textId="2B879CA8" w:rsidR="00861060" w:rsidRPr="00E940C3" w:rsidRDefault="0042032D" w:rsidP="0002107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i/>
                <w:color w:val="0D0D0D" w:themeColor="text1" w:themeTint="F2"/>
                <w:lang w:val="en-US"/>
              </w:rPr>
              <w:t>n</w:t>
            </w:r>
          </w:p>
        </w:tc>
        <w:tc>
          <w:tcPr>
            <w:tcW w:w="706" w:type="dxa"/>
            <w:tcBorders>
              <w:top w:val="single" w:sz="4" w:space="0" w:color="auto"/>
              <w:bottom w:val="single" w:sz="4" w:space="0" w:color="auto"/>
            </w:tcBorders>
            <w:shd w:val="clear" w:color="auto" w:fill="auto"/>
          </w:tcPr>
          <w:p w14:paraId="4771DDC7" w14:textId="77777777" w:rsidR="00861060" w:rsidRPr="00E940C3" w:rsidRDefault="00861060" w:rsidP="0002107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M1 </w:t>
            </w:r>
          </w:p>
        </w:tc>
        <w:tc>
          <w:tcPr>
            <w:tcW w:w="1347" w:type="dxa"/>
            <w:tcBorders>
              <w:top w:val="single" w:sz="4" w:space="0" w:color="auto"/>
              <w:bottom w:val="single" w:sz="4" w:space="0" w:color="auto"/>
            </w:tcBorders>
            <w:shd w:val="clear" w:color="auto" w:fill="auto"/>
            <w:noWrap/>
            <w:hideMark/>
          </w:tcPr>
          <w:p w14:paraId="7655F401" w14:textId="77777777" w:rsidR="00861060" w:rsidRPr="00E940C3" w:rsidRDefault="00861060" w:rsidP="0002107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Regimen</w:t>
            </w:r>
          </w:p>
        </w:tc>
        <w:tc>
          <w:tcPr>
            <w:tcW w:w="1263" w:type="dxa"/>
            <w:tcBorders>
              <w:top w:val="single" w:sz="4" w:space="0" w:color="auto"/>
              <w:bottom w:val="single" w:sz="4" w:space="0" w:color="auto"/>
            </w:tcBorders>
            <w:shd w:val="clear" w:color="auto" w:fill="auto"/>
            <w:noWrap/>
            <w:hideMark/>
          </w:tcPr>
          <w:p w14:paraId="5A7ECCF6" w14:textId="54284C47" w:rsidR="00861060" w:rsidRPr="00E940C3" w:rsidRDefault="00861060" w:rsidP="0002107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 xml:space="preserve">mOS </w:t>
            </w:r>
            <w:r w:rsidR="008809D9">
              <w:rPr>
                <w:rFonts w:ascii="Book Antiqua" w:hAnsi="Book Antiqua" w:cstheme="minorHAnsi"/>
                <w:color w:val="0D0D0D" w:themeColor="text1" w:themeTint="F2"/>
                <w:lang w:val="en-US"/>
              </w:rPr>
              <w:t xml:space="preserve">in </w:t>
            </w:r>
            <w:r w:rsidRPr="00E940C3">
              <w:rPr>
                <w:rFonts w:ascii="Book Antiqua" w:hAnsi="Book Antiqua" w:cstheme="minorHAnsi"/>
                <w:color w:val="0D0D0D" w:themeColor="text1" w:themeTint="F2"/>
                <w:lang w:val="en-US"/>
              </w:rPr>
              <w:t xml:space="preserve">mo, </w:t>
            </w:r>
            <w:r w:rsidRPr="00E940C3">
              <w:rPr>
                <w:rFonts w:ascii="Book Antiqua" w:hAnsi="Book Antiqua" w:cstheme="minorHAnsi"/>
                <w:i/>
                <w:caps/>
                <w:color w:val="0D0D0D" w:themeColor="text1" w:themeTint="F2"/>
                <w:lang w:val="en-US"/>
              </w:rPr>
              <w:t>p</w:t>
            </w:r>
            <w:r w:rsidR="00100A82" w:rsidRPr="00E940C3">
              <w:rPr>
                <w:rFonts w:ascii="Book Antiqua" w:hAnsi="Book Antiqua" w:cstheme="minorHAnsi"/>
                <w:color w:val="0D0D0D" w:themeColor="text1" w:themeTint="F2"/>
                <w:lang w:val="en-US"/>
              </w:rPr>
              <w:t xml:space="preserve"> </w:t>
            </w:r>
            <w:r w:rsidRPr="00E940C3">
              <w:rPr>
                <w:rFonts w:ascii="Book Antiqua" w:hAnsi="Book Antiqua" w:cstheme="minorHAnsi"/>
                <w:color w:val="0D0D0D" w:themeColor="text1" w:themeTint="F2"/>
                <w:lang w:val="en-US"/>
              </w:rPr>
              <w:t>value</w:t>
            </w:r>
          </w:p>
        </w:tc>
        <w:tc>
          <w:tcPr>
            <w:tcW w:w="1273" w:type="dxa"/>
            <w:tcBorders>
              <w:top w:val="single" w:sz="4" w:space="0" w:color="auto"/>
              <w:bottom w:val="single" w:sz="4" w:space="0" w:color="auto"/>
            </w:tcBorders>
            <w:shd w:val="clear" w:color="auto" w:fill="auto"/>
            <w:noWrap/>
            <w:hideMark/>
          </w:tcPr>
          <w:p w14:paraId="4D89EA49" w14:textId="2CB6289C" w:rsidR="00861060" w:rsidRPr="00E940C3" w:rsidRDefault="00E940C3" w:rsidP="0002107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Prognostic</w:t>
            </w:r>
            <w:r w:rsidR="00861060" w:rsidRPr="00E940C3">
              <w:rPr>
                <w:rFonts w:ascii="Book Antiqua" w:hAnsi="Book Antiqua" w:cstheme="minorHAnsi"/>
                <w:color w:val="0D0D0D" w:themeColor="text1" w:themeTint="F2"/>
                <w:lang w:val="en-US"/>
              </w:rPr>
              <w:t xml:space="preserve"> factors</w:t>
            </w:r>
          </w:p>
        </w:tc>
        <w:tc>
          <w:tcPr>
            <w:tcW w:w="1139" w:type="dxa"/>
            <w:tcBorders>
              <w:top w:val="single" w:sz="4" w:space="0" w:color="auto"/>
              <w:bottom w:val="single" w:sz="4" w:space="0" w:color="auto"/>
            </w:tcBorders>
            <w:shd w:val="clear" w:color="auto" w:fill="auto"/>
            <w:noWrap/>
            <w:hideMark/>
          </w:tcPr>
          <w:p w14:paraId="3EEDC218" w14:textId="7AE94042" w:rsidR="00861060" w:rsidRPr="00E940C3" w:rsidRDefault="00861060" w:rsidP="0002107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 xml:space="preserve">mPFS </w:t>
            </w:r>
            <w:r w:rsidR="008809D9">
              <w:rPr>
                <w:rFonts w:ascii="Book Antiqua" w:hAnsi="Book Antiqua" w:cstheme="minorHAnsi"/>
                <w:color w:val="0D0D0D" w:themeColor="text1" w:themeTint="F2"/>
                <w:lang w:val="en-US"/>
              </w:rPr>
              <w:t xml:space="preserve">in </w:t>
            </w:r>
            <w:r w:rsidRPr="00E940C3">
              <w:rPr>
                <w:rFonts w:ascii="Book Antiqua" w:hAnsi="Book Antiqua" w:cstheme="minorHAnsi"/>
                <w:color w:val="0D0D0D" w:themeColor="text1" w:themeTint="F2"/>
                <w:lang w:val="en-US"/>
              </w:rPr>
              <w:t>m</w:t>
            </w:r>
            <w:r w:rsidR="00356012" w:rsidRPr="00E940C3">
              <w:rPr>
                <w:rFonts w:ascii="Book Antiqua" w:hAnsi="Book Antiqua" w:cstheme="minorHAnsi"/>
                <w:color w:val="0D0D0D" w:themeColor="text1" w:themeTint="F2"/>
                <w:lang w:val="en-US"/>
              </w:rPr>
              <w:t>o</w:t>
            </w:r>
            <w:r w:rsidRPr="00E940C3">
              <w:rPr>
                <w:rFonts w:ascii="Book Antiqua" w:hAnsi="Book Antiqua" w:cstheme="minorHAnsi"/>
                <w:color w:val="0D0D0D" w:themeColor="text1" w:themeTint="F2"/>
                <w:lang w:val="en-US"/>
              </w:rPr>
              <w:t xml:space="preserve">, </w:t>
            </w:r>
            <w:r w:rsidRPr="00E940C3">
              <w:rPr>
                <w:rFonts w:ascii="Book Antiqua" w:hAnsi="Book Antiqua" w:cstheme="minorHAnsi"/>
                <w:i/>
                <w:caps/>
                <w:color w:val="0D0D0D" w:themeColor="text1" w:themeTint="F2"/>
                <w:lang w:val="en-US"/>
              </w:rPr>
              <w:t>p</w:t>
            </w:r>
            <w:r w:rsidR="00100A82" w:rsidRPr="00E940C3">
              <w:rPr>
                <w:rFonts w:ascii="Book Antiqua" w:hAnsi="Book Antiqua" w:cstheme="minorHAnsi"/>
                <w:color w:val="0D0D0D" w:themeColor="text1" w:themeTint="F2"/>
                <w:lang w:val="en-US"/>
              </w:rPr>
              <w:t xml:space="preserve"> </w:t>
            </w:r>
            <w:r w:rsidRPr="00E940C3">
              <w:rPr>
                <w:rFonts w:ascii="Book Antiqua" w:hAnsi="Book Antiqua" w:cstheme="minorHAnsi"/>
                <w:color w:val="0D0D0D" w:themeColor="text1" w:themeTint="F2"/>
                <w:lang w:val="en-US"/>
              </w:rPr>
              <w:t>value</w:t>
            </w:r>
          </w:p>
        </w:tc>
        <w:tc>
          <w:tcPr>
            <w:tcW w:w="1979" w:type="dxa"/>
            <w:tcBorders>
              <w:top w:val="single" w:sz="4" w:space="0" w:color="auto"/>
              <w:bottom w:val="single" w:sz="4" w:space="0" w:color="auto"/>
            </w:tcBorders>
            <w:shd w:val="clear" w:color="auto" w:fill="auto"/>
            <w:noWrap/>
            <w:hideMark/>
          </w:tcPr>
          <w:p w14:paraId="423BE8D0" w14:textId="77777777" w:rsidR="00861060" w:rsidRPr="00E940C3" w:rsidRDefault="00861060" w:rsidP="0002107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color w:val="0D0D0D" w:themeColor="text1" w:themeTint="F2"/>
                <w:lang w:val="en-US"/>
              </w:rPr>
            </w:pPr>
            <w:r w:rsidRPr="00E940C3">
              <w:rPr>
                <w:rFonts w:ascii="Book Antiqua" w:hAnsi="Book Antiqua" w:cstheme="minorHAnsi"/>
                <w:color w:val="0D0D0D" w:themeColor="text1" w:themeTint="F2"/>
                <w:lang w:val="en-US"/>
              </w:rPr>
              <w:t>Remarks</w:t>
            </w:r>
          </w:p>
        </w:tc>
      </w:tr>
      <w:tr w:rsidR="00265AC6" w:rsidRPr="00E940C3" w14:paraId="1374CD47" w14:textId="77777777" w:rsidTr="00A01F21">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687" w:type="dxa"/>
            <w:tcBorders>
              <w:top w:val="single" w:sz="4" w:space="0" w:color="auto"/>
            </w:tcBorders>
            <w:shd w:val="clear" w:color="auto" w:fill="auto"/>
            <w:noWrap/>
            <w:hideMark/>
          </w:tcPr>
          <w:p w14:paraId="54772D9E" w14:textId="6FD5ADED" w:rsidR="00861060" w:rsidRPr="00E940C3" w:rsidRDefault="00861060" w:rsidP="0002107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color w:val="0D0D0D" w:themeColor="text1" w:themeTint="F2"/>
                <w:lang w:val="en-US"/>
              </w:rPr>
              <w:t xml:space="preserve">Franco </w:t>
            </w:r>
            <w:r w:rsidR="001535C8" w:rsidRPr="00E940C3">
              <w:rPr>
                <w:rFonts w:ascii="Book Antiqua" w:hAnsi="Book Antiqua" w:cstheme="minorHAnsi"/>
                <w:b w:val="0"/>
                <w:i/>
                <w:color w:val="0D0D0D" w:themeColor="text1" w:themeTint="F2"/>
                <w:lang w:val="en-US"/>
              </w:rPr>
              <w:t>et al</w:t>
            </w:r>
            <w:r w:rsidR="001535C8" w:rsidRPr="00E940C3">
              <w:rPr>
                <w:rFonts w:ascii="Book Antiqua" w:hAnsi="Book Antiqua" w:cstheme="minorHAnsi"/>
                <w:b w:val="0"/>
                <w:color w:val="0D0D0D" w:themeColor="text1" w:themeTint="F2"/>
                <w:vertAlign w:val="superscript"/>
                <w:lang w:val="en-US"/>
              </w:rPr>
              <w:t>[25]</w:t>
            </w:r>
            <w:r w:rsidRPr="00E940C3">
              <w:rPr>
                <w:rFonts w:ascii="Book Antiqua" w:hAnsi="Book Antiqua" w:cstheme="minorHAnsi"/>
                <w:b w:val="0"/>
                <w:color w:val="0D0D0D" w:themeColor="text1" w:themeTint="F2"/>
                <w:lang w:val="en-US"/>
              </w:rPr>
              <w:t xml:space="preserve">, 2020 </w:t>
            </w:r>
          </w:p>
        </w:tc>
        <w:tc>
          <w:tcPr>
            <w:tcW w:w="1041" w:type="dxa"/>
            <w:tcBorders>
              <w:top w:val="single" w:sz="4" w:space="0" w:color="auto"/>
            </w:tcBorders>
            <w:shd w:val="clear" w:color="auto" w:fill="auto"/>
            <w:noWrap/>
            <w:hideMark/>
          </w:tcPr>
          <w:p w14:paraId="7B1DE840"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Spain</w:t>
            </w:r>
          </w:p>
        </w:tc>
        <w:tc>
          <w:tcPr>
            <w:tcW w:w="1476" w:type="dxa"/>
            <w:tcBorders>
              <w:top w:val="single" w:sz="4" w:space="0" w:color="auto"/>
            </w:tcBorders>
            <w:shd w:val="clear" w:color="auto" w:fill="auto"/>
            <w:noWrap/>
            <w:hideMark/>
          </w:tcPr>
          <w:p w14:paraId="4563E7FE"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761" w:type="dxa"/>
            <w:tcBorders>
              <w:top w:val="single" w:sz="4" w:space="0" w:color="auto"/>
            </w:tcBorders>
            <w:shd w:val="clear" w:color="auto" w:fill="auto"/>
          </w:tcPr>
          <w:p w14:paraId="24C7E825"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119</w:t>
            </w:r>
          </w:p>
        </w:tc>
        <w:tc>
          <w:tcPr>
            <w:tcW w:w="706" w:type="dxa"/>
            <w:tcBorders>
              <w:top w:val="single" w:sz="4" w:space="0" w:color="auto"/>
            </w:tcBorders>
            <w:shd w:val="clear" w:color="auto" w:fill="auto"/>
          </w:tcPr>
          <w:p w14:paraId="2421AA5C"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50%</w:t>
            </w:r>
          </w:p>
        </w:tc>
        <w:tc>
          <w:tcPr>
            <w:tcW w:w="1347" w:type="dxa"/>
            <w:tcBorders>
              <w:top w:val="single" w:sz="4" w:space="0" w:color="auto"/>
            </w:tcBorders>
            <w:shd w:val="clear" w:color="auto" w:fill="auto"/>
            <w:noWrap/>
            <w:hideMark/>
          </w:tcPr>
          <w:p w14:paraId="3A9159DF" w14:textId="60D94451" w:rsidR="00861060" w:rsidRPr="00E940C3" w:rsidRDefault="00B06E64"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 59</w:t>
            </w:r>
          </w:p>
          <w:p w14:paraId="7531A0AB" w14:textId="0A1EC918"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 60</w:t>
            </w:r>
          </w:p>
        </w:tc>
        <w:tc>
          <w:tcPr>
            <w:tcW w:w="1263" w:type="dxa"/>
            <w:tcBorders>
              <w:top w:val="single" w:sz="4" w:space="0" w:color="auto"/>
            </w:tcBorders>
            <w:shd w:val="clear" w:color="auto" w:fill="auto"/>
            <w:noWrap/>
            <w:hideMark/>
          </w:tcPr>
          <w:p w14:paraId="0BEDA61A" w14:textId="40FD6232"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 12.7</w:t>
            </w:r>
          </w:p>
          <w:p w14:paraId="3709EF2A" w14:textId="53ACFF0A"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 10.2</w:t>
            </w:r>
          </w:p>
          <w:p w14:paraId="1328EF2F" w14:textId="3FDB454B" w:rsidR="00861060" w:rsidRPr="00E940C3" w:rsidRDefault="004A219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i/>
                <w:color w:val="0D0D0D" w:themeColor="text1" w:themeTint="F2"/>
                <w:lang w:val="en-US"/>
              </w:rPr>
              <w:t xml:space="preserve">P </w:t>
            </w:r>
            <w:r w:rsidR="00861060" w:rsidRPr="00E940C3">
              <w:rPr>
                <w:rFonts w:ascii="Book Antiqua" w:hAnsi="Book Antiqua" w:cstheme="minorHAnsi"/>
                <w:color w:val="0D0D0D" w:themeColor="text1" w:themeTint="F2"/>
                <w:lang w:val="en-US"/>
              </w:rPr>
              <w:t>=</w:t>
            </w:r>
            <w:r w:rsidRPr="00E940C3">
              <w:rPr>
                <w:rFonts w:ascii="Book Antiqua" w:hAnsi="Book Antiqua" w:cstheme="minorHAnsi"/>
                <w:color w:val="0D0D0D" w:themeColor="text1" w:themeTint="F2"/>
                <w:lang w:val="en-US"/>
              </w:rPr>
              <w:t xml:space="preserve"> </w:t>
            </w:r>
            <w:r w:rsidR="00861060" w:rsidRPr="00E940C3">
              <w:rPr>
                <w:rFonts w:ascii="Book Antiqua" w:hAnsi="Book Antiqua" w:cstheme="minorHAnsi"/>
                <w:color w:val="0D0D0D" w:themeColor="text1" w:themeTint="F2"/>
                <w:lang w:val="en-US"/>
              </w:rPr>
              <w:t>0.912</w:t>
            </w:r>
          </w:p>
        </w:tc>
        <w:tc>
          <w:tcPr>
            <w:tcW w:w="1273" w:type="dxa"/>
            <w:tcBorders>
              <w:top w:val="single" w:sz="4" w:space="0" w:color="auto"/>
            </w:tcBorders>
            <w:shd w:val="clear" w:color="auto" w:fill="auto"/>
            <w:noWrap/>
            <w:hideMark/>
          </w:tcPr>
          <w:p w14:paraId="246C9825"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Ca19-9, NLR</w:t>
            </w:r>
          </w:p>
        </w:tc>
        <w:tc>
          <w:tcPr>
            <w:tcW w:w="1139" w:type="dxa"/>
            <w:tcBorders>
              <w:top w:val="single" w:sz="4" w:space="0" w:color="auto"/>
            </w:tcBorders>
            <w:shd w:val="clear" w:color="auto" w:fill="auto"/>
            <w:noWrap/>
            <w:hideMark/>
          </w:tcPr>
          <w:p w14:paraId="75159483"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979" w:type="dxa"/>
            <w:tcBorders>
              <w:top w:val="single" w:sz="4" w:space="0" w:color="auto"/>
            </w:tcBorders>
            <w:shd w:val="clear" w:color="auto" w:fill="auto"/>
            <w:noWrap/>
            <w:hideMark/>
          </w:tcPr>
          <w:p w14:paraId="57EF53F5"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Toxicity data not reported.</w:t>
            </w:r>
          </w:p>
        </w:tc>
      </w:tr>
      <w:tr w:rsidR="00B06E64" w:rsidRPr="00E940C3" w14:paraId="1DD2E5DB" w14:textId="77777777" w:rsidTr="0002107B">
        <w:trPr>
          <w:trHeight w:val="289"/>
          <w:jc w:val="center"/>
        </w:trPr>
        <w:tc>
          <w:tcPr>
            <w:cnfStyle w:val="001000000000" w:firstRow="0" w:lastRow="0" w:firstColumn="1" w:lastColumn="0" w:oddVBand="0" w:evenVBand="0" w:oddHBand="0" w:evenHBand="0" w:firstRowFirstColumn="0" w:firstRowLastColumn="0" w:lastRowFirstColumn="0" w:lastRowLastColumn="0"/>
            <w:tcW w:w="1687" w:type="dxa"/>
            <w:shd w:val="clear" w:color="auto" w:fill="auto"/>
            <w:noWrap/>
            <w:hideMark/>
          </w:tcPr>
          <w:p w14:paraId="02F3C628" w14:textId="737E5129" w:rsidR="00861060" w:rsidRPr="00E940C3" w:rsidRDefault="00861060" w:rsidP="0002107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color w:val="0D0D0D" w:themeColor="text1" w:themeTint="F2"/>
                <w:lang w:val="en-US"/>
              </w:rPr>
              <w:t>Wang</w:t>
            </w:r>
            <w:r w:rsidR="001535C8" w:rsidRPr="00E940C3">
              <w:rPr>
                <w:rFonts w:ascii="Book Antiqua" w:hAnsi="Book Antiqua" w:cstheme="minorHAnsi"/>
                <w:b w:val="0"/>
                <w:color w:val="0D0D0D" w:themeColor="text1" w:themeTint="F2"/>
                <w:lang w:val="en-US"/>
              </w:rPr>
              <w:t xml:space="preserve"> </w:t>
            </w:r>
            <w:r w:rsidR="001535C8" w:rsidRPr="00E940C3">
              <w:rPr>
                <w:rFonts w:ascii="Book Antiqua" w:hAnsi="Book Antiqua" w:cstheme="minorHAnsi"/>
                <w:b w:val="0"/>
                <w:i/>
                <w:color w:val="0D0D0D" w:themeColor="text1" w:themeTint="F2"/>
                <w:lang w:val="en-US"/>
              </w:rPr>
              <w:t>et al</w:t>
            </w:r>
            <w:r w:rsidR="001535C8" w:rsidRPr="00E940C3">
              <w:rPr>
                <w:rFonts w:ascii="Book Antiqua" w:hAnsi="Book Antiqua" w:cstheme="minorHAnsi"/>
                <w:b w:val="0"/>
                <w:color w:val="0D0D0D" w:themeColor="text1" w:themeTint="F2"/>
                <w:vertAlign w:val="superscript"/>
                <w:lang w:val="en-US"/>
              </w:rPr>
              <w:t>[26]</w:t>
            </w:r>
            <w:r w:rsidRPr="00E940C3">
              <w:rPr>
                <w:rFonts w:ascii="Book Antiqua" w:hAnsi="Book Antiqua" w:cstheme="minorHAnsi"/>
                <w:b w:val="0"/>
                <w:color w:val="0D0D0D" w:themeColor="text1" w:themeTint="F2"/>
                <w:lang w:val="en-US"/>
              </w:rPr>
              <w:t>, 2019</w:t>
            </w:r>
          </w:p>
        </w:tc>
        <w:tc>
          <w:tcPr>
            <w:tcW w:w="1041" w:type="dxa"/>
            <w:shd w:val="clear" w:color="auto" w:fill="auto"/>
            <w:noWrap/>
            <w:hideMark/>
          </w:tcPr>
          <w:p w14:paraId="5D05AA32"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Canada</w:t>
            </w:r>
          </w:p>
        </w:tc>
        <w:tc>
          <w:tcPr>
            <w:tcW w:w="1476" w:type="dxa"/>
            <w:shd w:val="clear" w:color="auto" w:fill="auto"/>
            <w:noWrap/>
            <w:hideMark/>
          </w:tcPr>
          <w:p w14:paraId="3D5F2CD0"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761" w:type="dxa"/>
            <w:shd w:val="clear" w:color="auto" w:fill="auto"/>
          </w:tcPr>
          <w:p w14:paraId="07470095"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225</w:t>
            </w:r>
          </w:p>
        </w:tc>
        <w:tc>
          <w:tcPr>
            <w:tcW w:w="706" w:type="dxa"/>
            <w:shd w:val="clear" w:color="auto" w:fill="auto"/>
          </w:tcPr>
          <w:p w14:paraId="49EDFF83"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58%</w:t>
            </w:r>
          </w:p>
        </w:tc>
        <w:tc>
          <w:tcPr>
            <w:tcW w:w="1347" w:type="dxa"/>
            <w:shd w:val="clear" w:color="auto" w:fill="auto"/>
            <w:noWrap/>
            <w:hideMark/>
          </w:tcPr>
          <w:p w14:paraId="4A7024F3" w14:textId="02007880" w:rsidR="00861060" w:rsidRPr="00E940C3" w:rsidRDefault="00B06E64"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 92</w:t>
            </w:r>
          </w:p>
          <w:p w14:paraId="4B464862" w14:textId="2300EA8F" w:rsidR="00861060" w:rsidRPr="00E940C3" w:rsidRDefault="00B06E64"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 87</w:t>
            </w:r>
          </w:p>
          <w:p w14:paraId="6253A3BA" w14:textId="75333435"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 46</w:t>
            </w:r>
          </w:p>
        </w:tc>
        <w:tc>
          <w:tcPr>
            <w:tcW w:w="1263" w:type="dxa"/>
            <w:shd w:val="clear" w:color="auto" w:fill="auto"/>
            <w:noWrap/>
            <w:hideMark/>
          </w:tcPr>
          <w:p w14:paraId="3DBD0564"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 14.1</w:t>
            </w:r>
          </w:p>
          <w:p w14:paraId="1784999C"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 10.5</w:t>
            </w:r>
          </w:p>
          <w:p w14:paraId="5505A5B3"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 4.2</w:t>
            </w:r>
          </w:p>
        </w:tc>
        <w:tc>
          <w:tcPr>
            <w:tcW w:w="1273" w:type="dxa"/>
            <w:shd w:val="clear" w:color="auto" w:fill="auto"/>
            <w:noWrap/>
            <w:hideMark/>
          </w:tcPr>
          <w:p w14:paraId="54B2AE6D"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139" w:type="dxa"/>
            <w:shd w:val="clear" w:color="auto" w:fill="auto"/>
            <w:noWrap/>
            <w:hideMark/>
          </w:tcPr>
          <w:p w14:paraId="65DA62BD"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 8.4</w:t>
            </w:r>
          </w:p>
          <w:p w14:paraId="060AD005"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 8.5</w:t>
            </w:r>
          </w:p>
          <w:p w14:paraId="67DAFDBF"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 3.7</w:t>
            </w:r>
          </w:p>
        </w:tc>
        <w:tc>
          <w:tcPr>
            <w:tcW w:w="1979" w:type="dxa"/>
            <w:shd w:val="clear" w:color="auto" w:fill="auto"/>
            <w:noWrap/>
            <w:hideMark/>
          </w:tcPr>
          <w:p w14:paraId="57456F7D"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Sign more hematotoxicity in FFX</w:t>
            </w:r>
          </w:p>
        </w:tc>
      </w:tr>
      <w:tr w:rsidR="00265AC6" w:rsidRPr="00E940C3" w14:paraId="26071F6F" w14:textId="77777777" w:rsidTr="0002107B">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687" w:type="dxa"/>
            <w:shd w:val="clear" w:color="auto" w:fill="auto"/>
            <w:noWrap/>
            <w:hideMark/>
          </w:tcPr>
          <w:p w14:paraId="3EC8B510" w14:textId="4FFC79AB" w:rsidR="00861060" w:rsidRPr="00E940C3" w:rsidRDefault="00861060" w:rsidP="0002107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color w:val="0D0D0D" w:themeColor="text1" w:themeTint="F2"/>
                <w:lang w:val="en-US"/>
              </w:rPr>
              <w:t xml:space="preserve">Pusceddu </w:t>
            </w:r>
            <w:r w:rsidR="001535C8" w:rsidRPr="00E940C3">
              <w:rPr>
                <w:rFonts w:ascii="Book Antiqua" w:hAnsi="Book Antiqua" w:cstheme="minorHAnsi"/>
                <w:b w:val="0"/>
                <w:i/>
                <w:color w:val="0D0D0D" w:themeColor="text1" w:themeTint="F2"/>
                <w:lang w:val="en-US"/>
              </w:rPr>
              <w:t>et al</w:t>
            </w:r>
            <w:r w:rsidR="001535C8" w:rsidRPr="00E940C3">
              <w:rPr>
                <w:rFonts w:ascii="Book Antiqua" w:hAnsi="Book Antiqua" w:cstheme="minorHAnsi"/>
                <w:b w:val="0"/>
                <w:color w:val="0D0D0D" w:themeColor="text1" w:themeTint="F2"/>
                <w:vertAlign w:val="superscript"/>
                <w:lang w:val="en-US"/>
              </w:rPr>
              <w:t>[27]</w:t>
            </w:r>
            <w:r w:rsidRPr="00E940C3">
              <w:rPr>
                <w:rFonts w:ascii="Book Antiqua" w:hAnsi="Book Antiqua" w:cstheme="minorHAnsi"/>
                <w:b w:val="0"/>
                <w:color w:val="0D0D0D" w:themeColor="text1" w:themeTint="F2"/>
                <w:lang w:val="en-US"/>
              </w:rPr>
              <w:t>, 2019</w:t>
            </w:r>
          </w:p>
        </w:tc>
        <w:tc>
          <w:tcPr>
            <w:tcW w:w="1041" w:type="dxa"/>
            <w:shd w:val="clear" w:color="auto" w:fill="auto"/>
            <w:noWrap/>
            <w:hideMark/>
          </w:tcPr>
          <w:p w14:paraId="34D6EAA0"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476" w:type="dxa"/>
            <w:shd w:val="clear" w:color="auto" w:fill="auto"/>
            <w:noWrap/>
            <w:hideMark/>
          </w:tcPr>
          <w:p w14:paraId="33F3BE5D"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Review</w:t>
            </w:r>
          </w:p>
        </w:tc>
        <w:tc>
          <w:tcPr>
            <w:tcW w:w="761" w:type="dxa"/>
            <w:shd w:val="clear" w:color="auto" w:fill="auto"/>
          </w:tcPr>
          <w:p w14:paraId="28DABF24"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3813</w:t>
            </w:r>
          </w:p>
        </w:tc>
        <w:tc>
          <w:tcPr>
            <w:tcW w:w="706" w:type="dxa"/>
            <w:shd w:val="clear" w:color="auto" w:fill="auto"/>
          </w:tcPr>
          <w:p w14:paraId="6AE39B3F"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NA</w:t>
            </w:r>
          </w:p>
        </w:tc>
        <w:tc>
          <w:tcPr>
            <w:tcW w:w="1347" w:type="dxa"/>
            <w:shd w:val="clear" w:color="auto" w:fill="auto"/>
            <w:noWrap/>
            <w:hideMark/>
          </w:tcPr>
          <w:p w14:paraId="38C7B18E" w14:textId="29127E1E" w:rsidR="00861060" w:rsidRPr="00E940C3" w:rsidRDefault="00B06E64"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 1690</w:t>
            </w:r>
          </w:p>
          <w:p w14:paraId="5FF35D31" w14:textId="457D01E4"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 2123</w:t>
            </w:r>
          </w:p>
        </w:tc>
        <w:tc>
          <w:tcPr>
            <w:tcW w:w="1263" w:type="dxa"/>
            <w:shd w:val="clear" w:color="auto" w:fill="auto"/>
            <w:noWrap/>
            <w:hideMark/>
          </w:tcPr>
          <w:p w14:paraId="164AFB04" w14:textId="175BA230"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1.15 longer for FFX. </w:t>
            </w:r>
            <w:r w:rsidR="004A2190" w:rsidRPr="00E940C3">
              <w:rPr>
                <w:rFonts w:ascii="Book Antiqua" w:hAnsi="Book Antiqua" w:cstheme="minorHAnsi"/>
                <w:i/>
                <w:color w:val="0D0D0D" w:themeColor="text1" w:themeTint="F2"/>
                <w:lang w:val="en-US"/>
              </w:rPr>
              <w:t xml:space="preserve">P </w:t>
            </w:r>
            <w:r w:rsidRPr="00E940C3">
              <w:rPr>
                <w:rFonts w:ascii="Book Antiqua" w:hAnsi="Book Antiqua" w:cstheme="minorHAnsi"/>
                <w:color w:val="0D0D0D" w:themeColor="text1" w:themeTint="F2"/>
                <w:lang w:val="en-US"/>
              </w:rPr>
              <w:t>=</w:t>
            </w:r>
            <w:r w:rsidR="004A2190" w:rsidRPr="00E940C3">
              <w:rPr>
                <w:rFonts w:ascii="Book Antiqua" w:hAnsi="Book Antiqua" w:cstheme="minorHAnsi"/>
                <w:color w:val="0D0D0D" w:themeColor="text1" w:themeTint="F2"/>
                <w:lang w:val="en-US"/>
              </w:rPr>
              <w:t xml:space="preserve"> </w:t>
            </w:r>
            <w:r w:rsidRPr="00E940C3">
              <w:rPr>
                <w:rFonts w:ascii="Book Antiqua" w:hAnsi="Book Antiqua" w:cstheme="minorHAnsi"/>
                <w:color w:val="0D0D0D" w:themeColor="text1" w:themeTint="F2"/>
                <w:lang w:val="en-US"/>
              </w:rPr>
              <w:t>0.03</w:t>
            </w:r>
          </w:p>
        </w:tc>
        <w:tc>
          <w:tcPr>
            <w:tcW w:w="1273" w:type="dxa"/>
            <w:shd w:val="clear" w:color="auto" w:fill="auto"/>
            <w:noWrap/>
            <w:hideMark/>
          </w:tcPr>
          <w:p w14:paraId="558C969A"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139" w:type="dxa"/>
            <w:shd w:val="clear" w:color="auto" w:fill="auto"/>
            <w:noWrap/>
            <w:hideMark/>
          </w:tcPr>
          <w:p w14:paraId="0D7A7D19"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979" w:type="dxa"/>
            <w:shd w:val="clear" w:color="auto" w:fill="auto"/>
            <w:noWrap/>
            <w:hideMark/>
          </w:tcPr>
          <w:p w14:paraId="2F1DD1D2" w14:textId="56483B0A"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GnP more neurotoxicity and </w:t>
            </w:r>
            <w:r w:rsidR="00E940C3" w:rsidRPr="00E940C3">
              <w:rPr>
                <w:rFonts w:ascii="Book Antiqua" w:hAnsi="Book Antiqua" w:cstheme="minorHAnsi"/>
                <w:color w:val="0D0D0D" w:themeColor="text1" w:themeTint="F2"/>
                <w:lang w:val="en-US"/>
              </w:rPr>
              <w:t>anemia</w:t>
            </w:r>
            <w:r w:rsidRPr="00E940C3">
              <w:rPr>
                <w:rFonts w:ascii="Book Antiqua" w:hAnsi="Book Antiqua" w:cstheme="minorHAnsi"/>
                <w:color w:val="0D0D0D" w:themeColor="text1" w:themeTint="F2"/>
                <w:lang w:val="en-US"/>
              </w:rPr>
              <w:t>. FFX more neutropenia</w:t>
            </w:r>
          </w:p>
        </w:tc>
      </w:tr>
      <w:tr w:rsidR="00B06E64" w:rsidRPr="00E940C3" w14:paraId="4B567B99" w14:textId="77777777" w:rsidTr="0002107B">
        <w:trPr>
          <w:trHeight w:val="289"/>
          <w:jc w:val="center"/>
        </w:trPr>
        <w:tc>
          <w:tcPr>
            <w:cnfStyle w:val="001000000000" w:firstRow="0" w:lastRow="0" w:firstColumn="1" w:lastColumn="0" w:oddVBand="0" w:evenVBand="0" w:oddHBand="0" w:evenHBand="0" w:firstRowFirstColumn="0" w:firstRowLastColumn="0" w:lastRowFirstColumn="0" w:lastRowLastColumn="0"/>
            <w:tcW w:w="1687" w:type="dxa"/>
            <w:shd w:val="clear" w:color="auto" w:fill="auto"/>
            <w:noWrap/>
            <w:hideMark/>
          </w:tcPr>
          <w:p w14:paraId="7A4DBD5D" w14:textId="23D484FE" w:rsidR="00861060" w:rsidRPr="00E940C3" w:rsidRDefault="00861060" w:rsidP="0002107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color w:val="0D0D0D" w:themeColor="text1" w:themeTint="F2"/>
                <w:lang w:val="en-US"/>
              </w:rPr>
              <w:t xml:space="preserve">Chiorean </w:t>
            </w:r>
            <w:r w:rsidR="001535C8" w:rsidRPr="00E940C3">
              <w:rPr>
                <w:rFonts w:ascii="Book Antiqua" w:hAnsi="Book Antiqua" w:cstheme="minorHAnsi"/>
                <w:b w:val="0"/>
                <w:i/>
                <w:color w:val="0D0D0D" w:themeColor="text1" w:themeTint="F2"/>
                <w:lang w:val="en-US"/>
              </w:rPr>
              <w:t>et al</w:t>
            </w:r>
            <w:r w:rsidR="001535C8" w:rsidRPr="00E940C3">
              <w:rPr>
                <w:rFonts w:ascii="Book Antiqua" w:hAnsi="Book Antiqua" w:cstheme="minorHAnsi"/>
                <w:b w:val="0"/>
                <w:color w:val="0D0D0D" w:themeColor="text1" w:themeTint="F2"/>
                <w:vertAlign w:val="superscript"/>
                <w:lang w:val="en-US"/>
              </w:rPr>
              <w:t>[28]</w:t>
            </w:r>
            <w:r w:rsidRPr="00E940C3">
              <w:rPr>
                <w:rFonts w:ascii="Book Antiqua" w:hAnsi="Book Antiqua" w:cstheme="minorHAnsi"/>
                <w:b w:val="0"/>
                <w:color w:val="0D0D0D" w:themeColor="text1" w:themeTint="F2"/>
                <w:lang w:val="en-US"/>
              </w:rPr>
              <w:t>, 2019</w:t>
            </w:r>
          </w:p>
        </w:tc>
        <w:tc>
          <w:tcPr>
            <w:tcW w:w="1041" w:type="dxa"/>
            <w:shd w:val="clear" w:color="auto" w:fill="auto"/>
            <w:noWrap/>
            <w:hideMark/>
          </w:tcPr>
          <w:p w14:paraId="13668309"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476" w:type="dxa"/>
            <w:shd w:val="clear" w:color="auto" w:fill="auto"/>
            <w:noWrap/>
            <w:hideMark/>
          </w:tcPr>
          <w:p w14:paraId="5EBDB99F"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Review</w:t>
            </w:r>
          </w:p>
        </w:tc>
        <w:tc>
          <w:tcPr>
            <w:tcW w:w="761" w:type="dxa"/>
            <w:shd w:val="clear" w:color="auto" w:fill="auto"/>
          </w:tcPr>
          <w:p w14:paraId="2F87024C" w14:textId="441D22E3"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&gt;</w:t>
            </w:r>
            <w:r w:rsidR="004A2190" w:rsidRPr="00E940C3">
              <w:rPr>
                <w:rFonts w:ascii="Book Antiqua" w:hAnsi="Book Antiqua" w:cstheme="minorHAnsi"/>
                <w:color w:val="0D0D0D" w:themeColor="text1" w:themeTint="F2"/>
                <w:lang w:val="en-US"/>
              </w:rPr>
              <w:t xml:space="preserve"> </w:t>
            </w:r>
            <w:r w:rsidRPr="00E940C3">
              <w:rPr>
                <w:rFonts w:ascii="Book Antiqua" w:hAnsi="Book Antiqua" w:cstheme="minorHAnsi"/>
                <w:color w:val="0D0D0D" w:themeColor="text1" w:themeTint="F2"/>
                <w:lang w:val="en-US"/>
              </w:rPr>
              <w:t>6915</w:t>
            </w:r>
          </w:p>
        </w:tc>
        <w:tc>
          <w:tcPr>
            <w:tcW w:w="706" w:type="dxa"/>
            <w:shd w:val="clear" w:color="auto" w:fill="auto"/>
          </w:tcPr>
          <w:p w14:paraId="696FE8E9"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NA</w:t>
            </w:r>
          </w:p>
        </w:tc>
        <w:tc>
          <w:tcPr>
            <w:tcW w:w="1347" w:type="dxa"/>
            <w:shd w:val="clear" w:color="auto" w:fill="auto"/>
            <w:noWrap/>
            <w:hideMark/>
          </w:tcPr>
          <w:p w14:paraId="0547218B" w14:textId="0CE0F85E"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 &gt;</w:t>
            </w:r>
            <w:r w:rsidR="00B06E64" w:rsidRPr="00E940C3">
              <w:rPr>
                <w:rFonts w:ascii="Book Antiqua" w:hAnsi="Book Antiqua" w:cstheme="minorHAnsi"/>
                <w:color w:val="0D0D0D" w:themeColor="text1" w:themeTint="F2"/>
                <w:lang w:val="en-US"/>
              </w:rPr>
              <w:t xml:space="preserve"> 3556</w:t>
            </w:r>
          </w:p>
          <w:p w14:paraId="14DE7E62" w14:textId="2DA4DF3A"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 &gt;</w:t>
            </w:r>
            <w:r w:rsidR="00B06E64" w:rsidRPr="00E940C3">
              <w:rPr>
                <w:rFonts w:ascii="Book Antiqua" w:hAnsi="Book Antiqua" w:cstheme="minorHAnsi"/>
                <w:color w:val="0D0D0D" w:themeColor="text1" w:themeTint="F2"/>
                <w:lang w:val="en-US"/>
              </w:rPr>
              <w:t xml:space="preserve"> </w:t>
            </w:r>
            <w:r w:rsidRPr="00E940C3">
              <w:rPr>
                <w:rFonts w:ascii="Book Antiqua" w:hAnsi="Book Antiqua" w:cstheme="minorHAnsi"/>
                <w:color w:val="0D0D0D" w:themeColor="text1" w:themeTint="F2"/>
                <w:lang w:val="en-US"/>
              </w:rPr>
              <w:t>3359</w:t>
            </w:r>
          </w:p>
        </w:tc>
        <w:tc>
          <w:tcPr>
            <w:tcW w:w="1263" w:type="dxa"/>
            <w:shd w:val="clear" w:color="auto" w:fill="auto"/>
            <w:noWrap/>
            <w:hideMark/>
          </w:tcPr>
          <w:p w14:paraId="36A32183"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 15.9</w:t>
            </w:r>
          </w:p>
          <w:p w14:paraId="2B496300"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 14.4</w:t>
            </w:r>
          </w:p>
        </w:tc>
        <w:tc>
          <w:tcPr>
            <w:tcW w:w="1273" w:type="dxa"/>
            <w:shd w:val="clear" w:color="auto" w:fill="auto"/>
            <w:noWrap/>
            <w:hideMark/>
          </w:tcPr>
          <w:p w14:paraId="3967CA9F"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139" w:type="dxa"/>
            <w:shd w:val="clear" w:color="auto" w:fill="auto"/>
            <w:noWrap/>
            <w:hideMark/>
          </w:tcPr>
          <w:p w14:paraId="5DD50483"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 11.7</w:t>
            </w:r>
          </w:p>
          <w:p w14:paraId="501AEBC2"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 8.5</w:t>
            </w:r>
          </w:p>
        </w:tc>
        <w:tc>
          <w:tcPr>
            <w:tcW w:w="1979" w:type="dxa"/>
            <w:shd w:val="clear" w:color="auto" w:fill="auto"/>
            <w:noWrap/>
            <w:hideMark/>
          </w:tcPr>
          <w:p w14:paraId="33D346F9"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 more neutropenia, GnP more neuropathy</w:t>
            </w:r>
          </w:p>
        </w:tc>
      </w:tr>
      <w:tr w:rsidR="00265AC6" w:rsidRPr="00E940C3" w14:paraId="23E4295E" w14:textId="77777777" w:rsidTr="0002107B">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687" w:type="dxa"/>
            <w:shd w:val="clear" w:color="auto" w:fill="auto"/>
            <w:noWrap/>
            <w:hideMark/>
          </w:tcPr>
          <w:p w14:paraId="4FD07ED0" w14:textId="2AFEBF05" w:rsidR="00861060" w:rsidRPr="00E940C3" w:rsidRDefault="00861060" w:rsidP="0002107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color w:val="0D0D0D" w:themeColor="text1" w:themeTint="F2"/>
                <w:lang w:val="en-US"/>
              </w:rPr>
              <w:t xml:space="preserve">Papneja </w:t>
            </w:r>
            <w:r w:rsidR="001535C8" w:rsidRPr="00E940C3">
              <w:rPr>
                <w:rFonts w:ascii="Book Antiqua" w:hAnsi="Book Antiqua" w:cstheme="minorHAnsi"/>
                <w:b w:val="0"/>
                <w:i/>
                <w:color w:val="0D0D0D" w:themeColor="text1" w:themeTint="F2"/>
                <w:lang w:val="en-US"/>
              </w:rPr>
              <w:t>et al</w:t>
            </w:r>
            <w:r w:rsidR="001535C8" w:rsidRPr="00E940C3">
              <w:rPr>
                <w:rFonts w:ascii="Book Antiqua" w:hAnsi="Book Antiqua" w:cstheme="minorHAnsi"/>
                <w:b w:val="0"/>
                <w:color w:val="0D0D0D" w:themeColor="text1" w:themeTint="F2"/>
                <w:vertAlign w:val="superscript"/>
                <w:lang w:val="en-US"/>
              </w:rPr>
              <w:t>[29]</w:t>
            </w:r>
            <w:r w:rsidRPr="00E940C3">
              <w:rPr>
                <w:rFonts w:ascii="Book Antiqua" w:hAnsi="Book Antiqua" w:cstheme="minorHAnsi"/>
                <w:b w:val="0"/>
                <w:color w:val="0D0D0D" w:themeColor="text1" w:themeTint="F2"/>
                <w:lang w:val="en-US"/>
              </w:rPr>
              <w:t>, 2019</w:t>
            </w:r>
          </w:p>
        </w:tc>
        <w:tc>
          <w:tcPr>
            <w:tcW w:w="1041" w:type="dxa"/>
            <w:shd w:val="clear" w:color="auto" w:fill="auto"/>
            <w:noWrap/>
            <w:hideMark/>
          </w:tcPr>
          <w:p w14:paraId="0C9DD06D"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Canada</w:t>
            </w:r>
          </w:p>
        </w:tc>
        <w:tc>
          <w:tcPr>
            <w:tcW w:w="1476" w:type="dxa"/>
            <w:shd w:val="clear" w:color="auto" w:fill="auto"/>
            <w:noWrap/>
            <w:hideMark/>
          </w:tcPr>
          <w:p w14:paraId="1D51976D"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761" w:type="dxa"/>
            <w:shd w:val="clear" w:color="auto" w:fill="auto"/>
          </w:tcPr>
          <w:p w14:paraId="5E2B026B"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119</w:t>
            </w:r>
          </w:p>
        </w:tc>
        <w:tc>
          <w:tcPr>
            <w:tcW w:w="706" w:type="dxa"/>
            <w:shd w:val="clear" w:color="auto" w:fill="auto"/>
          </w:tcPr>
          <w:p w14:paraId="3308AA33"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77%</w:t>
            </w:r>
          </w:p>
        </w:tc>
        <w:tc>
          <w:tcPr>
            <w:tcW w:w="1347" w:type="dxa"/>
            <w:shd w:val="clear" w:color="auto" w:fill="auto"/>
            <w:noWrap/>
            <w:hideMark/>
          </w:tcPr>
          <w:p w14:paraId="6E762C82" w14:textId="146F9700" w:rsidR="00861060" w:rsidRPr="00E940C3" w:rsidRDefault="00B06E64"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 86</w:t>
            </w:r>
          </w:p>
          <w:p w14:paraId="46966A17" w14:textId="6A9CF683"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 33</w:t>
            </w:r>
          </w:p>
        </w:tc>
        <w:tc>
          <w:tcPr>
            <w:tcW w:w="1263" w:type="dxa"/>
            <w:shd w:val="clear" w:color="auto" w:fill="auto"/>
            <w:noWrap/>
            <w:hideMark/>
          </w:tcPr>
          <w:p w14:paraId="1370DFBB"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 9.0</w:t>
            </w:r>
          </w:p>
          <w:p w14:paraId="6C43C792"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 9.0</w:t>
            </w:r>
          </w:p>
        </w:tc>
        <w:tc>
          <w:tcPr>
            <w:tcW w:w="1273" w:type="dxa"/>
            <w:shd w:val="clear" w:color="auto" w:fill="auto"/>
            <w:noWrap/>
            <w:hideMark/>
          </w:tcPr>
          <w:p w14:paraId="7F4C268B"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S-Alb, male sex, </w:t>
            </w:r>
            <w:r w:rsidRPr="00E940C3">
              <w:rPr>
                <w:rFonts w:ascii="Book Antiqua" w:hAnsi="Book Antiqua" w:cstheme="minorHAnsi"/>
                <w:color w:val="0D0D0D" w:themeColor="text1" w:themeTint="F2"/>
                <w:lang w:val="en-US"/>
              </w:rPr>
              <w:lastRenderedPageBreak/>
              <w:t>2</w:t>
            </w:r>
            <w:r w:rsidRPr="00E940C3">
              <w:rPr>
                <w:rFonts w:ascii="Book Antiqua" w:hAnsi="Book Antiqua" w:cstheme="minorHAnsi"/>
                <w:color w:val="0D0D0D" w:themeColor="text1" w:themeTint="F2"/>
                <w:vertAlign w:val="superscript"/>
                <w:lang w:val="en-US"/>
              </w:rPr>
              <w:t>nd</w:t>
            </w:r>
            <w:r w:rsidRPr="00E940C3">
              <w:rPr>
                <w:rFonts w:ascii="Book Antiqua" w:hAnsi="Book Antiqua" w:cstheme="minorHAnsi"/>
                <w:color w:val="0D0D0D" w:themeColor="text1" w:themeTint="F2"/>
                <w:lang w:val="en-US"/>
              </w:rPr>
              <w:t xml:space="preserve"> line therapy</w:t>
            </w:r>
          </w:p>
        </w:tc>
        <w:tc>
          <w:tcPr>
            <w:tcW w:w="1139" w:type="dxa"/>
            <w:shd w:val="clear" w:color="auto" w:fill="auto"/>
            <w:noWrap/>
            <w:hideMark/>
          </w:tcPr>
          <w:p w14:paraId="276FA21A"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lastRenderedPageBreak/>
              <w:t>FFX 6.0</w:t>
            </w:r>
          </w:p>
          <w:p w14:paraId="00AA7FD0"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GnP 4.0 </w:t>
            </w:r>
          </w:p>
        </w:tc>
        <w:tc>
          <w:tcPr>
            <w:tcW w:w="1979" w:type="dxa"/>
            <w:shd w:val="clear" w:color="auto" w:fill="auto"/>
            <w:noWrap/>
            <w:hideMark/>
          </w:tcPr>
          <w:p w14:paraId="27F6032A"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Grade 1-2 thromboembolism, mucositis and </w:t>
            </w:r>
            <w:r w:rsidRPr="00E940C3">
              <w:rPr>
                <w:rFonts w:ascii="Book Antiqua" w:hAnsi="Book Antiqua" w:cstheme="minorHAnsi"/>
                <w:color w:val="0D0D0D" w:themeColor="text1" w:themeTint="F2"/>
                <w:lang w:val="en-US"/>
              </w:rPr>
              <w:lastRenderedPageBreak/>
              <w:t>neuropathy sign more in FFX. Among grade 3-4 toxicity only fatigue sign more in GnP group</w:t>
            </w:r>
          </w:p>
        </w:tc>
      </w:tr>
      <w:tr w:rsidR="00B06E64" w:rsidRPr="00E940C3" w14:paraId="21A42ED0" w14:textId="77777777" w:rsidTr="0002107B">
        <w:trPr>
          <w:trHeight w:val="289"/>
          <w:jc w:val="center"/>
        </w:trPr>
        <w:tc>
          <w:tcPr>
            <w:cnfStyle w:val="001000000000" w:firstRow="0" w:lastRow="0" w:firstColumn="1" w:lastColumn="0" w:oddVBand="0" w:evenVBand="0" w:oddHBand="0" w:evenHBand="0" w:firstRowFirstColumn="0" w:firstRowLastColumn="0" w:lastRowFirstColumn="0" w:lastRowLastColumn="0"/>
            <w:tcW w:w="1687" w:type="dxa"/>
            <w:shd w:val="clear" w:color="auto" w:fill="auto"/>
            <w:noWrap/>
          </w:tcPr>
          <w:p w14:paraId="0313C897" w14:textId="09F2E5E1" w:rsidR="00861060" w:rsidRPr="00E940C3" w:rsidRDefault="00861060" w:rsidP="0002107B">
            <w:pPr>
              <w:snapToGrid w:val="0"/>
              <w:spacing w:line="360" w:lineRule="auto"/>
              <w:rPr>
                <w:rFonts w:ascii="Book Antiqua" w:hAnsi="Book Antiqua" w:cstheme="minorHAnsi"/>
                <w:b w:val="0"/>
                <w:color w:val="0D0D0D" w:themeColor="text1" w:themeTint="F2"/>
                <w:lang w:val="en-US"/>
              </w:rPr>
            </w:pPr>
            <w:r w:rsidRPr="00E940C3">
              <w:rPr>
                <w:rFonts w:ascii="Book Antiqua" w:hAnsi="Book Antiqua" w:cstheme="minorHAnsi"/>
                <w:b w:val="0"/>
                <w:color w:val="0D0D0D" w:themeColor="text1" w:themeTint="F2"/>
                <w:lang w:val="en-US"/>
              </w:rPr>
              <w:lastRenderedPageBreak/>
              <w:t xml:space="preserve">Kordes </w:t>
            </w:r>
            <w:r w:rsidR="001535C8" w:rsidRPr="00E940C3">
              <w:rPr>
                <w:rFonts w:ascii="Book Antiqua" w:hAnsi="Book Antiqua" w:cstheme="minorHAnsi"/>
                <w:b w:val="0"/>
                <w:i/>
                <w:color w:val="0D0D0D" w:themeColor="text1" w:themeTint="F2"/>
                <w:lang w:val="en-US"/>
              </w:rPr>
              <w:t>et al</w:t>
            </w:r>
            <w:r w:rsidR="001535C8" w:rsidRPr="00E940C3">
              <w:rPr>
                <w:rFonts w:ascii="Book Antiqua" w:hAnsi="Book Antiqua" w:cstheme="minorHAnsi"/>
                <w:b w:val="0"/>
                <w:color w:val="0D0D0D" w:themeColor="text1" w:themeTint="F2"/>
                <w:vertAlign w:val="superscript"/>
                <w:lang w:val="en-US"/>
              </w:rPr>
              <w:t>[32]</w:t>
            </w:r>
            <w:r w:rsidRPr="00E940C3">
              <w:rPr>
                <w:rFonts w:ascii="Book Antiqua" w:hAnsi="Book Antiqua" w:cstheme="minorHAnsi"/>
                <w:b w:val="0"/>
                <w:color w:val="0D0D0D" w:themeColor="text1" w:themeTint="F2"/>
                <w:lang w:val="en-US"/>
              </w:rPr>
              <w:t>, 2019</w:t>
            </w:r>
          </w:p>
        </w:tc>
        <w:tc>
          <w:tcPr>
            <w:tcW w:w="1041" w:type="dxa"/>
            <w:shd w:val="clear" w:color="auto" w:fill="auto"/>
            <w:noWrap/>
          </w:tcPr>
          <w:p w14:paraId="290304FD"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Sweden</w:t>
            </w:r>
          </w:p>
        </w:tc>
        <w:tc>
          <w:tcPr>
            <w:tcW w:w="1476" w:type="dxa"/>
            <w:shd w:val="clear" w:color="auto" w:fill="auto"/>
            <w:noWrap/>
          </w:tcPr>
          <w:p w14:paraId="73E31B9D"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761" w:type="dxa"/>
            <w:shd w:val="clear" w:color="auto" w:fill="auto"/>
          </w:tcPr>
          <w:p w14:paraId="6AA749FC"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595</w:t>
            </w:r>
          </w:p>
        </w:tc>
        <w:tc>
          <w:tcPr>
            <w:tcW w:w="706" w:type="dxa"/>
            <w:shd w:val="clear" w:color="auto" w:fill="auto"/>
          </w:tcPr>
          <w:p w14:paraId="2ECE3904"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347" w:type="dxa"/>
            <w:shd w:val="clear" w:color="auto" w:fill="auto"/>
            <w:noWrap/>
          </w:tcPr>
          <w:p w14:paraId="386E1A95" w14:textId="6DC70BED" w:rsidR="00861060" w:rsidRPr="00E940C3" w:rsidRDefault="00B06E64"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 31</w:t>
            </w:r>
          </w:p>
          <w:p w14:paraId="72FE8E95" w14:textId="061EF086" w:rsidR="00861060" w:rsidRPr="00E940C3" w:rsidRDefault="00B06E64"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 66</w:t>
            </w:r>
          </w:p>
          <w:p w14:paraId="2AB0DCC5" w14:textId="6BFDF096"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 185</w:t>
            </w:r>
          </w:p>
        </w:tc>
        <w:tc>
          <w:tcPr>
            <w:tcW w:w="1263" w:type="dxa"/>
            <w:shd w:val="clear" w:color="auto" w:fill="auto"/>
            <w:noWrap/>
          </w:tcPr>
          <w:p w14:paraId="5E12481B"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 9.9</w:t>
            </w:r>
          </w:p>
          <w:p w14:paraId="7E652C24"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 9.8</w:t>
            </w:r>
          </w:p>
          <w:p w14:paraId="0A5B5658"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 6.6</w:t>
            </w:r>
          </w:p>
        </w:tc>
        <w:tc>
          <w:tcPr>
            <w:tcW w:w="1273" w:type="dxa"/>
            <w:shd w:val="clear" w:color="auto" w:fill="auto"/>
            <w:noWrap/>
          </w:tcPr>
          <w:p w14:paraId="6D0C2BC8"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139" w:type="dxa"/>
            <w:shd w:val="clear" w:color="auto" w:fill="auto"/>
            <w:noWrap/>
          </w:tcPr>
          <w:p w14:paraId="06F8923E"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979" w:type="dxa"/>
            <w:shd w:val="clear" w:color="auto" w:fill="auto"/>
            <w:noWrap/>
          </w:tcPr>
          <w:p w14:paraId="090F0E4C"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No sign differences in toxicity comparing FFX </w:t>
            </w:r>
            <w:r w:rsidRPr="00E940C3">
              <w:rPr>
                <w:rFonts w:ascii="Book Antiqua" w:hAnsi="Book Antiqua" w:cstheme="minorHAnsi"/>
                <w:i/>
                <w:color w:val="0D0D0D" w:themeColor="text1" w:themeTint="F2"/>
                <w:lang w:val="en-US"/>
              </w:rPr>
              <w:t>vs</w:t>
            </w:r>
            <w:r w:rsidRPr="00E940C3">
              <w:rPr>
                <w:rFonts w:ascii="Book Antiqua" w:hAnsi="Book Antiqua" w:cstheme="minorHAnsi"/>
                <w:color w:val="0D0D0D" w:themeColor="text1" w:themeTint="F2"/>
                <w:lang w:val="en-US"/>
              </w:rPr>
              <w:t xml:space="preserve"> GnP</w:t>
            </w:r>
          </w:p>
        </w:tc>
      </w:tr>
      <w:tr w:rsidR="00265AC6" w:rsidRPr="00E940C3" w14:paraId="2850A251" w14:textId="77777777" w:rsidTr="0002107B">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687" w:type="dxa"/>
            <w:shd w:val="clear" w:color="auto" w:fill="auto"/>
            <w:noWrap/>
            <w:hideMark/>
          </w:tcPr>
          <w:p w14:paraId="32A493B1" w14:textId="334F30AA" w:rsidR="00861060" w:rsidRPr="00E940C3" w:rsidRDefault="00861060" w:rsidP="0002107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color w:val="0D0D0D" w:themeColor="text1" w:themeTint="F2"/>
                <w:lang w:val="en-US"/>
              </w:rPr>
              <w:t xml:space="preserve">Cartwright </w:t>
            </w:r>
            <w:r w:rsidR="001535C8" w:rsidRPr="00E940C3">
              <w:rPr>
                <w:rFonts w:ascii="Book Antiqua" w:hAnsi="Book Antiqua" w:cstheme="minorHAnsi"/>
                <w:b w:val="0"/>
                <w:i/>
                <w:color w:val="0D0D0D" w:themeColor="text1" w:themeTint="F2"/>
                <w:lang w:val="en-US"/>
              </w:rPr>
              <w:t>et al</w:t>
            </w:r>
            <w:r w:rsidR="001535C8" w:rsidRPr="00E940C3">
              <w:rPr>
                <w:rFonts w:ascii="Book Antiqua" w:hAnsi="Book Antiqua" w:cstheme="minorHAnsi"/>
                <w:b w:val="0"/>
                <w:color w:val="0D0D0D" w:themeColor="text1" w:themeTint="F2"/>
                <w:vertAlign w:val="superscript"/>
                <w:lang w:val="en-US"/>
              </w:rPr>
              <w:t>[30]</w:t>
            </w:r>
            <w:r w:rsidRPr="00E940C3">
              <w:rPr>
                <w:rFonts w:ascii="Book Antiqua" w:hAnsi="Book Antiqua" w:cstheme="minorHAnsi"/>
                <w:b w:val="0"/>
                <w:color w:val="0D0D0D" w:themeColor="text1" w:themeTint="F2"/>
                <w:lang w:val="en-US"/>
              </w:rPr>
              <w:t>, 2018</w:t>
            </w:r>
          </w:p>
        </w:tc>
        <w:tc>
          <w:tcPr>
            <w:tcW w:w="1041" w:type="dxa"/>
            <w:shd w:val="clear" w:color="auto" w:fill="auto"/>
            <w:noWrap/>
            <w:hideMark/>
          </w:tcPr>
          <w:p w14:paraId="6EC2B4A1" w14:textId="77B4A9AA"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U</w:t>
            </w:r>
            <w:r w:rsidR="00B06E64" w:rsidRPr="00E940C3">
              <w:rPr>
                <w:rFonts w:ascii="Book Antiqua" w:hAnsi="Book Antiqua" w:cstheme="minorHAnsi"/>
                <w:color w:val="0D0D0D" w:themeColor="text1" w:themeTint="F2"/>
                <w:lang w:val="en-US"/>
              </w:rPr>
              <w:t xml:space="preserve">nited </w:t>
            </w:r>
            <w:r w:rsidRPr="00E940C3">
              <w:rPr>
                <w:rFonts w:ascii="Book Antiqua" w:hAnsi="Book Antiqua" w:cstheme="minorHAnsi"/>
                <w:color w:val="0D0D0D" w:themeColor="text1" w:themeTint="F2"/>
                <w:lang w:val="en-US"/>
              </w:rPr>
              <w:t>S</w:t>
            </w:r>
            <w:r w:rsidR="00B06E64" w:rsidRPr="00E940C3">
              <w:rPr>
                <w:rFonts w:ascii="Book Antiqua" w:hAnsi="Book Antiqua" w:cstheme="minorHAnsi"/>
                <w:color w:val="0D0D0D" w:themeColor="text1" w:themeTint="F2"/>
                <w:lang w:val="en-US"/>
              </w:rPr>
              <w:t>tates</w:t>
            </w:r>
          </w:p>
        </w:tc>
        <w:tc>
          <w:tcPr>
            <w:tcW w:w="1476" w:type="dxa"/>
            <w:shd w:val="clear" w:color="auto" w:fill="auto"/>
            <w:noWrap/>
            <w:hideMark/>
          </w:tcPr>
          <w:p w14:paraId="3E9881B2"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761" w:type="dxa"/>
            <w:shd w:val="clear" w:color="auto" w:fill="auto"/>
          </w:tcPr>
          <w:p w14:paraId="7BB45138"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486</w:t>
            </w:r>
          </w:p>
        </w:tc>
        <w:tc>
          <w:tcPr>
            <w:tcW w:w="706" w:type="dxa"/>
            <w:shd w:val="clear" w:color="auto" w:fill="auto"/>
          </w:tcPr>
          <w:p w14:paraId="4F9CBD17"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100%</w:t>
            </w:r>
          </w:p>
        </w:tc>
        <w:tc>
          <w:tcPr>
            <w:tcW w:w="1347" w:type="dxa"/>
            <w:shd w:val="clear" w:color="auto" w:fill="auto"/>
            <w:noWrap/>
            <w:hideMark/>
          </w:tcPr>
          <w:p w14:paraId="4B0EFCFD" w14:textId="01814246" w:rsidR="00861060" w:rsidRPr="00E940C3" w:rsidRDefault="00B06E64"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 159</w:t>
            </w:r>
          </w:p>
          <w:p w14:paraId="190C4364" w14:textId="139D1654" w:rsidR="00861060" w:rsidRPr="00E940C3" w:rsidRDefault="00B06E64"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 255</w:t>
            </w:r>
          </w:p>
          <w:p w14:paraId="0681FFC4" w14:textId="21C7FC5C"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 72</w:t>
            </w:r>
          </w:p>
        </w:tc>
        <w:tc>
          <w:tcPr>
            <w:tcW w:w="1263" w:type="dxa"/>
            <w:shd w:val="clear" w:color="auto" w:fill="auto"/>
            <w:noWrap/>
            <w:hideMark/>
          </w:tcPr>
          <w:p w14:paraId="443DAAAA"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 11.4</w:t>
            </w:r>
          </w:p>
          <w:p w14:paraId="0CC918E6"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 9.8</w:t>
            </w:r>
          </w:p>
          <w:p w14:paraId="19CCDA91"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 4.4</w:t>
            </w:r>
          </w:p>
        </w:tc>
        <w:tc>
          <w:tcPr>
            <w:tcW w:w="1273" w:type="dxa"/>
            <w:shd w:val="clear" w:color="auto" w:fill="auto"/>
            <w:noWrap/>
            <w:hideMark/>
          </w:tcPr>
          <w:p w14:paraId="62E9AA31"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p w14:paraId="3932F883"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
        </w:tc>
        <w:tc>
          <w:tcPr>
            <w:tcW w:w="1139" w:type="dxa"/>
            <w:shd w:val="clear" w:color="auto" w:fill="auto"/>
            <w:noWrap/>
            <w:hideMark/>
          </w:tcPr>
          <w:p w14:paraId="737483D7"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p w14:paraId="57F2CF88"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
        </w:tc>
        <w:tc>
          <w:tcPr>
            <w:tcW w:w="1979" w:type="dxa"/>
            <w:shd w:val="clear" w:color="auto" w:fill="auto"/>
            <w:noWrap/>
            <w:hideMark/>
          </w:tcPr>
          <w:p w14:paraId="19107B23" w14:textId="77777777" w:rsidR="00861060" w:rsidRPr="00E940C3" w:rsidRDefault="00861060" w:rsidP="0002107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No sign differences in toxicity comparing FFX </w:t>
            </w:r>
            <w:r w:rsidRPr="00E940C3">
              <w:rPr>
                <w:rFonts w:ascii="Book Antiqua" w:hAnsi="Book Antiqua" w:cstheme="minorHAnsi"/>
                <w:i/>
                <w:color w:val="0D0D0D" w:themeColor="text1" w:themeTint="F2"/>
                <w:lang w:val="en-US"/>
              </w:rPr>
              <w:t>vs</w:t>
            </w:r>
            <w:r w:rsidRPr="00E940C3">
              <w:rPr>
                <w:rFonts w:ascii="Book Antiqua" w:hAnsi="Book Antiqua" w:cstheme="minorHAnsi"/>
                <w:color w:val="0D0D0D" w:themeColor="text1" w:themeTint="F2"/>
                <w:lang w:val="en-US"/>
              </w:rPr>
              <w:t xml:space="preserve"> GnP</w:t>
            </w:r>
          </w:p>
        </w:tc>
      </w:tr>
      <w:tr w:rsidR="0042032D" w:rsidRPr="00E940C3" w14:paraId="20CD0AE4" w14:textId="77777777" w:rsidTr="0002107B">
        <w:trPr>
          <w:trHeight w:val="289"/>
          <w:jc w:val="center"/>
        </w:trPr>
        <w:tc>
          <w:tcPr>
            <w:cnfStyle w:val="001000000000" w:firstRow="0" w:lastRow="0" w:firstColumn="1" w:lastColumn="0" w:oddVBand="0" w:evenVBand="0" w:oddHBand="0" w:evenHBand="0" w:firstRowFirstColumn="0" w:firstRowLastColumn="0" w:lastRowFirstColumn="0" w:lastRowLastColumn="0"/>
            <w:tcW w:w="1687" w:type="dxa"/>
            <w:tcBorders>
              <w:bottom w:val="single" w:sz="4" w:space="0" w:color="auto"/>
            </w:tcBorders>
            <w:shd w:val="clear" w:color="auto" w:fill="auto"/>
            <w:noWrap/>
            <w:hideMark/>
          </w:tcPr>
          <w:p w14:paraId="386FC489" w14:textId="4669B205" w:rsidR="00861060" w:rsidRPr="00E940C3" w:rsidRDefault="00861060" w:rsidP="0002107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color w:val="0D0D0D" w:themeColor="text1" w:themeTint="F2"/>
                <w:lang w:val="en-US"/>
              </w:rPr>
              <w:t xml:space="preserve">Kim </w:t>
            </w:r>
            <w:r w:rsidR="001535C8" w:rsidRPr="00E940C3">
              <w:rPr>
                <w:rFonts w:ascii="Book Antiqua" w:hAnsi="Book Antiqua" w:cstheme="minorHAnsi"/>
                <w:b w:val="0"/>
                <w:i/>
                <w:color w:val="0D0D0D" w:themeColor="text1" w:themeTint="F2"/>
                <w:lang w:val="en-US"/>
              </w:rPr>
              <w:t>et al</w:t>
            </w:r>
            <w:r w:rsidR="001535C8" w:rsidRPr="00E940C3">
              <w:rPr>
                <w:rFonts w:ascii="Book Antiqua" w:hAnsi="Book Antiqua" w:cstheme="minorHAnsi"/>
                <w:b w:val="0"/>
                <w:color w:val="0D0D0D" w:themeColor="text1" w:themeTint="F2"/>
                <w:vertAlign w:val="superscript"/>
                <w:lang w:val="en-US"/>
              </w:rPr>
              <w:t>[31]</w:t>
            </w:r>
            <w:r w:rsidRPr="00E940C3">
              <w:rPr>
                <w:rFonts w:ascii="Book Antiqua" w:hAnsi="Book Antiqua" w:cstheme="minorHAnsi"/>
                <w:b w:val="0"/>
                <w:color w:val="0D0D0D" w:themeColor="text1" w:themeTint="F2"/>
                <w:lang w:val="en-US"/>
              </w:rPr>
              <w:t>, 2018</w:t>
            </w:r>
          </w:p>
        </w:tc>
        <w:tc>
          <w:tcPr>
            <w:tcW w:w="1041" w:type="dxa"/>
            <w:tcBorders>
              <w:bottom w:val="single" w:sz="4" w:space="0" w:color="auto"/>
            </w:tcBorders>
            <w:shd w:val="clear" w:color="auto" w:fill="auto"/>
            <w:noWrap/>
            <w:hideMark/>
          </w:tcPr>
          <w:p w14:paraId="32D37DB5" w14:textId="6AFCF4D5" w:rsidR="00861060" w:rsidRPr="00E940C3" w:rsidRDefault="00AE3EFB"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United States</w:t>
            </w:r>
          </w:p>
        </w:tc>
        <w:tc>
          <w:tcPr>
            <w:tcW w:w="1476" w:type="dxa"/>
            <w:tcBorders>
              <w:bottom w:val="single" w:sz="4" w:space="0" w:color="auto"/>
            </w:tcBorders>
            <w:shd w:val="clear" w:color="auto" w:fill="auto"/>
            <w:noWrap/>
            <w:hideMark/>
          </w:tcPr>
          <w:p w14:paraId="768A5C98"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Retrospective cohort</w:t>
            </w:r>
          </w:p>
        </w:tc>
        <w:tc>
          <w:tcPr>
            <w:tcW w:w="761" w:type="dxa"/>
            <w:tcBorders>
              <w:bottom w:val="single" w:sz="4" w:space="0" w:color="auto"/>
            </w:tcBorders>
            <w:shd w:val="clear" w:color="auto" w:fill="auto"/>
          </w:tcPr>
          <w:p w14:paraId="350F3D3D"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654</w:t>
            </w:r>
          </w:p>
        </w:tc>
        <w:tc>
          <w:tcPr>
            <w:tcW w:w="706" w:type="dxa"/>
            <w:tcBorders>
              <w:bottom w:val="single" w:sz="4" w:space="0" w:color="auto"/>
            </w:tcBorders>
            <w:shd w:val="clear" w:color="auto" w:fill="auto"/>
          </w:tcPr>
          <w:p w14:paraId="24AD171E"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100%</w:t>
            </w:r>
          </w:p>
        </w:tc>
        <w:tc>
          <w:tcPr>
            <w:tcW w:w="1347" w:type="dxa"/>
            <w:tcBorders>
              <w:bottom w:val="single" w:sz="4" w:space="0" w:color="auto"/>
            </w:tcBorders>
            <w:shd w:val="clear" w:color="auto" w:fill="auto"/>
            <w:noWrap/>
            <w:hideMark/>
          </w:tcPr>
          <w:p w14:paraId="1F5C9817" w14:textId="2AD75441" w:rsidR="00861060" w:rsidRPr="00E940C3" w:rsidRDefault="00B06E64"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 317</w:t>
            </w:r>
          </w:p>
          <w:p w14:paraId="3E437B0E" w14:textId="08039545"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 337</w:t>
            </w:r>
          </w:p>
        </w:tc>
        <w:tc>
          <w:tcPr>
            <w:tcW w:w="1263" w:type="dxa"/>
            <w:tcBorders>
              <w:bottom w:val="single" w:sz="4" w:space="0" w:color="auto"/>
            </w:tcBorders>
            <w:shd w:val="clear" w:color="auto" w:fill="auto"/>
            <w:noWrap/>
            <w:hideMark/>
          </w:tcPr>
          <w:p w14:paraId="3DD4939D" w14:textId="08963240" w:rsidR="00861060" w:rsidRPr="00E940C3" w:rsidRDefault="004A219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 13.8</w:t>
            </w:r>
          </w:p>
          <w:p w14:paraId="62E8C495" w14:textId="77777777" w:rsidR="004A219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 12.1</w:t>
            </w:r>
          </w:p>
          <w:p w14:paraId="079DA7D8" w14:textId="16CA7D9F" w:rsidR="00861060" w:rsidRPr="00E940C3" w:rsidRDefault="004A219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i/>
                <w:color w:val="0D0D0D" w:themeColor="text1" w:themeTint="F2"/>
                <w:lang w:val="en-US"/>
              </w:rPr>
              <w:t xml:space="preserve">P </w:t>
            </w:r>
            <w:r w:rsidR="00861060" w:rsidRPr="00E940C3">
              <w:rPr>
                <w:rFonts w:ascii="Book Antiqua" w:hAnsi="Book Antiqua" w:cstheme="minorHAnsi"/>
                <w:color w:val="0D0D0D" w:themeColor="text1" w:themeTint="F2"/>
                <w:lang w:val="en-US"/>
              </w:rPr>
              <w:t>=</w:t>
            </w:r>
            <w:r w:rsidRPr="00E940C3">
              <w:rPr>
                <w:rFonts w:ascii="Book Antiqua" w:hAnsi="Book Antiqua" w:cstheme="minorHAnsi"/>
                <w:color w:val="0D0D0D" w:themeColor="text1" w:themeTint="F2"/>
                <w:lang w:val="en-US"/>
              </w:rPr>
              <w:t xml:space="preserve"> </w:t>
            </w:r>
            <w:r w:rsidR="00861060" w:rsidRPr="00E940C3">
              <w:rPr>
                <w:rFonts w:ascii="Book Antiqua" w:hAnsi="Book Antiqua" w:cstheme="minorHAnsi"/>
                <w:color w:val="0D0D0D" w:themeColor="text1" w:themeTint="F2"/>
                <w:lang w:val="en-US"/>
              </w:rPr>
              <w:t>0.96</w:t>
            </w:r>
          </w:p>
        </w:tc>
        <w:tc>
          <w:tcPr>
            <w:tcW w:w="1273" w:type="dxa"/>
            <w:tcBorders>
              <w:bottom w:val="single" w:sz="4" w:space="0" w:color="auto"/>
            </w:tcBorders>
            <w:shd w:val="clear" w:color="auto" w:fill="auto"/>
            <w:noWrap/>
            <w:hideMark/>
          </w:tcPr>
          <w:p w14:paraId="463CB680"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Age</w:t>
            </w:r>
          </w:p>
        </w:tc>
        <w:tc>
          <w:tcPr>
            <w:tcW w:w="1139" w:type="dxa"/>
            <w:tcBorders>
              <w:bottom w:val="single" w:sz="4" w:space="0" w:color="auto"/>
            </w:tcBorders>
            <w:shd w:val="clear" w:color="auto" w:fill="auto"/>
            <w:noWrap/>
            <w:hideMark/>
          </w:tcPr>
          <w:p w14:paraId="22322CB6"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 -</w:t>
            </w:r>
          </w:p>
        </w:tc>
        <w:tc>
          <w:tcPr>
            <w:tcW w:w="1979" w:type="dxa"/>
            <w:tcBorders>
              <w:bottom w:val="single" w:sz="4" w:space="0" w:color="auto"/>
            </w:tcBorders>
            <w:shd w:val="clear" w:color="auto" w:fill="auto"/>
            <w:noWrap/>
            <w:hideMark/>
          </w:tcPr>
          <w:p w14:paraId="79E9FE48" w14:textId="77777777" w:rsidR="00861060" w:rsidRPr="00E940C3" w:rsidRDefault="00861060" w:rsidP="0002107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Less toxicity in GnP group</w:t>
            </w:r>
          </w:p>
        </w:tc>
      </w:tr>
    </w:tbl>
    <w:p w14:paraId="3DC4F0C8" w14:textId="4A1EF2CF" w:rsidR="00265AC6" w:rsidRPr="00E940C3" w:rsidRDefault="00861060" w:rsidP="00274399">
      <w:pPr>
        <w:snapToGrid w:val="0"/>
        <w:spacing w:line="360" w:lineRule="auto"/>
        <w:rPr>
          <w:rFonts w:ascii="Book Antiqua" w:hAnsi="Book Antiqua" w:cstheme="minorHAnsi"/>
          <w:color w:val="0D0D0D" w:themeColor="text1" w:themeTint="F2"/>
        </w:rPr>
      </w:pPr>
      <w:r w:rsidRPr="00E940C3">
        <w:rPr>
          <w:rFonts w:ascii="Book Antiqua" w:hAnsi="Book Antiqua" w:cstheme="minorHAnsi"/>
          <w:color w:val="0D0D0D" w:themeColor="text1" w:themeTint="F2"/>
        </w:rPr>
        <w:t>FFX: Folfirinox; Gem: Gemcitabine</w:t>
      </w:r>
      <w:r w:rsidR="008E300D" w:rsidRPr="00E940C3">
        <w:rPr>
          <w:rFonts w:ascii="Book Antiqua" w:hAnsi="Book Antiqua" w:cstheme="minorHAnsi"/>
          <w:color w:val="0D0D0D" w:themeColor="text1" w:themeTint="F2"/>
        </w:rPr>
        <w:t>;</w:t>
      </w:r>
      <w:r w:rsidRPr="00E940C3">
        <w:rPr>
          <w:rFonts w:ascii="Book Antiqua" w:hAnsi="Book Antiqua" w:cstheme="minorHAnsi"/>
          <w:color w:val="0D0D0D" w:themeColor="text1" w:themeTint="F2"/>
        </w:rPr>
        <w:t xml:space="preserve"> GnP: Gemcitabine/Nab-paclitaxel;</w:t>
      </w:r>
      <w:r w:rsidR="008E300D" w:rsidRPr="00E940C3">
        <w:rPr>
          <w:rFonts w:ascii="Book Antiqua" w:hAnsi="Book Antiqua" w:cstheme="minorHAnsi"/>
          <w:color w:val="0D0D0D" w:themeColor="text1" w:themeTint="F2"/>
        </w:rPr>
        <w:t xml:space="preserve"> </w:t>
      </w:r>
      <w:r w:rsidRPr="00E940C3">
        <w:rPr>
          <w:rFonts w:ascii="Book Antiqua" w:hAnsi="Book Antiqua" w:cstheme="minorHAnsi"/>
          <w:color w:val="0D0D0D" w:themeColor="text1" w:themeTint="F2"/>
        </w:rPr>
        <w:t xml:space="preserve">M1: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etastatic disease; mOS: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edian overall survival; mPFS: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edian progression</w:t>
      </w:r>
      <w:r w:rsidR="00FD4E0F" w:rsidRPr="00E940C3">
        <w:rPr>
          <w:rFonts w:ascii="Book Antiqua" w:hAnsi="Book Antiqua" w:cstheme="minorHAnsi"/>
          <w:color w:val="0D0D0D" w:themeColor="text1" w:themeTint="F2"/>
        </w:rPr>
        <w:t>-</w:t>
      </w:r>
      <w:r w:rsidRPr="00E940C3">
        <w:rPr>
          <w:rFonts w:ascii="Book Antiqua" w:hAnsi="Book Antiqua" w:cstheme="minorHAnsi"/>
          <w:color w:val="0D0D0D" w:themeColor="text1" w:themeTint="F2"/>
        </w:rPr>
        <w:t xml:space="preserve">free survival; NA: </w:t>
      </w:r>
      <w:r w:rsidRPr="00E940C3">
        <w:rPr>
          <w:rFonts w:ascii="Book Antiqua" w:hAnsi="Book Antiqua" w:cstheme="minorHAnsi"/>
          <w:caps/>
          <w:color w:val="0D0D0D" w:themeColor="text1" w:themeTint="F2"/>
        </w:rPr>
        <w:t>n</w:t>
      </w:r>
      <w:r w:rsidR="00C314BE" w:rsidRPr="00E940C3">
        <w:rPr>
          <w:rFonts w:ascii="Book Antiqua" w:hAnsi="Book Antiqua" w:cstheme="minorHAnsi"/>
          <w:color w:val="0D0D0D" w:themeColor="text1" w:themeTint="F2"/>
        </w:rPr>
        <w:t>ot applicable</w:t>
      </w:r>
      <w:r w:rsidR="00274399" w:rsidRPr="00E940C3">
        <w:rPr>
          <w:rFonts w:ascii="Book Antiqua" w:hAnsi="Book Antiqua" w:cstheme="minorHAnsi"/>
          <w:color w:val="0D0D0D" w:themeColor="text1" w:themeTint="F2"/>
        </w:rPr>
        <w:t xml:space="preserve">; NLR: </w:t>
      </w:r>
      <w:r w:rsidR="00274399" w:rsidRPr="00E940C3">
        <w:rPr>
          <w:rFonts w:ascii="Book Antiqua" w:hAnsi="Book Antiqua" w:cstheme="minorHAnsi"/>
          <w:caps/>
          <w:color w:val="0D0D0D" w:themeColor="text1" w:themeTint="F2"/>
        </w:rPr>
        <w:t>n</w:t>
      </w:r>
      <w:r w:rsidR="00274399" w:rsidRPr="00E940C3">
        <w:rPr>
          <w:rFonts w:ascii="Book Antiqua" w:hAnsi="Book Antiqua" w:cstheme="minorHAnsi"/>
          <w:color w:val="0D0D0D" w:themeColor="text1" w:themeTint="F2"/>
        </w:rPr>
        <w:t>eutrophil-leucocyte</w:t>
      </w:r>
      <w:r w:rsidR="00FD4E0F" w:rsidRPr="00E940C3">
        <w:rPr>
          <w:rFonts w:ascii="Book Antiqua" w:hAnsi="Book Antiqua" w:cstheme="minorHAnsi"/>
          <w:color w:val="0D0D0D" w:themeColor="text1" w:themeTint="F2"/>
        </w:rPr>
        <w:t xml:space="preserve"> </w:t>
      </w:r>
      <w:r w:rsidR="00274399" w:rsidRPr="00E940C3">
        <w:rPr>
          <w:rFonts w:ascii="Book Antiqua" w:hAnsi="Book Antiqua" w:cstheme="minorHAnsi"/>
          <w:color w:val="0D0D0D" w:themeColor="text1" w:themeTint="F2"/>
        </w:rPr>
        <w:t xml:space="preserve">ratio; s-Alb: </w:t>
      </w:r>
      <w:r w:rsidR="00274399" w:rsidRPr="00E940C3">
        <w:rPr>
          <w:rFonts w:ascii="Book Antiqua" w:hAnsi="Book Antiqua" w:cstheme="minorHAnsi"/>
          <w:caps/>
          <w:color w:val="0D0D0D" w:themeColor="text1" w:themeTint="F2"/>
        </w:rPr>
        <w:t>s</w:t>
      </w:r>
      <w:r w:rsidR="00274399" w:rsidRPr="00E940C3">
        <w:rPr>
          <w:rFonts w:ascii="Book Antiqua" w:hAnsi="Book Antiqua" w:cstheme="minorHAnsi"/>
          <w:color w:val="0D0D0D" w:themeColor="text1" w:themeTint="F2"/>
        </w:rPr>
        <w:t>erum albumin.</w:t>
      </w:r>
      <w:r w:rsidR="00265AC6" w:rsidRPr="00E940C3">
        <w:rPr>
          <w:rFonts w:ascii="Book Antiqua" w:eastAsiaTheme="minorHAnsi" w:hAnsi="Book Antiqua" w:cstheme="minorHAnsi"/>
          <w:color w:val="0D0D0D" w:themeColor="text1" w:themeTint="F2"/>
        </w:rPr>
        <w:br w:type="page"/>
      </w:r>
    </w:p>
    <w:p w14:paraId="58C1C89D" w14:textId="143F8B21" w:rsidR="00861060" w:rsidRPr="00E940C3" w:rsidRDefault="00861060" w:rsidP="00265AC6">
      <w:pPr>
        <w:pStyle w:val="Heading2"/>
        <w:snapToGrid w:val="0"/>
        <w:spacing w:before="0" w:line="360" w:lineRule="auto"/>
        <w:rPr>
          <w:rFonts w:ascii="Book Antiqua" w:hAnsi="Book Antiqua" w:cstheme="minorHAnsi"/>
          <w:b/>
          <w:bCs/>
          <w:color w:val="0D0D0D" w:themeColor="text1" w:themeTint="F2"/>
          <w:sz w:val="24"/>
          <w:szCs w:val="24"/>
          <w:lang w:val="en-US"/>
        </w:rPr>
      </w:pPr>
      <w:r w:rsidRPr="00E940C3">
        <w:rPr>
          <w:rFonts w:ascii="Book Antiqua" w:hAnsi="Book Antiqua" w:cstheme="minorHAnsi"/>
          <w:b/>
          <w:bCs/>
          <w:color w:val="0D0D0D" w:themeColor="text1" w:themeTint="F2"/>
          <w:sz w:val="24"/>
          <w:szCs w:val="24"/>
          <w:lang w:val="en-US"/>
        </w:rPr>
        <w:lastRenderedPageBreak/>
        <w:t>Table 4</w:t>
      </w:r>
      <w:r w:rsidR="00265AC6" w:rsidRPr="00E940C3">
        <w:rPr>
          <w:rFonts w:ascii="Book Antiqua" w:hAnsi="Book Antiqua" w:cstheme="minorHAnsi"/>
          <w:b/>
          <w:bCs/>
          <w:color w:val="0D0D0D" w:themeColor="text1" w:themeTint="F2"/>
          <w:sz w:val="24"/>
          <w:szCs w:val="24"/>
          <w:lang w:val="en-US"/>
        </w:rPr>
        <w:t xml:space="preserve"> </w:t>
      </w:r>
      <w:r w:rsidRPr="00E940C3">
        <w:rPr>
          <w:rFonts w:ascii="Book Antiqua" w:hAnsi="Book Antiqua" w:cstheme="minorHAnsi"/>
          <w:b/>
          <w:bCs/>
          <w:color w:val="0D0D0D" w:themeColor="text1" w:themeTint="F2"/>
          <w:sz w:val="24"/>
          <w:szCs w:val="24"/>
          <w:lang w:val="en-US"/>
        </w:rPr>
        <w:t>Real</w:t>
      </w:r>
      <w:r w:rsidR="00FD4E0F" w:rsidRPr="00E940C3">
        <w:rPr>
          <w:rFonts w:ascii="Book Antiqua" w:hAnsi="Book Antiqua" w:cstheme="minorHAnsi"/>
          <w:b/>
          <w:bCs/>
          <w:color w:val="0D0D0D" w:themeColor="text1" w:themeTint="F2"/>
          <w:sz w:val="24"/>
          <w:szCs w:val="24"/>
          <w:lang w:val="en-US"/>
        </w:rPr>
        <w:t>-</w:t>
      </w:r>
      <w:r w:rsidRPr="00E940C3">
        <w:rPr>
          <w:rFonts w:ascii="Book Antiqua" w:hAnsi="Book Antiqua" w:cstheme="minorHAnsi"/>
          <w:b/>
          <w:bCs/>
          <w:color w:val="0D0D0D" w:themeColor="text1" w:themeTint="F2"/>
          <w:sz w:val="24"/>
          <w:szCs w:val="24"/>
          <w:lang w:val="en-US"/>
        </w:rPr>
        <w:t>world studies of second</w:t>
      </w:r>
      <w:r w:rsidR="00FD4E0F" w:rsidRPr="00E940C3">
        <w:rPr>
          <w:rFonts w:ascii="Book Antiqua" w:hAnsi="Book Antiqua" w:cstheme="minorHAnsi"/>
          <w:b/>
          <w:bCs/>
          <w:color w:val="0D0D0D" w:themeColor="text1" w:themeTint="F2"/>
          <w:sz w:val="24"/>
          <w:szCs w:val="24"/>
          <w:lang w:val="en-US"/>
        </w:rPr>
        <w:t>-</w:t>
      </w:r>
      <w:r w:rsidRPr="00E940C3">
        <w:rPr>
          <w:rFonts w:ascii="Book Antiqua" w:hAnsi="Book Antiqua" w:cstheme="minorHAnsi"/>
          <w:b/>
          <w:bCs/>
          <w:color w:val="0D0D0D" w:themeColor="text1" w:themeTint="F2"/>
          <w:sz w:val="24"/>
          <w:szCs w:val="24"/>
          <w:lang w:val="en-US"/>
        </w:rPr>
        <w:t>line therapy following failure</w:t>
      </w:r>
      <w:r w:rsidR="008E5F8F" w:rsidRPr="00E940C3">
        <w:rPr>
          <w:rFonts w:ascii="Book Antiqua" w:hAnsi="Book Antiqua" w:cstheme="minorHAnsi"/>
          <w:b/>
          <w:bCs/>
          <w:color w:val="0D0D0D" w:themeColor="text1" w:themeTint="F2"/>
          <w:sz w:val="24"/>
          <w:szCs w:val="24"/>
          <w:lang w:val="en-US"/>
        </w:rPr>
        <w:t xml:space="preserve"> of </w:t>
      </w:r>
      <w:r w:rsidR="00047A90" w:rsidRPr="00E940C3">
        <w:rPr>
          <w:rFonts w:ascii="Book Antiqua" w:hAnsi="Book Antiqua" w:cstheme="minorHAnsi"/>
          <w:b/>
          <w:bCs/>
          <w:color w:val="0D0D0D" w:themeColor="text1" w:themeTint="F2"/>
          <w:sz w:val="24"/>
          <w:szCs w:val="24"/>
          <w:lang w:val="en-US"/>
        </w:rPr>
        <w:t>Folfirinox</w:t>
      </w:r>
      <w:r w:rsidRPr="00E940C3">
        <w:rPr>
          <w:rFonts w:ascii="Book Antiqua" w:hAnsi="Book Antiqua" w:cstheme="minorHAnsi"/>
          <w:b/>
          <w:bCs/>
          <w:color w:val="0D0D0D" w:themeColor="text1" w:themeTint="F2"/>
          <w:sz w:val="24"/>
          <w:szCs w:val="24"/>
          <w:vertAlign w:val="superscript"/>
          <w:lang w:val="en-US"/>
        </w:rPr>
        <w:t>[36-44]</w:t>
      </w:r>
    </w:p>
    <w:tbl>
      <w:tblPr>
        <w:tblStyle w:val="ListTable1Light-Accent3"/>
        <w:tblW w:w="12964" w:type="dxa"/>
        <w:tblInd w:w="-426" w:type="dxa"/>
        <w:tblLook w:val="04A0" w:firstRow="1" w:lastRow="0" w:firstColumn="1" w:lastColumn="0" w:noHBand="0" w:noVBand="1"/>
      </w:tblPr>
      <w:tblGrid>
        <w:gridCol w:w="2097"/>
        <w:gridCol w:w="734"/>
        <w:gridCol w:w="991"/>
        <w:gridCol w:w="1431"/>
        <w:gridCol w:w="1533"/>
        <w:gridCol w:w="1533"/>
        <w:gridCol w:w="1874"/>
        <w:gridCol w:w="2771"/>
      </w:tblGrid>
      <w:tr w:rsidR="00861060" w:rsidRPr="00E940C3" w14:paraId="4273806A" w14:textId="77777777" w:rsidTr="00F86862">
        <w:trPr>
          <w:cnfStyle w:val="100000000000" w:firstRow="1" w:lastRow="0" w:firstColumn="0" w:lastColumn="0" w:oddVBand="0" w:evenVBand="0" w:oddHBand="0"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097" w:type="dxa"/>
            <w:tcBorders>
              <w:top w:val="single" w:sz="4" w:space="0" w:color="auto"/>
              <w:bottom w:val="single" w:sz="4" w:space="0" w:color="auto"/>
            </w:tcBorders>
            <w:shd w:val="clear" w:color="auto" w:fill="auto"/>
          </w:tcPr>
          <w:p w14:paraId="561FEECC" w14:textId="5BACF4D9" w:rsidR="00861060" w:rsidRPr="00E940C3" w:rsidRDefault="00FF008B" w:rsidP="00265AC6">
            <w:pPr>
              <w:snapToGrid w:val="0"/>
              <w:spacing w:line="360" w:lineRule="auto"/>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Ref.</w:t>
            </w:r>
          </w:p>
        </w:tc>
        <w:tc>
          <w:tcPr>
            <w:tcW w:w="734" w:type="dxa"/>
            <w:tcBorders>
              <w:top w:val="single" w:sz="4" w:space="0" w:color="auto"/>
              <w:bottom w:val="single" w:sz="4" w:space="0" w:color="auto"/>
            </w:tcBorders>
            <w:shd w:val="clear" w:color="auto" w:fill="auto"/>
          </w:tcPr>
          <w:p w14:paraId="2218E5EC" w14:textId="28C144CF" w:rsidR="00861060" w:rsidRPr="00E940C3" w:rsidRDefault="00AC13D5"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i/>
                <w:color w:val="0D0D0D" w:themeColor="text1" w:themeTint="F2"/>
                <w:lang w:val="en-US"/>
              </w:rPr>
              <w:t>n</w:t>
            </w:r>
          </w:p>
        </w:tc>
        <w:tc>
          <w:tcPr>
            <w:tcW w:w="991" w:type="dxa"/>
            <w:tcBorders>
              <w:top w:val="single" w:sz="4" w:space="0" w:color="auto"/>
              <w:bottom w:val="single" w:sz="4" w:space="0" w:color="auto"/>
            </w:tcBorders>
            <w:shd w:val="clear" w:color="auto" w:fill="auto"/>
          </w:tcPr>
          <w:p w14:paraId="30395219"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M1</w:t>
            </w:r>
          </w:p>
        </w:tc>
        <w:tc>
          <w:tcPr>
            <w:tcW w:w="1431" w:type="dxa"/>
            <w:tcBorders>
              <w:top w:val="single" w:sz="4" w:space="0" w:color="auto"/>
              <w:bottom w:val="single" w:sz="4" w:space="0" w:color="auto"/>
            </w:tcBorders>
            <w:shd w:val="clear" w:color="auto" w:fill="auto"/>
          </w:tcPr>
          <w:p w14:paraId="220F47E0"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2L regimen</w:t>
            </w:r>
          </w:p>
        </w:tc>
        <w:tc>
          <w:tcPr>
            <w:tcW w:w="1533" w:type="dxa"/>
            <w:tcBorders>
              <w:top w:val="single" w:sz="4" w:space="0" w:color="auto"/>
              <w:bottom w:val="single" w:sz="4" w:space="0" w:color="auto"/>
            </w:tcBorders>
            <w:shd w:val="clear" w:color="auto" w:fill="auto"/>
          </w:tcPr>
          <w:p w14:paraId="3F451818" w14:textId="6EEFABC8" w:rsidR="00861060" w:rsidRPr="00E940C3" w:rsidRDefault="00861060" w:rsidP="00AC13D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mPFS </w:t>
            </w:r>
            <w:r w:rsidR="008809D9">
              <w:rPr>
                <w:rFonts w:ascii="Book Antiqua" w:hAnsi="Book Antiqua" w:cstheme="minorHAnsi"/>
                <w:color w:val="0D0D0D" w:themeColor="text1" w:themeTint="F2"/>
                <w:lang w:val="en-US"/>
              </w:rPr>
              <w:t xml:space="preserve">in </w:t>
            </w:r>
            <w:r w:rsidRPr="00E940C3">
              <w:rPr>
                <w:rFonts w:ascii="Book Antiqua" w:hAnsi="Book Antiqua" w:cstheme="minorHAnsi"/>
                <w:color w:val="0D0D0D" w:themeColor="text1" w:themeTint="F2"/>
                <w:lang w:val="en-US"/>
              </w:rPr>
              <w:t>mo</w:t>
            </w:r>
          </w:p>
        </w:tc>
        <w:tc>
          <w:tcPr>
            <w:tcW w:w="1533" w:type="dxa"/>
            <w:tcBorders>
              <w:top w:val="single" w:sz="4" w:space="0" w:color="auto"/>
              <w:bottom w:val="single" w:sz="4" w:space="0" w:color="auto"/>
            </w:tcBorders>
            <w:shd w:val="clear" w:color="auto" w:fill="auto"/>
          </w:tcPr>
          <w:p w14:paraId="58BA21A4" w14:textId="15298827" w:rsidR="00861060" w:rsidRPr="00E940C3" w:rsidRDefault="00861060" w:rsidP="00AC13D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mOS </w:t>
            </w:r>
            <w:r w:rsidR="008809D9">
              <w:rPr>
                <w:rFonts w:ascii="Book Antiqua" w:hAnsi="Book Antiqua" w:cstheme="minorHAnsi"/>
                <w:color w:val="0D0D0D" w:themeColor="text1" w:themeTint="F2"/>
                <w:lang w:val="en-US"/>
              </w:rPr>
              <w:t xml:space="preserve">in </w:t>
            </w:r>
            <w:r w:rsidRPr="00E940C3">
              <w:rPr>
                <w:rFonts w:ascii="Book Antiqua" w:hAnsi="Book Antiqua" w:cstheme="minorHAnsi"/>
                <w:color w:val="0D0D0D" w:themeColor="text1" w:themeTint="F2"/>
                <w:lang w:val="en-US"/>
              </w:rPr>
              <w:t>mo</w:t>
            </w:r>
          </w:p>
        </w:tc>
        <w:tc>
          <w:tcPr>
            <w:tcW w:w="1874" w:type="dxa"/>
            <w:tcBorders>
              <w:top w:val="single" w:sz="4" w:space="0" w:color="auto"/>
              <w:bottom w:val="single" w:sz="4" w:space="0" w:color="auto"/>
            </w:tcBorders>
            <w:shd w:val="clear" w:color="auto" w:fill="auto"/>
          </w:tcPr>
          <w:p w14:paraId="77A97102"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Remarks</w:t>
            </w:r>
          </w:p>
        </w:tc>
        <w:tc>
          <w:tcPr>
            <w:tcW w:w="2771" w:type="dxa"/>
            <w:tcBorders>
              <w:top w:val="single" w:sz="4" w:space="0" w:color="auto"/>
              <w:bottom w:val="single" w:sz="4" w:space="0" w:color="auto"/>
            </w:tcBorders>
            <w:shd w:val="clear" w:color="auto" w:fill="auto"/>
          </w:tcPr>
          <w:p w14:paraId="3A61512A" w14:textId="77777777" w:rsidR="00861060" w:rsidRPr="00E940C3" w:rsidRDefault="00861060" w:rsidP="00265A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AE</w:t>
            </w:r>
          </w:p>
        </w:tc>
      </w:tr>
      <w:tr w:rsidR="0068112D" w:rsidRPr="00E940C3" w14:paraId="2570EA00" w14:textId="77777777" w:rsidTr="00F86862">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097" w:type="dxa"/>
            <w:tcBorders>
              <w:top w:val="single" w:sz="4" w:space="0" w:color="auto"/>
            </w:tcBorders>
            <w:shd w:val="clear" w:color="auto" w:fill="auto"/>
          </w:tcPr>
          <w:p w14:paraId="64123946" w14:textId="452586A8" w:rsidR="00861060" w:rsidRPr="00E940C3" w:rsidRDefault="00861060" w:rsidP="0068112D">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Portal</w:t>
            </w:r>
            <w:r w:rsidR="0068112D" w:rsidRPr="00E940C3">
              <w:rPr>
                <w:rFonts w:ascii="Book Antiqua" w:hAnsi="Book Antiqua" w:cstheme="minorHAnsi"/>
                <w:b w:val="0"/>
                <w:bCs w:val="0"/>
                <w:color w:val="0D0D0D" w:themeColor="text1" w:themeTint="F2"/>
                <w:lang w:val="en-US"/>
              </w:rPr>
              <w:t xml:space="preserve"> </w:t>
            </w:r>
            <w:r w:rsidR="0068112D" w:rsidRPr="00E940C3">
              <w:rPr>
                <w:rFonts w:ascii="Book Antiqua" w:hAnsi="Book Antiqua" w:cstheme="minorHAnsi"/>
                <w:b w:val="0"/>
                <w:i/>
                <w:color w:val="0D0D0D" w:themeColor="text1" w:themeTint="F2"/>
                <w:lang w:val="en-US"/>
              </w:rPr>
              <w:t>et al</w:t>
            </w:r>
            <w:r w:rsidR="0068112D" w:rsidRPr="00E940C3">
              <w:rPr>
                <w:rFonts w:ascii="Book Antiqua" w:hAnsi="Book Antiqua" w:cstheme="minorHAnsi"/>
                <w:b w:val="0"/>
                <w:color w:val="0D0D0D" w:themeColor="text1" w:themeTint="F2"/>
                <w:vertAlign w:val="superscript"/>
                <w:lang w:val="en-US"/>
              </w:rPr>
              <w:t>[36]</w:t>
            </w:r>
            <w:r w:rsidRPr="00E940C3">
              <w:rPr>
                <w:rFonts w:ascii="Book Antiqua" w:hAnsi="Book Antiqua" w:cstheme="minorHAnsi"/>
                <w:b w:val="0"/>
                <w:bCs w:val="0"/>
                <w:color w:val="0D0D0D" w:themeColor="text1" w:themeTint="F2"/>
                <w:lang w:val="en-US"/>
              </w:rPr>
              <w:t>, 2015</w:t>
            </w:r>
          </w:p>
        </w:tc>
        <w:tc>
          <w:tcPr>
            <w:tcW w:w="734" w:type="dxa"/>
            <w:tcBorders>
              <w:top w:val="single" w:sz="4" w:space="0" w:color="auto"/>
            </w:tcBorders>
            <w:shd w:val="clear" w:color="auto" w:fill="auto"/>
          </w:tcPr>
          <w:p w14:paraId="2A2C194F"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57</w:t>
            </w:r>
          </w:p>
        </w:tc>
        <w:tc>
          <w:tcPr>
            <w:tcW w:w="991" w:type="dxa"/>
            <w:tcBorders>
              <w:top w:val="single" w:sz="4" w:space="0" w:color="auto"/>
            </w:tcBorders>
            <w:shd w:val="clear" w:color="auto" w:fill="auto"/>
          </w:tcPr>
          <w:p w14:paraId="78D3AE3B"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100%</w:t>
            </w:r>
          </w:p>
        </w:tc>
        <w:tc>
          <w:tcPr>
            <w:tcW w:w="1431" w:type="dxa"/>
            <w:tcBorders>
              <w:top w:val="single" w:sz="4" w:space="0" w:color="auto"/>
            </w:tcBorders>
            <w:shd w:val="clear" w:color="auto" w:fill="auto"/>
          </w:tcPr>
          <w:p w14:paraId="6BD01906"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w:t>
            </w:r>
          </w:p>
        </w:tc>
        <w:tc>
          <w:tcPr>
            <w:tcW w:w="1533" w:type="dxa"/>
            <w:tcBorders>
              <w:top w:val="single" w:sz="4" w:space="0" w:color="auto"/>
            </w:tcBorders>
            <w:shd w:val="clear" w:color="auto" w:fill="auto"/>
          </w:tcPr>
          <w:p w14:paraId="295CE44E"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5.1</w:t>
            </w:r>
          </w:p>
        </w:tc>
        <w:tc>
          <w:tcPr>
            <w:tcW w:w="1533" w:type="dxa"/>
            <w:tcBorders>
              <w:top w:val="single" w:sz="4" w:space="0" w:color="auto"/>
            </w:tcBorders>
            <w:shd w:val="clear" w:color="auto" w:fill="auto"/>
          </w:tcPr>
          <w:p w14:paraId="6BAF582E"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8.8</w:t>
            </w:r>
          </w:p>
        </w:tc>
        <w:tc>
          <w:tcPr>
            <w:tcW w:w="1874" w:type="dxa"/>
            <w:tcBorders>
              <w:top w:val="single" w:sz="4" w:space="0" w:color="auto"/>
            </w:tcBorders>
            <w:shd w:val="clear" w:color="auto" w:fill="auto"/>
          </w:tcPr>
          <w:p w14:paraId="40D6C05E"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Prospective cohort</w:t>
            </w:r>
          </w:p>
        </w:tc>
        <w:tc>
          <w:tcPr>
            <w:tcW w:w="2771" w:type="dxa"/>
            <w:tcBorders>
              <w:top w:val="single" w:sz="4" w:space="0" w:color="auto"/>
            </w:tcBorders>
            <w:shd w:val="clear" w:color="auto" w:fill="auto"/>
          </w:tcPr>
          <w:p w14:paraId="099EA01B"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38% grade 3-4 toxicity</w:t>
            </w:r>
          </w:p>
        </w:tc>
      </w:tr>
      <w:tr w:rsidR="00861060" w:rsidRPr="00E940C3" w14:paraId="527BCB2D" w14:textId="77777777" w:rsidTr="0002107B">
        <w:trPr>
          <w:trHeight w:val="613"/>
        </w:trPr>
        <w:tc>
          <w:tcPr>
            <w:cnfStyle w:val="001000000000" w:firstRow="0" w:lastRow="0" w:firstColumn="1" w:lastColumn="0" w:oddVBand="0" w:evenVBand="0" w:oddHBand="0" w:evenHBand="0" w:firstRowFirstColumn="0" w:firstRowLastColumn="0" w:lastRowFirstColumn="0" w:lastRowLastColumn="0"/>
            <w:tcW w:w="2097" w:type="dxa"/>
            <w:shd w:val="clear" w:color="auto" w:fill="auto"/>
          </w:tcPr>
          <w:p w14:paraId="77CDD2B2" w14:textId="52A1FC7C" w:rsidR="00861060" w:rsidRPr="00E940C3" w:rsidRDefault="00861060" w:rsidP="0068112D">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Mita</w:t>
            </w:r>
            <w:r w:rsidR="0068112D" w:rsidRPr="00E940C3">
              <w:rPr>
                <w:rFonts w:ascii="Book Antiqua" w:hAnsi="Book Antiqua" w:cstheme="minorHAnsi"/>
                <w:b w:val="0"/>
                <w:i/>
                <w:color w:val="0D0D0D" w:themeColor="text1" w:themeTint="F2"/>
                <w:lang w:val="en-US"/>
              </w:rPr>
              <w:t xml:space="preserve"> et al</w:t>
            </w:r>
            <w:r w:rsidR="0068112D" w:rsidRPr="00E940C3">
              <w:rPr>
                <w:rFonts w:ascii="Book Antiqua" w:hAnsi="Book Antiqua" w:cstheme="minorHAnsi"/>
                <w:b w:val="0"/>
                <w:color w:val="0D0D0D" w:themeColor="text1" w:themeTint="F2"/>
                <w:vertAlign w:val="superscript"/>
                <w:lang w:val="en-US"/>
              </w:rPr>
              <w:t>[37]</w:t>
            </w:r>
            <w:r w:rsidRPr="00E940C3">
              <w:rPr>
                <w:rFonts w:ascii="Book Antiqua" w:hAnsi="Book Antiqua" w:cstheme="minorHAnsi"/>
                <w:b w:val="0"/>
                <w:bCs w:val="0"/>
                <w:color w:val="0D0D0D" w:themeColor="text1" w:themeTint="F2"/>
                <w:lang w:val="en-US"/>
              </w:rPr>
              <w:t>, 2019</w:t>
            </w:r>
          </w:p>
        </w:tc>
        <w:tc>
          <w:tcPr>
            <w:tcW w:w="734" w:type="dxa"/>
            <w:shd w:val="clear" w:color="auto" w:fill="auto"/>
          </w:tcPr>
          <w:p w14:paraId="2E18E88E"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30</w:t>
            </w:r>
          </w:p>
        </w:tc>
        <w:tc>
          <w:tcPr>
            <w:tcW w:w="991" w:type="dxa"/>
            <w:shd w:val="clear" w:color="auto" w:fill="auto"/>
          </w:tcPr>
          <w:p w14:paraId="0C9E6D06"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80%</w:t>
            </w:r>
          </w:p>
        </w:tc>
        <w:tc>
          <w:tcPr>
            <w:tcW w:w="1431" w:type="dxa"/>
            <w:shd w:val="clear" w:color="auto" w:fill="auto"/>
          </w:tcPr>
          <w:p w14:paraId="34C94610"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w:t>
            </w:r>
          </w:p>
        </w:tc>
        <w:tc>
          <w:tcPr>
            <w:tcW w:w="1533" w:type="dxa"/>
            <w:shd w:val="clear" w:color="auto" w:fill="auto"/>
          </w:tcPr>
          <w:p w14:paraId="2891A736"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3.8</w:t>
            </w:r>
          </w:p>
        </w:tc>
        <w:tc>
          <w:tcPr>
            <w:tcW w:w="1533" w:type="dxa"/>
            <w:shd w:val="clear" w:color="auto" w:fill="auto"/>
          </w:tcPr>
          <w:p w14:paraId="76C87C75"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7.6</w:t>
            </w:r>
          </w:p>
        </w:tc>
        <w:tc>
          <w:tcPr>
            <w:tcW w:w="1874" w:type="dxa"/>
            <w:shd w:val="clear" w:color="auto" w:fill="auto"/>
          </w:tcPr>
          <w:p w14:paraId="045B9D67"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Phase II</w:t>
            </w:r>
          </w:p>
        </w:tc>
        <w:tc>
          <w:tcPr>
            <w:tcW w:w="2771" w:type="dxa"/>
            <w:shd w:val="clear" w:color="auto" w:fill="auto"/>
          </w:tcPr>
          <w:p w14:paraId="49B22680"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70% grade 3-4 toxicity</w:t>
            </w:r>
          </w:p>
        </w:tc>
      </w:tr>
      <w:tr w:rsidR="0068112D" w:rsidRPr="00E940C3" w14:paraId="60094808" w14:textId="77777777" w:rsidTr="0002107B">
        <w:trPr>
          <w:cnfStyle w:val="000000100000" w:firstRow="0" w:lastRow="0" w:firstColumn="0" w:lastColumn="0" w:oddVBand="0" w:evenVBand="0" w:oddHBand="1" w:evenHBand="0" w:firstRowFirstColumn="0" w:firstRowLastColumn="0" w:lastRowFirstColumn="0" w:lastRowLastColumn="0"/>
          <w:trHeight w:val="1840"/>
        </w:trPr>
        <w:tc>
          <w:tcPr>
            <w:cnfStyle w:val="001000000000" w:firstRow="0" w:lastRow="0" w:firstColumn="1" w:lastColumn="0" w:oddVBand="0" w:evenVBand="0" w:oddHBand="0" w:evenHBand="0" w:firstRowFirstColumn="0" w:firstRowLastColumn="0" w:lastRowFirstColumn="0" w:lastRowLastColumn="0"/>
            <w:tcW w:w="2097" w:type="dxa"/>
            <w:shd w:val="clear" w:color="auto" w:fill="auto"/>
          </w:tcPr>
          <w:p w14:paraId="722E4C8B" w14:textId="1D3CAE19" w:rsidR="00861060" w:rsidRPr="00E940C3" w:rsidRDefault="00861060" w:rsidP="0068112D">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Tsang</w:t>
            </w:r>
            <w:r w:rsidR="0068112D" w:rsidRPr="00E940C3">
              <w:rPr>
                <w:rFonts w:ascii="Book Antiqua" w:hAnsi="Book Antiqua" w:cstheme="minorHAnsi"/>
                <w:b w:val="0"/>
                <w:i/>
                <w:color w:val="0D0D0D" w:themeColor="text1" w:themeTint="F2"/>
                <w:lang w:val="en-US"/>
              </w:rPr>
              <w:t xml:space="preserve"> et al</w:t>
            </w:r>
            <w:r w:rsidR="0068112D" w:rsidRPr="00E940C3">
              <w:rPr>
                <w:rFonts w:ascii="Book Antiqua" w:hAnsi="Book Antiqua" w:cstheme="minorHAnsi"/>
                <w:b w:val="0"/>
                <w:color w:val="0D0D0D" w:themeColor="text1" w:themeTint="F2"/>
                <w:vertAlign w:val="superscript"/>
                <w:lang w:val="en-US"/>
              </w:rPr>
              <w:t>[38]</w:t>
            </w:r>
            <w:r w:rsidRPr="00E940C3">
              <w:rPr>
                <w:rFonts w:ascii="Book Antiqua" w:hAnsi="Book Antiqua" w:cstheme="minorHAnsi"/>
                <w:b w:val="0"/>
                <w:bCs w:val="0"/>
                <w:color w:val="0D0D0D" w:themeColor="text1" w:themeTint="F2"/>
                <w:lang w:val="en-US"/>
              </w:rPr>
              <w:t>, 2019</w:t>
            </w:r>
          </w:p>
        </w:tc>
        <w:tc>
          <w:tcPr>
            <w:tcW w:w="734" w:type="dxa"/>
            <w:shd w:val="clear" w:color="auto" w:fill="auto"/>
          </w:tcPr>
          <w:p w14:paraId="753B7078"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159</w:t>
            </w:r>
          </w:p>
        </w:tc>
        <w:tc>
          <w:tcPr>
            <w:tcW w:w="991" w:type="dxa"/>
            <w:shd w:val="clear" w:color="auto" w:fill="auto"/>
          </w:tcPr>
          <w:p w14:paraId="0456B517"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67%</w:t>
            </w:r>
          </w:p>
        </w:tc>
        <w:tc>
          <w:tcPr>
            <w:tcW w:w="1431" w:type="dxa"/>
            <w:shd w:val="clear" w:color="auto" w:fill="auto"/>
          </w:tcPr>
          <w:p w14:paraId="0D6DF2D3" w14:textId="53A16ED9" w:rsidR="00861060" w:rsidRPr="00E940C3" w:rsidRDefault="000211B6"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 78</w:t>
            </w:r>
          </w:p>
          <w:p w14:paraId="4E09365C" w14:textId="2384D9E3" w:rsidR="00861060" w:rsidRPr="00E940C3" w:rsidRDefault="000211B6"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 81</w:t>
            </w:r>
          </w:p>
          <w:p w14:paraId="5277399E"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p>
        </w:tc>
        <w:tc>
          <w:tcPr>
            <w:tcW w:w="1533" w:type="dxa"/>
            <w:shd w:val="clear" w:color="auto" w:fill="auto"/>
          </w:tcPr>
          <w:p w14:paraId="42EA4634"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533" w:type="dxa"/>
            <w:shd w:val="clear" w:color="auto" w:fill="auto"/>
          </w:tcPr>
          <w:p w14:paraId="309410A2"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5.8</w:t>
            </w:r>
          </w:p>
          <w:p w14:paraId="3B4EE53A"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4.6</w:t>
            </w:r>
          </w:p>
        </w:tc>
        <w:tc>
          <w:tcPr>
            <w:tcW w:w="1874" w:type="dxa"/>
            <w:shd w:val="clear" w:color="auto" w:fill="auto"/>
          </w:tcPr>
          <w:p w14:paraId="5CBCBBC2"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Population-based, three Canadian provinces</w:t>
            </w:r>
          </w:p>
        </w:tc>
        <w:tc>
          <w:tcPr>
            <w:tcW w:w="2771" w:type="dxa"/>
            <w:shd w:val="clear" w:color="auto" w:fill="auto"/>
          </w:tcPr>
          <w:p w14:paraId="4F7BEB93"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r>
      <w:tr w:rsidR="00861060" w:rsidRPr="00E940C3" w14:paraId="15496DCC" w14:textId="77777777" w:rsidTr="00F86862">
        <w:trPr>
          <w:trHeight w:val="1777"/>
        </w:trPr>
        <w:tc>
          <w:tcPr>
            <w:cnfStyle w:val="001000000000" w:firstRow="0" w:lastRow="0" w:firstColumn="1" w:lastColumn="0" w:oddVBand="0" w:evenVBand="0" w:oddHBand="0" w:evenHBand="0" w:firstRowFirstColumn="0" w:firstRowLastColumn="0" w:lastRowFirstColumn="0" w:lastRowLastColumn="0"/>
            <w:tcW w:w="2097" w:type="dxa"/>
            <w:shd w:val="clear" w:color="auto" w:fill="auto"/>
          </w:tcPr>
          <w:p w14:paraId="5F1D4EBE" w14:textId="5FACE4BC" w:rsidR="00861060" w:rsidRPr="00E940C3" w:rsidRDefault="00861060" w:rsidP="0068112D">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Zhang</w:t>
            </w:r>
            <w:r w:rsidR="0068112D" w:rsidRPr="00E940C3">
              <w:rPr>
                <w:rFonts w:ascii="Book Antiqua" w:hAnsi="Book Antiqua" w:cstheme="minorHAnsi"/>
                <w:b w:val="0"/>
                <w:i/>
                <w:color w:val="0D0D0D" w:themeColor="text1" w:themeTint="F2"/>
                <w:lang w:val="en-US"/>
              </w:rPr>
              <w:t xml:space="preserve"> et al</w:t>
            </w:r>
            <w:r w:rsidR="0068112D" w:rsidRPr="00E940C3">
              <w:rPr>
                <w:rFonts w:ascii="Book Antiqua" w:hAnsi="Book Antiqua" w:cstheme="minorHAnsi"/>
                <w:b w:val="0"/>
                <w:color w:val="0D0D0D" w:themeColor="text1" w:themeTint="F2"/>
                <w:vertAlign w:val="superscript"/>
                <w:lang w:val="en-US"/>
              </w:rPr>
              <w:t>[39]</w:t>
            </w:r>
            <w:r w:rsidRPr="00E940C3">
              <w:rPr>
                <w:rFonts w:ascii="Book Antiqua" w:hAnsi="Book Antiqua" w:cstheme="minorHAnsi"/>
                <w:b w:val="0"/>
                <w:bCs w:val="0"/>
                <w:color w:val="0D0D0D" w:themeColor="text1" w:themeTint="F2"/>
                <w:lang w:val="en-US"/>
              </w:rPr>
              <w:t>, 2018</w:t>
            </w:r>
          </w:p>
        </w:tc>
        <w:tc>
          <w:tcPr>
            <w:tcW w:w="734" w:type="dxa"/>
            <w:shd w:val="clear" w:color="auto" w:fill="auto"/>
          </w:tcPr>
          <w:p w14:paraId="0262C830"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60</w:t>
            </w:r>
          </w:p>
        </w:tc>
        <w:tc>
          <w:tcPr>
            <w:tcW w:w="991" w:type="dxa"/>
            <w:shd w:val="clear" w:color="auto" w:fill="auto"/>
          </w:tcPr>
          <w:p w14:paraId="22A681E7"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73%</w:t>
            </w:r>
          </w:p>
          <w:p w14:paraId="68D231B1"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75%</w:t>
            </w:r>
          </w:p>
          <w:p w14:paraId="62C93BAD"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73%</w:t>
            </w:r>
          </w:p>
        </w:tc>
        <w:tc>
          <w:tcPr>
            <w:tcW w:w="1431" w:type="dxa"/>
            <w:shd w:val="clear" w:color="auto" w:fill="auto"/>
          </w:tcPr>
          <w:p w14:paraId="5D0336A9" w14:textId="4BD92890" w:rsidR="00861060" w:rsidRPr="00E940C3" w:rsidRDefault="000211B6"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 30</w:t>
            </w:r>
          </w:p>
          <w:p w14:paraId="5F54D0ED" w14:textId="4C163AA6" w:rsidR="00861060" w:rsidRPr="00E940C3" w:rsidRDefault="000211B6"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 8</w:t>
            </w:r>
          </w:p>
          <w:p w14:paraId="53E004A4" w14:textId="0BD4CD59"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BSC 22</w:t>
            </w:r>
          </w:p>
        </w:tc>
        <w:tc>
          <w:tcPr>
            <w:tcW w:w="1533" w:type="dxa"/>
            <w:shd w:val="clear" w:color="auto" w:fill="auto"/>
          </w:tcPr>
          <w:p w14:paraId="541EDAAC"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3.6</w:t>
            </w:r>
          </w:p>
          <w:p w14:paraId="3EB7E32F"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2.5</w:t>
            </w:r>
          </w:p>
        </w:tc>
        <w:tc>
          <w:tcPr>
            <w:tcW w:w="1533" w:type="dxa"/>
            <w:shd w:val="clear" w:color="auto" w:fill="auto"/>
          </w:tcPr>
          <w:p w14:paraId="2F934EBA"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5.7</w:t>
            </w:r>
          </w:p>
          <w:p w14:paraId="41400871"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3.8</w:t>
            </w:r>
          </w:p>
        </w:tc>
        <w:tc>
          <w:tcPr>
            <w:tcW w:w="1874" w:type="dxa"/>
            <w:shd w:val="clear" w:color="auto" w:fill="auto"/>
          </w:tcPr>
          <w:p w14:paraId="5090ACD8" w14:textId="214CA7EF"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Single</w:t>
            </w:r>
            <w:r w:rsidR="00EB6AAC">
              <w:rPr>
                <w:rFonts w:ascii="Book Antiqua" w:hAnsi="Book Antiqua" w:cstheme="minorHAnsi"/>
                <w:color w:val="0D0D0D" w:themeColor="text1" w:themeTint="F2"/>
                <w:lang w:val="en-US"/>
              </w:rPr>
              <w:t xml:space="preserve"> center</w:t>
            </w:r>
          </w:p>
        </w:tc>
        <w:tc>
          <w:tcPr>
            <w:tcW w:w="2771" w:type="dxa"/>
            <w:shd w:val="clear" w:color="auto" w:fill="auto"/>
          </w:tcPr>
          <w:p w14:paraId="5943B37B" w14:textId="60F80066" w:rsidR="00861060" w:rsidRPr="00E940C3" w:rsidRDefault="00EB6AAC"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Pr>
                <w:rFonts w:ascii="Book Antiqua" w:hAnsi="Book Antiqua" w:cstheme="minorHAnsi"/>
                <w:color w:val="0D0D0D" w:themeColor="text1" w:themeTint="F2"/>
                <w:lang w:val="en-US"/>
              </w:rPr>
              <w:t>M</w:t>
            </w:r>
            <w:r w:rsidR="00861060" w:rsidRPr="00E940C3">
              <w:rPr>
                <w:rFonts w:ascii="Book Antiqua" w:hAnsi="Book Antiqua" w:cstheme="minorHAnsi"/>
                <w:color w:val="0D0D0D" w:themeColor="text1" w:themeTint="F2"/>
                <w:lang w:val="en-US"/>
              </w:rPr>
              <w:t>ore grade 3-4 fatigue in Gem</w:t>
            </w:r>
          </w:p>
        </w:tc>
      </w:tr>
      <w:tr w:rsidR="0068112D" w:rsidRPr="00E940C3" w14:paraId="1642692D" w14:textId="77777777" w:rsidTr="00F86862">
        <w:trPr>
          <w:cnfStyle w:val="000000100000" w:firstRow="0" w:lastRow="0" w:firstColumn="0" w:lastColumn="0" w:oddVBand="0" w:evenVBand="0" w:oddHBand="1" w:evenHBand="0" w:firstRowFirstColumn="0" w:firstRowLastColumn="0" w:lastRowFirstColumn="0" w:lastRowLastColumn="0"/>
          <w:trHeight w:val="1341"/>
        </w:trPr>
        <w:tc>
          <w:tcPr>
            <w:cnfStyle w:val="001000000000" w:firstRow="0" w:lastRow="0" w:firstColumn="1" w:lastColumn="0" w:oddVBand="0" w:evenVBand="0" w:oddHBand="0" w:evenHBand="0" w:firstRowFirstColumn="0" w:firstRowLastColumn="0" w:lastRowFirstColumn="0" w:lastRowLastColumn="0"/>
            <w:tcW w:w="2097" w:type="dxa"/>
            <w:shd w:val="clear" w:color="auto" w:fill="auto"/>
          </w:tcPr>
          <w:p w14:paraId="3D05E51B" w14:textId="5F0E9DEE" w:rsidR="00861060" w:rsidRPr="00E940C3" w:rsidRDefault="00861060" w:rsidP="0068112D">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Nguyen</w:t>
            </w:r>
            <w:r w:rsidR="0068112D" w:rsidRPr="00E940C3">
              <w:rPr>
                <w:rFonts w:ascii="Book Antiqua" w:hAnsi="Book Antiqua" w:cstheme="minorHAnsi"/>
                <w:b w:val="0"/>
                <w:i/>
                <w:color w:val="0D0D0D" w:themeColor="text1" w:themeTint="F2"/>
                <w:lang w:val="en-US"/>
              </w:rPr>
              <w:t xml:space="preserve"> et al</w:t>
            </w:r>
            <w:r w:rsidR="0068112D" w:rsidRPr="00E940C3">
              <w:rPr>
                <w:rFonts w:ascii="Book Antiqua" w:hAnsi="Book Antiqua" w:cstheme="minorHAnsi"/>
                <w:b w:val="0"/>
                <w:color w:val="0D0D0D" w:themeColor="text1" w:themeTint="F2"/>
                <w:vertAlign w:val="superscript"/>
                <w:lang w:val="en-US"/>
              </w:rPr>
              <w:t>[40]</w:t>
            </w:r>
            <w:r w:rsidRPr="00E940C3">
              <w:rPr>
                <w:rFonts w:ascii="Book Antiqua" w:hAnsi="Book Antiqua" w:cstheme="minorHAnsi"/>
                <w:b w:val="0"/>
                <w:bCs w:val="0"/>
                <w:color w:val="0D0D0D" w:themeColor="text1" w:themeTint="F2"/>
                <w:lang w:val="en-US"/>
              </w:rPr>
              <w:t>, 2017</w:t>
            </w:r>
          </w:p>
        </w:tc>
        <w:tc>
          <w:tcPr>
            <w:tcW w:w="734" w:type="dxa"/>
            <w:shd w:val="clear" w:color="auto" w:fill="auto"/>
          </w:tcPr>
          <w:p w14:paraId="263306EA"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30</w:t>
            </w:r>
          </w:p>
        </w:tc>
        <w:tc>
          <w:tcPr>
            <w:tcW w:w="991" w:type="dxa"/>
            <w:shd w:val="clear" w:color="auto" w:fill="auto"/>
          </w:tcPr>
          <w:p w14:paraId="0E9D0B23"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77%</w:t>
            </w:r>
          </w:p>
        </w:tc>
        <w:tc>
          <w:tcPr>
            <w:tcW w:w="1431" w:type="dxa"/>
            <w:shd w:val="clear" w:color="auto" w:fill="auto"/>
          </w:tcPr>
          <w:p w14:paraId="39C1062C"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w:t>
            </w:r>
          </w:p>
        </w:tc>
        <w:tc>
          <w:tcPr>
            <w:tcW w:w="1533" w:type="dxa"/>
            <w:shd w:val="clear" w:color="auto" w:fill="auto"/>
          </w:tcPr>
          <w:p w14:paraId="3D169243"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3.7</w:t>
            </w:r>
          </w:p>
        </w:tc>
        <w:tc>
          <w:tcPr>
            <w:tcW w:w="1533" w:type="dxa"/>
            <w:shd w:val="clear" w:color="auto" w:fill="auto"/>
          </w:tcPr>
          <w:p w14:paraId="25F5EABC"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12.4</w:t>
            </w:r>
          </w:p>
        </w:tc>
        <w:tc>
          <w:tcPr>
            <w:tcW w:w="1874" w:type="dxa"/>
            <w:shd w:val="clear" w:color="auto" w:fill="auto"/>
          </w:tcPr>
          <w:p w14:paraId="663AF254" w14:textId="1D475038"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Single </w:t>
            </w:r>
            <w:r w:rsidR="00E940C3" w:rsidRPr="00E940C3">
              <w:rPr>
                <w:rFonts w:ascii="Book Antiqua" w:hAnsi="Book Antiqua" w:cstheme="minorHAnsi"/>
                <w:color w:val="0D0D0D" w:themeColor="text1" w:themeTint="F2"/>
                <w:lang w:val="en-US"/>
              </w:rPr>
              <w:t>center</w:t>
            </w:r>
          </w:p>
        </w:tc>
        <w:tc>
          <w:tcPr>
            <w:tcW w:w="2771" w:type="dxa"/>
            <w:shd w:val="clear" w:color="auto" w:fill="auto"/>
          </w:tcPr>
          <w:p w14:paraId="7E6F7E04" w14:textId="52690A12"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Grade 3-4 thrombocytopenia (33%), anemia (23%), nausea (17</w:t>
            </w:r>
            <w:r w:rsidR="00066A24">
              <w:rPr>
                <w:rFonts w:ascii="Book Antiqua" w:hAnsi="Book Antiqua" w:cstheme="minorHAnsi"/>
                <w:color w:val="0D0D0D" w:themeColor="text1" w:themeTint="F2"/>
                <w:lang w:val="en-US"/>
              </w:rPr>
              <w:t>%)</w:t>
            </w:r>
          </w:p>
        </w:tc>
      </w:tr>
      <w:tr w:rsidR="00861060" w:rsidRPr="00E940C3" w14:paraId="3251E58D" w14:textId="77777777" w:rsidTr="00F86862">
        <w:trPr>
          <w:trHeight w:val="895"/>
        </w:trPr>
        <w:tc>
          <w:tcPr>
            <w:cnfStyle w:val="001000000000" w:firstRow="0" w:lastRow="0" w:firstColumn="1" w:lastColumn="0" w:oddVBand="0" w:evenVBand="0" w:oddHBand="0" w:evenHBand="0" w:firstRowFirstColumn="0" w:firstRowLastColumn="0" w:lastRowFirstColumn="0" w:lastRowLastColumn="0"/>
            <w:tcW w:w="2097" w:type="dxa"/>
            <w:shd w:val="clear" w:color="auto" w:fill="auto"/>
          </w:tcPr>
          <w:p w14:paraId="0CC9916F" w14:textId="2B6064C3" w:rsidR="00861060" w:rsidRPr="00E940C3" w:rsidRDefault="00861060" w:rsidP="0068112D">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Bertocchi</w:t>
            </w:r>
            <w:r w:rsidR="0068112D" w:rsidRPr="00E940C3">
              <w:rPr>
                <w:rFonts w:ascii="Book Antiqua" w:hAnsi="Book Antiqua" w:cstheme="minorHAnsi"/>
                <w:b w:val="0"/>
                <w:i/>
                <w:color w:val="0D0D0D" w:themeColor="text1" w:themeTint="F2"/>
                <w:lang w:val="en-US"/>
              </w:rPr>
              <w:t xml:space="preserve"> et al</w:t>
            </w:r>
            <w:r w:rsidR="0068112D" w:rsidRPr="00E940C3">
              <w:rPr>
                <w:rFonts w:ascii="Book Antiqua" w:hAnsi="Book Antiqua" w:cstheme="minorHAnsi"/>
                <w:b w:val="0"/>
                <w:color w:val="0D0D0D" w:themeColor="text1" w:themeTint="F2"/>
                <w:vertAlign w:val="superscript"/>
                <w:lang w:val="en-US"/>
              </w:rPr>
              <w:t>[41]</w:t>
            </w:r>
            <w:r w:rsidRPr="00E940C3">
              <w:rPr>
                <w:rFonts w:ascii="Book Antiqua" w:hAnsi="Book Antiqua" w:cstheme="minorHAnsi"/>
                <w:b w:val="0"/>
                <w:bCs w:val="0"/>
                <w:color w:val="0D0D0D" w:themeColor="text1" w:themeTint="F2"/>
                <w:lang w:val="en-US"/>
              </w:rPr>
              <w:t>, 2015</w:t>
            </w:r>
          </w:p>
        </w:tc>
        <w:tc>
          <w:tcPr>
            <w:tcW w:w="734" w:type="dxa"/>
            <w:shd w:val="clear" w:color="auto" w:fill="auto"/>
          </w:tcPr>
          <w:p w14:paraId="2BDCF7A3"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23</w:t>
            </w:r>
          </w:p>
        </w:tc>
        <w:tc>
          <w:tcPr>
            <w:tcW w:w="991" w:type="dxa"/>
            <w:shd w:val="clear" w:color="auto" w:fill="auto"/>
          </w:tcPr>
          <w:p w14:paraId="5714F76A"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100%</w:t>
            </w:r>
          </w:p>
        </w:tc>
        <w:tc>
          <w:tcPr>
            <w:tcW w:w="1431" w:type="dxa"/>
            <w:shd w:val="clear" w:color="auto" w:fill="auto"/>
          </w:tcPr>
          <w:p w14:paraId="5A64771F"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w:t>
            </w:r>
          </w:p>
        </w:tc>
        <w:tc>
          <w:tcPr>
            <w:tcW w:w="1533" w:type="dxa"/>
            <w:shd w:val="clear" w:color="auto" w:fill="auto"/>
          </w:tcPr>
          <w:p w14:paraId="5B3AC364"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3.0</w:t>
            </w:r>
          </w:p>
        </w:tc>
        <w:tc>
          <w:tcPr>
            <w:tcW w:w="1533" w:type="dxa"/>
            <w:shd w:val="clear" w:color="auto" w:fill="auto"/>
          </w:tcPr>
          <w:p w14:paraId="7866B914"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5.0</w:t>
            </w:r>
          </w:p>
        </w:tc>
        <w:tc>
          <w:tcPr>
            <w:tcW w:w="1874" w:type="dxa"/>
            <w:shd w:val="clear" w:color="auto" w:fill="auto"/>
          </w:tcPr>
          <w:p w14:paraId="17D727BC" w14:textId="2A0D1FD3"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Single </w:t>
            </w:r>
            <w:r w:rsidR="00E940C3" w:rsidRPr="00E940C3">
              <w:rPr>
                <w:rFonts w:ascii="Book Antiqua" w:hAnsi="Book Antiqua" w:cstheme="minorHAnsi"/>
                <w:color w:val="0D0D0D" w:themeColor="text1" w:themeTint="F2"/>
                <w:lang w:val="en-US"/>
              </w:rPr>
              <w:t>center</w:t>
            </w:r>
          </w:p>
        </w:tc>
        <w:tc>
          <w:tcPr>
            <w:tcW w:w="2771" w:type="dxa"/>
            <w:shd w:val="clear" w:color="auto" w:fill="auto"/>
          </w:tcPr>
          <w:p w14:paraId="341C0754"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r>
      <w:tr w:rsidR="0068112D" w:rsidRPr="00E940C3" w14:paraId="3EB3A9C4" w14:textId="77777777" w:rsidTr="00F86862">
        <w:trPr>
          <w:cnfStyle w:val="000000100000" w:firstRow="0" w:lastRow="0" w:firstColumn="0" w:lastColumn="0" w:oddVBand="0" w:evenVBand="0" w:oddHBand="1" w:evenHBand="0" w:firstRowFirstColumn="0" w:firstRowLastColumn="0" w:lastRowFirstColumn="0" w:lastRowLastColumn="0"/>
          <w:trHeight w:val="1374"/>
        </w:trPr>
        <w:tc>
          <w:tcPr>
            <w:cnfStyle w:val="001000000000" w:firstRow="0" w:lastRow="0" w:firstColumn="1" w:lastColumn="0" w:oddVBand="0" w:evenVBand="0" w:oddHBand="0" w:evenHBand="0" w:firstRowFirstColumn="0" w:firstRowLastColumn="0" w:lastRowFirstColumn="0" w:lastRowLastColumn="0"/>
            <w:tcW w:w="2097" w:type="dxa"/>
            <w:shd w:val="clear" w:color="auto" w:fill="auto"/>
          </w:tcPr>
          <w:p w14:paraId="0AE0295E" w14:textId="3C7BA975" w:rsidR="00861060" w:rsidRPr="00E940C3" w:rsidRDefault="00861060" w:rsidP="0073272C">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lastRenderedPageBreak/>
              <w:t>Zhang</w:t>
            </w:r>
            <w:r w:rsidR="0073272C" w:rsidRPr="00E940C3">
              <w:rPr>
                <w:rFonts w:ascii="Book Antiqua" w:hAnsi="Book Antiqua" w:cstheme="minorHAnsi"/>
                <w:b w:val="0"/>
                <w:i/>
                <w:color w:val="0D0D0D" w:themeColor="text1" w:themeTint="F2"/>
                <w:lang w:val="en-US"/>
              </w:rPr>
              <w:t xml:space="preserve"> et al</w:t>
            </w:r>
            <w:r w:rsidR="0073272C" w:rsidRPr="00E940C3">
              <w:rPr>
                <w:rFonts w:ascii="Book Antiqua" w:hAnsi="Book Antiqua" w:cstheme="minorHAnsi"/>
                <w:b w:val="0"/>
                <w:color w:val="0D0D0D" w:themeColor="text1" w:themeTint="F2"/>
                <w:vertAlign w:val="superscript"/>
                <w:lang w:val="en-US"/>
              </w:rPr>
              <w:t>[42]</w:t>
            </w:r>
            <w:r w:rsidRPr="00E940C3">
              <w:rPr>
                <w:rFonts w:ascii="Book Antiqua" w:hAnsi="Book Antiqua" w:cstheme="minorHAnsi"/>
                <w:b w:val="0"/>
                <w:bCs w:val="0"/>
                <w:color w:val="0D0D0D" w:themeColor="text1" w:themeTint="F2"/>
                <w:lang w:val="en-US"/>
              </w:rPr>
              <w:t>, 2015</w:t>
            </w:r>
          </w:p>
        </w:tc>
        <w:tc>
          <w:tcPr>
            <w:tcW w:w="734" w:type="dxa"/>
            <w:shd w:val="clear" w:color="auto" w:fill="auto"/>
          </w:tcPr>
          <w:p w14:paraId="549FB824"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28</w:t>
            </w:r>
          </w:p>
        </w:tc>
        <w:tc>
          <w:tcPr>
            <w:tcW w:w="991" w:type="dxa"/>
            <w:shd w:val="clear" w:color="auto" w:fill="auto"/>
          </w:tcPr>
          <w:p w14:paraId="0E681160"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82%</w:t>
            </w:r>
          </w:p>
        </w:tc>
        <w:tc>
          <w:tcPr>
            <w:tcW w:w="1431" w:type="dxa"/>
            <w:shd w:val="clear" w:color="auto" w:fill="auto"/>
          </w:tcPr>
          <w:p w14:paraId="496F509D"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w:t>
            </w:r>
          </w:p>
        </w:tc>
        <w:tc>
          <w:tcPr>
            <w:tcW w:w="1533" w:type="dxa"/>
            <w:shd w:val="clear" w:color="auto" w:fill="auto"/>
          </w:tcPr>
          <w:p w14:paraId="4E746E7A"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3.0 </w:t>
            </w:r>
          </w:p>
        </w:tc>
        <w:tc>
          <w:tcPr>
            <w:tcW w:w="1533" w:type="dxa"/>
            <w:shd w:val="clear" w:color="auto" w:fill="auto"/>
          </w:tcPr>
          <w:p w14:paraId="63BF172F"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5.7</w:t>
            </w:r>
          </w:p>
        </w:tc>
        <w:tc>
          <w:tcPr>
            <w:tcW w:w="1874" w:type="dxa"/>
            <w:shd w:val="clear" w:color="auto" w:fill="auto"/>
          </w:tcPr>
          <w:p w14:paraId="34E95040" w14:textId="7680846D"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Single </w:t>
            </w:r>
            <w:r w:rsidR="00E940C3" w:rsidRPr="00E940C3">
              <w:rPr>
                <w:rFonts w:ascii="Book Antiqua" w:hAnsi="Book Antiqua" w:cstheme="minorHAnsi"/>
                <w:color w:val="0D0D0D" w:themeColor="text1" w:themeTint="F2"/>
                <w:lang w:val="en-US"/>
              </w:rPr>
              <w:t>center</w:t>
            </w:r>
          </w:p>
        </w:tc>
        <w:tc>
          <w:tcPr>
            <w:tcW w:w="2771" w:type="dxa"/>
            <w:shd w:val="clear" w:color="auto" w:fill="auto"/>
          </w:tcPr>
          <w:p w14:paraId="75B8697C" w14:textId="3FB93956"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Grade 3-4, anemia (25%), thrombocytopenia (25%), neutropenia (18</w:t>
            </w:r>
            <w:r w:rsidR="00066A24">
              <w:rPr>
                <w:rFonts w:ascii="Book Antiqua" w:hAnsi="Book Antiqua" w:cstheme="minorHAnsi"/>
                <w:color w:val="0D0D0D" w:themeColor="text1" w:themeTint="F2"/>
                <w:lang w:val="en-US"/>
              </w:rPr>
              <w:t>%)</w:t>
            </w:r>
          </w:p>
        </w:tc>
      </w:tr>
      <w:tr w:rsidR="00861060" w:rsidRPr="00E940C3" w14:paraId="77E0BE35" w14:textId="77777777" w:rsidTr="00F86862">
        <w:trPr>
          <w:trHeight w:val="895"/>
        </w:trPr>
        <w:tc>
          <w:tcPr>
            <w:cnfStyle w:val="001000000000" w:firstRow="0" w:lastRow="0" w:firstColumn="1" w:lastColumn="0" w:oddVBand="0" w:evenVBand="0" w:oddHBand="0" w:evenHBand="0" w:firstRowFirstColumn="0" w:firstRowLastColumn="0" w:lastRowFirstColumn="0" w:lastRowLastColumn="0"/>
            <w:tcW w:w="2097" w:type="dxa"/>
            <w:shd w:val="clear" w:color="auto" w:fill="auto"/>
          </w:tcPr>
          <w:p w14:paraId="0D849774" w14:textId="326C8081" w:rsidR="00861060" w:rsidRPr="00E940C3" w:rsidRDefault="00861060" w:rsidP="0073272C">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Caparello</w:t>
            </w:r>
            <w:r w:rsidR="0073272C" w:rsidRPr="00E940C3">
              <w:rPr>
                <w:rFonts w:ascii="Book Antiqua" w:hAnsi="Book Antiqua" w:cstheme="minorHAnsi"/>
                <w:b w:val="0"/>
                <w:i/>
                <w:color w:val="0D0D0D" w:themeColor="text1" w:themeTint="F2"/>
                <w:lang w:val="en-US"/>
              </w:rPr>
              <w:t xml:space="preserve"> et al</w:t>
            </w:r>
            <w:r w:rsidR="0073272C" w:rsidRPr="00E940C3">
              <w:rPr>
                <w:rFonts w:ascii="Book Antiqua" w:hAnsi="Book Antiqua" w:cstheme="minorHAnsi"/>
                <w:b w:val="0"/>
                <w:color w:val="0D0D0D" w:themeColor="text1" w:themeTint="F2"/>
                <w:vertAlign w:val="superscript"/>
                <w:lang w:val="en-US"/>
              </w:rPr>
              <w:t>[44]</w:t>
            </w:r>
            <w:r w:rsidRPr="00E940C3">
              <w:rPr>
                <w:rFonts w:ascii="Book Antiqua" w:hAnsi="Book Antiqua" w:cstheme="minorHAnsi"/>
                <w:b w:val="0"/>
                <w:bCs w:val="0"/>
                <w:color w:val="0D0D0D" w:themeColor="text1" w:themeTint="F2"/>
                <w:lang w:val="en-US"/>
              </w:rPr>
              <w:t>, 2016</w:t>
            </w:r>
          </w:p>
        </w:tc>
        <w:tc>
          <w:tcPr>
            <w:tcW w:w="734" w:type="dxa"/>
            <w:shd w:val="clear" w:color="auto" w:fill="auto"/>
          </w:tcPr>
          <w:p w14:paraId="32B2E90D"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71</w:t>
            </w:r>
          </w:p>
        </w:tc>
        <w:tc>
          <w:tcPr>
            <w:tcW w:w="991" w:type="dxa"/>
            <w:shd w:val="clear" w:color="auto" w:fill="auto"/>
          </w:tcPr>
          <w:p w14:paraId="14A35C23"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p w14:paraId="5A1257F8"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p>
        </w:tc>
        <w:tc>
          <w:tcPr>
            <w:tcW w:w="1431" w:type="dxa"/>
            <w:shd w:val="clear" w:color="auto" w:fill="auto"/>
          </w:tcPr>
          <w:p w14:paraId="0CC5BA36"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w:t>
            </w:r>
          </w:p>
        </w:tc>
        <w:tc>
          <w:tcPr>
            <w:tcW w:w="1533" w:type="dxa"/>
            <w:shd w:val="clear" w:color="auto" w:fill="auto"/>
          </w:tcPr>
          <w:p w14:paraId="1885596D"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2.5</w:t>
            </w:r>
          </w:p>
        </w:tc>
        <w:tc>
          <w:tcPr>
            <w:tcW w:w="1533" w:type="dxa"/>
            <w:shd w:val="clear" w:color="auto" w:fill="auto"/>
          </w:tcPr>
          <w:p w14:paraId="4EC459BA"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6.2</w:t>
            </w:r>
          </w:p>
        </w:tc>
        <w:tc>
          <w:tcPr>
            <w:tcW w:w="1874" w:type="dxa"/>
            <w:shd w:val="clear" w:color="auto" w:fill="auto"/>
          </w:tcPr>
          <w:p w14:paraId="5DB31813" w14:textId="7E58A970"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Single </w:t>
            </w:r>
            <w:r w:rsidR="00E940C3" w:rsidRPr="00E940C3">
              <w:rPr>
                <w:rFonts w:ascii="Book Antiqua" w:hAnsi="Book Antiqua" w:cstheme="minorHAnsi"/>
                <w:color w:val="0D0D0D" w:themeColor="text1" w:themeTint="F2"/>
                <w:lang w:val="en-US"/>
              </w:rPr>
              <w:t>center</w:t>
            </w:r>
          </w:p>
        </w:tc>
        <w:tc>
          <w:tcPr>
            <w:tcW w:w="2771" w:type="dxa"/>
            <w:shd w:val="clear" w:color="auto" w:fill="auto"/>
          </w:tcPr>
          <w:p w14:paraId="3AAF7322" w14:textId="77777777" w:rsidR="00861060" w:rsidRPr="00E940C3" w:rsidRDefault="00861060" w:rsidP="00265AC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r>
      <w:tr w:rsidR="00265AC6" w:rsidRPr="00E940C3" w14:paraId="153F0A61" w14:textId="77777777" w:rsidTr="00F86862">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097" w:type="dxa"/>
            <w:tcBorders>
              <w:bottom w:val="single" w:sz="4" w:space="0" w:color="auto"/>
            </w:tcBorders>
            <w:shd w:val="clear" w:color="auto" w:fill="auto"/>
          </w:tcPr>
          <w:p w14:paraId="03EDF5D0" w14:textId="0357D735" w:rsidR="00861060" w:rsidRPr="00E940C3" w:rsidRDefault="00E940C3" w:rsidP="0073272C">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Rissy</w:t>
            </w:r>
            <w:r w:rsidR="0073272C" w:rsidRPr="00E940C3">
              <w:rPr>
                <w:rFonts w:ascii="Book Antiqua" w:hAnsi="Book Antiqua" w:cstheme="minorHAnsi"/>
                <w:b w:val="0"/>
                <w:i/>
                <w:color w:val="0D0D0D" w:themeColor="text1" w:themeTint="F2"/>
                <w:lang w:val="en-US"/>
              </w:rPr>
              <w:t xml:space="preserve"> et al</w:t>
            </w:r>
            <w:r w:rsidR="0073272C" w:rsidRPr="00E940C3">
              <w:rPr>
                <w:rFonts w:ascii="Book Antiqua" w:hAnsi="Book Antiqua" w:cstheme="minorHAnsi"/>
                <w:b w:val="0"/>
                <w:color w:val="0D0D0D" w:themeColor="text1" w:themeTint="F2"/>
                <w:vertAlign w:val="superscript"/>
                <w:lang w:val="en-US"/>
              </w:rPr>
              <w:t>[43]</w:t>
            </w:r>
            <w:r w:rsidR="00861060" w:rsidRPr="00E940C3">
              <w:rPr>
                <w:rFonts w:ascii="Book Antiqua" w:hAnsi="Book Antiqua" w:cstheme="minorHAnsi"/>
                <w:b w:val="0"/>
                <w:bCs w:val="0"/>
                <w:color w:val="0D0D0D" w:themeColor="text1" w:themeTint="F2"/>
                <w:lang w:val="en-US"/>
              </w:rPr>
              <w:t>, 2017</w:t>
            </w:r>
          </w:p>
        </w:tc>
        <w:tc>
          <w:tcPr>
            <w:tcW w:w="734" w:type="dxa"/>
            <w:tcBorders>
              <w:bottom w:val="single" w:sz="4" w:space="0" w:color="auto"/>
            </w:tcBorders>
            <w:shd w:val="clear" w:color="auto" w:fill="auto"/>
          </w:tcPr>
          <w:p w14:paraId="5AFBD818"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12</w:t>
            </w:r>
          </w:p>
        </w:tc>
        <w:tc>
          <w:tcPr>
            <w:tcW w:w="991" w:type="dxa"/>
            <w:tcBorders>
              <w:bottom w:val="single" w:sz="4" w:space="0" w:color="auto"/>
            </w:tcBorders>
            <w:shd w:val="clear" w:color="auto" w:fill="auto"/>
          </w:tcPr>
          <w:p w14:paraId="0A9DFF04"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100%</w:t>
            </w:r>
          </w:p>
        </w:tc>
        <w:tc>
          <w:tcPr>
            <w:tcW w:w="1431" w:type="dxa"/>
            <w:tcBorders>
              <w:bottom w:val="single" w:sz="4" w:space="0" w:color="auto"/>
            </w:tcBorders>
            <w:shd w:val="clear" w:color="auto" w:fill="auto"/>
          </w:tcPr>
          <w:p w14:paraId="6A4CFE50"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w:t>
            </w:r>
          </w:p>
        </w:tc>
        <w:tc>
          <w:tcPr>
            <w:tcW w:w="1533" w:type="dxa"/>
            <w:tcBorders>
              <w:bottom w:val="single" w:sz="4" w:space="0" w:color="auto"/>
            </w:tcBorders>
            <w:shd w:val="clear" w:color="auto" w:fill="auto"/>
          </w:tcPr>
          <w:p w14:paraId="26C5364E"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4.9</w:t>
            </w:r>
          </w:p>
        </w:tc>
        <w:tc>
          <w:tcPr>
            <w:tcW w:w="1533" w:type="dxa"/>
            <w:tcBorders>
              <w:bottom w:val="single" w:sz="4" w:space="0" w:color="auto"/>
            </w:tcBorders>
            <w:shd w:val="clear" w:color="auto" w:fill="auto"/>
          </w:tcPr>
          <w:p w14:paraId="76C10FBF"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w:t>
            </w:r>
          </w:p>
        </w:tc>
        <w:tc>
          <w:tcPr>
            <w:tcW w:w="1874" w:type="dxa"/>
            <w:tcBorders>
              <w:bottom w:val="single" w:sz="4" w:space="0" w:color="auto"/>
            </w:tcBorders>
            <w:shd w:val="clear" w:color="auto" w:fill="auto"/>
          </w:tcPr>
          <w:p w14:paraId="6786022D" w14:textId="711C5F3D"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Single-</w:t>
            </w:r>
            <w:r w:rsidR="00E940C3" w:rsidRPr="00E940C3">
              <w:rPr>
                <w:rFonts w:ascii="Book Antiqua" w:hAnsi="Book Antiqua" w:cstheme="minorHAnsi"/>
                <w:color w:val="0D0D0D" w:themeColor="text1" w:themeTint="F2"/>
                <w:lang w:val="en-US"/>
              </w:rPr>
              <w:t>center</w:t>
            </w:r>
          </w:p>
        </w:tc>
        <w:tc>
          <w:tcPr>
            <w:tcW w:w="2771" w:type="dxa"/>
            <w:tcBorders>
              <w:bottom w:val="single" w:sz="4" w:space="0" w:color="auto"/>
            </w:tcBorders>
            <w:shd w:val="clear" w:color="auto" w:fill="auto"/>
          </w:tcPr>
          <w:p w14:paraId="1B0E78DA" w14:textId="77777777" w:rsidR="00861060" w:rsidRPr="00E940C3" w:rsidRDefault="00861060" w:rsidP="00265AC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No grade 3-4 toxicity reported</w:t>
            </w:r>
          </w:p>
        </w:tc>
      </w:tr>
    </w:tbl>
    <w:p w14:paraId="2E7DF425" w14:textId="75590373" w:rsidR="00861060" w:rsidRPr="00E940C3" w:rsidRDefault="00861060" w:rsidP="00265AC6">
      <w:pPr>
        <w:snapToGrid w:val="0"/>
        <w:spacing w:line="360" w:lineRule="auto"/>
        <w:rPr>
          <w:rFonts w:ascii="Book Antiqua" w:hAnsi="Book Antiqua" w:cstheme="minorHAnsi"/>
          <w:color w:val="0D0D0D" w:themeColor="text1" w:themeTint="F2"/>
        </w:rPr>
      </w:pPr>
      <w:r w:rsidRPr="00E940C3">
        <w:rPr>
          <w:rFonts w:ascii="Book Antiqua" w:hAnsi="Book Antiqua" w:cstheme="minorHAnsi"/>
          <w:color w:val="0D0D0D" w:themeColor="text1" w:themeTint="F2"/>
        </w:rPr>
        <w:t>BSC: Best supportive care; Gem: Gemcitabine</w:t>
      </w:r>
      <w:r w:rsidR="008E300D" w:rsidRPr="00E940C3">
        <w:rPr>
          <w:rFonts w:ascii="Book Antiqua" w:hAnsi="Book Antiqua" w:cstheme="minorHAnsi"/>
          <w:color w:val="0D0D0D" w:themeColor="text1" w:themeTint="F2"/>
        </w:rPr>
        <w:t>;</w:t>
      </w:r>
      <w:r w:rsidRPr="00E940C3">
        <w:rPr>
          <w:rFonts w:ascii="Book Antiqua" w:hAnsi="Book Antiqua" w:cstheme="minorHAnsi"/>
          <w:color w:val="0D0D0D" w:themeColor="text1" w:themeTint="F2"/>
        </w:rPr>
        <w:t xml:space="preserve"> GnP: Gemcitabine/Nab-paclitaxel; M1: metastatic disease; mOS: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edian overall survival; mPFS: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edian progression</w:t>
      </w:r>
      <w:r w:rsidR="00FD4E0F" w:rsidRPr="00E940C3">
        <w:rPr>
          <w:rFonts w:ascii="Book Antiqua" w:hAnsi="Book Antiqua" w:cstheme="minorHAnsi"/>
          <w:color w:val="0D0D0D" w:themeColor="text1" w:themeTint="F2"/>
        </w:rPr>
        <w:t>-</w:t>
      </w:r>
      <w:r w:rsidRPr="00E940C3">
        <w:rPr>
          <w:rFonts w:ascii="Book Antiqua" w:hAnsi="Book Antiqua" w:cstheme="minorHAnsi"/>
          <w:color w:val="0D0D0D" w:themeColor="text1" w:themeTint="F2"/>
        </w:rPr>
        <w:t>free survival</w:t>
      </w:r>
      <w:r w:rsidR="000211B6" w:rsidRPr="00E940C3">
        <w:rPr>
          <w:rFonts w:ascii="Book Antiqua" w:hAnsi="Book Antiqua" w:cstheme="minorHAnsi"/>
          <w:color w:val="0D0D0D" w:themeColor="text1" w:themeTint="F2"/>
        </w:rPr>
        <w:t>.</w:t>
      </w:r>
    </w:p>
    <w:p w14:paraId="010E7B37" w14:textId="77777777" w:rsidR="008E5F8F" w:rsidRPr="00E940C3" w:rsidRDefault="008E5F8F">
      <w:pPr>
        <w:rPr>
          <w:rFonts w:ascii="Book Antiqua" w:hAnsi="Book Antiqua" w:cstheme="minorHAnsi"/>
          <w:color w:val="0D0D0D" w:themeColor="text1" w:themeTint="F2"/>
        </w:rPr>
      </w:pPr>
      <w:r w:rsidRPr="00E940C3">
        <w:rPr>
          <w:rFonts w:ascii="Book Antiqua" w:hAnsi="Book Antiqua" w:cstheme="minorHAnsi"/>
          <w:color w:val="0D0D0D" w:themeColor="text1" w:themeTint="F2"/>
        </w:rPr>
        <w:br w:type="page"/>
      </w:r>
    </w:p>
    <w:p w14:paraId="08011B6E" w14:textId="09B0F16F" w:rsidR="00861060" w:rsidRPr="00E940C3" w:rsidRDefault="00861060" w:rsidP="00265AC6">
      <w:pPr>
        <w:pStyle w:val="Heading2"/>
        <w:snapToGrid w:val="0"/>
        <w:spacing w:before="0" w:line="360" w:lineRule="auto"/>
        <w:rPr>
          <w:rFonts w:ascii="Book Antiqua" w:hAnsi="Book Antiqua" w:cstheme="minorHAnsi"/>
          <w:b/>
          <w:bCs/>
          <w:color w:val="0D0D0D" w:themeColor="text1" w:themeTint="F2"/>
          <w:sz w:val="24"/>
          <w:szCs w:val="24"/>
          <w:lang w:val="en-US"/>
        </w:rPr>
      </w:pPr>
      <w:r w:rsidRPr="00E940C3">
        <w:rPr>
          <w:rFonts w:ascii="Book Antiqua" w:hAnsi="Book Antiqua" w:cstheme="minorHAnsi"/>
          <w:b/>
          <w:bCs/>
          <w:color w:val="0D0D0D" w:themeColor="text1" w:themeTint="F2"/>
          <w:sz w:val="24"/>
          <w:szCs w:val="24"/>
          <w:lang w:val="en-US"/>
        </w:rPr>
        <w:lastRenderedPageBreak/>
        <w:t>Table 5</w:t>
      </w:r>
      <w:r w:rsidR="00A366D9" w:rsidRPr="00E940C3">
        <w:rPr>
          <w:rFonts w:ascii="Book Antiqua" w:hAnsi="Book Antiqua" w:cstheme="minorHAnsi"/>
          <w:b/>
          <w:bCs/>
          <w:color w:val="0D0D0D" w:themeColor="text1" w:themeTint="F2"/>
          <w:sz w:val="24"/>
          <w:szCs w:val="24"/>
          <w:lang w:val="en-US"/>
        </w:rPr>
        <w:t xml:space="preserve"> </w:t>
      </w:r>
      <w:r w:rsidRPr="00E940C3">
        <w:rPr>
          <w:rFonts w:ascii="Book Antiqua" w:hAnsi="Book Antiqua" w:cstheme="minorHAnsi"/>
          <w:b/>
          <w:bCs/>
          <w:color w:val="0D0D0D" w:themeColor="text1" w:themeTint="F2"/>
          <w:sz w:val="24"/>
          <w:szCs w:val="24"/>
          <w:lang w:val="en-US"/>
        </w:rPr>
        <w:t>Real</w:t>
      </w:r>
      <w:r w:rsidR="00FD4E0F" w:rsidRPr="00E940C3">
        <w:rPr>
          <w:rFonts w:ascii="Book Antiqua" w:hAnsi="Book Antiqua" w:cstheme="minorHAnsi"/>
          <w:b/>
          <w:bCs/>
          <w:color w:val="0D0D0D" w:themeColor="text1" w:themeTint="F2"/>
          <w:sz w:val="24"/>
          <w:szCs w:val="24"/>
          <w:lang w:val="en-US"/>
        </w:rPr>
        <w:t>-</w:t>
      </w:r>
      <w:r w:rsidRPr="00E940C3">
        <w:rPr>
          <w:rFonts w:ascii="Book Antiqua" w:hAnsi="Book Antiqua" w:cstheme="minorHAnsi"/>
          <w:b/>
          <w:bCs/>
          <w:color w:val="0D0D0D" w:themeColor="text1" w:themeTint="F2"/>
          <w:sz w:val="24"/>
          <w:szCs w:val="24"/>
          <w:lang w:val="en-US"/>
        </w:rPr>
        <w:t>world studies of second</w:t>
      </w:r>
      <w:r w:rsidR="00FD4E0F" w:rsidRPr="00E940C3">
        <w:rPr>
          <w:rFonts w:ascii="Book Antiqua" w:hAnsi="Book Antiqua" w:cstheme="minorHAnsi"/>
          <w:b/>
          <w:bCs/>
          <w:color w:val="0D0D0D" w:themeColor="text1" w:themeTint="F2"/>
          <w:sz w:val="24"/>
          <w:szCs w:val="24"/>
          <w:lang w:val="en-US"/>
        </w:rPr>
        <w:t>-</w:t>
      </w:r>
      <w:r w:rsidRPr="00E940C3">
        <w:rPr>
          <w:rFonts w:ascii="Book Antiqua" w:hAnsi="Book Antiqua" w:cstheme="minorHAnsi"/>
          <w:b/>
          <w:bCs/>
          <w:color w:val="0D0D0D" w:themeColor="text1" w:themeTint="F2"/>
          <w:sz w:val="24"/>
          <w:szCs w:val="24"/>
          <w:lang w:val="en-US"/>
        </w:rPr>
        <w:t xml:space="preserve">line treatment with </w:t>
      </w:r>
      <w:r w:rsidR="00D004D7" w:rsidRPr="00E940C3">
        <w:rPr>
          <w:rFonts w:ascii="Book Antiqua" w:hAnsi="Book Antiqua" w:cstheme="minorHAnsi"/>
          <w:b/>
          <w:bCs/>
          <w:color w:val="0D0D0D" w:themeColor="text1" w:themeTint="F2"/>
          <w:sz w:val="24"/>
          <w:szCs w:val="24"/>
          <w:lang w:val="en-US"/>
        </w:rPr>
        <w:t>Folfirinox</w:t>
      </w:r>
      <w:r w:rsidRPr="00E940C3">
        <w:rPr>
          <w:rFonts w:ascii="Book Antiqua" w:hAnsi="Book Antiqua" w:cstheme="minorHAnsi"/>
          <w:b/>
          <w:bCs/>
          <w:color w:val="0D0D0D" w:themeColor="text1" w:themeTint="F2"/>
          <w:sz w:val="24"/>
          <w:szCs w:val="24"/>
          <w:lang w:val="en-US"/>
        </w:rPr>
        <w:t xml:space="preserve"> following failure of </w:t>
      </w:r>
      <w:r w:rsidR="00FB0808" w:rsidRPr="00E940C3">
        <w:rPr>
          <w:rFonts w:ascii="Book Antiqua" w:hAnsi="Book Antiqua" w:cstheme="minorHAnsi"/>
          <w:b/>
          <w:bCs/>
          <w:color w:val="0D0D0D" w:themeColor="text1" w:themeTint="F2"/>
          <w:sz w:val="24"/>
          <w:szCs w:val="24"/>
          <w:lang w:val="en-US"/>
        </w:rPr>
        <w:t>gemcitabine/nab-paclitaxel</w:t>
      </w:r>
      <w:r w:rsidR="00A366D9" w:rsidRPr="00E940C3">
        <w:rPr>
          <w:rFonts w:ascii="Book Antiqua" w:hAnsi="Book Antiqua" w:cstheme="minorHAnsi"/>
          <w:b/>
          <w:bCs/>
          <w:color w:val="0D0D0D" w:themeColor="text1" w:themeTint="F2"/>
          <w:sz w:val="24"/>
          <w:szCs w:val="24"/>
          <w:lang w:val="en-US"/>
        </w:rPr>
        <w:t xml:space="preserve"> or single</w:t>
      </w:r>
      <w:r w:rsidR="00A25CB3">
        <w:rPr>
          <w:rFonts w:ascii="Book Antiqua" w:hAnsi="Book Antiqua" w:cstheme="minorHAnsi"/>
          <w:b/>
          <w:bCs/>
          <w:color w:val="0D0D0D" w:themeColor="text1" w:themeTint="F2"/>
          <w:sz w:val="24"/>
          <w:szCs w:val="24"/>
          <w:lang w:val="en-US"/>
        </w:rPr>
        <w:t>-</w:t>
      </w:r>
      <w:r w:rsidR="00A366D9" w:rsidRPr="00E940C3">
        <w:rPr>
          <w:rFonts w:ascii="Book Antiqua" w:hAnsi="Book Antiqua" w:cstheme="minorHAnsi"/>
          <w:b/>
          <w:bCs/>
          <w:color w:val="0D0D0D" w:themeColor="text1" w:themeTint="F2"/>
          <w:sz w:val="24"/>
          <w:szCs w:val="24"/>
          <w:lang w:val="en-US"/>
        </w:rPr>
        <w:t>agent gemcitabine</w:t>
      </w:r>
      <w:r w:rsidRPr="00E940C3">
        <w:rPr>
          <w:rFonts w:ascii="Book Antiqua" w:hAnsi="Book Antiqua" w:cstheme="minorHAnsi"/>
          <w:b/>
          <w:bCs/>
          <w:color w:val="0D0D0D" w:themeColor="text1" w:themeTint="F2"/>
          <w:sz w:val="24"/>
          <w:szCs w:val="24"/>
          <w:vertAlign w:val="superscript"/>
          <w:lang w:val="en-US"/>
        </w:rPr>
        <w:t>[46-51]</w:t>
      </w:r>
    </w:p>
    <w:tbl>
      <w:tblPr>
        <w:tblStyle w:val="ListTable1Light-Accent3"/>
        <w:tblW w:w="12900" w:type="dxa"/>
        <w:jc w:val="center"/>
        <w:tblLook w:val="04A0" w:firstRow="1" w:lastRow="0" w:firstColumn="1" w:lastColumn="0" w:noHBand="0" w:noVBand="1"/>
      </w:tblPr>
      <w:tblGrid>
        <w:gridCol w:w="3682"/>
        <w:gridCol w:w="576"/>
        <w:gridCol w:w="778"/>
        <w:gridCol w:w="1133"/>
        <w:gridCol w:w="1419"/>
        <w:gridCol w:w="1405"/>
        <w:gridCol w:w="1405"/>
        <w:gridCol w:w="2502"/>
      </w:tblGrid>
      <w:tr w:rsidR="00861060" w:rsidRPr="00E940C3" w14:paraId="12457F0F" w14:textId="77777777" w:rsidTr="00B809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2" w:type="dxa"/>
            <w:tcBorders>
              <w:top w:val="single" w:sz="4" w:space="0" w:color="auto"/>
              <w:bottom w:val="single" w:sz="4" w:space="0" w:color="auto"/>
            </w:tcBorders>
            <w:shd w:val="clear" w:color="auto" w:fill="auto"/>
          </w:tcPr>
          <w:p w14:paraId="2D85F7B2" w14:textId="6A854869" w:rsidR="00861060" w:rsidRPr="00E940C3" w:rsidRDefault="00FF008B" w:rsidP="00B8091B">
            <w:pPr>
              <w:snapToGrid w:val="0"/>
              <w:spacing w:line="360" w:lineRule="auto"/>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Ref.</w:t>
            </w:r>
          </w:p>
        </w:tc>
        <w:tc>
          <w:tcPr>
            <w:tcW w:w="576" w:type="dxa"/>
            <w:tcBorders>
              <w:top w:val="single" w:sz="4" w:space="0" w:color="auto"/>
              <w:bottom w:val="single" w:sz="4" w:space="0" w:color="auto"/>
            </w:tcBorders>
            <w:shd w:val="clear" w:color="auto" w:fill="auto"/>
          </w:tcPr>
          <w:p w14:paraId="077C2C01" w14:textId="642E105E" w:rsidR="00861060" w:rsidRPr="00E940C3" w:rsidRDefault="00DD5B0A" w:rsidP="00B8091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i/>
                <w:color w:val="0D0D0D" w:themeColor="text1" w:themeTint="F2"/>
                <w:lang w:val="en-US"/>
              </w:rPr>
              <w:t>n</w:t>
            </w:r>
          </w:p>
        </w:tc>
        <w:tc>
          <w:tcPr>
            <w:tcW w:w="778" w:type="dxa"/>
            <w:tcBorders>
              <w:top w:val="single" w:sz="4" w:space="0" w:color="auto"/>
              <w:bottom w:val="single" w:sz="4" w:space="0" w:color="auto"/>
            </w:tcBorders>
            <w:shd w:val="clear" w:color="auto" w:fill="auto"/>
          </w:tcPr>
          <w:p w14:paraId="41B0C8A7" w14:textId="77777777" w:rsidR="00861060" w:rsidRPr="00E940C3" w:rsidRDefault="00861060" w:rsidP="00B8091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M1</w:t>
            </w:r>
          </w:p>
        </w:tc>
        <w:tc>
          <w:tcPr>
            <w:tcW w:w="1133" w:type="dxa"/>
            <w:tcBorders>
              <w:top w:val="single" w:sz="4" w:space="0" w:color="auto"/>
              <w:bottom w:val="single" w:sz="4" w:space="0" w:color="auto"/>
            </w:tcBorders>
            <w:shd w:val="clear" w:color="auto" w:fill="auto"/>
          </w:tcPr>
          <w:p w14:paraId="360E818A" w14:textId="77777777" w:rsidR="00861060" w:rsidRPr="00E940C3" w:rsidRDefault="00861060" w:rsidP="00B8091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1L regimen</w:t>
            </w:r>
          </w:p>
        </w:tc>
        <w:tc>
          <w:tcPr>
            <w:tcW w:w="1419" w:type="dxa"/>
            <w:tcBorders>
              <w:top w:val="single" w:sz="4" w:space="0" w:color="auto"/>
              <w:bottom w:val="single" w:sz="4" w:space="0" w:color="auto"/>
            </w:tcBorders>
            <w:shd w:val="clear" w:color="auto" w:fill="auto"/>
          </w:tcPr>
          <w:p w14:paraId="658C60EC" w14:textId="77777777" w:rsidR="00861060" w:rsidRPr="00E940C3" w:rsidRDefault="00861060" w:rsidP="00B8091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2L regimen</w:t>
            </w:r>
          </w:p>
        </w:tc>
        <w:tc>
          <w:tcPr>
            <w:tcW w:w="1405" w:type="dxa"/>
            <w:tcBorders>
              <w:top w:val="single" w:sz="4" w:space="0" w:color="auto"/>
              <w:bottom w:val="single" w:sz="4" w:space="0" w:color="auto"/>
            </w:tcBorders>
            <w:shd w:val="clear" w:color="auto" w:fill="auto"/>
          </w:tcPr>
          <w:p w14:paraId="556F3D1D" w14:textId="5BF56806" w:rsidR="00861060" w:rsidRPr="00E940C3" w:rsidRDefault="00861060" w:rsidP="00B8091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mPFS </w:t>
            </w:r>
            <w:r w:rsidR="008809D9">
              <w:rPr>
                <w:rFonts w:ascii="Book Antiqua" w:hAnsi="Book Antiqua" w:cstheme="minorHAnsi"/>
                <w:color w:val="0D0D0D" w:themeColor="text1" w:themeTint="F2"/>
                <w:lang w:val="en-US"/>
              </w:rPr>
              <w:t xml:space="preserve">in </w:t>
            </w:r>
            <w:r w:rsidRPr="00E940C3">
              <w:rPr>
                <w:rFonts w:ascii="Book Antiqua" w:hAnsi="Book Antiqua" w:cstheme="minorHAnsi"/>
                <w:color w:val="0D0D0D" w:themeColor="text1" w:themeTint="F2"/>
                <w:lang w:val="en-US"/>
              </w:rPr>
              <w:t>mo</w:t>
            </w:r>
          </w:p>
        </w:tc>
        <w:tc>
          <w:tcPr>
            <w:tcW w:w="1405" w:type="dxa"/>
            <w:tcBorders>
              <w:top w:val="single" w:sz="4" w:space="0" w:color="auto"/>
              <w:bottom w:val="single" w:sz="4" w:space="0" w:color="auto"/>
            </w:tcBorders>
            <w:shd w:val="clear" w:color="auto" w:fill="auto"/>
          </w:tcPr>
          <w:p w14:paraId="27885349" w14:textId="74396B85" w:rsidR="00861060" w:rsidRPr="00E940C3" w:rsidRDefault="00861060" w:rsidP="00B8091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mOS </w:t>
            </w:r>
            <w:r w:rsidR="008809D9">
              <w:rPr>
                <w:rFonts w:ascii="Book Antiqua" w:hAnsi="Book Antiqua" w:cstheme="minorHAnsi"/>
                <w:color w:val="0D0D0D" w:themeColor="text1" w:themeTint="F2"/>
                <w:lang w:val="en-US"/>
              </w:rPr>
              <w:t xml:space="preserve">in </w:t>
            </w:r>
            <w:r w:rsidRPr="00E940C3">
              <w:rPr>
                <w:rFonts w:ascii="Book Antiqua" w:hAnsi="Book Antiqua" w:cstheme="minorHAnsi"/>
                <w:color w:val="0D0D0D" w:themeColor="text1" w:themeTint="F2"/>
                <w:lang w:val="en-US"/>
              </w:rPr>
              <w:t>mo</w:t>
            </w:r>
          </w:p>
        </w:tc>
        <w:tc>
          <w:tcPr>
            <w:tcW w:w="2502" w:type="dxa"/>
            <w:tcBorders>
              <w:top w:val="single" w:sz="4" w:space="0" w:color="auto"/>
              <w:bottom w:val="single" w:sz="4" w:space="0" w:color="auto"/>
            </w:tcBorders>
            <w:shd w:val="clear" w:color="auto" w:fill="auto"/>
          </w:tcPr>
          <w:p w14:paraId="33EFD184" w14:textId="77777777" w:rsidR="00861060" w:rsidRPr="00E940C3" w:rsidRDefault="00861060" w:rsidP="00B8091B">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Remarks</w:t>
            </w:r>
          </w:p>
        </w:tc>
      </w:tr>
      <w:tr w:rsidR="006F1C64" w:rsidRPr="00E940C3" w14:paraId="7BAB5D96" w14:textId="77777777" w:rsidTr="00B809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2" w:type="dxa"/>
            <w:tcBorders>
              <w:top w:val="single" w:sz="4" w:space="0" w:color="auto"/>
            </w:tcBorders>
            <w:shd w:val="clear" w:color="auto" w:fill="auto"/>
          </w:tcPr>
          <w:p w14:paraId="0F282E94" w14:textId="64645F15" w:rsidR="00861060" w:rsidRPr="00E940C3" w:rsidRDefault="00861060" w:rsidP="00B8091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Sawada</w:t>
            </w:r>
            <w:r w:rsidR="00672EA0" w:rsidRPr="00E940C3">
              <w:rPr>
                <w:rFonts w:ascii="Book Antiqua" w:hAnsi="Book Antiqua" w:cstheme="minorHAnsi"/>
                <w:b w:val="0"/>
                <w:i/>
                <w:color w:val="0D0D0D" w:themeColor="text1" w:themeTint="F2"/>
                <w:lang w:val="en-US"/>
              </w:rPr>
              <w:t xml:space="preserve"> et al</w:t>
            </w:r>
            <w:r w:rsidR="00672EA0" w:rsidRPr="00E940C3">
              <w:rPr>
                <w:rFonts w:ascii="Book Antiqua" w:hAnsi="Book Antiqua" w:cstheme="minorHAnsi"/>
                <w:b w:val="0"/>
                <w:color w:val="0D0D0D" w:themeColor="text1" w:themeTint="F2"/>
                <w:vertAlign w:val="superscript"/>
                <w:lang w:val="en-US"/>
              </w:rPr>
              <w:t>[46]</w:t>
            </w:r>
            <w:r w:rsidRPr="00E940C3">
              <w:rPr>
                <w:rFonts w:ascii="Book Antiqua" w:hAnsi="Book Antiqua" w:cstheme="minorHAnsi"/>
                <w:b w:val="0"/>
                <w:bCs w:val="0"/>
                <w:color w:val="0D0D0D" w:themeColor="text1" w:themeTint="F2"/>
                <w:lang w:val="en-US"/>
              </w:rPr>
              <w:t>, 2020</w:t>
            </w:r>
          </w:p>
        </w:tc>
        <w:tc>
          <w:tcPr>
            <w:tcW w:w="576" w:type="dxa"/>
            <w:tcBorders>
              <w:top w:val="single" w:sz="4" w:space="0" w:color="auto"/>
            </w:tcBorders>
            <w:shd w:val="clear" w:color="auto" w:fill="auto"/>
          </w:tcPr>
          <w:p w14:paraId="138FAC39"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104</w:t>
            </w:r>
          </w:p>
        </w:tc>
        <w:tc>
          <w:tcPr>
            <w:tcW w:w="778" w:type="dxa"/>
            <w:tcBorders>
              <w:top w:val="single" w:sz="4" w:space="0" w:color="auto"/>
            </w:tcBorders>
            <w:shd w:val="clear" w:color="auto" w:fill="auto"/>
          </w:tcPr>
          <w:p w14:paraId="09CED2FD"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100%</w:t>
            </w:r>
          </w:p>
        </w:tc>
        <w:tc>
          <w:tcPr>
            <w:tcW w:w="1133" w:type="dxa"/>
            <w:tcBorders>
              <w:top w:val="single" w:sz="4" w:space="0" w:color="auto"/>
            </w:tcBorders>
            <w:shd w:val="clear" w:color="auto" w:fill="auto"/>
          </w:tcPr>
          <w:p w14:paraId="5E80E3F0"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w:t>
            </w:r>
          </w:p>
        </w:tc>
        <w:tc>
          <w:tcPr>
            <w:tcW w:w="1419" w:type="dxa"/>
            <w:tcBorders>
              <w:top w:val="single" w:sz="4" w:space="0" w:color="auto"/>
            </w:tcBorders>
            <w:shd w:val="clear" w:color="auto" w:fill="auto"/>
          </w:tcPr>
          <w:p w14:paraId="11B55897"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Modified</w:t>
            </w:r>
          </w:p>
          <w:p w14:paraId="751449A2"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w:t>
            </w:r>
          </w:p>
        </w:tc>
        <w:tc>
          <w:tcPr>
            <w:tcW w:w="1405" w:type="dxa"/>
            <w:tcBorders>
              <w:top w:val="single" w:sz="4" w:space="0" w:color="auto"/>
            </w:tcBorders>
            <w:shd w:val="clear" w:color="auto" w:fill="auto"/>
          </w:tcPr>
          <w:p w14:paraId="2659AF35"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3.9</w:t>
            </w:r>
          </w:p>
        </w:tc>
        <w:tc>
          <w:tcPr>
            <w:tcW w:w="1405" w:type="dxa"/>
            <w:tcBorders>
              <w:top w:val="single" w:sz="4" w:space="0" w:color="auto"/>
            </w:tcBorders>
            <w:shd w:val="clear" w:color="auto" w:fill="auto"/>
          </w:tcPr>
          <w:p w14:paraId="59A358B2"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7.0</w:t>
            </w:r>
          </w:p>
        </w:tc>
        <w:tc>
          <w:tcPr>
            <w:tcW w:w="2502" w:type="dxa"/>
            <w:tcBorders>
              <w:top w:val="single" w:sz="4" w:space="0" w:color="auto"/>
            </w:tcBorders>
            <w:shd w:val="clear" w:color="auto" w:fill="auto"/>
          </w:tcPr>
          <w:p w14:paraId="6A8E99B3"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Bolus 5-FU omitted. 55% grade 3-4 toxicity</w:t>
            </w:r>
          </w:p>
        </w:tc>
      </w:tr>
      <w:tr w:rsidR="00861060" w:rsidRPr="00E940C3" w14:paraId="27B4E8C2" w14:textId="77777777" w:rsidTr="00B8091B">
        <w:trPr>
          <w:jc w:val="center"/>
        </w:trPr>
        <w:tc>
          <w:tcPr>
            <w:cnfStyle w:val="001000000000" w:firstRow="0" w:lastRow="0" w:firstColumn="1" w:lastColumn="0" w:oddVBand="0" w:evenVBand="0" w:oddHBand="0" w:evenHBand="0" w:firstRowFirstColumn="0" w:firstRowLastColumn="0" w:lastRowFirstColumn="0" w:lastRowLastColumn="0"/>
            <w:tcW w:w="3682" w:type="dxa"/>
            <w:shd w:val="clear" w:color="auto" w:fill="auto"/>
          </w:tcPr>
          <w:p w14:paraId="78324377" w14:textId="493B7E0A" w:rsidR="00861060" w:rsidRPr="00E940C3" w:rsidRDefault="00861060" w:rsidP="00B8091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Matsumoto</w:t>
            </w:r>
            <w:r w:rsidR="00672EA0" w:rsidRPr="00E940C3">
              <w:rPr>
                <w:rFonts w:ascii="Book Antiqua" w:hAnsi="Book Antiqua" w:cstheme="minorHAnsi"/>
                <w:b w:val="0"/>
                <w:i/>
                <w:color w:val="0D0D0D" w:themeColor="text1" w:themeTint="F2"/>
                <w:lang w:val="en-US"/>
              </w:rPr>
              <w:t xml:space="preserve"> et al</w:t>
            </w:r>
            <w:r w:rsidR="00672EA0" w:rsidRPr="00E940C3">
              <w:rPr>
                <w:rFonts w:ascii="Book Antiqua" w:hAnsi="Book Antiqua" w:cstheme="minorHAnsi"/>
                <w:b w:val="0"/>
                <w:color w:val="0D0D0D" w:themeColor="text1" w:themeTint="F2"/>
                <w:vertAlign w:val="superscript"/>
                <w:lang w:val="en-US"/>
              </w:rPr>
              <w:t>[47]</w:t>
            </w:r>
            <w:r w:rsidRPr="00E940C3">
              <w:rPr>
                <w:rFonts w:ascii="Book Antiqua" w:hAnsi="Book Antiqua" w:cstheme="minorHAnsi"/>
                <w:b w:val="0"/>
                <w:bCs w:val="0"/>
                <w:color w:val="0D0D0D" w:themeColor="text1" w:themeTint="F2"/>
                <w:lang w:val="en-US"/>
              </w:rPr>
              <w:t>, 2020</w:t>
            </w:r>
          </w:p>
        </w:tc>
        <w:tc>
          <w:tcPr>
            <w:tcW w:w="576" w:type="dxa"/>
            <w:shd w:val="clear" w:color="auto" w:fill="auto"/>
          </w:tcPr>
          <w:p w14:paraId="3B5335B9"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23</w:t>
            </w:r>
          </w:p>
        </w:tc>
        <w:tc>
          <w:tcPr>
            <w:tcW w:w="778" w:type="dxa"/>
            <w:shd w:val="clear" w:color="auto" w:fill="auto"/>
          </w:tcPr>
          <w:p w14:paraId="0240E00A"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83%</w:t>
            </w:r>
          </w:p>
        </w:tc>
        <w:tc>
          <w:tcPr>
            <w:tcW w:w="1133" w:type="dxa"/>
            <w:shd w:val="clear" w:color="auto" w:fill="auto"/>
          </w:tcPr>
          <w:p w14:paraId="0DDF8D58"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GnP</w:t>
            </w:r>
          </w:p>
        </w:tc>
        <w:tc>
          <w:tcPr>
            <w:tcW w:w="1419" w:type="dxa"/>
            <w:shd w:val="clear" w:color="auto" w:fill="auto"/>
          </w:tcPr>
          <w:p w14:paraId="543E14CE" w14:textId="21E3D5A8" w:rsidR="00861060" w:rsidRPr="00E940C3" w:rsidRDefault="008811DA"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 12</w:t>
            </w:r>
          </w:p>
          <w:p w14:paraId="6CB0F747" w14:textId="3C886180"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mFFX 11</w:t>
            </w:r>
          </w:p>
        </w:tc>
        <w:tc>
          <w:tcPr>
            <w:tcW w:w="1405" w:type="dxa"/>
            <w:shd w:val="clear" w:color="auto" w:fill="auto"/>
          </w:tcPr>
          <w:p w14:paraId="5C0B53D4"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5.3</w:t>
            </w:r>
          </w:p>
          <w:p w14:paraId="399BE1BB"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4.3</w:t>
            </w:r>
          </w:p>
        </w:tc>
        <w:tc>
          <w:tcPr>
            <w:tcW w:w="1405" w:type="dxa"/>
            <w:shd w:val="clear" w:color="auto" w:fill="auto"/>
          </w:tcPr>
          <w:p w14:paraId="2C2F841F"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6.9</w:t>
            </w:r>
          </w:p>
          <w:p w14:paraId="35EC7427"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12.8</w:t>
            </w:r>
          </w:p>
        </w:tc>
        <w:tc>
          <w:tcPr>
            <w:tcW w:w="2502" w:type="dxa"/>
            <w:shd w:val="clear" w:color="auto" w:fill="auto"/>
          </w:tcPr>
          <w:p w14:paraId="4B30BC4E"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No sign difference in toxicity between FFX/mFFX</w:t>
            </w:r>
          </w:p>
        </w:tc>
      </w:tr>
      <w:tr w:rsidR="006F1C64" w:rsidRPr="00E940C3" w14:paraId="0832B6A1" w14:textId="77777777" w:rsidTr="00B809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2" w:type="dxa"/>
            <w:shd w:val="clear" w:color="auto" w:fill="auto"/>
          </w:tcPr>
          <w:p w14:paraId="62522DF2" w14:textId="0AF9E140" w:rsidR="00861060" w:rsidRPr="00E940C3" w:rsidRDefault="00861060" w:rsidP="00B8091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Assaf</w:t>
            </w:r>
            <w:r w:rsidR="00672EA0" w:rsidRPr="00E940C3">
              <w:rPr>
                <w:rFonts w:ascii="Book Antiqua" w:hAnsi="Book Antiqua" w:cstheme="minorHAnsi"/>
                <w:b w:val="0"/>
                <w:i/>
                <w:color w:val="0D0D0D" w:themeColor="text1" w:themeTint="F2"/>
                <w:lang w:val="en-US"/>
              </w:rPr>
              <w:t xml:space="preserve"> et al</w:t>
            </w:r>
            <w:r w:rsidR="00672EA0" w:rsidRPr="00E940C3">
              <w:rPr>
                <w:rFonts w:ascii="Book Antiqua" w:hAnsi="Book Antiqua" w:cstheme="minorHAnsi"/>
                <w:b w:val="0"/>
                <w:color w:val="0D0D0D" w:themeColor="text1" w:themeTint="F2"/>
                <w:vertAlign w:val="superscript"/>
                <w:lang w:val="en-US"/>
              </w:rPr>
              <w:t>[50]</w:t>
            </w:r>
            <w:r w:rsidRPr="00E940C3">
              <w:rPr>
                <w:rFonts w:ascii="Book Antiqua" w:hAnsi="Book Antiqua" w:cstheme="minorHAnsi"/>
                <w:b w:val="0"/>
                <w:bCs w:val="0"/>
                <w:color w:val="0D0D0D" w:themeColor="text1" w:themeTint="F2"/>
                <w:lang w:val="en-US"/>
              </w:rPr>
              <w:t>, 2011</w:t>
            </w:r>
          </w:p>
        </w:tc>
        <w:tc>
          <w:tcPr>
            <w:tcW w:w="576" w:type="dxa"/>
            <w:shd w:val="clear" w:color="auto" w:fill="auto"/>
          </w:tcPr>
          <w:p w14:paraId="05B98418"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27</w:t>
            </w:r>
          </w:p>
        </w:tc>
        <w:tc>
          <w:tcPr>
            <w:tcW w:w="778" w:type="dxa"/>
            <w:shd w:val="clear" w:color="auto" w:fill="auto"/>
          </w:tcPr>
          <w:p w14:paraId="390D44C4"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100%</w:t>
            </w:r>
          </w:p>
        </w:tc>
        <w:tc>
          <w:tcPr>
            <w:tcW w:w="1133" w:type="dxa"/>
            <w:shd w:val="clear" w:color="auto" w:fill="auto"/>
          </w:tcPr>
          <w:p w14:paraId="4D13E7F2"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w:t>
            </w:r>
          </w:p>
        </w:tc>
        <w:tc>
          <w:tcPr>
            <w:tcW w:w="1419" w:type="dxa"/>
            <w:shd w:val="clear" w:color="auto" w:fill="auto"/>
          </w:tcPr>
          <w:p w14:paraId="0FB61977"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w:t>
            </w:r>
          </w:p>
        </w:tc>
        <w:tc>
          <w:tcPr>
            <w:tcW w:w="1405" w:type="dxa"/>
            <w:shd w:val="clear" w:color="auto" w:fill="auto"/>
          </w:tcPr>
          <w:p w14:paraId="57FBA8F2"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3.0</w:t>
            </w:r>
          </w:p>
        </w:tc>
        <w:tc>
          <w:tcPr>
            <w:tcW w:w="1405" w:type="dxa"/>
            <w:shd w:val="clear" w:color="auto" w:fill="auto"/>
          </w:tcPr>
          <w:p w14:paraId="6C8D2706"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8.5</w:t>
            </w:r>
          </w:p>
        </w:tc>
        <w:tc>
          <w:tcPr>
            <w:tcW w:w="2502" w:type="dxa"/>
            <w:shd w:val="clear" w:color="auto" w:fill="auto"/>
          </w:tcPr>
          <w:p w14:paraId="7E1F0C95" w14:textId="5662115E"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56% grade 3-4 neutropenia</w:t>
            </w:r>
          </w:p>
        </w:tc>
      </w:tr>
      <w:tr w:rsidR="00861060" w:rsidRPr="00E940C3" w14:paraId="6473E3E9" w14:textId="77777777" w:rsidTr="00B8091B">
        <w:trPr>
          <w:jc w:val="center"/>
        </w:trPr>
        <w:tc>
          <w:tcPr>
            <w:cnfStyle w:val="001000000000" w:firstRow="0" w:lastRow="0" w:firstColumn="1" w:lastColumn="0" w:oddVBand="0" w:evenVBand="0" w:oddHBand="0" w:evenHBand="0" w:firstRowFirstColumn="0" w:firstRowLastColumn="0" w:lastRowFirstColumn="0" w:lastRowLastColumn="0"/>
            <w:tcW w:w="3682" w:type="dxa"/>
            <w:shd w:val="clear" w:color="auto" w:fill="auto"/>
          </w:tcPr>
          <w:p w14:paraId="1C94F3C4" w14:textId="2C5CE3DA" w:rsidR="00861060" w:rsidRPr="00E940C3" w:rsidRDefault="00861060" w:rsidP="00B8091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Kobayashi</w:t>
            </w:r>
            <w:r w:rsidR="00672EA0" w:rsidRPr="00E940C3">
              <w:rPr>
                <w:rFonts w:ascii="Book Antiqua" w:hAnsi="Book Antiqua" w:cstheme="minorHAnsi"/>
                <w:b w:val="0"/>
                <w:i/>
                <w:color w:val="0D0D0D" w:themeColor="text1" w:themeTint="F2"/>
                <w:lang w:val="en-US"/>
              </w:rPr>
              <w:t xml:space="preserve"> et al</w:t>
            </w:r>
            <w:r w:rsidR="00672EA0" w:rsidRPr="00E940C3">
              <w:rPr>
                <w:rFonts w:ascii="Book Antiqua" w:hAnsi="Book Antiqua" w:cstheme="minorHAnsi"/>
                <w:b w:val="0"/>
                <w:color w:val="0D0D0D" w:themeColor="text1" w:themeTint="F2"/>
                <w:vertAlign w:val="superscript"/>
                <w:lang w:val="en-US"/>
              </w:rPr>
              <w:t>[48]</w:t>
            </w:r>
            <w:r w:rsidRPr="00E940C3">
              <w:rPr>
                <w:rFonts w:ascii="Book Antiqua" w:hAnsi="Book Antiqua" w:cstheme="minorHAnsi"/>
                <w:b w:val="0"/>
                <w:bCs w:val="0"/>
                <w:color w:val="0D0D0D" w:themeColor="text1" w:themeTint="F2"/>
                <w:lang w:val="en-US"/>
              </w:rPr>
              <w:t>, 2017</w:t>
            </w:r>
          </w:p>
        </w:tc>
        <w:tc>
          <w:tcPr>
            <w:tcW w:w="576" w:type="dxa"/>
            <w:shd w:val="clear" w:color="auto" w:fill="auto"/>
          </w:tcPr>
          <w:p w14:paraId="19585F4D"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18</w:t>
            </w:r>
          </w:p>
        </w:tc>
        <w:tc>
          <w:tcPr>
            <w:tcW w:w="778" w:type="dxa"/>
            <w:shd w:val="clear" w:color="auto" w:fill="auto"/>
          </w:tcPr>
          <w:p w14:paraId="6E4CD02E"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100%</w:t>
            </w:r>
          </w:p>
        </w:tc>
        <w:tc>
          <w:tcPr>
            <w:tcW w:w="1133" w:type="dxa"/>
            <w:shd w:val="clear" w:color="auto" w:fill="auto"/>
          </w:tcPr>
          <w:p w14:paraId="13DB724B"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w:t>
            </w:r>
          </w:p>
        </w:tc>
        <w:tc>
          <w:tcPr>
            <w:tcW w:w="1419" w:type="dxa"/>
            <w:shd w:val="clear" w:color="auto" w:fill="auto"/>
          </w:tcPr>
          <w:p w14:paraId="64BC6B34"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w:t>
            </w:r>
          </w:p>
        </w:tc>
        <w:tc>
          <w:tcPr>
            <w:tcW w:w="1405" w:type="dxa"/>
            <w:shd w:val="clear" w:color="auto" w:fill="auto"/>
          </w:tcPr>
          <w:p w14:paraId="2B69A06E"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2.8</w:t>
            </w:r>
          </w:p>
        </w:tc>
        <w:tc>
          <w:tcPr>
            <w:tcW w:w="1405" w:type="dxa"/>
            <w:shd w:val="clear" w:color="auto" w:fill="auto"/>
          </w:tcPr>
          <w:p w14:paraId="0E3C5D14"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9.8</w:t>
            </w:r>
          </w:p>
        </w:tc>
        <w:tc>
          <w:tcPr>
            <w:tcW w:w="2502" w:type="dxa"/>
            <w:shd w:val="clear" w:color="auto" w:fill="auto"/>
          </w:tcPr>
          <w:p w14:paraId="3CCB75D3"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Phase I/II. 83% grade 3-4 toxicity</w:t>
            </w:r>
          </w:p>
        </w:tc>
      </w:tr>
      <w:tr w:rsidR="006F1C64" w:rsidRPr="00E940C3" w14:paraId="411317BF" w14:textId="77777777" w:rsidTr="00B809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2" w:type="dxa"/>
            <w:shd w:val="clear" w:color="auto" w:fill="auto"/>
          </w:tcPr>
          <w:p w14:paraId="4CFB4DB1" w14:textId="36EE5AC5" w:rsidR="00861060" w:rsidRPr="00E940C3" w:rsidRDefault="00861060" w:rsidP="00B8091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Kim</w:t>
            </w:r>
            <w:r w:rsidR="00672EA0" w:rsidRPr="00E940C3">
              <w:rPr>
                <w:rFonts w:ascii="Book Antiqua" w:hAnsi="Book Antiqua" w:cstheme="minorHAnsi"/>
                <w:b w:val="0"/>
                <w:i/>
                <w:color w:val="0D0D0D" w:themeColor="text1" w:themeTint="F2"/>
                <w:lang w:val="en-US"/>
              </w:rPr>
              <w:t xml:space="preserve"> et al</w:t>
            </w:r>
            <w:r w:rsidR="00672EA0" w:rsidRPr="00E940C3">
              <w:rPr>
                <w:rFonts w:ascii="Book Antiqua" w:hAnsi="Book Antiqua" w:cstheme="minorHAnsi"/>
                <w:b w:val="0"/>
                <w:color w:val="0D0D0D" w:themeColor="text1" w:themeTint="F2"/>
                <w:vertAlign w:val="superscript"/>
                <w:lang w:val="en-US"/>
              </w:rPr>
              <w:t>[51]</w:t>
            </w:r>
            <w:r w:rsidRPr="00E940C3">
              <w:rPr>
                <w:rFonts w:ascii="Book Antiqua" w:hAnsi="Book Antiqua" w:cstheme="minorHAnsi"/>
                <w:b w:val="0"/>
                <w:bCs w:val="0"/>
                <w:color w:val="0D0D0D" w:themeColor="text1" w:themeTint="F2"/>
                <w:lang w:val="en-US"/>
              </w:rPr>
              <w:t>, 2018</w:t>
            </w:r>
          </w:p>
        </w:tc>
        <w:tc>
          <w:tcPr>
            <w:tcW w:w="576" w:type="dxa"/>
            <w:shd w:val="clear" w:color="auto" w:fill="auto"/>
          </w:tcPr>
          <w:p w14:paraId="5FE0564A"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39</w:t>
            </w:r>
          </w:p>
        </w:tc>
        <w:tc>
          <w:tcPr>
            <w:tcW w:w="778" w:type="dxa"/>
            <w:shd w:val="clear" w:color="auto" w:fill="auto"/>
          </w:tcPr>
          <w:p w14:paraId="3C5B50AA"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82%</w:t>
            </w:r>
          </w:p>
        </w:tc>
        <w:tc>
          <w:tcPr>
            <w:tcW w:w="1133" w:type="dxa"/>
            <w:shd w:val="clear" w:color="auto" w:fill="auto"/>
          </w:tcPr>
          <w:p w14:paraId="1632664C"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w:t>
            </w:r>
          </w:p>
        </w:tc>
        <w:tc>
          <w:tcPr>
            <w:tcW w:w="1419" w:type="dxa"/>
            <w:shd w:val="clear" w:color="auto" w:fill="auto"/>
          </w:tcPr>
          <w:p w14:paraId="268B319A"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Attenuated</w:t>
            </w:r>
          </w:p>
          <w:p w14:paraId="44FA9911"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FFX</w:t>
            </w:r>
          </w:p>
        </w:tc>
        <w:tc>
          <w:tcPr>
            <w:tcW w:w="1405" w:type="dxa"/>
            <w:shd w:val="clear" w:color="auto" w:fill="auto"/>
          </w:tcPr>
          <w:p w14:paraId="5CCEFCE3"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3.8</w:t>
            </w:r>
          </w:p>
        </w:tc>
        <w:tc>
          <w:tcPr>
            <w:tcW w:w="1405" w:type="dxa"/>
            <w:shd w:val="clear" w:color="auto" w:fill="auto"/>
          </w:tcPr>
          <w:p w14:paraId="0BC876E5"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8.5</w:t>
            </w:r>
          </w:p>
        </w:tc>
        <w:tc>
          <w:tcPr>
            <w:tcW w:w="2502" w:type="dxa"/>
            <w:shd w:val="clear" w:color="auto" w:fill="auto"/>
          </w:tcPr>
          <w:p w14:paraId="2485EE48" w14:textId="77777777" w:rsidR="00861060" w:rsidRPr="00E940C3" w:rsidRDefault="00861060" w:rsidP="00B8091B">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Oxaliplatin: 65 mg/m</w:t>
            </w:r>
            <w:r w:rsidRPr="00066A24">
              <w:rPr>
                <w:rFonts w:ascii="Book Antiqua" w:hAnsi="Book Antiqua" w:cstheme="minorHAnsi"/>
                <w:color w:val="0D0D0D" w:themeColor="text1" w:themeTint="F2"/>
                <w:vertAlign w:val="superscript"/>
                <w:lang w:val="en-US"/>
              </w:rPr>
              <w:t>2</w:t>
            </w:r>
            <w:r w:rsidRPr="00E940C3">
              <w:rPr>
                <w:rFonts w:ascii="Book Antiqua" w:hAnsi="Book Antiqua" w:cstheme="minorHAnsi"/>
                <w:color w:val="0D0D0D" w:themeColor="text1" w:themeTint="F2"/>
                <w:lang w:val="en-US"/>
              </w:rPr>
              <w:t>. 41% grade 3-4 neutropenia</w:t>
            </w:r>
          </w:p>
        </w:tc>
      </w:tr>
      <w:tr w:rsidR="00861060" w:rsidRPr="00E940C3" w14:paraId="7E3881D4" w14:textId="77777777" w:rsidTr="00B8091B">
        <w:trPr>
          <w:jc w:val="center"/>
        </w:trPr>
        <w:tc>
          <w:tcPr>
            <w:cnfStyle w:val="001000000000" w:firstRow="0" w:lastRow="0" w:firstColumn="1" w:lastColumn="0" w:oddVBand="0" w:evenVBand="0" w:oddHBand="0" w:evenHBand="0" w:firstRowFirstColumn="0" w:firstRowLastColumn="0" w:lastRowFirstColumn="0" w:lastRowLastColumn="0"/>
            <w:tcW w:w="3682" w:type="dxa"/>
            <w:tcBorders>
              <w:bottom w:val="single" w:sz="4" w:space="0" w:color="auto"/>
            </w:tcBorders>
            <w:shd w:val="clear" w:color="auto" w:fill="auto"/>
          </w:tcPr>
          <w:p w14:paraId="1482E131" w14:textId="2FEEBAA1" w:rsidR="00861060" w:rsidRPr="00E940C3" w:rsidRDefault="00861060" w:rsidP="00B8091B">
            <w:pPr>
              <w:snapToGrid w:val="0"/>
              <w:spacing w:line="360" w:lineRule="auto"/>
              <w:rPr>
                <w:rFonts w:ascii="Book Antiqua" w:hAnsi="Book Antiqua" w:cstheme="minorHAnsi"/>
                <w:b w:val="0"/>
                <w:bCs w:val="0"/>
                <w:color w:val="0D0D0D" w:themeColor="text1" w:themeTint="F2"/>
                <w:lang w:val="en-US"/>
              </w:rPr>
            </w:pPr>
            <w:r w:rsidRPr="00E940C3">
              <w:rPr>
                <w:rFonts w:ascii="Book Antiqua" w:hAnsi="Book Antiqua" w:cstheme="minorHAnsi"/>
                <w:b w:val="0"/>
                <w:bCs w:val="0"/>
                <w:color w:val="0D0D0D" w:themeColor="text1" w:themeTint="F2"/>
                <w:lang w:val="en-US"/>
              </w:rPr>
              <w:t>Chung</w:t>
            </w:r>
            <w:r w:rsidR="00672EA0" w:rsidRPr="00E940C3">
              <w:rPr>
                <w:rFonts w:ascii="Book Antiqua" w:hAnsi="Book Antiqua" w:cstheme="minorHAnsi"/>
                <w:b w:val="0"/>
                <w:i/>
                <w:color w:val="0D0D0D" w:themeColor="text1" w:themeTint="F2"/>
                <w:lang w:val="en-US"/>
              </w:rPr>
              <w:t xml:space="preserve"> et al</w:t>
            </w:r>
            <w:r w:rsidR="00672EA0" w:rsidRPr="00E940C3">
              <w:rPr>
                <w:rFonts w:ascii="Book Antiqua" w:hAnsi="Book Antiqua" w:cstheme="minorHAnsi"/>
                <w:b w:val="0"/>
                <w:color w:val="0D0D0D" w:themeColor="text1" w:themeTint="F2"/>
                <w:vertAlign w:val="superscript"/>
                <w:lang w:val="en-US"/>
              </w:rPr>
              <w:t>[49]</w:t>
            </w:r>
            <w:r w:rsidRPr="00E940C3">
              <w:rPr>
                <w:rFonts w:ascii="Book Antiqua" w:hAnsi="Book Antiqua" w:cstheme="minorHAnsi"/>
                <w:b w:val="0"/>
                <w:bCs w:val="0"/>
                <w:color w:val="0D0D0D" w:themeColor="text1" w:themeTint="F2"/>
                <w:lang w:val="en-US"/>
              </w:rPr>
              <w:t>, 2018</w:t>
            </w:r>
          </w:p>
        </w:tc>
        <w:tc>
          <w:tcPr>
            <w:tcW w:w="576" w:type="dxa"/>
            <w:tcBorders>
              <w:bottom w:val="single" w:sz="4" w:space="0" w:color="auto"/>
            </w:tcBorders>
            <w:shd w:val="clear" w:color="auto" w:fill="auto"/>
          </w:tcPr>
          <w:p w14:paraId="7C05D05E"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48</w:t>
            </w:r>
          </w:p>
        </w:tc>
        <w:tc>
          <w:tcPr>
            <w:tcW w:w="778" w:type="dxa"/>
            <w:tcBorders>
              <w:bottom w:val="single" w:sz="4" w:space="0" w:color="auto"/>
            </w:tcBorders>
            <w:shd w:val="clear" w:color="auto" w:fill="auto"/>
          </w:tcPr>
          <w:p w14:paraId="06178F80"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79%</w:t>
            </w:r>
          </w:p>
        </w:tc>
        <w:tc>
          <w:tcPr>
            <w:tcW w:w="1133" w:type="dxa"/>
            <w:tcBorders>
              <w:bottom w:val="single" w:sz="4" w:space="0" w:color="auto"/>
            </w:tcBorders>
            <w:shd w:val="clear" w:color="auto" w:fill="auto"/>
          </w:tcPr>
          <w:p w14:paraId="50E8E3F6"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Gem</w:t>
            </w:r>
          </w:p>
        </w:tc>
        <w:tc>
          <w:tcPr>
            <w:tcW w:w="1419" w:type="dxa"/>
            <w:tcBorders>
              <w:bottom w:val="single" w:sz="4" w:space="0" w:color="auto"/>
            </w:tcBorders>
            <w:shd w:val="clear" w:color="auto" w:fill="auto"/>
          </w:tcPr>
          <w:p w14:paraId="117E32A1" w14:textId="4FFE616A"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 xml:space="preserve">Reduced </w:t>
            </w:r>
            <w:r w:rsidR="00FD4E0F" w:rsidRPr="00E940C3">
              <w:rPr>
                <w:rFonts w:ascii="Book Antiqua" w:hAnsi="Book Antiqua" w:cstheme="minorHAnsi"/>
                <w:color w:val="0D0D0D" w:themeColor="text1" w:themeTint="F2"/>
                <w:lang w:val="en-US"/>
              </w:rPr>
              <w:t>i</w:t>
            </w:r>
            <w:r w:rsidRPr="00E940C3">
              <w:rPr>
                <w:rFonts w:ascii="Book Antiqua" w:hAnsi="Book Antiqua" w:cstheme="minorHAnsi"/>
                <w:color w:val="0D0D0D" w:themeColor="text1" w:themeTint="F2"/>
                <w:lang w:val="en-US"/>
              </w:rPr>
              <w:t xml:space="preserve">rinotecan and </w:t>
            </w:r>
            <w:r w:rsidR="00FD4E0F" w:rsidRPr="00E940C3">
              <w:rPr>
                <w:rFonts w:ascii="Book Antiqua" w:hAnsi="Book Antiqua" w:cstheme="minorHAnsi"/>
                <w:color w:val="0D0D0D" w:themeColor="text1" w:themeTint="F2"/>
                <w:lang w:val="en-US"/>
              </w:rPr>
              <w:t>o</w:t>
            </w:r>
            <w:r w:rsidRPr="00E940C3">
              <w:rPr>
                <w:rFonts w:ascii="Book Antiqua" w:hAnsi="Book Antiqua" w:cstheme="minorHAnsi"/>
                <w:color w:val="0D0D0D" w:themeColor="text1" w:themeTint="F2"/>
                <w:lang w:val="en-US"/>
              </w:rPr>
              <w:t>xaliplatin</w:t>
            </w:r>
          </w:p>
          <w:p w14:paraId="3169114C"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lastRenderedPageBreak/>
              <w:t>FFX</w:t>
            </w:r>
          </w:p>
        </w:tc>
        <w:tc>
          <w:tcPr>
            <w:tcW w:w="1405" w:type="dxa"/>
            <w:tcBorders>
              <w:bottom w:val="single" w:sz="4" w:space="0" w:color="auto"/>
            </w:tcBorders>
            <w:shd w:val="clear" w:color="auto" w:fill="auto"/>
          </w:tcPr>
          <w:p w14:paraId="26C95D0A"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lastRenderedPageBreak/>
              <w:t>5.8</w:t>
            </w:r>
          </w:p>
        </w:tc>
        <w:tc>
          <w:tcPr>
            <w:tcW w:w="1405" w:type="dxa"/>
            <w:tcBorders>
              <w:bottom w:val="single" w:sz="4" w:space="0" w:color="auto"/>
            </w:tcBorders>
            <w:shd w:val="clear" w:color="auto" w:fill="auto"/>
          </w:tcPr>
          <w:p w14:paraId="1603069A"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9.0</w:t>
            </w:r>
          </w:p>
        </w:tc>
        <w:tc>
          <w:tcPr>
            <w:tcW w:w="2502" w:type="dxa"/>
            <w:tcBorders>
              <w:bottom w:val="single" w:sz="4" w:space="0" w:color="auto"/>
            </w:tcBorders>
            <w:shd w:val="clear" w:color="auto" w:fill="auto"/>
          </w:tcPr>
          <w:p w14:paraId="0D20FDBE"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Phase II</w:t>
            </w:r>
          </w:p>
          <w:p w14:paraId="45B3138D"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Irinotecan: 120 mg/m</w:t>
            </w:r>
            <w:r w:rsidRPr="00E940C3">
              <w:rPr>
                <w:rFonts w:ascii="Book Antiqua" w:hAnsi="Book Antiqua" w:cstheme="minorHAnsi"/>
                <w:color w:val="0D0D0D" w:themeColor="text1" w:themeTint="F2"/>
                <w:vertAlign w:val="superscript"/>
                <w:lang w:val="en-US"/>
              </w:rPr>
              <w:t>2</w:t>
            </w:r>
          </w:p>
          <w:p w14:paraId="0201E48A"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lastRenderedPageBreak/>
              <w:t>Oxaliplatin: 60 mg/m</w:t>
            </w:r>
            <w:r w:rsidRPr="00E940C3">
              <w:rPr>
                <w:rFonts w:ascii="Book Antiqua" w:hAnsi="Book Antiqua" w:cstheme="minorHAnsi"/>
                <w:color w:val="0D0D0D" w:themeColor="text1" w:themeTint="F2"/>
                <w:vertAlign w:val="superscript"/>
                <w:lang w:val="en-US"/>
              </w:rPr>
              <w:t>2</w:t>
            </w:r>
          </w:p>
          <w:p w14:paraId="1DA92D38" w14:textId="77777777" w:rsidR="00861060" w:rsidRPr="00E940C3" w:rsidRDefault="00861060" w:rsidP="00B8091B">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D0D0D" w:themeColor="text1" w:themeTint="F2"/>
                <w:lang w:val="en-US"/>
              </w:rPr>
            </w:pPr>
            <w:r w:rsidRPr="00E940C3">
              <w:rPr>
                <w:rFonts w:ascii="Book Antiqua" w:hAnsi="Book Antiqua" w:cstheme="minorHAnsi"/>
                <w:color w:val="0D0D0D" w:themeColor="text1" w:themeTint="F2"/>
                <w:lang w:val="en-US"/>
              </w:rPr>
              <w:t>65% grade 3-4 neutropenia</w:t>
            </w:r>
          </w:p>
        </w:tc>
      </w:tr>
    </w:tbl>
    <w:p w14:paraId="15027E0B" w14:textId="31FAD1D4" w:rsidR="00C42B56" w:rsidRPr="00E940C3" w:rsidRDefault="00861060" w:rsidP="00265AC6">
      <w:pPr>
        <w:snapToGrid w:val="0"/>
        <w:spacing w:line="360" w:lineRule="auto"/>
        <w:jc w:val="both"/>
        <w:rPr>
          <w:rFonts w:ascii="Book Antiqua" w:hAnsi="Book Antiqua" w:cstheme="minorHAnsi"/>
          <w:color w:val="0D0D0D" w:themeColor="text1" w:themeTint="F2"/>
        </w:rPr>
      </w:pPr>
      <w:r w:rsidRPr="00E940C3">
        <w:rPr>
          <w:rFonts w:ascii="Book Antiqua" w:hAnsi="Book Antiqua" w:cstheme="minorHAnsi"/>
          <w:color w:val="0D0D0D" w:themeColor="text1" w:themeTint="F2"/>
        </w:rPr>
        <w:lastRenderedPageBreak/>
        <w:t>5-FU: Fluorouracil infusion;</w:t>
      </w:r>
      <w:r w:rsidR="004C18BC" w:rsidRPr="00E940C3">
        <w:rPr>
          <w:rFonts w:ascii="Book Antiqua" w:hAnsi="Book Antiqua" w:cstheme="minorHAnsi"/>
          <w:color w:val="0D0D0D" w:themeColor="text1" w:themeTint="F2"/>
        </w:rPr>
        <w:t xml:space="preserve"> </w:t>
      </w:r>
      <w:r w:rsidRPr="00E940C3">
        <w:rPr>
          <w:rFonts w:ascii="Book Antiqua" w:hAnsi="Book Antiqua" w:cstheme="minorHAnsi"/>
          <w:color w:val="0D0D0D" w:themeColor="text1" w:themeTint="F2"/>
        </w:rPr>
        <w:t>FFX: Folfirinox; Gem: Gemcitabine</w:t>
      </w:r>
      <w:r w:rsidR="008E300D" w:rsidRPr="00E940C3">
        <w:rPr>
          <w:rFonts w:ascii="Book Antiqua" w:hAnsi="Book Antiqua" w:cstheme="minorHAnsi"/>
          <w:color w:val="0D0D0D" w:themeColor="text1" w:themeTint="F2"/>
        </w:rPr>
        <w:t>;</w:t>
      </w:r>
      <w:r w:rsidRPr="00E940C3">
        <w:rPr>
          <w:rFonts w:ascii="Book Antiqua" w:hAnsi="Book Antiqua" w:cstheme="minorHAnsi"/>
          <w:color w:val="0D0D0D" w:themeColor="text1" w:themeTint="F2"/>
        </w:rPr>
        <w:t xml:space="preserve"> GnP: Gemcitabine/Nab-paclitaxel; M1: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etastatic disease; mFFX: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odified Folfirinox; mOS: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 xml:space="preserve">edian overall survival; mPFS: </w:t>
      </w:r>
      <w:r w:rsidRPr="00E940C3">
        <w:rPr>
          <w:rFonts w:ascii="Book Antiqua" w:hAnsi="Book Antiqua" w:cstheme="minorHAnsi"/>
          <w:caps/>
          <w:color w:val="0D0D0D" w:themeColor="text1" w:themeTint="F2"/>
        </w:rPr>
        <w:t>m</w:t>
      </w:r>
      <w:r w:rsidRPr="00E940C3">
        <w:rPr>
          <w:rFonts w:ascii="Book Antiqua" w:hAnsi="Book Antiqua" w:cstheme="minorHAnsi"/>
          <w:color w:val="0D0D0D" w:themeColor="text1" w:themeTint="F2"/>
        </w:rPr>
        <w:t>edian progression</w:t>
      </w:r>
      <w:r w:rsidR="00FD4E0F" w:rsidRPr="00E940C3">
        <w:rPr>
          <w:rFonts w:ascii="Book Antiqua" w:hAnsi="Book Antiqua" w:cstheme="minorHAnsi"/>
          <w:color w:val="0D0D0D" w:themeColor="text1" w:themeTint="F2"/>
        </w:rPr>
        <w:t>-</w:t>
      </w:r>
      <w:r w:rsidRPr="00E940C3">
        <w:rPr>
          <w:rFonts w:ascii="Book Antiqua" w:hAnsi="Book Antiqua" w:cstheme="minorHAnsi"/>
          <w:color w:val="0D0D0D" w:themeColor="text1" w:themeTint="F2"/>
        </w:rPr>
        <w:t>free survival</w:t>
      </w:r>
      <w:r w:rsidR="004E2AE0" w:rsidRPr="00E940C3">
        <w:rPr>
          <w:rFonts w:ascii="Book Antiqua" w:hAnsi="Book Antiqua" w:cstheme="minorHAnsi"/>
          <w:color w:val="0D0D0D" w:themeColor="text1" w:themeTint="F2"/>
        </w:rPr>
        <w:t>.</w:t>
      </w:r>
    </w:p>
    <w:sectPr w:rsidR="00C42B56" w:rsidRPr="00E940C3" w:rsidSect="00265AC6">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F800" w14:textId="77777777" w:rsidR="004C4046" w:rsidRDefault="004C4046" w:rsidP="00DC44E3">
      <w:r>
        <w:separator/>
      </w:r>
    </w:p>
  </w:endnote>
  <w:endnote w:type="continuationSeparator" w:id="0">
    <w:p w14:paraId="5E1C8F7A" w14:textId="77777777" w:rsidR="004C4046" w:rsidRDefault="004C4046" w:rsidP="00DC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701395423"/>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349ACC05" w14:textId="6EBC5175" w:rsidR="00411E4E" w:rsidRPr="008809D9" w:rsidRDefault="00411E4E" w:rsidP="00DC44E3">
            <w:pPr>
              <w:pStyle w:val="Footer"/>
              <w:jc w:val="right"/>
              <w:rPr>
                <w:rFonts w:ascii="Book Antiqua" w:hAnsi="Book Antiqua"/>
                <w:sz w:val="24"/>
                <w:szCs w:val="24"/>
              </w:rPr>
            </w:pPr>
            <w:r w:rsidRPr="008809D9">
              <w:rPr>
                <w:rFonts w:ascii="Book Antiqua" w:hAnsi="Book Antiqua"/>
                <w:sz w:val="24"/>
                <w:szCs w:val="24"/>
                <w:lang w:val="zh-CN" w:eastAsia="zh-CN"/>
              </w:rPr>
              <w:t xml:space="preserve"> </w:t>
            </w:r>
            <w:r w:rsidRPr="008809D9">
              <w:rPr>
                <w:rFonts w:ascii="Book Antiqua" w:hAnsi="Book Antiqua"/>
                <w:sz w:val="24"/>
                <w:szCs w:val="24"/>
              </w:rPr>
              <w:fldChar w:fldCharType="begin"/>
            </w:r>
            <w:r w:rsidRPr="008809D9">
              <w:rPr>
                <w:rFonts w:ascii="Book Antiqua" w:hAnsi="Book Antiqua"/>
                <w:sz w:val="24"/>
                <w:szCs w:val="24"/>
              </w:rPr>
              <w:instrText>PAGE</w:instrText>
            </w:r>
            <w:r w:rsidRPr="008809D9">
              <w:rPr>
                <w:rFonts w:ascii="Book Antiqua" w:hAnsi="Book Antiqua"/>
                <w:sz w:val="24"/>
                <w:szCs w:val="24"/>
              </w:rPr>
              <w:fldChar w:fldCharType="separate"/>
            </w:r>
            <w:r w:rsidR="00355F72" w:rsidRPr="008809D9">
              <w:rPr>
                <w:rFonts w:ascii="Book Antiqua" w:hAnsi="Book Antiqua"/>
                <w:noProof/>
                <w:sz w:val="24"/>
                <w:szCs w:val="24"/>
              </w:rPr>
              <w:t>21</w:t>
            </w:r>
            <w:r w:rsidRPr="008809D9">
              <w:rPr>
                <w:rFonts w:ascii="Book Antiqua" w:hAnsi="Book Antiqua"/>
                <w:sz w:val="24"/>
                <w:szCs w:val="24"/>
              </w:rPr>
              <w:fldChar w:fldCharType="end"/>
            </w:r>
            <w:r w:rsidRPr="008809D9">
              <w:rPr>
                <w:rFonts w:ascii="Book Antiqua" w:hAnsi="Book Antiqua"/>
                <w:sz w:val="24"/>
                <w:szCs w:val="24"/>
                <w:lang w:val="zh-CN" w:eastAsia="zh-CN"/>
              </w:rPr>
              <w:t xml:space="preserve"> / </w:t>
            </w:r>
            <w:r w:rsidRPr="008809D9">
              <w:rPr>
                <w:rFonts w:ascii="Book Antiqua" w:hAnsi="Book Antiqua"/>
                <w:sz w:val="24"/>
                <w:szCs w:val="24"/>
              </w:rPr>
              <w:fldChar w:fldCharType="begin"/>
            </w:r>
            <w:r w:rsidRPr="008809D9">
              <w:rPr>
                <w:rFonts w:ascii="Book Antiqua" w:hAnsi="Book Antiqua"/>
                <w:sz w:val="24"/>
                <w:szCs w:val="24"/>
              </w:rPr>
              <w:instrText>NUMPAGES</w:instrText>
            </w:r>
            <w:r w:rsidRPr="008809D9">
              <w:rPr>
                <w:rFonts w:ascii="Book Antiqua" w:hAnsi="Book Antiqua"/>
                <w:sz w:val="24"/>
                <w:szCs w:val="24"/>
              </w:rPr>
              <w:fldChar w:fldCharType="separate"/>
            </w:r>
            <w:r w:rsidR="00355F72" w:rsidRPr="008809D9">
              <w:rPr>
                <w:rFonts w:ascii="Book Antiqua" w:hAnsi="Book Antiqua"/>
                <w:noProof/>
                <w:sz w:val="24"/>
                <w:szCs w:val="24"/>
              </w:rPr>
              <w:t>34</w:t>
            </w:r>
            <w:r w:rsidRPr="008809D9">
              <w:rPr>
                <w:rFonts w:ascii="Book Antiqua" w:hAnsi="Book Antiqua"/>
                <w:sz w:val="24"/>
                <w:szCs w:val="24"/>
              </w:rPr>
              <w:fldChar w:fldCharType="end"/>
            </w:r>
          </w:p>
        </w:sdtContent>
      </w:sdt>
    </w:sdtContent>
  </w:sdt>
  <w:p w14:paraId="319199EF" w14:textId="77777777" w:rsidR="00411E4E" w:rsidRDefault="00411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C9D9" w14:textId="77777777" w:rsidR="004C4046" w:rsidRDefault="004C4046" w:rsidP="00DC44E3">
      <w:r>
        <w:separator/>
      </w:r>
    </w:p>
  </w:footnote>
  <w:footnote w:type="continuationSeparator" w:id="0">
    <w:p w14:paraId="68093D7F" w14:textId="77777777" w:rsidR="004C4046" w:rsidRDefault="004C4046" w:rsidP="00DC4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2C4"/>
    <w:rsid w:val="00007FA0"/>
    <w:rsid w:val="00017DA9"/>
    <w:rsid w:val="0002107B"/>
    <w:rsid w:val="000211B6"/>
    <w:rsid w:val="000224BE"/>
    <w:rsid w:val="000401F1"/>
    <w:rsid w:val="00047A90"/>
    <w:rsid w:val="000570ED"/>
    <w:rsid w:val="00066A24"/>
    <w:rsid w:val="000741BA"/>
    <w:rsid w:val="00081BFA"/>
    <w:rsid w:val="000857F2"/>
    <w:rsid w:val="0009188C"/>
    <w:rsid w:val="000A475E"/>
    <w:rsid w:val="000B6738"/>
    <w:rsid w:val="000C5ACF"/>
    <w:rsid w:val="000E1645"/>
    <w:rsid w:val="00100A82"/>
    <w:rsid w:val="00112DD6"/>
    <w:rsid w:val="00117B7B"/>
    <w:rsid w:val="00122BBC"/>
    <w:rsid w:val="0013304D"/>
    <w:rsid w:val="00133EAF"/>
    <w:rsid w:val="001364F2"/>
    <w:rsid w:val="0015296B"/>
    <w:rsid w:val="001535C8"/>
    <w:rsid w:val="001540E9"/>
    <w:rsid w:val="001611C5"/>
    <w:rsid w:val="00163211"/>
    <w:rsid w:val="001953DB"/>
    <w:rsid w:val="00196E76"/>
    <w:rsid w:val="001A37F5"/>
    <w:rsid w:val="001A5282"/>
    <w:rsid w:val="001B1EE0"/>
    <w:rsid w:val="001B23E5"/>
    <w:rsid w:val="001B4F62"/>
    <w:rsid w:val="001D1DC6"/>
    <w:rsid w:val="001D5CF8"/>
    <w:rsid w:val="001E13FA"/>
    <w:rsid w:val="001E292D"/>
    <w:rsid w:val="001E46EA"/>
    <w:rsid w:val="00200884"/>
    <w:rsid w:val="00203AD3"/>
    <w:rsid w:val="0020588E"/>
    <w:rsid w:val="00206F1A"/>
    <w:rsid w:val="00211D67"/>
    <w:rsid w:val="0021245E"/>
    <w:rsid w:val="0021533E"/>
    <w:rsid w:val="00220522"/>
    <w:rsid w:val="0022296B"/>
    <w:rsid w:val="002324D4"/>
    <w:rsid w:val="002514EF"/>
    <w:rsid w:val="00262930"/>
    <w:rsid w:val="00265AC6"/>
    <w:rsid w:val="00270267"/>
    <w:rsid w:val="00274399"/>
    <w:rsid w:val="00290500"/>
    <w:rsid w:val="0029204B"/>
    <w:rsid w:val="002943C1"/>
    <w:rsid w:val="002A383B"/>
    <w:rsid w:val="002A4377"/>
    <w:rsid w:val="002C08F4"/>
    <w:rsid w:val="002C571A"/>
    <w:rsid w:val="002E1245"/>
    <w:rsid w:val="002E27F1"/>
    <w:rsid w:val="002E6728"/>
    <w:rsid w:val="002F5749"/>
    <w:rsid w:val="0030221C"/>
    <w:rsid w:val="00315612"/>
    <w:rsid w:val="0031767F"/>
    <w:rsid w:val="0032277E"/>
    <w:rsid w:val="003347D9"/>
    <w:rsid w:val="00340809"/>
    <w:rsid w:val="00352D1F"/>
    <w:rsid w:val="00355F72"/>
    <w:rsid w:val="00356012"/>
    <w:rsid w:val="003672E7"/>
    <w:rsid w:val="0037455A"/>
    <w:rsid w:val="0037554D"/>
    <w:rsid w:val="00376DD0"/>
    <w:rsid w:val="00382EF4"/>
    <w:rsid w:val="003830C8"/>
    <w:rsid w:val="00384A83"/>
    <w:rsid w:val="00391AE7"/>
    <w:rsid w:val="003A2E1A"/>
    <w:rsid w:val="003A6AF6"/>
    <w:rsid w:val="003A6AFE"/>
    <w:rsid w:val="003C2A07"/>
    <w:rsid w:val="003C2E48"/>
    <w:rsid w:val="003C64D6"/>
    <w:rsid w:val="003C73D3"/>
    <w:rsid w:val="003D44D8"/>
    <w:rsid w:val="003D4926"/>
    <w:rsid w:val="00401BD4"/>
    <w:rsid w:val="004109F7"/>
    <w:rsid w:val="0041197B"/>
    <w:rsid w:val="00411E4E"/>
    <w:rsid w:val="004151E5"/>
    <w:rsid w:val="004165E8"/>
    <w:rsid w:val="0042032D"/>
    <w:rsid w:val="00421B03"/>
    <w:rsid w:val="00432234"/>
    <w:rsid w:val="0044037E"/>
    <w:rsid w:val="0044673F"/>
    <w:rsid w:val="00452431"/>
    <w:rsid w:val="0046146A"/>
    <w:rsid w:val="0046155E"/>
    <w:rsid w:val="00463B87"/>
    <w:rsid w:val="00467989"/>
    <w:rsid w:val="00475125"/>
    <w:rsid w:val="00481697"/>
    <w:rsid w:val="004A1973"/>
    <w:rsid w:val="004A2190"/>
    <w:rsid w:val="004A7955"/>
    <w:rsid w:val="004B305E"/>
    <w:rsid w:val="004B4B44"/>
    <w:rsid w:val="004C0A43"/>
    <w:rsid w:val="004C18BC"/>
    <w:rsid w:val="004C1CAA"/>
    <w:rsid w:val="004C3F10"/>
    <w:rsid w:val="004C4046"/>
    <w:rsid w:val="004D253C"/>
    <w:rsid w:val="004E2AE0"/>
    <w:rsid w:val="004E7FB1"/>
    <w:rsid w:val="00500FD0"/>
    <w:rsid w:val="00506436"/>
    <w:rsid w:val="00516046"/>
    <w:rsid w:val="005176D3"/>
    <w:rsid w:val="005229B3"/>
    <w:rsid w:val="005351E2"/>
    <w:rsid w:val="00540394"/>
    <w:rsid w:val="00543B6C"/>
    <w:rsid w:val="005504DA"/>
    <w:rsid w:val="005517C9"/>
    <w:rsid w:val="00556989"/>
    <w:rsid w:val="0055749E"/>
    <w:rsid w:val="00561506"/>
    <w:rsid w:val="00567E54"/>
    <w:rsid w:val="0057347E"/>
    <w:rsid w:val="00576BD5"/>
    <w:rsid w:val="00580265"/>
    <w:rsid w:val="00582BE1"/>
    <w:rsid w:val="005918D6"/>
    <w:rsid w:val="00591B3B"/>
    <w:rsid w:val="005A0496"/>
    <w:rsid w:val="005A594A"/>
    <w:rsid w:val="005A6101"/>
    <w:rsid w:val="005C3C96"/>
    <w:rsid w:val="005C6E57"/>
    <w:rsid w:val="005D741F"/>
    <w:rsid w:val="005D7771"/>
    <w:rsid w:val="005F0E96"/>
    <w:rsid w:val="00604569"/>
    <w:rsid w:val="006108DF"/>
    <w:rsid w:val="00626516"/>
    <w:rsid w:val="006316C5"/>
    <w:rsid w:val="00636214"/>
    <w:rsid w:val="00640752"/>
    <w:rsid w:val="0065131E"/>
    <w:rsid w:val="006566B6"/>
    <w:rsid w:val="0067073B"/>
    <w:rsid w:val="0067277F"/>
    <w:rsid w:val="00672EA0"/>
    <w:rsid w:val="0068112D"/>
    <w:rsid w:val="006820FC"/>
    <w:rsid w:val="00684127"/>
    <w:rsid w:val="006B7BEC"/>
    <w:rsid w:val="006C20A3"/>
    <w:rsid w:val="006E60DA"/>
    <w:rsid w:val="006F1C64"/>
    <w:rsid w:val="0070043E"/>
    <w:rsid w:val="00706ECB"/>
    <w:rsid w:val="00713259"/>
    <w:rsid w:val="00716AE3"/>
    <w:rsid w:val="00720889"/>
    <w:rsid w:val="007249BF"/>
    <w:rsid w:val="00724E06"/>
    <w:rsid w:val="0073272C"/>
    <w:rsid w:val="0075090F"/>
    <w:rsid w:val="00750EDF"/>
    <w:rsid w:val="00754939"/>
    <w:rsid w:val="00755A84"/>
    <w:rsid w:val="00756E54"/>
    <w:rsid w:val="0076599C"/>
    <w:rsid w:val="0076609A"/>
    <w:rsid w:val="00767301"/>
    <w:rsid w:val="007805A2"/>
    <w:rsid w:val="00790BE3"/>
    <w:rsid w:val="007A178D"/>
    <w:rsid w:val="007A1F4B"/>
    <w:rsid w:val="007A5D2C"/>
    <w:rsid w:val="007B4BDC"/>
    <w:rsid w:val="007C157C"/>
    <w:rsid w:val="007C6BF5"/>
    <w:rsid w:val="007D0EB0"/>
    <w:rsid w:val="007E45DC"/>
    <w:rsid w:val="007F0038"/>
    <w:rsid w:val="007F12A5"/>
    <w:rsid w:val="007F21D2"/>
    <w:rsid w:val="007F67FF"/>
    <w:rsid w:val="00802EAF"/>
    <w:rsid w:val="00803E82"/>
    <w:rsid w:val="008317E6"/>
    <w:rsid w:val="008475C8"/>
    <w:rsid w:val="00850841"/>
    <w:rsid w:val="008521D3"/>
    <w:rsid w:val="0085282B"/>
    <w:rsid w:val="00861060"/>
    <w:rsid w:val="008623D7"/>
    <w:rsid w:val="008630AE"/>
    <w:rsid w:val="00865D63"/>
    <w:rsid w:val="008801A8"/>
    <w:rsid w:val="008809D9"/>
    <w:rsid w:val="008811DA"/>
    <w:rsid w:val="008864F3"/>
    <w:rsid w:val="008934DB"/>
    <w:rsid w:val="00896A53"/>
    <w:rsid w:val="008B35F7"/>
    <w:rsid w:val="008B6301"/>
    <w:rsid w:val="008C19B4"/>
    <w:rsid w:val="008C3B4D"/>
    <w:rsid w:val="008D6D88"/>
    <w:rsid w:val="008E20B1"/>
    <w:rsid w:val="008E300D"/>
    <w:rsid w:val="008E5F8F"/>
    <w:rsid w:val="008F35AA"/>
    <w:rsid w:val="0090132C"/>
    <w:rsid w:val="00913A57"/>
    <w:rsid w:val="00920D88"/>
    <w:rsid w:val="0092117F"/>
    <w:rsid w:val="00924154"/>
    <w:rsid w:val="009446A9"/>
    <w:rsid w:val="00944A75"/>
    <w:rsid w:val="00960506"/>
    <w:rsid w:val="00970578"/>
    <w:rsid w:val="00971B65"/>
    <w:rsid w:val="00971E58"/>
    <w:rsid w:val="00975653"/>
    <w:rsid w:val="00985A4F"/>
    <w:rsid w:val="00991520"/>
    <w:rsid w:val="009A20D4"/>
    <w:rsid w:val="009A43F4"/>
    <w:rsid w:val="009A79E9"/>
    <w:rsid w:val="009B1489"/>
    <w:rsid w:val="009B29BF"/>
    <w:rsid w:val="009B3328"/>
    <w:rsid w:val="009B7EAD"/>
    <w:rsid w:val="009C3934"/>
    <w:rsid w:val="009C4BCA"/>
    <w:rsid w:val="009C79A8"/>
    <w:rsid w:val="009D3E86"/>
    <w:rsid w:val="009F15E6"/>
    <w:rsid w:val="00A01F21"/>
    <w:rsid w:val="00A0447C"/>
    <w:rsid w:val="00A0694F"/>
    <w:rsid w:val="00A1184E"/>
    <w:rsid w:val="00A22D76"/>
    <w:rsid w:val="00A23AC3"/>
    <w:rsid w:val="00A25CB3"/>
    <w:rsid w:val="00A366D9"/>
    <w:rsid w:val="00A37A0B"/>
    <w:rsid w:val="00A431A3"/>
    <w:rsid w:val="00A4375F"/>
    <w:rsid w:val="00A437A3"/>
    <w:rsid w:val="00A43ACB"/>
    <w:rsid w:val="00A447B0"/>
    <w:rsid w:val="00A51626"/>
    <w:rsid w:val="00A521C9"/>
    <w:rsid w:val="00A5573D"/>
    <w:rsid w:val="00A655FD"/>
    <w:rsid w:val="00A77B3E"/>
    <w:rsid w:val="00A82ECA"/>
    <w:rsid w:val="00AB0422"/>
    <w:rsid w:val="00AB3172"/>
    <w:rsid w:val="00AC13D5"/>
    <w:rsid w:val="00AC2060"/>
    <w:rsid w:val="00AD04AA"/>
    <w:rsid w:val="00AD4F12"/>
    <w:rsid w:val="00AE1C15"/>
    <w:rsid w:val="00AE3A1F"/>
    <w:rsid w:val="00AE3EFB"/>
    <w:rsid w:val="00AF126F"/>
    <w:rsid w:val="00AF5051"/>
    <w:rsid w:val="00B036B1"/>
    <w:rsid w:val="00B06575"/>
    <w:rsid w:val="00B06E64"/>
    <w:rsid w:val="00B1017E"/>
    <w:rsid w:val="00B13A6C"/>
    <w:rsid w:val="00B15217"/>
    <w:rsid w:val="00B23943"/>
    <w:rsid w:val="00B411CC"/>
    <w:rsid w:val="00B540DD"/>
    <w:rsid w:val="00B56765"/>
    <w:rsid w:val="00B56DDE"/>
    <w:rsid w:val="00B62E13"/>
    <w:rsid w:val="00B70BAD"/>
    <w:rsid w:val="00B8091B"/>
    <w:rsid w:val="00B903DD"/>
    <w:rsid w:val="00B91761"/>
    <w:rsid w:val="00B940AC"/>
    <w:rsid w:val="00BA0D9E"/>
    <w:rsid w:val="00BC2BEA"/>
    <w:rsid w:val="00BD42A3"/>
    <w:rsid w:val="00BD6B3B"/>
    <w:rsid w:val="00BE0CBE"/>
    <w:rsid w:val="00BE1CE0"/>
    <w:rsid w:val="00BE401A"/>
    <w:rsid w:val="00BE688F"/>
    <w:rsid w:val="00C11DAF"/>
    <w:rsid w:val="00C12642"/>
    <w:rsid w:val="00C1337A"/>
    <w:rsid w:val="00C13957"/>
    <w:rsid w:val="00C2098E"/>
    <w:rsid w:val="00C23C2B"/>
    <w:rsid w:val="00C314BE"/>
    <w:rsid w:val="00C31BB3"/>
    <w:rsid w:val="00C42B56"/>
    <w:rsid w:val="00C44880"/>
    <w:rsid w:val="00C46904"/>
    <w:rsid w:val="00C517B0"/>
    <w:rsid w:val="00C522D9"/>
    <w:rsid w:val="00C55F7C"/>
    <w:rsid w:val="00C75043"/>
    <w:rsid w:val="00C80B5B"/>
    <w:rsid w:val="00C80B6D"/>
    <w:rsid w:val="00C87D8F"/>
    <w:rsid w:val="00C90C6F"/>
    <w:rsid w:val="00CA2282"/>
    <w:rsid w:val="00CA2A55"/>
    <w:rsid w:val="00CB27DE"/>
    <w:rsid w:val="00CB39AF"/>
    <w:rsid w:val="00CC2D0B"/>
    <w:rsid w:val="00CC50ED"/>
    <w:rsid w:val="00CD62AB"/>
    <w:rsid w:val="00CE325B"/>
    <w:rsid w:val="00CE5B95"/>
    <w:rsid w:val="00D004D7"/>
    <w:rsid w:val="00D03A2A"/>
    <w:rsid w:val="00D053DE"/>
    <w:rsid w:val="00D06C30"/>
    <w:rsid w:val="00D131CA"/>
    <w:rsid w:val="00D13481"/>
    <w:rsid w:val="00D152A9"/>
    <w:rsid w:val="00D15982"/>
    <w:rsid w:val="00D323B2"/>
    <w:rsid w:val="00D34CA5"/>
    <w:rsid w:val="00D4426C"/>
    <w:rsid w:val="00D454F1"/>
    <w:rsid w:val="00D479FA"/>
    <w:rsid w:val="00D56946"/>
    <w:rsid w:val="00D56BDF"/>
    <w:rsid w:val="00D70466"/>
    <w:rsid w:val="00D766F6"/>
    <w:rsid w:val="00D81233"/>
    <w:rsid w:val="00D90952"/>
    <w:rsid w:val="00D91D8E"/>
    <w:rsid w:val="00DA157A"/>
    <w:rsid w:val="00DA7791"/>
    <w:rsid w:val="00DC44E3"/>
    <w:rsid w:val="00DC4FE7"/>
    <w:rsid w:val="00DD1BD5"/>
    <w:rsid w:val="00DD5B0A"/>
    <w:rsid w:val="00DD7824"/>
    <w:rsid w:val="00DE0BDD"/>
    <w:rsid w:val="00DE19A5"/>
    <w:rsid w:val="00DE4DEE"/>
    <w:rsid w:val="00DF38B8"/>
    <w:rsid w:val="00DF7B00"/>
    <w:rsid w:val="00E0316E"/>
    <w:rsid w:val="00E05DBF"/>
    <w:rsid w:val="00E132D0"/>
    <w:rsid w:val="00E171CD"/>
    <w:rsid w:val="00E24913"/>
    <w:rsid w:val="00E30326"/>
    <w:rsid w:val="00E33D60"/>
    <w:rsid w:val="00E40BE8"/>
    <w:rsid w:val="00E421BB"/>
    <w:rsid w:val="00E47A2F"/>
    <w:rsid w:val="00E50639"/>
    <w:rsid w:val="00E50AF3"/>
    <w:rsid w:val="00E5481F"/>
    <w:rsid w:val="00E63E58"/>
    <w:rsid w:val="00E71EC5"/>
    <w:rsid w:val="00E8088C"/>
    <w:rsid w:val="00E85744"/>
    <w:rsid w:val="00E90369"/>
    <w:rsid w:val="00E940C3"/>
    <w:rsid w:val="00EB303C"/>
    <w:rsid w:val="00EB6AAC"/>
    <w:rsid w:val="00EB7424"/>
    <w:rsid w:val="00EC0464"/>
    <w:rsid w:val="00EC6676"/>
    <w:rsid w:val="00ED42F2"/>
    <w:rsid w:val="00ED53D6"/>
    <w:rsid w:val="00ED5B90"/>
    <w:rsid w:val="00EE3B79"/>
    <w:rsid w:val="00EE7EB3"/>
    <w:rsid w:val="00EF06A7"/>
    <w:rsid w:val="00EF5A3E"/>
    <w:rsid w:val="00F0029A"/>
    <w:rsid w:val="00F01B51"/>
    <w:rsid w:val="00F04292"/>
    <w:rsid w:val="00F10E97"/>
    <w:rsid w:val="00F11167"/>
    <w:rsid w:val="00F122FE"/>
    <w:rsid w:val="00F149B0"/>
    <w:rsid w:val="00F24C02"/>
    <w:rsid w:val="00F47ED2"/>
    <w:rsid w:val="00F529C7"/>
    <w:rsid w:val="00F53F73"/>
    <w:rsid w:val="00F561FE"/>
    <w:rsid w:val="00F67454"/>
    <w:rsid w:val="00F81FD9"/>
    <w:rsid w:val="00F86862"/>
    <w:rsid w:val="00F967A1"/>
    <w:rsid w:val="00FA13A7"/>
    <w:rsid w:val="00FB0808"/>
    <w:rsid w:val="00FD4E0F"/>
    <w:rsid w:val="00FE3357"/>
    <w:rsid w:val="00FE4103"/>
    <w:rsid w:val="00FF0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8EE53"/>
  <w15:docId w15:val="{20A1CE5A-109A-40DB-B4F4-571C29BE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861060"/>
    <w:pPr>
      <w:keepNext/>
      <w:keepLines/>
      <w:spacing w:before="40"/>
      <w:outlineLvl w:val="1"/>
    </w:pPr>
    <w:rPr>
      <w:rFonts w:asciiTheme="majorHAnsi" w:eastAsiaTheme="majorEastAsia" w:hAnsiTheme="majorHAnsi" w:cstheme="majorBidi"/>
      <w:color w:val="365F91" w:themeColor="accent1" w:themeShade="BF"/>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44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C44E3"/>
    <w:rPr>
      <w:sz w:val="18"/>
      <w:szCs w:val="18"/>
    </w:rPr>
  </w:style>
  <w:style w:type="paragraph" w:styleId="Footer">
    <w:name w:val="footer"/>
    <w:basedOn w:val="Normal"/>
    <w:link w:val="FooterChar"/>
    <w:uiPriority w:val="99"/>
    <w:unhideWhenUsed/>
    <w:rsid w:val="00DC44E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C44E3"/>
    <w:rPr>
      <w:sz w:val="18"/>
      <w:szCs w:val="18"/>
    </w:rPr>
  </w:style>
  <w:style w:type="character" w:styleId="Hyperlink">
    <w:name w:val="Hyperlink"/>
    <w:basedOn w:val="DefaultParagraphFont"/>
    <w:unhideWhenUsed/>
    <w:rsid w:val="008801A8"/>
    <w:rPr>
      <w:color w:val="0000FF" w:themeColor="hyperlink"/>
      <w:u w:val="single"/>
    </w:rPr>
  </w:style>
  <w:style w:type="character" w:styleId="CommentReference">
    <w:name w:val="annotation reference"/>
    <w:basedOn w:val="DefaultParagraphFont"/>
    <w:semiHidden/>
    <w:unhideWhenUsed/>
    <w:rsid w:val="002324D4"/>
    <w:rPr>
      <w:sz w:val="21"/>
      <w:szCs w:val="21"/>
    </w:rPr>
  </w:style>
  <w:style w:type="paragraph" w:styleId="CommentText">
    <w:name w:val="annotation text"/>
    <w:basedOn w:val="Normal"/>
    <w:link w:val="CommentTextChar"/>
    <w:semiHidden/>
    <w:unhideWhenUsed/>
    <w:rsid w:val="002324D4"/>
  </w:style>
  <w:style w:type="character" w:customStyle="1" w:styleId="CommentTextChar">
    <w:name w:val="Comment Text Char"/>
    <w:basedOn w:val="DefaultParagraphFont"/>
    <w:link w:val="CommentText"/>
    <w:semiHidden/>
    <w:rsid w:val="002324D4"/>
    <w:rPr>
      <w:sz w:val="24"/>
      <w:szCs w:val="24"/>
    </w:rPr>
  </w:style>
  <w:style w:type="paragraph" w:styleId="CommentSubject">
    <w:name w:val="annotation subject"/>
    <w:basedOn w:val="CommentText"/>
    <w:next w:val="CommentText"/>
    <w:link w:val="CommentSubjectChar"/>
    <w:semiHidden/>
    <w:unhideWhenUsed/>
    <w:rsid w:val="002324D4"/>
    <w:rPr>
      <w:b/>
      <w:bCs/>
    </w:rPr>
  </w:style>
  <w:style w:type="character" w:customStyle="1" w:styleId="CommentSubjectChar">
    <w:name w:val="Comment Subject Char"/>
    <w:basedOn w:val="CommentTextChar"/>
    <w:link w:val="CommentSubject"/>
    <w:semiHidden/>
    <w:rsid w:val="002324D4"/>
    <w:rPr>
      <w:b/>
      <w:bCs/>
      <w:sz w:val="24"/>
      <w:szCs w:val="24"/>
    </w:rPr>
  </w:style>
  <w:style w:type="paragraph" w:styleId="BalloonText">
    <w:name w:val="Balloon Text"/>
    <w:basedOn w:val="Normal"/>
    <w:link w:val="BalloonTextChar"/>
    <w:semiHidden/>
    <w:unhideWhenUsed/>
    <w:rsid w:val="002324D4"/>
    <w:rPr>
      <w:sz w:val="18"/>
      <w:szCs w:val="18"/>
    </w:rPr>
  </w:style>
  <w:style w:type="character" w:customStyle="1" w:styleId="BalloonTextChar">
    <w:name w:val="Balloon Text Char"/>
    <w:basedOn w:val="DefaultParagraphFont"/>
    <w:link w:val="BalloonText"/>
    <w:semiHidden/>
    <w:rsid w:val="002324D4"/>
    <w:rPr>
      <w:sz w:val="18"/>
      <w:szCs w:val="18"/>
    </w:rPr>
  </w:style>
  <w:style w:type="character" w:customStyle="1" w:styleId="Heading2Char">
    <w:name w:val="Heading 2 Char"/>
    <w:basedOn w:val="DefaultParagraphFont"/>
    <w:link w:val="Heading2"/>
    <w:uiPriority w:val="9"/>
    <w:rsid w:val="00861060"/>
    <w:rPr>
      <w:rFonts w:asciiTheme="majorHAnsi" w:eastAsiaTheme="majorEastAsia" w:hAnsiTheme="majorHAnsi" w:cstheme="majorBidi"/>
      <w:color w:val="365F91" w:themeColor="accent1" w:themeShade="BF"/>
      <w:sz w:val="26"/>
      <w:szCs w:val="26"/>
      <w:lang w:val="en-IN"/>
    </w:rPr>
  </w:style>
  <w:style w:type="paragraph" w:customStyle="1" w:styleId="EndNoteBibliography">
    <w:name w:val="EndNote Bibliography"/>
    <w:basedOn w:val="Normal"/>
    <w:link w:val="EndNoteBibliographyChar"/>
    <w:rsid w:val="00861060"/>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861060"/>
    <w:rPr>
      <w:rFonts w:ascii="Calibri" w:eastAsiaTheme="minorHAnsi" w:hAnsi="Calibri" w:cs="Calibri"/>
      <w:noProof/>
      <w:sz w:val="22"/>
      <w:szCs w:val="22"/>
    </w:rPr>
  </w:style>
  <w:style w:type="table" w:styleId="ListTable1Light-Accent3">
    <w:name w:val="List Table 1 Light Accent 3"/>
    <w:basedOn w:val="TableNormal"/>
    <w:uiPriority w:val="46"/>
    <w:rsid w:val="00861060"/>
    <w:rPr>
      <w:rFonts w:asciiTheme="minorHAnsi" w:eastAsiaTheme="minorHAnsi" w:hAnsiTheme="minorHAnsi" w:cstheme="minorBidi"/>
      <w:sz w:val="22"/>
      <w:szCs w:val="22"/>
      <w:lang w:val="sv-SE"/>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istParagraph">
    <w:name w:val="List Paragraph"/>
    <w:basedOn w:val="Normal"/>
    <w:uiPriority w:val="34"/>
    <w:qFormat/>
    <w:rsid w:val="004A2190"/>
    <w:pPr>
      <w:ind w:firstLineChars="200" w:firstLine="420"/>
    </w:pPr>
  </w:style>
  <w:style w:type="paragraph" w:styleId="Revision">
    <w:name w:val="Revision"/>
    <w:hidden/>
    <w:uiPriority w:val="99"/>
    <w:semiHidden/>
    <w:rsid w:val="00E903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65771">
      <w:bodyDiv w:val="1"/>
      <w:marLeft w:val="0"/>
      <w:marRight w:val="0"/>
      <w:marTop w:val="0"/>
      <w:marBottom w:val="0"/>
      <w:divBdr>
        <w:top w:val="none" w:sz="0" w:space="0" w:color="auto"/>
        <w:left w:val="none" w:sz="0" w:space="0" w:color="auto"/>
        <w:bottom w:val="none" w:sz="0" w:space="0" w:color="auto"/>
        <w:right w:val="none" w:sz="0" w:space="0" w:color="auto"/>
      </w:divBdr>
    </w:div>
    <w:div w:id="1707871875">
      <w:bodyDiv w:val="1"/>
      <w:marLeft w:val="0"/>
      <w:marRight w:val="0"/>
      <w:marTop w:val="0"/>
      <w:marBottom w:val="0"/>
      <w:divBdr>
        <w:top w:val="none" w:sz="0" w:space="0" w:color="auto"/>
        <w:left w:val="none" w:sz="0" w:space="0" w:color="auto"/>
        <w:bottom w:val="none" w:sz="0" w:space="0" w:color="auto"/>
        <w:right w:val="none" w:sz="0" w:space="0" w:color="auto"/>
      </w:divBdr>
      <w:divsChild>
        <w:div w:id="1221595702">
          <w:marLeft w:val="0"/>
          <w:marRight w:val="0"/>
          <w:marTop w:val="0"/>
          <w:marBottom w:val="0"/>
          <w:divBdr>
            <w:top w:val="none" w:sz="0" w:space="0" w:color="auto"/>
            <w:left w:val="none" w:sz="0" w:space="0" w:color="auto"/>
            <w:bottom w:val="none" w:sz="0" w:space="0" w:color="auto"/>
            <w:right w:val="none" w:sz="0" w:space="0" w:color="auto"/>
          </w:divBdr>
          <w:divsChild>
            <w:div w:id="247692695">
              <w:marLeft w:val="0"/>
              <w:marRight w:val="0"/>
              <w:marTop w:val="0"/>
              <w:marBottom w:val="0"/>
              <w:divBdr>
                <w:top w:val="single" w:sz="6" w:space="0" w:color="DEDEDE"/>
                <w:left w:val="single" w:sz="6" w:space="0" w:color="DEDEDE"/>
                <w:bottom w:val="single" w:sz="6" w:space="0" w:color="DEDEDE"/>
                <w:right w:val="single" w:sz="6" w:space="0" w:color="DEDEDE"/>
              </w:divBdr>
              <w:divsChild>
                <w:div w:id="2095592572">
                  <w:marLeft w:val="0"/>
                  <w:marRight w:val="0"/>
                  <w:marTop w:val="0"/>
                  <w:marBottom w:val="0"/>
                  <w:divBdr>
                    <w:top w:val="none" w:sz="0" w:space="0" w:color="auto"/>
                    <w:left w:val="none" w:sz="0" w:space="0" w:color="auto"/>
                    <w:bottom w:val="none" w:sz="0" w:space="0" w:color="auto"/>
                    <w:right w:val="none" w:sz="0" w:space="0" w:color="auto"/>
                  </w:divBdr>
                  <w:divsChild>
                    <w:div w:id="4587880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439226995">
          <w:marLeft w:val="0"/>
          <w:marRight w:val="0"/>
          <w:marTop w:val="0"/>
          <w:marBottom w:val="0"/>
          <w:divBdr>
            <w:top w:val="none" w:sz="0" w:space="0" w:color="auto"/>
            <w:left w:val="none" w:sz="0" w:space="0" w:color="auto"/>
            <w:bottom w:val="none" w:sz="0" w:space="0" w:color="auto"/>
            <w:right w:val="none" w:sz="0" w:space="0" w:color="auto"/>
          </w:divBdr>
          <w:divsChild>
            <w:div w:id="284192730">
              <w:marLeft w:val="0"/>
              <w:marRight w:val="0"/>
              <w:marTop w:val="0"/>
              <w:marBottom w:val="0"/>
              <w:divBdr>
                <w:top w:val="none" w:sz="0" w:space="0" w:color="auto"/>
                <w:left w:val="none" w:sz="0" w:space="0" w:color="auto"/>
                <w:bottom w:val="none" w:sz="0" w:space="0" w:color="auto"/>
                <w:right w:val="none" w:sz="0" w:space="0" w:color="auto"/>
              </w:divBdr>
              <w:divsChild>
                <w:div w:id="1868374769">
                  <w:marLeft w:val="0"/>
                  <w:marRight w:val="0"/>
                  <w:marTop w:val="0"/>
                  <w:marBottom w:val="0"/>
                  <w:divBdr>
                    <w:top w:val="single" w:sz="6" w:space="8" w:color="EEEEEE"/>
                    <w:left w:val="none" w:sz="0" w:space="8" w:color="auto"/>
                    <w:bottom w:val="single" w:sz="6" w:space="8" w:color="EEEEEE"/>
                    <w:right w:val="single" w:sz="6" w:space="8" w:color="EEEEEE"/>
                  </w:divBdr>
                  <w:divsChild>
                    <w:div w:id="9616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967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anusinfo.se/download/18.840e7ca163033c061f1e082/1535626615047/Irinotekan-(Onivyde)-180302.pdf" TargetMode="External"/><Relationship Id="rId3" Type="http://schemas.openxmlformats.org/officeDocument/2006/relationships/webSettings" Target="webSettings.xml"/><Relationship Id="rId7" Type="http://schemas.openxmlformats.org/officeDocument/2006/relationships/hyperlink" Target="https://www.accessdata.fda.gov/drugsatfda_docs/Label/2015/207793%20Lb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8563</Words>
  <Characters>48811</Characters>
  <Application>Microsoft Office Word</Application>
  <DocSecurity>0</DocSecurity>
  <Lines>406</Lines>
  <Paragraphs>114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Elander</dc:creator>
  <cp:lastModifiedBy>Donna Fox</cp:lastModifiedBy>
  <cp:revision>2</cp:revision>
  <dcterms:created xsi:type="dcterms:W3CDTF">2021-08-31T02:39:00Z</dcterms:created>
  <dcterms:modified xsi:type="dcterms:W3CDTF">2021-08-31T02:39:00Z</dcterms:modified>
</cp:coreProperties>
</file>