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DEE2" w14:textId="10951AC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0095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0095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0095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5CD35E77" w14:textId="7364634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65457</w:t>
      </w:r>
    </w:p>
    <w:p w14:paraId="33DBEE52" w14:textId="1B60E78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175299A2" w14:textId="77777777" w:rsidR="00A77B3E" w:rsidRDefault="00A77B3E" w:rsidP="00975EE7">
      <w:pPr>
        <w:snapToGrid w:val="0"/>
        <w:spacing w:line="360" w:lineRule="auto"/>
        <w:jc w:val="both"/>
      </w:pPr>
    </w:p>
    <w:p w14:paraId="56DC8729" w14:textId="7B35BCC9" w:rsidR="00A77B3E" w:rsidRDefault="00C44FE1" w:rsidP="00975EE7">
      <w:pPr>
        <w:snapToGrid w:val="0"/>
        <w:spacing w:line="360" w:lineRule="auto"/>
        <w:jc w:val="both"/>
      </w:pPr>
      <w:r w:rsidRPr="00C44FE1">
        <w:rPr>
          <w:rFonts w:ascii="Book Antiqua" w:eastAsia="Book Antiqua" w:hAnsi="Book Antiqua" w:cs="Book Antiqua"/>
          <w:b/>
          <w:color w:val="000000"/>
        </w:rPr>
        <w:t>COVID-19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and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the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liver: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 w:rsidRPr="003A293F">
        <w:rPr>
          <w:rFonts w:ascii="Book Antiqua" w:eastAsia="Book Antiqua" w:hAnsi="Book Antiqua" w:cs="Book Antiqua"/>
          <w:b/>
          <w:caps/>
          <w:color w:val="000000"/>
        </w:rPr>
        <w:t>w</w:t>
      </w:r>
      <w:r w:rsidR="00504ED5">
        <w:rPr>
          <w:rFonts w:ascii="Book Antiqua" w:eastAsia="Book Antiqua" w:hAnsi="Book Antiqua" w:cs="Book Antiqua"/>
          <w:b/>
          <w:color w:val="000000"/>
        </w:rPr>
        <w:t>hat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do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we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know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so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b/>
          <w:color w:val="000000"/>
        </w:rPr>
        <w:t>far?</w:t>
      </w:r>
    </w:p>
    <w:p w14:paraId="653A0948" w14:textId="77777777" w:rsidR="00A77B3E" w:rsidRDefault="00A77B3E" w:rsidP="00975EE7">
      <w:pPr>
        <w:snapToGrid w:val="0"/>
        <w:spacing w:line="360" w:lineRule="auto"/>
        <w:jc w:val="both"/>
      </w:pPr>
    </w:p>
    <w:p w14:paraId="7E8303BE" w14:textId="58EE216C" w:rsidR="00A77B3E" w:rsidRDefault="003D6FA2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liver</w:t>
      </w:r>
    </w:p>
    <w:p w14:paraId="03338225" w14:textId="77777777" w:rsidR="00A77B3E" w:rsidRDefault="00A77B3E" w:rsidP="00975EE7">
      <w:pPr>
        <w:snapToGrid w:val="0"/>
        <w:spacing w:line="360" w:lineRule="auto"/>
        <w:jc w:val="both"/>
      </w:pPr>
    </w:p>
    <w:p w14:paraId="6A146B21" w14:textId="1FA6BCC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Prashant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</w:p>
    <w:p w14:paraId="2C5EB8D8" w14:textId="77777777" w:rsidR="00A77B3E" w:rsidRDefault="00A77B3E" w:rsidP="00975EE7">
      <w:pPr>
        <w:snapToGrid w:val="0"/>
        <w:spacing w:line="360" w:lineRule="auto"/>
        <w:jc w:val="both"/>
      </w:pPr>
    </w:p>
    <w:p w14:paraId="48E5F782" w14:textId="3AF2666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055">
        <w:rPr>
          <w:rFonts w:ascii="Book Antiqua" w:eastAsia="Book Antiqua" w:hAnsi="Book Antiqua" w:cs="Book Antiqua"/>
          <w:color w:val="000000"/>
        </w:rPr>
        <w:t>Department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B405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7832,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Emirates</w:t>
      </w:r>
    </w:p>
    <w:p w14:paraId="3955032E" w14:textId="77777777" w:rsidR="00A77B3E" w:rsidRDefault="00A77B3E" w:rsidP="00975EE7">
      <w:pPr>
        <w:snapToGrid w:val="0"/>
        <w:spacing w:line="360" w:lineRule="auto"/>
        <w:jc w:val="both"/>
      </w:pPr>
    </w:p>
    <w:p w14:paraId="0D67C418" w14:textId="0465AB5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Alexander,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Mediclinic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Emirates</w:t>
      </w:r>
    </w:p>
    <w:p w14:paraId="60DA9207" w14:textId="77777777" w:rsidR="00A77B3E" w:rsidRDefault="00A77B3E" w:rsidP="00975EE7">
      <w:pPr>
        <w:snapToGrid w:val="0"/>
        <w:spacing w:line="360" w:lineRule="auto"/>
        <w:jc w:val="both"/>
      </w:pPr>
    </w:p>
    <w:p w14:paraId="3C20F10F" w14:textId="4A4D69B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Alexander,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Mediclinic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Deira,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0000,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Emirates</w:t>
      </w:r>
    </w:p>
    <w:p w14:paraId="56CC901C" w14:textId="77777777" w:rsidR="00A77B3E" w:rsidRDefault="00A77B3E" w:rsidP="00975EE7">
      <w:pPr>
        <w:snapToGrid w:val="0"/>
        <w:spacing w:line="360" w:lineRule="auto"/>
        <w:jc w:val="both"/>
      </w:pPr>
    </w:p>
    <w:p w14:paraId="00C15CD7" w14:textId="2E10842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A0095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A0095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Alexander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literature;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figure;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71A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672F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896DD65" w14:textId="77777777" w:rsidR="00A77B3E" w:rsidRDefault="00A77B3E" w:rsidP="00975EE7">
      <w:pPr>
        <w:snapToGrid w:val="0"/>
        <w:spacing w:line="360" w:lineRule="auto"/>
        <w:jc w:val="both"/>
      </w:pPr>
    </w:p>
    <w:p w14:paraId="1EB81F5B" w14:textId="0A4BE5E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055">
        <w:rPr>
          <w:rFonts w:ascii="Book Antiqua" w:eastAsia="Book Antiqua" w:hAnsi="Book Antiqua" w:cs="Book Antiqua"/>
          <w:color w:val="000000"/>
        </w:rPr>
        <w:t>Department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B405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Nahda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7832,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Emirates.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dr.prashantnasa@hotmail.com</w:t>
      </w:r>
    </w:p>
    <w:p w14:paraId="1897B5F9" w14:textId="77777777" w:rsidR="00A77B3E" w:rsidRDefault="00A77B3E" w:rsidP="00975EE7">
      <w:pPr>
        <w:snapToGrid w:val="0"/>
        <w:spacing w:line="360" w:lineRule="auto"/>
        <w:jc w:val="both"/>
      </w:pPr>
    </w:p>
    <w:p w14:paraId="0F2CCD5E" w14:textId="52E8A6FE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CF37F2" w14:textId="02F8140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CA22839" w14:textId="3E1B7C9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70E7" w:rsidRPr="004A70E7">
        <w:rPr>
          <w:rFonts w:ascii="Book Antiqua" w:eastAsia="Book Antiqua" w:hAnsi="Book Antiqua" w:cs="Book Antiqua"/>
          <w:color w:val="000000"/>
        </w:rPr>
        <w:t>April 29, 2021</w:t>
      </w:r>
    </w:p>
    <w:p w14:paraId="53EE0B0A" w14:textId="7AB5847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E14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E2A73E5" w14:textId="77777777" w:rsidR="00A77B3E" w:rsidRDefault="00A77B3E" w:rsidP="00975EE7">
      <w:pPr>
        <w:snapToGrid w:val="0"/>
        <w:spacing w:line="360" w:lineRule="auto"/>
        <w:jc w:val="both"/>
        <w:sectPr w:rsidR="00A77B3E" w:rsidSect="00655A42">
          <w:footerReference w:type="default" r:id="rId6"/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6DACFC4B" w14:textId="7777777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57BCDD" w14:textId="553CBEB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standard-of-care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many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E2C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severe acute respiratory syndrome coronavirus 2 (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best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63279F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resulting from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>caused 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endotheliitis,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>because 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vaccines.</w:t>
      </w:r>
    </w:p>
    <w:p w14:paraId="60F52840" w14:textId="77777777" w:rsidR="00A77B3E" w:rsidRDefault="00A77B3E" w:rsidP="00975EE7">
      <w:pPr>
        <w:snapToGrid w:val="0"/>
        <w:spacing w:line="360" w:lineRule="auto"/>
        <w:jc w:val="both"/>
      </w:pPr>
    </w:p>
    <w:p w14:paraId="38160168" w14:textId="44E515A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5105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>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</w:p>
    <w:p w14:paraId="3F40CAAC" w14:textId="77777777" w:rsidR="00A77B3E" w:rsidRDefault="00A77B3E" w:rsidP="00975EE7">
      <w:pPr>
        <w:snapToGrid w:val="0"/>
        <w:spacing w:line="360" w:lineRule="auto"/>
        <w:jc w:val="both"/>
      </w:pPr>
    </w:p>
    <w:p w14:paraId="33AC04CC" w14:textId="3AE8A849" w:rsidR="00A77B3E" w:rsidRDefault="00504ED5" w:rsidP="00975EE7">
      <w:pPr>
        <w:snapToGrid w:val="0"/>
        <w:spacing w:line="360" w:lineRule="auto"/>
        <w:jc w:val="both"/>
      </w:pPr>
      <w:bookmarkStart w:id="0" w:name="OLE_LINK2959"/>
      <w:bookmarkStart w:id="1" w:name="OLE_LINK2960"/>
      <w:r>
        <w:rPr>
          <w:rFonts w:ascii="Book Antiqua" w:eastAsia="Book Antiqua" w:hAnsi="Book Antiqua" w:cs="Book Antiqua"/>
          <w:color w:val="000000"/>
        </w:rPr>
        <w:t>Nasa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961"/>
      <w:bookmarkStart w:id="3" w:name="OLE_LINK2962"/>
      <w:r w:rsidR="00A0095E" w:rsidRPr="00A0095E">
        <w:rPr>
          <w:rFonts w:ascii="Book Antiqua" w:eastAsia="Book Antiqua" w:hAnsi="Book Antiqua" w:cs="Book Antiqua"/>
          <w:bCs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4D74FA">
        <w:rPr>
          <w:rFonts w:ascii="Book Antiqua" w:eastAsia="Book Antiqua" w:hAnsi="Book Antiqua" w:cs="Book Antiqua"/>
          <w:cap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far?</w:t>
      </w:r>
      <w:bookmarkEnd w:id="2"/>
      <w:bookmarkEnd w:id="3"/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0"/>
    <w:bookmarkEnd w:id="1"/>
    <w:p w14:paraId="6940D78E" w14:textId="77777777" w:rsidR="00A77B3E" w:rsidRDefault="00A77B3E" w:rsidP="00975EE7">
      <w:pPr>
        <w:snapToGrid w:val="0"/>
        <w:spacing w:line="360" w:lineRule="auto"/>
        <w:jc w:val="both"/>
      </w:pPr>
    </w:p>
    <w:p w14:paraId="1E97C136" w14:textId="22A3DCD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caused by </w:t>
      </w:r>
      <w:r>
        <w:rPr>
          <w:rFonts w:ascii="Book Antiqua" w:eastAsia="Book Antiqua" w:hAnsi="Book Antiqua" w:cs="Book Antiqua"/>
          <w:color w:val="000000"/>
        </w:rPr>
        <w:t>either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</w:t>
      </w:r>
      <w:r w:rsidR="0063279F">
        <w:rPr>
          <w:rFonts w:ascii="Book Antiqua" w:eastAsia="Book Antiqua" w:hAnsi="Book Antiqua" w:cs="Book Antiqua"/>
          <w:color w:val="000000"/>
        </w:rPr>
        <w:t>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dysregulation.</w:t>
      </w:r>
      <w:r w:rsidR="00A0095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hygiene,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</w:t>
      </w:r>
      <w:r w:rsidR="0063279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admissions.</w:t>
      </w:r>
      <w:r w:rsidR="00A0095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18F02088" w14:textId="77777777" w:rsidR="00A77B3E" w:rsidRDefault="00A77B3E" w:rsidP="00975EE7">
      <w:pPr>
        <w:snapToGrid w:val="0"/>
        <w:spacing w:line="360" w:lineRule="auto"/>
        <w:jc w:val="both"/>
      </w:pPr>
    </w:p>
    <w:p w14:paraId="4F1CAD77" w14:textId="1A6E38F7" w:rsidR="00A77B3E" w:rsidRDefault="00655A42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04ED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378094" w14:textId="280C03F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Coronavirus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Coronaviridae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Orthocoronavirinae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subfamily.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(MERS-CoV)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773E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D6F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</w:t>
      </w:r>
      <w:r w:rsidR="003D6FA2">
        <w:rPr>
          <w:rFonts w:ascii="Book Antiqua" w:eastAsia="Book Antiqua" w:hAnsi="Book Antiqua" w:cs="Book Antiqua"/>
          <w:color w:val="000000"/>
        </w:rPr>
        <w:t>O</w:t>
      </w:r>
      <w:r w:rsidRPr="003D6FA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63279F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</w:t>
      </w:r>
      <w:r w:rsidR="0063279F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vaccines.</w:t>
      </w:r>
    </w:p>
    <w:p w14:paraId="5E4C7924" w14:textId="77777777" w:rsidR="00A77B3E" w:rsidRDefault="00A77B3E" w:rsidP="00975EE7">
      <w:pPr>
        <w:snapToGrid w:val="0"/>
        <w:spacing w:line="360" w:lineRule="auto"/>
        <w:jc w:val="both"/>
      </w:pPr>
    </w:p>
    <w:p w14:paraId="36D04FF1" w14:textId="34860EB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dysfunction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</w:p>
    <w:p w14:paraId="70979FAC" w14:textId="787FA72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3D6F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-53%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D6F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-11%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[4-9]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3279F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hypoalbuminemia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(39.8%),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</w:t>
      </w:r>
      <w:r w:rsidR="0063279F" w:rsidDel="006327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35.8%</w:t>
      </w:r>
      <w:r w:rsidR="00A0095E">
        <w:rPr>
          <w:rFonts w:ascii="Book Antiqua" w:eastAsia="Book Antiqua" w:hAnsi="Book Antiqua" w:cs="Book Antiqua"/>
          <w:color w:val="000000"/>
        </w:rPr>
        <w:t>)</w:t>
      </w:r>
      <w:r w:rsidR="00EB75E1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[aspartate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</w:t>
      </w:r>
      <w:r w:rsidR="006327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21.8%</w:t>
      </w:r>
      <w:r w:rsidR="00EB75E1">
        <w:rPr>
          <w:rFonts w:ascii="Book Antiqua" w:eastAsia="Book Antiqua" w:hAnsi="Book Antiqua" w:cs="Book Antiqua"/>
          <w:color w:val="000000"/>
        </w:rPr>
        <w:t>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EB75E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20.4%</w:t>
      </w:r>
      <w:r w:rsidR="00EB75E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hypoalbuminemia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(61.3%),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(27.9%),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(23.3%),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(23.4%)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D5827F" w14:textId="77777777" w:rsidR="00A77B3E" w:rsidRDefault="00A77B3E" w:rsidP="00975EE7">
      <w:pPr>
        <w:snapToGrid w:val="0"/>
        <w:spacing w:line="360" w:lineRule="auto"/>
        <w:jc w:val="both"/>
      </w:pPr>
    </w:p>
    <w:p w14:paraId="30FC031A" w14:textId="62E3867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Mechanism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Injury</w:t>
      </w:r>
    </w:p>
    <w:p w14:paraId="4F0FC26E" w14:textId="6D30200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(ACE-2)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B75E1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transmembrane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(TMPRSS2)</w:t>
      </w:r>
      <w:r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TMPRSS2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[14-17]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TMPRSS2</w:t>
      </w:r>
      <w:r w:rsidR="00EB75E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enterocytes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biliary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epithelium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[14,17]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A2C277" w14:textId="3F72813D" w:rsidR="00A77B3E" w:rsidRDefault="00504ED5" w:rsidP="00975EE7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hepatoxicity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endotheliitis,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[15]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(Figure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B75E1"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direct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[15,18]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rather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[16,18]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EB75E1">
        <w:rPr>
          <w:rFonts w:ascii="Book Antiqua" w:eastAsia="Book Antiqua" w:hAnsi="Book Antiqua" w:cs="Book Antiqua"/>
          <w:color w:val="000000"/>
        </w:rPr>
        <w:t xml:space="preserve"> with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agents,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favipiravir,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[18-20]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djuvant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hepatoxicity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(Table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0B142A" w14:textId="77777777" w:rsidR="00A77B3E" w:rsidRDefault="00A77B3E" w:rsidP="00975EE7">
      <w:pPr>
        <w:snapToGrid w:val="0"/>
        <w:spacing w:line="360" w:lineRule="auto"/>
        <w:jc w:val="both"/>
      </w:pPr>
    </w:p>
    <w:p w14:paraId="61116D4B" w14:textId="39F6A04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Impact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</w:p>
    <w:p w14:paraId="749AAE82" w14:textId="15D00C72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CLD</w:t>
      </w:r>
    </w:p>
    <w:p w14:paraId="59EC5C84" w14:textId="2A23DC3E" w:rsidR="00A77B3E" w:rsidRDefault="00504ED5" w:rsidP="007870D0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73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B75E1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>299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EB75E1" w:rsidRPr="00EB75E1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D6F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-11%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4-9,22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B75E1"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pooled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</w:t>
      </w:r>
      <w:r w:rsidR="00B672FF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EB75E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1.48</w:t>
      </w:r>
      <w:r w:rsidR="003D6FA2">
        <w:rPr>
          <w:rFonts w:ascii="Book Antiqua" w:eastAsia="Book Antiqua" w:hAnsi="Book Antiqua" w:cs="Book Antiqua"/>
          <w:color w:val="000000"/>
        </w:rPr>
        <w:t>]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1.78)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[21,24]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 xml:space="preserve">increased COVID-19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EB75E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434C2"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1.94-2.83</w:t>
      </w:r>
      <w:r w:rsidR="00EB75E1">
        <w:rPr>
          <w:rFonts w:ascii="Book Antiqua" w:eastAsia="Book Antiqua" w:hAnsi="Book Antiqua" w:cs="Book Antiqua"/>
          <w:color w:val="000000"/>
        </w:rPr>
        <w:t>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1B78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[4,27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31E479" w14:textId="77777777" w:rsidR="003D6FA2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BA627B7" w14:textId="660A1C21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Fatty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104E89AD" w14:textId="37E2384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[30-32]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 w:rsidRPr="001B78BF">
        <w:rPr>
          <w:rFonts w:ascii="Book Antiqua" w:eastAsia="Book Antiqua" w:hAnsi="Book Antiqua" w:cs="Book Antiqua"/>
          <w:color w:val="000000"/>
        </w:rPr>
        <w:t xml:space="preserve">Asian Pacific Association for the Study of the Liver </w:t>
      </w:r>
      <w:r w:rsidR="001B78B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APASL</w:t>
      </w:r>
      <w:r w:rsidR="001B78BF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19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(APCOLIS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included </w:t>
      </w:r>
      <w:r>
        <w:rPr>
          <w:rFonts w:ascii="Book Antiqua" w:eastAsia="Book Antiqua" w:hAnsi="Book Antiqua" w:cs="Book Antiqua"/>
          <w:color w:val="000000"/>
        </w:rPr>
        <w:t>228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from 13 Asian countries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B78BF"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(MAFLD)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commonest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NAFLD/MAFLD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and is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increased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[31,35]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Hashemi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403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6C6076">
        <w:rPr>
          <w:rFonts w:ascii="Book Antiqua" w:eastAsia="Book Antiqua" w:hAnsi="Book Antiqua" w:cs="Book Antiqua"/>
          <w:color w:val="000000"/>
        </w:rPr>
        <w:t>.</w:t>
      </w:r>
      <w:r w:rsidRPr="004B1403">
        <w:rPr>
          <w:rFonts w:ascii="Book Antiqua" w:eastAsia="Book Antiqua" w:hAnsi="Book Antiqua" w:cs="Book Antiqua"/>
          <w:color w:val="000000"/>
          <w:szCs w:val="3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72FF"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NAFLD/NASH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[29,36]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5CD138" w14:textId="77777777" w:rsidR="003D6FA2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0045E6E" w14:textId="310977F9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32A77EB9" w14:textId="7C71FEDC" w:rsidR="00A77B3E" w:rsidRDefault="00504ED5" w:rsidP="00505498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found to be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[29,31]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B672FF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SECURE-cirrhosis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B434C2">
        <w:rPr>
          <w:rFonts w:ascii="Book Antiqua" w:eastAsia="Book Antiqua" w:hAnsi="Book Antiqua" w:cs="Book Antiqua"/>
          <w:color w:val="000000"/>
        </w:rPr>
        <w:t>COVID-Hep.net,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 w:rsidRPr="00B434C2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F1180CA" w14:textId="77777777" w:rsidR="003D6FA2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EB55419" w14:textId="2C646DBE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Hepatocellular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D6FA2"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arcinoma</w:t>
      </w:r>
    </w:p>
    <w:p w14:paraId="6D683B90" w14:textId="78D56F9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1B78BF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[41,42]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B78BF">
        <w:rPr>
          <w:rFonts w:ascii="Book Antiqua" w:eastAsia="Book Antiqua" w:hAnsi="Book Antiqua" w:cs="Book Antiqua"/>
          <w:color w:val="000000"/>
        </w:rPr>
        <w:t xml:space="preserve">high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41-43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2 HCC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CA6B02">
        <w:rPr>
          <w:rFonts w:ascii="Book Antiqua" w:eastAsia="Book Antiqua" w:hAnsi="Book Antiqua" w:cs="Book Antiqua"/>
          <w:color w:val="000000"/>
        </w:rPr>
        <w:t>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52C20683" w14:textId="77777777" w:rsidR="00A77B3E" w:rsidRDefault="00A77B3E" w:rsidP="00975EE7">
      <w:pPr>
        <w:snapToGrid w:val="0"/>
        <w:spacing w:line="360" w:lineRule="auto"/>
        <w:jc w:val="both"/>
      </w:pPr>
    </w:p>
    <w:p w14:paraId="7880AB86" w14:textId="0ABD2D6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pre-existing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</w:p>
    <w:p w14:paraId="7B412F02" w14:textId="246B08D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acute-on-chronic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(11.6%)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were more </w:t>
      </w:r>
      <w:r>
        <w:rPr>
          <w:rFonts w:ascii="Book Antiqua" w:eastAsia="Book Antiqua" w:hAnsi="Book Antiqua" w:cs="Book Antiqua"/>
          <w:color w:val="000000"/>
        </w:rPr>
        <w:t>common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CA6B02">
        <w:rPr>
          <w:rFonts w:ascii="Book Antiqua" w:eastAsia="Book Antiqua" w:hAnsi="Book Antiqua" w:cs="Book Antiqua"/>
          <w:color w:val="000000"/>
        </w:rPr>
        <w:t>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AST/ALT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R-value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(ALT/ALP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liver-related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>L</w:t>
      </w:r>
      <w:r w:rsidR="00B672FF" w:rsidRPr="00B672FF">
        <w:rPr>
          <w:rFonts w:ascii="Book Antiqua" w:eastAsia="Book Antiqua" w:hAnsi="Book Antiqua" w:cs="Book Antiqua"/>
          <w:color w:val="000000"/>
        </w:rPr>
        <w:t>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has been </w:t>
      </w:r>
      <w:r w:rsidR="00B672FF" w:rsidRPr="00B672FF">
        <w:rPr>
          <w:rFonts w:ascii="Book Antiqua" w:eastAsia="Book Antiqua" w:hAnsi="Book Antiqua" w:cs="Book Antiqua"/>
          <w:color w:val="000000"/>
        </w:rPr>
        <w:t>seen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third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week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without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cirrhosis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and in </w:t>
      </w:r>
      <w:r w:rsidR="00B672FF" w:rsidRPr="00B672FF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first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week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cirrhotic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 w:rsidRPr="00B672FF">
        <w:rPr>
          <w:rFonts w:ascii="Book Antiqua" w:eastAsia="Book Antiqua" w:hAnsi="Book Antiqua" w:cs="Book Antiqua"/>
          <w:color w:val="000000"/>
        </w:rPr>
        <w:t>patients</w:t>
      </w:r>
      <w:r w:rsidR="00B672FF">
        <w:rPr>
          <w:rFonts w:ascii="Book Antiqua" w:eastAsia="Book Antiqua" w:hAnsi="Book Antiqua" w:cs="Book Antiqua"/>
          <w:color w:val="000000"/>
          <w:szCs w:val="20"/>
          <w:vertAlign w:val="superscript"/>
        </w:rPr>
        <w:t>[34]</w:t>
      </w:r>
      <w:r w:rsidR="00B672FF">
        <w:rPr>
          <w:rFonts w:ascii="Book Antiqua" w:eastAsia="Book Antiqua" w:hAnsi="Book Antiqua" w:cs="Book Antiqua"/>
          <w:color w:val="000000"/>
        </w:rPr>
        <w:t>.</w:t>
      </w:r>
    </w:p>
    <w:p w14:paraId="0EB55F55" w14:textId="77777777" w:rsidR="00A77B3E" w:rsidRDefault="00A77B3E" w:rsidP="00975EE7">
      <w:pPr>
        <w:snapToGrid w:val="0"/>
        <w:spacing w:line="360" w:lineRule="auto"/>
        <w:jc w:val="both"/>
      </w:pPr>
    </w:p>
    <w:p w14:paraId="5F17003E" w14:textId="55AD190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transplant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recipient</w:t>
      </w:r>
    </w:p>
    <w:p w14:paraId="1071257D" w14:textId="7662B22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96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(86.5%) </w:t>
      </w:r>
      <w:r>
        <w:rPr>
          <w:rFonts w:ascii="Book Antiqua" w:eastAsia="Book Antiqua" w:hAnsi="Book Antiqua" w:cs="Book Antiqua"/>
          <w:color w:val="000000"/>
        </w:rPr>
        <w:t>who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(19.8%)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(10.8%)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A6B02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22.3%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26.8%,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respectively,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which was </w:t>
      </w:r>
      <w:r>
        <w:rPr>
          <w:rFonts w:ascii="Book Antiqua" w:eastAsia="Book Antiqua" w:hAnsi="Book Antiqua" w:cs="Book Antiqua"/>
          <w:color w:val="000000"/>
        </w:rPr>
        <w:t>lower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the rates in </w:t>
      </w:r>
      <w:r>
        <w:rPr>
          <w:rFonts w:ascii="Book Antiqua" w:eastAsia="Book Antiqua" w:hAnsi="Book Antiqua" w:cs="Book Antiqua"/>
          <w:color w:val="000000"/>
        </w:rPr>
        <w:t>matched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A6B02" w:rsidRPr="006C607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A6B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672FF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ispanic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(ULN)]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ULN)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B7F384" w14:textId="77777777" w:rsidR="00A77B3E" w:rsidRDefault="00A77B3E" w:rsidP="00975EE7">
      <w:pPr>
        <w:snapToGrid w:val="0"/>
        <w:spacing w:line="360" w:lineRule="auto"/>
        <w:jc w:val="both"/>
      </w:pPr>
    </w:p>
    <w:p w14:paraId="2F05F741" w14:textId="33C5600E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Management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Chronic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Disease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COVID-19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pandemic</w:t>
      </w:r>
    </w:p>
    <w:p w14:paraId="12EB4C76" w14:textId="439F7CE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CA6B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(HCWs)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(Figure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9853D3" w14:textId="77777777" w:rsidR="003D6FA2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7E10828" w14:textId="14613AE9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all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3F02D6B3" w14:textId="31260A4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Physical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distancing,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hygiene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pillars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ducation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abstinence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HCWs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laboratory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6B02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 xml:space="preserve">patient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streptococcus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influenza.</w:t>
      </w:r>
    </w:p>
    <w:p w14:paraId="6B56945F" w14:textId="77777777" w:rsidR="003D6FA2" w:rsidRDefault="003D6FA2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AF367A4" w14:textId="1B657DF8" w:rsidR="00A77B3E" w:rsidRPr="003D6FA2" w:rsidRDefault="00504ED5" w:rsidP="00975EE7">
      <w:pPr>
        <w:snapToGrid w:val="0"/>
        <w:spacing w:line="360" w:lineRule="auto"/>
        <w:jc w:val="both"/>
        <w:rPr>
          <w:b/>
          <w:bCs/>
          <w:i/>
          <w:iCs/>
        </w:rPr>
      </w:pP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A009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6FA2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16DBFDE2" w14:textId="1AB3915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Compensated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NAFLD/MAFLD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CA6B02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>E</w:t>
      </w:r>
      <w:r w:rsidR="003E7392" w:rsidRPr="003E7392">
        <w:rPr>
          <w:rFonts w:ascii="Book Antiqua" w:eastAsia="Book Antiqua" w:hAnsi="Book Antiqua" w:cs="Book Antiqua"/>
          <w:color w:val="000000"/>
        </w:rPr>
        <w:t>xperts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recommend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against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alteration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immunosuppression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autoimmune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 w:rsidRPr="003E7392">
        <w:rPr>
          <w:rFonts w:ascii="Book Antiqua" w:eastAsia="Book Antiqua" w:hAnsi="Book Antiqua" w:cs="Book Antiqua"/>
          <w:color w:val="000000"/>
        </w:rPr>
        <w:t>COVID-19</w:t>
      </w:r>
      <w:r w:rsidR="003E7392">
        <w:rPr>
          <w:rFonts w:ascii="Book Antiqua" w:eastAsia="Book Antiqua" w:hAnsi="Book Antiqua" w:cs="Book Antiqua"/>
          <w:color w:val="000000"/>
          <w:szCs w:val="20"/>
          <w:vertAlign w:val="superscript"/>
        </w:rPr>
        <w:t>[47]</w:t>
      </w:r>
      <w:r w:rsidR="003E7392"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aerosolization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CA6B0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xperts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nonendoscopic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periods of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coinfection.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BE2CFF">
        <w:rPr>
          <w:rFonts w:ascii="Book Antiqua" w:eastAsia="Book Antiqua" w:hAnsi="Book Antiqua" w:cs="Book Antiqua"/>
          <w:color w:val="000000"/>
        </w:rPr>
        <w:t>hepatitis B virus (</w:t>
      </w:r>
      <w:r>
        <w:rPr>
          <w:rFonts w:ascii="Book Antiqua" w:eastAsia="Book Antiqua" w:hAnsi="Book Antiqua" w:cs="Book Antiqua"/>
          <w:color w:val="000000"/>
        </w:rPr>
        <w:t>HBV</w:t>
      </w:r>
      <w:r w:rsidR="00BE2CF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-DNA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A791F5" w14:textId="496D6CFC" w:rsidR="00A77B3E" w:rsidRDefault="00504ED5" w:rsidP="00975EE7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Decompensated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>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>follow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A2C66" w:rsidRPr="006C607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A2C6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using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E7392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unaltered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972917" w14:textId="20469235" w:rsidR="00A77B3E" w:rsidRDefault="00504ED5" w:rsidP="00975EE7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D6FA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ransplantation: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teleconsultation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HCWs.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E2C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drug-drug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DA2C66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hepatotoxicity.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977295"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977295">
        <w:rPr>
          <w:rFonts w:ascii="Book Antiqua" w:eastAsia="Book Antiqua" w:hAnsi="Book Antiqua" w:cs="Book Antiqua"/>
          <w:color w:val="000000"/>
        </w:rPr>
        <w:t>Colmenero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Pr="009772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72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6FA2" w:rsidRPr="0097729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r w:rsidR="00977295" w:rsidRPr="00977295">
        <w:rPr>
          <w:rFonts w:ascii="Book Antiqua" w:eastAsia="Book Antiqua" w:hAnsi="Book Antiqua" w:cs="Book Antiqua"/>
          <w:color w:val="000000"/>
          <w:szCs w:val="20"/>
          <w:vertAlign w:val="superscript"/>
        </w:rPr>
        <w:t>44</w:t>
      </w:r>
      <w:r w:rsidR="003D6FA2" w:rsidRPr="00977295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977295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reconstitution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[11,48]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>increased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</w:t>
      </w:r>
      <w:r w:rsidR="00C2677C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101CF7" w14:textId="3C99CAE8" w:rsidR="00A77B3E" w:rsidRDefault="00504ED5" w:rsidP="00A76B2F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mycophenolate-based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</w:t>
      </w:r>
      <w:r w:rsidR="00C2677C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33FFC0" w14:textId="6B0B887D" w:rsidR="00A77B3E" w:rsidRDefault="00504ED5" w:rsidP="00975EE7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Candidates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E7392"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inundated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>
        <w:rPr>
          <w:rFonts w:ascii="Book Antiqua" w:eastAsia="Book Antiqua" w:hAnsi="Book Antiqua" w:cs="Book Antiqua"/>
          <w:color w:val="000000"/>
        </w:rPr>
        <w:t>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acute-on-chronic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(ALF/ACLF),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odel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nd-stage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</w:t>
      </w:r>
      <w:r w:rsidR="00C2677C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r w:rsidR="00C2677C">
        <w:rPr>
          <w:rFonts w:ascii="Book Antiqua" w:eastAsia="Book Antiqua" w:hAnsi="Book Antiqua" w:cs="Book Antiqua"/>
          <w:color w:val="000000"/>
          <w:szCs w:val="2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DA2C66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E768A7" w14:textId="5EB4459F" w:rsidR="00A77B3E" w:rsidRDefault="00504ED5" w:rsidP="00975EE7">
      <w:pPr>
        <w:snapToGrid w:val="0"/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E2C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(MTB),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uidelines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been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[47,5</w:t>
      </w:r>
      <w:r w:rsidR="00C2677C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C63845">
        <w:rPr>
          <w:rFonts w:ascii="Book Antiqua" w:eastAsia="Book Antiqua" w:hAnsi="Book Antiqua" w:cs="Book Antiqua"/>
          <w:color w:val="000000"/>
          <w:szCs w:val="2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case-to-case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low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A2C66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deferral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7A6AAE7" w14:textId="77777777" w:rsidR="00A77B3E" w:rsidRDefault="00A77B3E" w:rsidP="00975EE7">
      <w:pPr>
        <w:snapToGrid w:val="0"/>
        <w:spacing w:line="360" w:lineRule="auto"/>
        <w:jc w:val="both"/>
      </w:pPr>
    </w:p>
    <w:p w14:paraId="7FF750C2" w14:textId="6EB1F58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SARS-CoV-2</w:t>
      </w:r>
      <w:r w:rsidR="00A009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vaccines</w:t>
      </w:r>
    </w:p>
    <w:p w14:paraId="4DE21172" w14:textId="1631525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Scientists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DA2C66"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 xml:space="preserve">The vaccines </w:t>
      </w:r>
      <w:r>
        <w:rPr>
          <w:rFonts w:ascii="Book Antiqua" w:eastAsia="Book Antiqua" w:hAnsi="Book Antiqua" w:cs="Book Antiqua"/>
          <w:color w:val="000000"/>
        </w:rPr>
        <w:t>have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A2C66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3E7392"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200,000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BNT162b2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(Pfizer/BioNTech)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(0.6%) </w:t>
      </w:r>
      <w:r>
        <w:rPr>
          <w:rFonts w:ascii="Book Antiqua" w:eastAsia="Book Antiqua" w:hAnsi="Book Antiqua" w:cs="Book Antiqua"/>
          <w:color w:val="000000"/>
        </w:rPr>
        <w:t>had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121CA1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only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(&lt;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6384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121CA1"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only 196 liver disease patients </w:t>
      </w:r>
      <w:r>
        <w:rPr>
          <w:rFonts w:ascii="Book Antiqua" w:eastAsia="Book Antiqua" w:hAnsi="Book Antiqua" w:cs="Book Antiqua"/>
          <w:color w:val="000000"/>
        </w:rPr>
        <w:t>(0.6%)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mRNA-1273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(Moderna)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21CA1">
        <w:rPr>
          <w:rFonts w:ascii="Book Antiqua" w:eastAsia="Book Antiqua" w:hAnsi="Book Antiqua" w:cs="Book Antiqua"/>
          <w:color w:val="000000"/>
        </w:rPr>
        <w:t xml:space="preserve"> is not available from the ChAdOx1-nCoV-19 (Oxford–AstraZeneca) vaccine 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undermining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121CA1"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CLD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121CA1">
        <w:rPr>
          <w:rFonts w:ascii="Book Antiqua" w:eastAsia="Book Antiqua" w:hAnsi="Book Antiqua" w:cs="Book Antiqua"/>
          <w:color w:val="000000"/>
        </w:rPr>
        <w:t xml:space="preserve"> to SARS-</w:t>
      </w:r>
      <w:r w:rsidR="00121CA1">
        <w:rPr>
          <w:rFonts w:ascii="Book Antiqua" w:eastAsia="Book Antiqua" w:hAnsi="Book Antiqua" w:cs="Book Antiqua"/>
          <w:color w:val="000000"/>
        </w:rPr>
        <w:lastRenderedPageBreak/>
        <w:t>CoV-2 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an increased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3E7392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(EASL),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(AASLD),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currently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121CA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23B5E"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C2677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C41CB3" w14:textId="77777777" w:rsidR="00A77B3E" w:rsidRDefault="00A77B3E" w:rsidP="00975EE7">
      <w:pPr>
        <w:snapToGrid w:val="0"/>
        <w:spacing w:line="360" w:lineRule="auto"/>
        <w:jc w:val="both"/>
      </w:pPr>
    </w:p>
    <w:p w14:paraId="228DFA83" w14:textId="7777777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D03441" w14:textId="43A6E657" w:rsidR="00A77B3E" w:rsidRDefault="00121CA1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</w:t>
      </w:r>
      <w:r w:rsidR="00504ED5">
        <w:rPr>
          <w:rFonts w:ascii="Book Antiqua" w:eastAsia="Book Antiqua" w:hAnsi="Book Antiqua" w:cs="Book Antiqua"/>
          <w:color w:val="000000"/>
        </w:rPr>
        <w:t>merging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research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suggests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504ED5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common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patients is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worse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outcomes.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504ED5">
        <w:rPr>
          <w:rFonts w:ascii="Book Antiqua" w:eastAsia="Book Antiqua" w:hAnsi="Book Antiqua" w:cs="Book Antiqua"/>
          <w:color w:val="000000"/>
        </w:rPr>
        <w:t>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504ED5"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infection,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increased </w:t>
      </w:r>
      <w:r w:rsidR="00504ED5"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complications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mortality.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vulnerable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group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prioritized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based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>ir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condition,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strategies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reduce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cross</w:t>
      </w:r>
      <w:r w:rsidR="00BE2CFF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transmission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optimizing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limited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resources.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04ED5">
        <w:rPr>
          <w:rFonts w:ascii="Book Antiqua" w:eastAsia="Book Antiqua" w:hAnsi="Book Antiqua" w:cs="Book Antiqua"/>
          <w:color w:val="000000"/>
        </w:rPr>
        <w:t>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HCC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program</w:t>
      </w:r>
      <w:r>
        <w:rPr>
          <w:rFonts w:ascii="Book Antiqua" w:eastAsia="Book Antiqua" w:hAnsi="Book Antiqua" w:cs="Book Antiqua"/>
          <w:color w:val="000000"/>
        </w:rPr>
        <w:t>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modified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 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community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transmission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SARS-CoV-2.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Specific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issues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should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considered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504ED5">
        <w:rPr>
          <w:rFonts w:ascii="Book Antiqua" w:eastAsia="Book Antiqua" w:hAnsi="Book Antiqua" w:cs="Book Antiqua"/>
          <w:color w:val="000000"/>
        </w:rPr>
        <w:t>diseases.</w:t>
      </w:r>
    </w:p>
    <w:p w14:paraId="3E9C9B47" w14:textId="77777777" w:rsidR="00A77B3E" w:rsidRDefault="00A77B3E" w:rsidP="00975EE7">
      <w:pPr>
        <w:snapToGrid w:val="0"/>
        <w:spacing w:line="360" w:lineRule="auto"/>
        <w:jc w:val="both"/>
      </w:pPr>
    </w:p>
    <w:p w14:paraId="18FDC418" w14:textId="7777777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A588344" w14:textId="1C9E2CBF" w:rsidR="00A77B3E" w:rsidRDefault="00504ED5" w:rsidP="00975EE7">
      <w:pPr>
        <w:snapToGrid w:val="0"/>
        <w:spacing w:line="360" w:lineRule="auto"/>
        <w:jc w:val="both"/>
      </w:pPr>
      <w:bookmarkStart w:id="4" w:name="OLE_LINK2958"/>
      <w:r w:rsidRPr="00C63845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World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Health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Organization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management: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living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guidance.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Updated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25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January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2021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5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5" w:name="OLE_LINK2963"/>
      <w:bookmarkStart w:id="6" w:name="OLE_LINK2964"/>
      <w:r w:rsidRPr="00C63845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from:</w:t>
      </w:r>
      <w:bookmarkEnd w:id="5"/>
      <w:bookmarkEnd w:id="6"/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https://www.who.int/publications/i/item/WHO-2019-nCoV-clinical-2021-1</w:t>
      </w:r>
    </w:p>
    <w:p w14:paraId="10B0AA89" w14:textId="1178721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1054-1062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32171076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10.1016/S0140-6736(20)30566-3]</w:t>
      </w:r>
    </w:p>
    <w:p w14:paraId="648B13A6" w14:textId="2036BD5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91-95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32173574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10.1016/j.ijid.2020.03.017]</w:t>
      </w:r>
    </w:p>
    <w:p w14:paraId="467DA4E4" w14:textId="1D25567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428-430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32145190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5D2B93A5" w14:textId="0CEF111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1561-1566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32283325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10.1016/j.cgh.2020.04.002]</w:t>
      </w:r>
    </w:p>
    <w:p w14:paraId="6BCC1275" w14:textId="36FCC076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566-574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32298767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10.1016/j.jhep.2020.04.006]</w:t>
      </w:r>
    </w:p>
    <w:p w14:paraId="0EECF377" w14:textId="1DC412C9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Coronavirus-Infected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1061-1069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32031570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10.1001/jama.2020.1585]</w:t>
      </w:r>
    </w:p>
    <w:p w14:paraId="3344D181" w14:textId="5011C75E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Alwalid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425-434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32105637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10.1016/S1473-3099(20)30086-4]</w:t>
      </w:r>
    </w:p>
    <w:p w14:paraId="72262152" w14:textId="2045C9A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1708-1720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32109013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10.1056/NEJMoa2002032]</w:t>
      </w:r>
    </w:p>
    <w:p w14:paraId="3BD9305D" w14:textId="0622E27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Mendez-Sanchez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Sandri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Teschke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Romeiro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Shukla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621-637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32710250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10.1007/s12072-020-10074-6]</w:t>
      </w:r>
    </w:p>
    <w:p w14:paraId="16213714" w14:textId="37E1D60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Kumar-M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Shukla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Choudhury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Mohindra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Mandavdhare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711-722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32623633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10.1007/s12072-020-10071-9]</w:t>
      </w:r>
    </w:p>
    <w:p w14:paraId="134AC532" w14:textId="70DD026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Zou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RNA-seq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2019-nCoV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32170560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10.1007/s11684-020-0754-0]</w:t>
      </w:r>
    </w:p>
    <w:p w14:paraId="367BDB38" w14:textId="0B502F6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526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135-140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32199615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10.1016/j.bbrc.2020.03.044]</w:t>
      </w:r>
    </w:p>
    <w:p w14:paraId="4895B4D5" w14:textId="5883272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Pewe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Netland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Farzan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Wohlford-Lenane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Perlman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McCray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14614-14621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16282461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10.1128/JVI.79.23.14614-14621.2005]</w:t>
      </w:r>
    </w:p>
    <w:p w14:paraId="32471FC7" w14:textId="008A37CE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Nardo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Schneeweiss-Gleixner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Bakail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Dixon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33190346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C63845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>v.14730]</w:t>
      </w:r>
    </w:p>
    <w:p w14:paraId="6D9AEB4F" w14:textId="2DF65BE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Shojaee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Vahedian-Azimi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Faizi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Rahimi-Bashar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Shahriary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Nehrir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Sahebkar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1321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53-68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33656713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10.1007/978-3-030-59261-5_5]</w:t>
      </w:r>
    </w:p>
    <w:p w14:paraId="6B42239E" w14:textId="7F785C8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Muus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Luecken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Eraslan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Sikkema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Waghray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Heimberg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Vaishnav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Subramanian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Smillie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Jagadeesh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Fiskin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Triglia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Ansari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Montoro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Andrusivova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Angelidis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Ashenberg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Bassler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Bécavin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Benhar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Bergenstråhle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Bergenstråhle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Callori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Chaffin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Chichelnitskiy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Conlon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Cuoco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Cuomo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Duclos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Ghazanfar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Giotti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Gutierrez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Habermann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Jaiswal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Kapellos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Leney-Greene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Litviňuková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Lukassen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Maatz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Madissoon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Mamanova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Manakongtreecheep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Leroy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Mbano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McAdams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Nabhan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Nyquist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Penland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Poirion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Schupp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Sinha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Slowikowski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Slyper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Sountoulidis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Strunz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Talavera-López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Tantivit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Travaglini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Tucker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Vernon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Wadsworth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Waldman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Ziegler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CGK;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NHLBI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LungMap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546-559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33654293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10.1038/s41591-020-01227-z]</w:t>
      </w:r>
    </w:p>
    <w:p w14:paraId="635D5038" w14:textId="5945F76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Bertolini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Peppel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Bodewes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FAJA,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Moshage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Fantin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Farinati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Fiorotto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Jonker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Strazzabosco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Verkade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Peserico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1864-1872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32702162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10.1002/hep.31480]</w:t>
      </w:r>
    </w:p>
    <w:p w14:paraId="0DDB5CDF" w14:textId="3C18F3B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Genovese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Vollenhoven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Dimonaco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Brockwell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1751-1761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28597609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10.1002/art.40176]</w:t>
      </w:r>
    </w:p>
    <w:p w14:paraId="33869966" w14:textId="57A9CC3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Metawea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Yousif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Moheb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146-152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32988758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10.1016/j.dld.2020.09.010]</w:t>
      </w:r>
    </w:p>
    <w:p w14:paraId="4DB7B558" w14:textId="37E0320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Kovalic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Satapathy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Thuluvath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612-620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32725453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10.1007/s12072-020-10078-2]</w:t>
      </w:r>
    </w:p>
    <w:p w14:paraId="1BB4E243" w14:textId="580BD4C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Narasimhan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Crawford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McGinn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Barnaby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Chelico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Cookingham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Coppa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Diefenbach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Dominello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Duer-Hefele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Falzon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Gitlin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Hajizadeh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Hirschwerk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Kozel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Marrast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Mogavero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Osorio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5700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2052-2059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32320003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10.1001/jama.2020.6775]</w:t>
      </w:r>
    </w:p>
    <w:p w14:paraId="0558F065" w14:textId="6F1ACED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Mantovani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Beatrice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Dalbeni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1316-1320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32329563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C63845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>v.14465]</w:t>
      </w:r>
    </w:p>
    <w:p w14:paraId="400B142E" w14:textId="32EF6B5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Oyelade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Alqahtani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Canciani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32429038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10.3390/tropicalmed5020080]</w:t>
      </w:r>
    </w:p>
    <w:p w14:paraId="0411F91D" w14:textId="7952A2E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Del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Zompo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Ianiro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Gasbarrini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Pompili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Ponziani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13072-13088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33378061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10.26355/eurrev_202012_24215]</w:t>
      </w:r>
    </w:p>
    <w:p w14:paraId="408E7D31" w14:textId="333012ED" w:rsidR="00A77B3E" w:rsidRPr="00E71C43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highlight w:val="yellow"/>
        </w:rPr>
      </w:pPr>
      <w:r w:rsidRPr="00C63845">
        <w:rPr>
          <w:rFonts w:ascii="Book Antiqua" w:eastAsia="Book Antiqua" w:hAnsi="Book Antiqua" w:cs="Book Antiqua"/>
          <w:color w:val="000000"/>
          <w:highlight w:val="yellow"/>
        </w:rPr>
        <w:t>26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b/>
          <w:bCs/>
          <w:color w:val="000000"/>
          <w:highlight w:val="yellow"/>
        </w:rPr>
        <w:t>OpenSAFELY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b/>
          <w:bCs/>
          <w:color w:val="000000"/>
          <w:highlight w:val="yellow"/>
        </w:rPr>
        <w:t>Collaborative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Williamson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E,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Walker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AJ,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Bhaskaran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KJ,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Bacon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Bates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Morton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CE,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Curtis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Mehrkar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Evans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Inglesby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Cockburn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Mcdonald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HI,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MacKenna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B,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Tomlinson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Douglas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IJ,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Rentsch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CT,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Mathur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Wong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Grieve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Harrison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Forbes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Schultze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Croker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RT,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Parry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Hester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F,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Harper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Perera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Evans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Smeeth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Goldacre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71C43" w:rsidRPr="00E71C43">
        <w:rPr>
          <w:rFonts w:ascii="Book Antiqua" w:eastAsia="Book Antiqua" w:hAnsi="Book Antiqua" w:cs="Book Antiqua"/>
          <w:color w:val="000000"/>
          <w:highlight w:val="yellow"/>
        </w:rPr>
        <w:t>B.</w:t>
      </w:r>
      <w:r w:rsidR="00A0095E">
        <w:rPr>
          <w:rFonts w:ascii="Book Antiqua" w:hAnsi="Book Antiqua" w:cs="Book Antiqua" w:hint="eastAsia"/>
          <w:b/>
          <w:bCs/>
          <w:color w:val="000000"/>
          <w:highlight w:val="yellow"/>
          <w:lang w:eastAsia="zh-CN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OpenSAFELY: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factors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associated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COVID‐19‐related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hospital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death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linked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electronic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records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17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million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lastRenderedPageBreak/>
        <w:t>adult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NHS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patients.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 xml:space="preserve"> 2020 Preprint. </w:t>
      </w:r>
      <w:r w:rsidR="00B434C2" w:rsidRPr="00C63845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34C2" w:rsidRPr="00C63845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434C2">
        <w:rPr>
          <w:rFonts w:ascii="Book Antiqua" w:eastAsia="Book Antiqua" w:hAnsi="Book Antiqua" w:cs="Book Antiqua"/>
          <w:color w:val="000000"/>
          <w:highlight w:val="yellow"/>
        </w:rPr>
        <w:t>medRxiv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2020.05.06.20092999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9A051E">
        <w:rPr>
          <w:rFonts w:ascii="Book Antiqua" w:eastAsia="Book Antiqua" w:hAnsi="Book Antiqua" w:cs="Book Antiqua"/>
          <w:color w:val="000000"/>
          <w:highlight w:val="yellow"/>
        </w:rPr>
        <w:t>[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DOI: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10.1101/2020.05.06.20092999</w:t>
      </w:r>
      <w:r w:rsidR="009A051E">
        <w:rPr>
          <w:rFonts w:ascii="Book Antiqua" w:eastAsia="Book Antiqua" w:hAnsi="Book Antiqua" w:cs="Book Antiqua"/>
          <w:color w:val="000000"/>
          <w:highlight w:val="yellow"/>
        </w:rPr>
        <w:t>]</w:t>
      </w:r>
    </w:p>
    <w:p w14:paraId="3565885C" w14:textId="3AC047CE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Co-infection.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842-845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32839868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10.1007/s12250-020-00276-5]</w:t>
      </w:r>
    </w:p>
    <w:p w14:paraId="132CF6CF" w14:textId="2D81515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1211-1221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32761993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10.1111/hepr.13553]</w:t>
      </w:r>
    </w:p>
    <w:p w14:paraId="3F051E51" w14:textId="3BA298A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Hashemi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Viveiros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Bazarbashi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Hathorn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2515-2521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32585065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C63845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>v.14583]</w:t>
      </w:r>
    </w:p>
    <w:p w14:paraId="4268EF54" w14:textId="05866F0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451-453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32278005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10.1016/j.jhep.2020.03.044]</w:t>
      </w:r>
    </w:p>
    <w:p w14:paraId="4EB2448E" w14:textId="0A2CE08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Cabibbo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Stornello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Craxì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33190321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10.1111/jvh.13440]</w:t>
      </w:r>
    </w:p>
    <w:p w14:paraId="27FCC9AA" w14:textId="2991198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Kushner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Cafardi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Disorder/Alcohol-Associated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Disease/Nonalcoholic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195-199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32537135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10.1002/cld.974]</w:t>
      </w:r>
    </w:p>
    <w:p w14:paraId="27D13C93" w14:textId="592C86A6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Choudhury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Abd-Elsalam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Putcharoen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Kaewdech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Piratvisuth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Treeprasertsuk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Wejnaruemarn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Payawal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Baatarkhuu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Alonzo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Chinbayar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Yokosuka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Jafri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Tanwandee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Esmail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Khalaf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Kalista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Batsukh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Purnomo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Mahtab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Shukla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APASL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APASL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(APCOLIS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Study-NCT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04345640).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APCOLIS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(APASL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Study).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690-700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32623632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10.1007/s12072-020-10072-8]</w:t>
      </w:r>
    </w:p>
    <w:p w14:paraId="210DA7A0" w14:textId="48A0179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Bramante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Tignanelli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Tamariz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Metlon-Meaux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Ikramuddin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medRxiv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32909011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10.1101/2020.09.01.20185850]</w:t>
      </w:r>
    </w:p>
    <w:p w14:paraId="23E45EE6" w14:textId="07D2BD0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Abiri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Vafa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1321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33656716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10.1007/978-3-030-59261-5_8]</w:t>
      </w:r>
    </w:p>
    <w:p w14:paraId="0B1952C2" w14:textId="7EC0FF6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Portincasa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Krawczyk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Lammert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Ciaula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intersecting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e13338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32589264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10.1111/eci.13338]</w:t>
      </w:r>
    </w:p>
    <w:p w14:paraId="65888E9A" w14:textId="50D564F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Fricker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Pedley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Benjamin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Framingham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1157-1164.e4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30476583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10.1016/j.cgh.2018.11.037]</w:t>
      </w:r>
    </w:p>
    <w:p w14:paraId="42D397A4" w14:textId="3DF2A4C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701-710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32734407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10.1007/s12072-020-10058-6]</w:t>
      </w:r>
    </w:p>
    <w:p w14:paraId="4A6D456B" w14:textId="375920D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Adeniji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Perumalswami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Roytman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Wegermann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Rabiee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Sadowski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Lizaola-Mayo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Moghe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Viveiros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Chascsa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Dhanasekaran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32950749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10.1016/j.cgh.2020.09.027]</w:t>
      </w:r>
    </w:p>
    <w:p w14:paraId="5D0D07B7" w14:textId="6275F8FD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Marjot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Abd-Elsalam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Armstrong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Cargill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Dhanasekaran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Eshraghian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García-Juárez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Perumalswami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Avitabile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Ufere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4th,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567-577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33035628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10.1016/j.jhep.2020.09.024]</w:t>
      </w:r>
    </w:p>
    <w:p w14:paraId="57EDDC42" w14:textId="02A473E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Tsamakis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Gavriatopoulou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Stravodimou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Mougkou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Tsiptsios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Sioulas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Spartalis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Sioulas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Tsamakis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Charalampakis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Zarogoulidis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Spandidos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Dimopoulos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Papageorgiou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Rizos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441-447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32565968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10.3892/ol.2020.11599]</w:t>
      </w:r>
    </w:p>
    <w:p w14:paraId="5B27B594" w14:textId="163AB6E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32142622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10.1016/S1470-2045(20)30150-9]</w:t>
      </w:r>
    </w:p>
    <w:p w14:paraId="1D6DD44C" w14:textId="65397E41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COVID-19-infected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894-901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32224151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10.1016/j.annonc.2020.03.296]</w:t>
      </w:r>
    </w:p>
    <w:p w14:paraId="19761FCF" w14:textId="5580DD9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Colmenero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Rodríguez-Perálvarez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Salcedo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Arias-Milla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Muñoz-Serrano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Nuño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Gastaca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Bustamante-Schneider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Lladó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Caballero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Fernández-Yunquera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Loinaz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Fondevila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Navasa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Iñarrairaegui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Pascual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Ramírez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Vinaixa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González-Dieguez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González-Grande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Nogueras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Álamo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Blanco-Fernández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Fábrega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García-Pajares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Tomé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Epidemiological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148-155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32750442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10.1016/j.jhep.2020.07.040]</w:t>
      </w:r>
    </w:p>
    <w:p w14:paraId="63AF0484" w14:textId="4BA5E2D9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Rabiee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Sadowski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Adeniji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Perumalswami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Moghe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Dhanasekaran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1900-1911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32964510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10.1002/hep.31574]</w:t>
      </w:r>
    </w:p>
    <w:p w14:paraId="4C4D1E42" w14:textId="0215816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McAuley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Tattersall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1033-1034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32192578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10.1016/S0140-6736(20)30628-0]</w:t>
      </w:r>
    </w:p>
    <w:p w14:paraId="458EAFCE" w14:textId="3CB7620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Boettler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Newsome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Mondelli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Maticic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Cordero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Cornberg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EASL-ESCMID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100113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32289115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10.1016/j.jhepr.2020.100113]</w:t>
      </w:r>
    </w:p>
    <w:p w14:paraId="0DFB45E9" w14:textId="5A2D3696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Brennan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Legendre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McCague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everolimus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A54E59" w:rsidRPr="00A54E59">
        <w:rPr>
          <w:rFonts w:ascii="Book Antiqua" w:eastAsia="Book Antiqua" w:hAnsi="Book Antiqua" w:cs="Book Antiqua"/>
          <w:bCs/>
          <w:iCs/>
          <w:color w:val="000000"/>
        </w:rPr>
        <w:t>versus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2453-2462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21812923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10.1111/j.1600-6143.2011.03674.x]</w:t>
      </w:r>
    </w:p>
    <w:p w14:paraId="02E6D721" w14:textId="7F712FB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Chew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Iyer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Madhavan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Halazun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Battula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Angelico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Buchholz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Rotellar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Pitchaimuthu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Derosas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Imventarza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Muiesan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Bonney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quadripartite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equipoise.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873-881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32454041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10.1016/j.jhep.2020.05.023]</w:t>
      </w:r>
    </w:p>
    <w:p w14:paraId="6CD7BE5D" w14:textId="3E7A43E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0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Amaddeo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Brustia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Allaire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Lequoy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Hollande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Regnault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Blaise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Ganne-Carrié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Séror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Larrey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Mouhadi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Ozenne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Balladur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Massault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Dioguardi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Burgio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Vilgrain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Sepulveda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Cauchy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Luciani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Sommacale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Leroy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Roudot-Thoraval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Bouattour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Nault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high-prevalence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100199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33163949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10.1016/j.jhepr.2020.100199]</w:t>
      </w:r>
    </w:p>
    <w:p w14:paraId="2BAEEA87" w14:textId="13D2EA7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Shiina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Yokosuka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Maruyama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Nagamatsu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Payawal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Dokmeci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Lesmana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Tanwandee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Omata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APASL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920-929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33174159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10.1007/s12072-020-10103-4]</w:t>
      </w:r>
    </w:p>
    <w:p w14:paraId="70680772" w14:textId="11CBE9EA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Kudo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491-502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33078127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10.1159/000510765]</w:t>
      </w:r>
    </w:p>
    <w:p w14:paraId="61F2886A" w14:textId="28EC21E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FP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Kitchin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Absalon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Gurtman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Lockhart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Pérez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Moreira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Zerbini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Roychoudhury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Kalina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Hammitt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Türeci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Schaefer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Ünal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Tresnan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Dormitzer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Şahin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Gruber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C4591001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BNT162b2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2603-2615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33301246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10.1056/NEJMoa2034577]</w:t>
      </w:r>
    </w:p>
    <w:p w14:paraId="306828D8" w14:textId="40A16AE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4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Baden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Essink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Kotloff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Novak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Diemert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Rouphael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Creech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McGettigan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Khetan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Segall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Brosz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Fierro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Neuzil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Follmann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Marovich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Mascola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Polakowski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Ledgerwood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Pajon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Knightly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Ivarsson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Zaks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mRNA-1273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403-416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33378609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10.1056/NEJMoa2035389]</w:t>
      </w:r>
    </w:p>
    <w:p w14:paraId="26F3B43F" w14:textId="1315CA60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5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Voysey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Clemens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Madhi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Weckx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Folegatti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Baillie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Barnabas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Bhorat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Cicconi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Colin-Jones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Cutland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Darton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Dheda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Duncan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Ferreira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Goodman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Hodgson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Kerridge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Kwatra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Lazarus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Lelliott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Lillie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Mallory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Minassian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McGregor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Mujadidi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Padayachee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Pittella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Plested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Pollock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Ramasamy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Rhead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Schwarzbold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Snape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Sprinz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Tarrant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Török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Toshner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Vekemans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Villafana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Oxford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ChAdOx1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nCoV-19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(AZD1222)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interim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397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99-111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33306989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10.1016/S0140-6736(20)32661-1]</w:t>
      </w:r>
    </w:p>
    <w:p w14:paraId="6E569D31" w14:textId="21D3C70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Cornberg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Eberhardt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Grossi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Shouval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09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944-951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33563499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10.1016/j.jhep.2021.01.032]</w:t>
      </w:r>
    </w:p>
    <w:p w14:paraId="0BD94582" w14:textId="01B13D2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76B2F">
        <w:rPr>
          <w:rFonts w:ascii="Book Antiqua" w:eastAsia="Book Antiqua" w:hAnsi="Book Antiqua" w:cs="Book Antiqua"/>
          <w:color w:val="000000"/>
        </w:rPr>
        <w:t>7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Fix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OK</w:t>
      </w:r>
      <w:r>
        <w:rPr>
          <w:rFonts w:ascii="Book Antiqua" w:eastAsia="Book Antiqua" w:hAnsi="Book Antiqua" w:cs="Book Antiqua"/>
          <w:color w:val="000000"/>
        </w:rPr>
        <w:t>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Blumberg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Goacher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Hameed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Kulik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McGuire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Mulligan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Schilsky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RJ;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33577086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10.1002/hep.31751]</w:t>
      </w:r>
    </w:p>
    <w:p w14:paraId="294C4480" w14:textId="5652D0EF" w:rsidR="00A77B3E" w:rsidRDefault="00504ED5" w:rsidP="00975EE7">
      <w:pPr>
        <w:snapToGrid w:val="0"/>
        <w:spacing w:line="360" w:lineRule="auto"/>
        <w:jc w:val="both"/>
      </w:pPr>
      <w:r w:rsidRPr="00C63845">
        <w:rPr>
          <w:rFonts w:ascii="Book Antiqua" w:eastAsia="Book Antiqua" w:hAnsi="Book Antiqua" w:cs="Book Antiqua"/>
          <w:color w:val="000000"/>
          <w:highlight w:val="yellow"/>
        </w:rPr>
        <w:t>5</w:t>
      </w:r>
      <w:r w:rsidR="00A76B2F">
        <w:rPr>
          <w:rFonts w:ascii="Book Antiqua" w:eastAsia="Book Antiqua" w:hAnsi="Book Antiqua" w:cs="Book Antiqua"/>
          <w:color w:val="000000"/>
          <w:highlight w:val="yellow"/>
        </w:rPr>
        <w:t>8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80723F"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British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80723F"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Society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80723F"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A0095E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80723F" w:rsidRPr="0080723F">
        <w:rPr>
          <w:rFonts w:ascii="Book Antiqua" w:eastAsia="Book Antiqua" w:hAnsi="Book Antiqua" w:cs="Book Antiqua"/>
          <w:b/>
          <w:bCs/>
          <w:color w:val="000000"/>
          <w:highlight w:val="yellow"/>
        </w:rPr>
        <w:t>Gastroenterology.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joint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statement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vaccination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SARS-CoV-2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patients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Liver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diseases.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Updated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03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2021</w:t>
      </w:r>
      <w:r w:rsidR="00B434C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5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A0095E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3845">
        <w:rPr>
          <w:rFonts w:ascii="Book Antiqua" w:eastAsia="Book Antiqua" w:hAnsi="Book Antiqua" w:cs="Book Antiqua"/>
          <w:color w:val="000000"/>
          <w:highlight w:val="yellow"/>
        </w:rPr>
        <w:t>https://www.bsg.org.uk/covid-19-advice/a-joint-statement-on-vaccination-for-sars-cov2-in-patients-with-liver-disease/</w:t>
      </w:r>
    </w:p>
    <w:bookmarkEnd w:id="4"/>
    <w:p w14:paraId="6DECA5C8" w14:textId="77777777" w:rsidR="00A77B3E" w:rsidRDefault="00A77B3E" w:rsidP="00975EE7">
      <w:pPr>
        <w:snapToGrid w:val="0"/>
        <w:spacing w:line="360" w:lineRule="auto"/>
        <w:jc w:val="both"/>
        <w:sectPr w:rsidR="00A77B3E" w:rsidSect="00655A42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2AA0EE35" w14:textId="77777777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DF272A" w14:textId="7C958AC6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Prashant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Nasa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fees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serving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advisory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Edward</w:t>
      </w:r>
      <w:r w:rsidR="00A009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Lifesciences.</w:t>
      </w:r>
    </w:p>
    <w:p w14:paraId="5DEE7423" w14:textId="77777777" w:rsidR="00A77B3E" w:rsidRDefault="00A77B3E" w:rsidP="00975EE7">
      <w:pPr>
        <w:snapToGrid w:val="0"/>
        <w:spacing w:line="360" w:lineRule="auto"/>
        <w:jc w:val="both"/>
      </w:pPr>
    </w:p>
    <w:p w14:paraId="1FEA428D" w14:textId="2DCA0C12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907DAE9" w14:textId="77777777" w:rsidR="00A77B3E" w:rsidRDefault="00A77B3E" w:rsidP="00975EE7">
      <w:pPr>
        <w:snapToGrid w:val="0"/>
        <w:spacing w:line="360" w:lineRule="auto"/>
        <w:jc w:val="both"/>
      </w:pPr>
    </w:p>
    <w:p w14:paraId="3D66059F" w14:textId="2624B90F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6773E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DF26AAC" w14:textId="77777777" w:rsidR="00A77B3E" w:rsidRDefault="00A77B3E" w:rsidP="00975EE7">
      <w:pPr>
        <w:snapToGrid w:val="0"/>
        <w:spacing w:line="360" w:lineRule="auto"/>
        <w:jc w:val="both"/>
      </w:pPr>
    </w:p>
    <w:p w14:paraId="27F30E05" w14:textId="3D5754D4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26D9EDF" w14:textId="73B11BE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274AEAC" w14:textId="0FF9DAB9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</w:p>
    <w:p w14:paraId="415DD846" w14:textId="77777777" w:rsidR="00A77B3E" w:rsidRDefault="00A77B3E" w:rsidP="00975EE7">
      <w:pPr>
        <w:snapToGrid w:val="0"/>
        <w:spacing w:line="360" w:lineRule="auto"/>
        <w:jc w:val="both"/>
      </w:pPr>
    </w:p>
    <w:p w14:paraId="483EBC76" w14:textId="7186B9F5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E64F5">
        <w:rPr>
          <w:rFonts w:ascii="Book Antiqua" w:eastAsia="Book Antiqua" w:hAnsi="Book Antiqua" w:cs="Book Antiqua"/>
          <w:color w:val="000000"/>
        </w:rPr>
        <w:t>general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E64F5">
        <w:rPr>
          <w:rFonts w:ascii="Book Antiqua" w:eastAsia="Book Antiqua" w:hAnsi="Book Antiqua" w:cs="Book Antiqua"/>
          <w:color w:val="000000"/>
        </w:rPr>
        <w:t>and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 w:rsidR="00DE64F5">
        <w:rPr>
          <w:rFonts w:ascii="Book Antiqua" w:eastAsia="Book Antiqua" w:hAnsi="Book Antiqua" w:cs="Book Antiqua"/>
          <w:color w:val="000000"/>
        </w:rPr>
        <w:t>internal</w:t>
      </w:r>
    </w:p>
    <w:p w14:paraId="29D0DC33" w14:textId="42BAABCC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Emirates</w:t>
      </w:r>
    </w:p>
    <w:p w14:paraId="4C9C687E" w14:textId="73F14FED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618D0E" w14:textId="6E852D6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46D1F69" w14:textId="0357F108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95AEA5E" w14:textId="1B751059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FDDEF37" w14:textId="2CB9977B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2EED5E" w14:textId="7F998683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63550790" w14:textId="77777777" w:rsidR="00A77B3E" w:rsidRDefault="00A77B3E" w:rsidP="00975EE7">
      <w:pPr>
        <w:snapToGrid w:val="0"/>
        <w:spacing w:line="360" w:lineRule="auto"/>
        <w:jc w:val="both"/>
      </w:pPr>
    </w:p>
    <w:p w14:paraId="70E05193" w14:textId="6579DE5E" w:rsidR="00A77B3E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Gallo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A009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11F1">
        <w:rPr>
          <w:rFonts w:ascii="Book Antiqua" w:eastAsia="Book Antiqua" w:hAnsi="Book Antiqua" w:cs="Book Antiqua"/>
          <w:bCs/>
          <w:color w:val="000000"/>
        </w:rPr>
        <w:t>Filipodia</w:t>
      </w:r>
      <w:r w:rsidR="004011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5010060A" w14:textId="646AD0FC" w:rsidR="006773E9" w:rsidRDefault="006773E9" w:rsidP="00975EE7">
      <w:pPr>
        <w:snapToGrid w:val="0"/>
        <w:spacing w:line="360" w:lineRule="auto"/>
        <w:jc w:val="both"/>
        <w:sectPr w:rsidR="006773E9" w:rsidSect="00655A42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11C48899" w14:textId="200679A9" w:rsidR="00A77B3E" w:rsidRDefault="00504ED5" w:rsidP="00975EE7">
      <w:pPr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09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BB91CB1" w14:textId="446B18BE" w:rsidR="00A77B3E" w:rsidRDefault="006773E9" w:rsidP="00975EE7">
      <w:pPr>
        <w:snapToGrid w:val="0"/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5BA0FE20" wp14:editId="7C6A0D91">
            <wp:extent cx="5943600" cy="3435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743D" w14:textId="2C26C406" w:rsidR="00A77B3E" w:rsidRPr="006773E9" w:rsidRDefault="00504ED5" w:rsidP="00975EE7">
      <w:pPr>
        <w:snapToGrid w:val="0"/>
        <w:spacing w:line="360" w:lineRule="auto"/>
        <w:jc w:val="both"/>
        <w:rPr>
          <w:b/>
          <w:bCs/>
        </w:rPr>
      </w:pPr>
      <w:r w:rsidRPr="00677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6773E9" w:rsidRPr="006773E9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F0E1C01" w14:textId="7513C609" w:rsidR="00A77B3E" w:rsidRDefault="006773E9" w:rsidP="00975EE7">
      <w:pPr>
        <w:snapToGrid w:val="0"/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12A12CBA" wp14:editId="10530C60">
            <wp:extent cx="5943600" cy="44297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3605" w14:textId="726D38ED" w:rsidR="00A77B3E" w:rsidRPr="006773E9" w:rsidRDefault="00504ED5" w:rsidP="00975EE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77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2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measures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safe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pre-existing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6773E9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6773E9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64F5" w:rsidRPr="006773E9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73E9">
        <w:rPr>
          <w:rFonts w:ascii="Book Antiqua" w:eastAsia="Book Antiqua" w:hAnsi="Book Antiqua" w:cs="Book Antiqua"/>
          <w:b/>
          <w:bCs/>
          <w:color w:val="000000"/>
        </w:rPr>
        <w:t>pandemic</w:t>
      </w:r>
      <w:r w:rsidR="006773E9" w:rsidRPr="006773E9">
        <w:rPr>
          <w:rFonts w:ascii="Book Antiqua" w:eastAsia="Book Antiqua" w:hAnsi="Book Antiqua" w:cs="Book Antiqua"/>
          <w:b/>
          <w:bCs/>
          <w:color w:val="000000"/>
        </w:rPr>
        <w:t>.</w:t>
      </w:r>
      <w:r w:rsidR="00A009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06EE" w:rsidRPr="00BA06EE">
        <w:rPr>
          <w:rFonts w:ascii="Book Antiqua" w:hAnsi="Book Antiqua"/>
          <w:bCs/>
        </w:rPr>
        <w:t>COVID-19:</w:t>
      </w:r>
      <w:r w:rsidR="00A0095E">
        <w:rPr>
          <w:rFonts w:ascii="Book Antiqua" w:hAnsi="Book Antiqua"/>
          <w:bCs/>
        </w:rPr>
        <w:t xml:space="preserve"> </w:t>
      </w:r>
      <w:r w:rsidR="00BA06EE" w:rsidRPr="00BA06EE">
        <w:rPr>
          <w:rFonts w:ascii="Book Antiqua" w:eastAsia="Book Antiqua" w:hAnsi="Book Antiqua" w:cs="Book Antiqua"/>
          <w:bCs/>
          <w:caps/>
          <w:color w:val="000000"/>
        </w:rPr>
        <w:t>c</w:t>
      </w:r>
      <w:r w:rsidR="00BA06EE" w:rsidRPr="00BA06EE">
        <w:rPr>
          <w:rFonts w:ascii="Book Antiqua" w:eastAsia="Book Antiqua" w:hAnsi="Book Antiqua" w:cs="Book Antiqua"/>
          <w:bCs/>
          <w:color w:val="000000"/>
        </w:rPr>
        <w:t>oronavirus</w:t>
      </w:r>
      <w:r w:rsidR="00A0095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A06EE" w:rsidRPr="00BA06EE">
        <w:rPr>
          <w:rFonts w:ascii="Book Antiqua" w:eastAsia="Book Antiqua" w:hAnsi="Book Antiqua" w:cs="Book Antiqua"/>
          <w:bCs/>
          <w:color w:val="000000"/>
        </w:rPr>
        <w:t>disease</w:t>
      </w:r>
      <w:r w:rsidR="00A0095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A06EE" w:rsidRPr="00BA06EE">
        <w:rPr>
          <w:rFonts w:ascii="Book Antiqua" w:eastAsia="Book Antiqua" w:hAnsi="Book Antiqua" w:cs="Book Antiqua"/>
          <w:bCs/>
          <w:color w:val="000000"/>
        </w:rPr>
        <w:t>2019.</w:t>
      </w:r>
    </w:p>
    <w:p w14:paraId="5045E5B5" w14:textId="766CE750" w:rsidR="006773E9" w:rsidRPr="00C40DC6" w:rsidRDefault="006773E9" w:rsidP="00975EE7">
      <w:pPr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C40DC6">
        <w:rPr>
          <w:rFonts w:ascii="Book Antiqua" w:hAnsi="Book Antiqua"/>
          <w:b/>
        </w:rPr>
        <w:lastRenderedPageBreak/>
        <w:t>Table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1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Impact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of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drugs</w:t>
      </w:r>
      <w:r w:rsidR="00A0095E">
        <w:rPr>
          <w:rFonts w:ascii="Book Antiqua" w:hAnsi="Book Antiqua"/>
          <w:b/>
        </w:rPr>
        <w:t xml:space="preserve"> </w:t>
      </w:r>
      <w:r w:rsidR="00121CA1">
        <w:rPr>
          <w:rFonts w:ascii="Book Antiqua" w:hAnsi="Book Antiqua"/>
          <w:b/>
        </w:rPr>
        <w:t xml:space="preserve">currently </w:t>
      </w:r>
      <w:r w:rsidRPr="00C40DC6">
        <w:rPr>
          <w:rFonts w:ascii="Book Antiqua" w:hAnsi="Book Antiqua"/>
          <w:b/>
        </w:rPr>
        <w:t>used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for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management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coronavirus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disease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2019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on</w:t>
      </w:r>
      <w:r w:rsidR="00A0095E">
        <w:rPr>
          <w:rFonts w:ascii="Book Antiqua" w:hAnsi="Book Antiqua"/>
          <w:b/>
        </w:rPr>
        <w:t xml:space="preserve"> </w:t>
      </w:r>
      <w:r w:rsidRPr="00C40DC6">
        <w:rPr>
          <w:rFonts w:ascii="Book Antiqua" w:hAnsi="Book Antiqua"/>
          <w:b/>
        </w:rPr>
        <w:t>the</w:t>
      </w:r>
      <w:r w:rsidR="00A0095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liver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6773E9" w:rsidRPr="00C40DC6" w14:paraId="1BAE78CD" w14:textId="77777777" w:rsidTr="00606A4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BDD3F88" w14:textId="65B42B09" w:rsidR="006773E9" w:rsidRPr="00975EE7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40DC6">
              <w:rPr>
                <w:rFonts w:ascii="Book Antiqua" w:hAnsi="Book Antiqua" w:cstheme="minorHAnsi"/>
                <w:b/>
              </w:rPr>
              <w:t>Drug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BBA245E" w14:textId="23CD242F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40DC6">
              <w:rPr>
                <w:rFonts w:ascii="Book Antiqua" w:hAnsi="Book Antiqua" w:cstheme="minorHAnsi"/>
                <w:b/>
              </w:rPr>
              <w:t>Mechanism</w:t>
            </w:r>
            <w:r w:rsidR="00A0095E">
              <w:rPr>
                <w:rFonts w:ascii="Book Antiqua" w:hAnsi="Book Antiqua" w:cstheme="minorHAnsi"/>
                <w:b/>
              </w:rPr>
              <w:t xml:space="preserve"> </w:t>
            </w:r>
            <w:r w:rsidRPr="00C40DC6">
              <w:rPr>
                <w:rFonts w:ascii="Book Antiqua" w:hAnsi="Book Antiqua" w:cstheme="minorHAnsi"/>
                <w:b/>
              </w:rPr>
              <w:t>of</w:t>
            </w:r>
            <w:r w:rsidR="00A0095E">
              <w:rPr>
                <w:rFonts w:ascii="Book Antiqua" w:hAnsi="Book Antiqua" w:cstheme="minorHAnsi"/>
                <w:b/>
              </w:rPr>
              <w:t xml:space="preserve"> </w:t>
            </w:r>
            <w:r w:rsidRPr="00C40DC6">
              <w:rPr>
                <w:rFonts w:ascii="Book Antiqua" w:hAnsi="Book Antiqua" w:cstheme="minorHAnsi"/>
                <w:b/>
              </w:rPr>
              <w:t>action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EBAF3C" w14:textId="25A17BC8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  <w:b/>
              </w:rPr>
            </w:pPr>
            <w:r w:rsidRPr="00C40DC6">
              <w:rPr>
                <w:rFonts w:ascii="Book Antiqua" w:hAnsi="Book Antiqua" w:cstheme="minorHAnsi"/>
                <w:b/>
              </w:rPr>
              <w:t>Impact</w:t>
            </w:r>
            <w:r w:rsidR="00A0095E">
              <w:rPr>
                <w:rFonts w:ascii="Book Antiqua" w:hAnsi="Book Antiqua" w:cstheme="minorHAnsi"/>
                <w:b/>
              </w:rPr>
              <w:t xml:space="preserve"> </w:t>
            </w:r>
            <w:r w:rsidRPr="00C40DC6">
              <w:rPr>
                <w:rFonts w:ascii="Book Antiqua" w:hAnsi="Book Antiqua" w:cstheme="minorHAnsi"/>
                <w:b/>
              </w:rPr>
              <w:t>on</w:t>
            </w:r>
            <w:r w:rsidR="00A0095E">
              <w:rPr>
                <w:rFonts w:ascii="Book Antiqua" w:hAnsi="Book Antiqua" w:cstheme="minorHAnsi"/>
                <w:b/>
              </w:rPr>
              <w:t xml:space="preserve"> </w:t>
            </w:r>
            <w:r w:rsidRPr="00C40DC6">
              <w:rPr>
                <w:rFonts w:ascii="Book Antiqua" w:hAnsi="Book Antiqua" w:cstheme="minorHAnsi"/>
                <w:b/>
              </w:rPr>
              <w:t>CLD</w:t>
            </w:r>
            <w:r w:rsidR="00A0095E">
              <w:rPr>
                <w:rFonts w:ascii="Book Antiqua" w:hAnsi="Book Antiqua" w:cstheme="minorHAnsi"/>
                <w:b/>
              </w:rPr>
              <w:t xml:space="preserve"> </w:t>
            </w:r>
            <w:r w:rsidRPr="00C40DC6">
              <w:rPr>
                <w:rFonts w:ascii="Book Antiqua" w:hAnsi="Book Antiqua" w:cstheme="minorHAnsi"/>
                <w:b/>
              </w:rPr>
              <w:t>management</w:t>
            </w:r>
          </w:p>
        </w:tc>
      </w:tr>
      <w:tr w:rsidR="006773E9" w:rsidRPr="00C40DC6" w14:paraId="6570A718" w14:textId="77777777" w:rsidTr="00606A41">
        <w:tc>
          <w:tcPr>
            <w:tcW w:w="2802" w:type="dxa"/>
            <w:tcBorders>
              <w:top w:val="single" w:sz="4" w:space="0" w:color="auto"/>
            </w:tcBorders>
          </w:tcPr>
          <w:p w14:paraId="0F5D0873" w14:textId="77777777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Remdesivir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F19CB30" w14:textId="0F54AC65" w:rsidR="006773E9" w:rsidRPr="00C40DC6" w:rsidRDefault="001F27F1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V</w:t>
            </w:r>
            <w:r w:rsidR="006773E9" w:rsidRPr="00C40DC6">
              <w:rPr>
                <w:rFonts w:ascii="Book Antiqua" w:hAnsi="Book Antiqua" w:cstheme="minorHAnsi"/>
              </w:rPr>
              <w:t>iral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="006773E9" w:rsidRPr="00C40DC6">
              <w:rPr>
                <w:rFonts w:ascii="Book Antiqua" w:hAnsi="Book Antiqua" w:cstheme="minorHAnsi"/>
              </w:rPr>
              <w:t>RNA</w:t>
            </w:r>
            <w:r w:rsidR="00BE2CFF">
              <w:rPr>
                <w:rFonts w:ascii="Book Antiqua" w:hAnsi="Book Antiqua" w:cstheme="minorHAnsi"/>
              </w:rPr>
              <w:t>-</w:t>
            </w:r>
            <w:r w:rsidR="006773E9">
              <w:rPr>
                <w:rFonts w:ascii="Book Antiqua" w:hAnsi="Book Antiqua" w:cstheme="minorHAnsi"/>
              </w:rPr>
              <w:t>dependent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="006773E9">
              <w:rPr>
                <w:rFonts w:ascii="Book Antiqua" w:hAnsi="Book Antiqua" w:cstheme="minorHAnsi"/>
              </w:rPr>
              <w:t>RNA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="006773E9" w:rsidRPr="00C40DC6">
              <w:rPr>
                <w:rFonts w:ascii="Book Antiqua" w:hAnsi="Book Antiqua" w:cstheme="minorHAnsi"/>
              </w:rPr>
              <w:t>polymerase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="006773E9" w:rsidRPr="00C40DC6">
              <w:rPr>
                <w:rFonts w:ascii="Book Antiqua" w:hAnsi="Book Antiqua" w:cstheme="minorHAnsi"/>
              </w:rPr>
              <w:t>inhibitor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783078" w14:textId="500DA21A" w:rsidR="00975EE7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Liver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toxicity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possible</w:t>
            </w:r>
          </w:p>
          <w:p w14:paraId="393FF396" w14:textId="04F80CE2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No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liver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relevant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drug</w:t>
            </w:r>
            <w:r>
              <w:rPr>
                <w:rFonts w:ascii="Book Antiqua" w:hAnsi="Book Antiqua" w:cstheme="minorHAnsi"/>
              </w:rPr>
              <w:t>-drug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interaction</w:t>
            </w:r>
            <w:r>
              <w:rPr>
                <w:rFonts w:ascii="Book Antiqua" w:hAnsi="Book Antiqua" w:cstheme="minorHAnsi"/>
              </w:rPr>
              <w:t>s</w:t>
            </w:r>
          </w:p>
        </w:tc>
      </w:tr>
      <w:tr w:rsidR="006773E9" w:rsidRPr="00C40DC6" w14:paraId="7CEA1BCB" w14:textId="77777777" w:rsidTr="00606A41">
        <w:tc>
          <w:tcPr>
            <w:tcW w:w="2802" w:type="dxa"/>
          </w:tcPr>
          <w:p w14:paraId="2DC7293F" w14:textId="77777777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Lopinavir/ritonavir</w:t>
            </w:r>
          </w:p>
        </w:tc>
        <w:tc>
          <w:tcPr>
            <w:tcW w:w="3118" w:type="dxa"/>
          </w:tcPr>
          <w:p w14:paraId="4C863472" w14:textId="36C4E193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E07180">
              <w:rPr>
                <w:rFonts w:ascii="Book Antiqua" w:hAnsi="Book Antiqua" w:cstheme="minorHAnsi"/>
                <w:caps/>
              </w:rPr>
              <w:t>p</w:t>
            </w:r>
            <w:r w:rsidRPr="00C40DC6">
              <w:rPr>
                <w:rFonts w:ascii="Book Antiqua" w:hAnsi="Book Antiqua" w:cstheme="minorHAnsi"/>
              </w:rPr>
              <w:t>rotease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>
              <w:rPr>
                <w:rFonts w:ascii="Book Antiqua" w:hAnsi="Book Antiqua" w:cstheme="minorHAnsi"/>
              </w:rPr>
              <w:t>i</w:t>
            </w:r>
            <w:r w:rsidRPr="00C40DC6">
              <w:rPr>
                <w:rFonts w:ascii="Book Antiqua" w:hAnsi="Book Antiqua" w:cstheme="minorHAnsi"/>
              </w:rPr>
              <w:t>nhibitors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3686" w:type="dxa"/>
          </w:tcPr>
          <w:p w14:paraId="6EA4C905" w14:textId="3610ABF1" w:rsidR="00975EE7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mTOR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inhibitors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(sirolimus,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everolimus)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should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not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be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co-administered.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Close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monitoring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drug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level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are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required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for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calcineurin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inhibitors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(cyclosporine,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tacrolimus</w:t>
            </w:r>
            <w:r>
              <w:rPr>
                <w:rFonts w:ascii="Book Antiqua" w:hAnsi="Book Antiqua" w:cstheme="minorHAnsi"/>
              </w:rPr>
              <w:t>)</w:t>
            </w:r>
          </w:p>
          <w:p w14:paraId="203BB38D" w14:textId="38A116FD" w:rsidR="00975EE7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The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risk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lopinavir-associated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hepatotoxicity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patients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with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very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advanced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liver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disease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low</w:t>
            </w:r>
          </w:p>
          <w:p w14:paraId="082B3703" w14:textId="49F683FC" w:rsidR="006773E9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AdvOT863180fb"/>
              </w:rPr>
            </w:pPr>
            <w:r w:rsidRPr="00C40DC6">
              <w:rPr>
                <w:rFonts w:ascii="Book Antiqua" w:hAnsi="Book Antiqua" w:cstheme="minorHAnsi"/>
              </w:rPr>
              <w:t>Patients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with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decompensated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cirrhosis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should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not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be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treated</w:t>
            </w:r>
          </w:p>
        </w:tc>
      </w:tr>
      <w:tr w:rsidR="006773E9" w:rsidRPr="00C40DC6" w14:paraId="17AE2AE2" w14:textId="77777777" w:rsidTr="00606A41">
        <w:tc>
          <w:tcPr>
            <w:tcW w:w="2802" w:type="dxa"/>
          </w:tcPr>
          <w:p w14:paraId="3C39334E" w14:textId="77777777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Tocilizumab</w:t>
            </w:r>
          </w:p>
        </w:tc>
        <w:tc>
          <w:tcPr>
            <w:tcW w:w="3118" w:type="dxa"/>
          </w:tcPr>
          <w:p w14:paraId="79721B36" w14:textId="4316D319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Humanized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>
              <w:rPr>
                <w:rFonts w:ascii="Book Antiqua" w:hAnsi="Book Antiqua" w:cstheme="minorHAnsi"/>
              </w:rPr>
              <w:t>monoclonal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>
              <w:rPr>
                <w:rFonts w:ascii="Book Antiqua" w:hAnsi="Book Antiqua" w:cstheme="minorHAnsi"/>
              </w:rPr>
              <w:t>antibody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targeting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interleukin-6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receptor</w:t>
            </w:r>
          </w:p>
        </w:tc>
        <w:tc>
          <w:tcPr>
            <w:tcW w:w="3686" w:type="dxa"/>
          </w:tcPr>
          <w:p w14:paraId="20A74C6B" w14:textId="16FBCAF8" w:rsidR="00E07180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Patients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with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decompensated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cirrhosis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should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not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be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treated</w:t>
            </w:r>
          </w:p>
          <w:p w14:paraId="50DBB4A6" w14:textId="62DF272A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Consider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risk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HBV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reactivation</w:t>
            </w:r>
          </w:p>
        </w:tc>
      </w:tr>
      <w:tr w:rsidR="006773E9" w:rsidRPr="00C40DC6" w14:paraId="30E56284" w14:textId="77777777" w:rsidTr="00606A41">
        <w:tc>
          <w:tcPr>
            <w:tcW w:w="2802" w:type="dxa"/>
          </w:tcPr>
          <w:p w14:paraId="0FAFED22" w14:textId="77777777" w:rsidR="006773E9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Methylprednisolone</w:t>
            </w:r>
          </w:p>
          <w:p w14:paraId="6B28DA56" w14:textId="77777777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(steroids)</w:t>
            </w:r>
          </w:p>
        </w:tc>
        <w:tc>
          <w:tcPr>
            <w:tcW w:w="3118" w:type="dxa"/>
          </w:tcPr>
          <w:p w14:paraId="194CFCCC" w14:textId="68F16383" w:rsidR="006773E9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Bind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nuclear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receptors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to</w:t>
            </w:r>
          </w:p>
          <w:p w14:paraId="398AD2C9" w14:textId="354C8DDA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dampen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proinflammatory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cytokines</w:t>
            </w:r>
          </w:p>
        </w:tc>
        <w:tc>
          <w:tcPr>
            <w:tcW w:w="3686" w:type="dxa"/>
          </w:tcPr>
          <w:p w14:paraId="31DF77E6" w14:textId="5226C1E9" w:rsidR="006773E9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The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risk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other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infections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(</w:t>
            </w:r>
            <w:r w:rsidRPr="001F27F1">
              <w:rPr>
                <w:rFonts w:ascii="Book Antiqua" w:hAnsi="Book Antiqua" w:cstheme="minorHAnsi"/>
                <w:i/>
                <w:iCs/>
              </w:rPr>
              <w:t>e.g.</w:t>
            </w:r>
            <w:r w:rsidR="001F27F1">
              <w:rPr>
                <w:rFonts w:ascii="Book Antiqua" w:hAnsi="Book Antiqua" w:cstheme="minorHAnsi"/>
              </w:rPr>
              <w:t>,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="00D724AB">
              <w:rPr>
                <w:rFonts w:ascii="Book Antiqua" w:hAnsi="Book Antiqua" w:cstheme="minorHAnsi"/>
              </w:rPr>
              <w:t>spontaneous bacterial peritonitis</w:t>
            </w:r>
            <w:r w:rsidRPr="00C40DC6">
              <w:rPr>
                <w:rFonts w:ascii="Book Antiqua" w:hAnsi="Book Antiqua" w:cstheme="minorHAnsi"/>
              </w:rPr>
              <w:t>)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and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viral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shedding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may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increase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</w:t>
            </w:r>
            <w:r w:rsidR="00A0095E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patents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with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decompensated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liver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cirrhosis</w:t>
            </w:r>
          </w:p>
          <w:p w14:paraId="650786C6" w14:textId="2306638E" w:rsidR="006773E9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Consider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antimicrobial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prophylaxis</w:t>
            </w:r>
          </w:p>
          <w:p w14:paraId="25225360" w14:textId="7D1DF8E4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Consider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risk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HBV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reactivation</w:t>
            </w:r>
          </w:p>
        </w:tc>
      </w:tr>
      <w:tr w:rsidR="006773E9" w:rsidRPr="00C40DC6" w14:paraId="4751C2D9" w14:textId="77777777" w:rsidTr="00606A41">
        <w:trPr>
          <w:trHeight w:val="872"/>
        </w:trPr>
        <w:tc>
          <w:tcPr>
            <w:tcW w:w="2802" w:type="dxa"/>
          </w:tcPr>
          <w:p w14:paraId="6B013738" w14:textId="77777777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Favipiravir</w:t>
            </w:r>
          </w:p>
        </w:tc>
        <w:tc>
          <w:tcPr>
            <w:tcW w:w="3118" w:type="dxa"/>
          </w:tcPr>
          <w:p w14:paraId="28B0544F" w14:textId="6844D671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Guanine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analogue,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RNA</w:t>
            </w:r>
            <w:r w:rsidR="00BE2CFF">
              <w:rPr>
                <w:rFonts w:ascii="Book Antiqua" w:hAnsi="Book Antiqua" w:cstheme="minorHAnsi"/>
              </w:rPr>
              <w:t>-</w:t>
            </w:r>
            <w:r w:rsidRPr="00C40DC6">
              <w:rPr>
                <w:rFonts w:ascii="Book Antiqua" w:hAnsi="Book Antiqua" w:cstheme="minorHAnsi"/>
              </w:rPr>
              <w:t>dependent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RNA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polymerase</w:t>
            </w:r>
          </w:p>
        </w:tc>
        <w:tc>
          <w:tcPr>
            <w:tcW w:w="3686" w:type="dxa"/>
          </w:tcPr>
          <w:p w14:paraId="67DF3F3D" w14:textId="54A64484" w:rsidR="00975EE7" w:rsidRPr="00C40DC6" w:rsidRDefault="006773E9" w:rsidP="00975EE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Elevation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of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ALT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and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AST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possible</w:t>
            </w:r>
          </w:p>
          <w:p w14:paraId="3C37E4D0" w14:textId="4B649DA2" w:rsidR="006773E9" w:rsidRPr="00C40DC6" w:rsidRDefault="006773E9" w:rsidP="00975EE7">
            <w:pPr>
              <w:snapToGrid w:val="0"/>
              <w:spacing w:line="360" w:lineRule="auto"/>
              <w:rPr>
                <w:rFonts w:ascii="Book Antiqua" w:hAnsi="Book Antiqua" w:cstheme="minorHAnsi"/>
              </w:rPr>
            </w:pPr>
            <w:r w:rsidRPr="00C40DC6">
              <w:rPr>
                <w:rFonts w:ascii="Book Antiqua" w:hAnsi="Book Antiqua" w:cstheme="minorHAnsi"/>
              </w:rPr>
              <w:t>No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data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in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cirrhosis</w:t>
            </w:r>
            <w:r w:rsidR="00A0095E">
              <w:rPr>
                <w:rFonts w:ascii="Book Antiqua" w:hAnsi="Book Antiqua" w:cstheme="minorHAnsi"/>
              </w:rPr>
              <w:t xml:space="preserve"> </w:t>
            </w:r>
            <w:r w:rsidRPr="00C40DC6">
              <w:rPr>
                <w:rFonts w:ascii="Book Antiqua" w:hAnsi="Book Antiqua" w:cstheme="minorHAnsi"/>
              </w:rPr>
              <w:t>available</w:t>
            </w:r>
          </w:p>
        </w:tc>
      </w:tr>
    </w:tbl>
    <w:p w14:paraId="15B55DB9" w14:textId="06502042" w:rsidR="006773E9" w:rsidRPr="001F27F1" w:rsidRDefault="006773E9" w:rsidP="00C12EAA">
      <w:pPr>
        <w:snapToGrid w:val="0"/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lastRenderedPageBreak/>
        <w:t>ACE-2: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Angiotensin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-converting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enzyme</w:t>
      </w:r>
      <w:r w:rsidR="001F27F1">
        <w:rPr>
          <w:rFonts w:ascii="Book Antiqua" w:hAnsi="Book Antiqua" w:cstheme="minorHAnsi"/>
        </w:rPr>
        <w:t>;</w:t>
      </w:r>
      <w:r w:rsidR="00A0095E">
        <w:rPr>
          <w:rFonts w:ascii="Book Antiqua" w:hAnsi="Book Antiqua" w:cstheme="minorHAnsi"/>
        </w:rPr>
        <w:t xml:space="preserve"> </w:t>
      </w:r>
      <w:r w:rsidR="00121CA1">
        <w:rPr>
          <w:rFonts w:ascii="Book Antiqua" w:hAnsi="Book Antiqua" w:cstheme="minorHAnsi"/>
        </w:rPr>
        <w:t xml:space="preserve">CLD: Chronic liver disease; </w:t>
      </w:r>
      <w:r w:rsidR="00040B67">
        <w:rPr>
          <w:rFonts w:ascii="Book Antiqua" w:hAnsi="Book Antiqua" w:cstheme="minorHAnsi"/>
        </w:rPr>
        <w:t xml:space="preserve">G6PD: </w:t>
      </w:r>
      <w:r w:rsidR="00040B67" w:rsidRPr="00C40DC6">
        <w:rPr>
          <w:rFonts w:ascii="Book Antiqua" w:hAnsi="Book Antiqua" w:cstheme="minorHAnsi"/>
        </w:rPr>
        <w:t>Glucose-6-phosphate</w:t>
      </w:r>
      <w:r w:rsidR="00040B67">
        <w:rPr>
          <w:rFonts w:ascii="Book Antiqua" w:hAnsi="Book Antiqua" w:cstheme="minorHAnsi"/>
        </w:rPr>
        <w:t xml:space="preserve"> </w:t>
      </w:r>
      <w:r w:rsidR="00040B67" w:rsidRPr="00C40DC6">
        <w:rPr>
          <w:rFonts w:ascii="Book Antiqua" w:hAnsi="Book Antiqua" w:cstheme="minorHAnsi"/>
        </w:rPr>
        <w:t>dehydrogenase</w:t>
      </w:r>
      <w:r w:rsidR="00040B67">
        <w:rPr>
          <w:rFonts w:ascii="Book Antiqua" w:hAnsi="Book Antiqua" w:cstheme="minorHAnsi"/>
        </w:rPr>
        <w:t xml:space="preserve">; </w:t>
      </w:r>
      <w:r>
        <w:rPr>
          <w:rFonts w:ascii="Book Antiqua" w:hAnsi="Book Antiqua" w:cstheme="minorHAnsi"/>
        </w:rPr>
        <w:t>HBV: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Hepatitis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B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virus</w:t>
      </w:r>
      <w:r w:rsidR="001F27F1">
        <w:rPr>
          <w:rFonts w:ascii="Book Antiqua" w:hAnsi="Book Antiqua" w:cstheme="minorHAnsi"/>
        </w:rPr>
        <w:t>;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SBP: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Spontaneous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bacterial</w:t>
      </w:r>
      <w:r w:rsidR="00A0095E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peritonitis</w:t>
      </w:r>
      <w:r w:rsidR="001F27F1">
        <w:rPr>
          <w:rFonts w:ascii="Book Antiqua" w:hAnsi="Book Antiqua" w:cstheme="minorHAnsi"/>
        </w:rPr>
        <w:t>.</w:t>
      </w:r>
    </w:p>
    <w:sectPr w:rsidR="006773E9" w:rsidRPr="001F27F1" w:rsidSect="00655A42">
      <w:pgSz w:w="12240" w:h="15840"/>
      <w:pgMar w:top="1554" w:right="1554" w:bottom="1554" w:left="15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53B6" w14:textId="77777777" w:rsidR="002C3F75" w:rsidRDefault="002C3F75" w:rsidP="003D6FA2">
      <w:r>
        <w:separator/>
      </w:r>
    </w:p>
  </w:endnote>
  <w:endnote w:type="continuationSeparator" w:id="0">
    <w:p w14:paraId="22BA83AB" w14:textId="77777777" w:rsidR="002C3F75" w:rsidRDefault="002C3F75" w:rsidP="003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OT863180fb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08605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6F4D6E8" w14:textId="2092D159" w:rsidR="001F27F1" w:rsidRPr="006C6076" w:rsidRDefault="001F27F1" w:rsidP="001F27F1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C607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12EAA" w:rsidRPr="006C6076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C60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C607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12EAA" w:rsidRPr="006C6076">
              <w:rPr>
                <w:rFonts w:ascii="Book Antiqua" w:hAnsi="Book Antiqua"/>
                <w:noProof/>
                <w:sz w:val="24"/>
                <w:szCs w:val="24"/>
              </w:rPr>
              <w:t>30</w:t>
            </w:r>
            <w:r w:rsidRPr="006C607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4F0F44C" w14:textId="77777777" w:rsidR="001F27F1" w:rsidRDefault="001F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0F39" w14:textId="77777777" w:rsidR="002C3F75" w:rsidRDefault="002C3F75" w:rsidP="003D6FA2">
      <w:r>
        <w:separator/>
      </w:r>
    </w:p>
  </w:footnote>
  <w:footnote w:type="continuationSeparator" w:id="0">
    <w:p w14:paraId="19C824A2" w14:textId="77777777" w:rsidR="002C3F75" w:rsidRDefault="002C3F75" w:rsidP="003D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B67"/>
    <w:rsid w:val="0004403C"/>
    <w:rsid w:val="000F41A7"/>
    <w:rsid w:val="00121CA1"/>
    <w:rsid w:val="001B78BF"/>
    <w:rsid w:val="001F27F1"/>
    <w:rsid w:val="001F43E1"/>
    <w:rsid w:val="00225DAB"/>
    <w:rsid w:val="00261AF2"/>
    <w:rsid w:val="00264CF0"/>
    <w:rsid w:val="002925F3"/>
    <w:rsid w:val="002C3F75"/>
    <w:rsid w:val="002F2314"/>
    <w:rsid w:val="002F6924"/>
    <w:rsid w:val="003A293F"/>
    <w:rsid w:val="003D6FA2"/>
    <w:rsid w:val="003E7392"/>
    <w:rsid w:val="004011F1"/>
    <w:rsid w:val="004A70E7"/>
    <w:rsid w:val="004B1403"/>
    <w:rsid w:val="004B1D7A"/>
    <w:rsid w:val="004D74FA"/>
    <w:rsid w:val="004E0B10"/>
    <w:rsid w:val="00504ED5"/>
    <w:rsid w:val="00505498"/>
    <w:rsid w:val="00537600"/>
    <w:rsid w:val="00606A41"/>
    <w:rsid w:val="0063279F"/>
    <w:rsid w:val="00650C25"/>
    <w:rsid w:val="00655A42"/>
    <w:rsid w:val="0066017B"/>
    <w:rsid w:val="006773E9"/>
    <w:rsid w:val="006C6076"/>
    <w:rsid w:val="007271AD"/>
    <w:rsid w:val="007400AC"/>
    <w:rsid w:val="007870D0"/>
    <w:rsid w:val="007B5105"/>
    <w:rsid w:val="0080723F"/>
    <w:rsid w:val="00853F7C"/>
    <w:rsid w:val="008A12F6"/>
    <w:rsid w:val="008A3F49"/>
    <w:rsid w:val="008C1DEC"/>
    <w:rsid w:val="00975EE7"/>
    <w:rsid w:val="00977295"/>
    <w:rsid w:val="009A051E"/>
    <w:rsid w:val="009B7820"/>
    <w:rsid w:val="00A0095E"/>
    <w:rsid w:val="00A24212"/>
    <w:rsid w:val="00A268F6"/>
    <w:rsid w:val="00A47450"/>
    <w:rsid w:val="00A54E59"/>
    <w:rsid w:val="00A76B2F"/>
    <w:rsid w:val="00A77B3E"/>
    <w:rsid w:val="00AC0EB5"/>
    <w:rsid w:val="00AF7D11"/>
    <w:rsid w:val="00B150BE"/>
    <w:rsid w:val="00B434C2"/>
    <w:rsid w:val="00B672FF"/>
    <w:rsid w:val="00BA06EE"/>
    <w:rsid w:val="00BE2CFF"/>
    <w:rsid w:val="00C12C67"/>
    <w:rsid w:val="00C12EAA"/>
    <w:rsid w:val="00C2677C"/>
    <w:rsid w:val="00C44FE1"/>
    <w:rsid w:val="00C63845"/>
    <w:rsid w:val="00C662F8"/>
    <w:rsid w:val="00C67D91"/>
    <w:rsid w:val="00CA2A55"/>
    <w:rsid w:val="00CA4364"/>
    <w:rsid w:val="00CA6B02"/>
    <w:rsid w:val="00CE1420"/>
    <w:rsid w:val="00D2371A"/>
    <w:rsid w:val="00D23B5E"/>
    <w:rsid w:val="00D724AB"/>
    <w:rsid w:val="00DA2C66"/>
    <w:rsid w:val="00DB4055"/>
    <w:rsid w:val="00DE64F5"/>
    <w:rsid w:val="00E07180"/>
    <w:rsid w:val="00E71C43"/>
    <w:rsid w:val="00EB75E1"/>
    <w:rsid w:val="00EC74EB"/>
    <w:rsid w:val="00F11809"/>
    <w:rsid w:val="00FD3402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DFFF0"/>
  <w15:docId w15:val="{46A5AACC-51EF-4AFA-9948-199933D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D6F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6F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6FA2"/>
    <w:rPr>
      <w:sz w:val="18"/>
      <w:szCs w:val="18"/>
    </w:rPr>
  </w:style>
  <w:style w:type="table" w:styleId="TableGrid">
    <w:name w:val="Table Grid"/>
    <w:basedOn w:val="TableNormal"/>
    <w:uiPriority w:val="39"/>
    <w:rsid w:val="006773E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2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12F6"/>
    <w:rPr>
      <w:sz w:val="18"/>
      <w:szCs w:val="18"/>
    </w:rPr>
  </w:style>
  <w:style w:type="paragraph" w:styleId="Revision">
    <w:name w:val="Revision"/>
    <w:hidden/>
    <w:uiPriority w:val="99"/>
    <w:semiHidden/>
    <w:rsid w:val="0078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2021-05-06T20:05:00Z</dcterms:created>
  <dcterms:modified xsi:type="dcterms:W3CDTF">2021-05-06T20:05:00Z</dcterms:modified>
</cp:coreProperties>
</file>