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28C9B2"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Name of Journal: </w:t>
      </w:r>
      <w:r w:rsidRPr="00C738CC">
        <w:rPr>
          <w:rFonts w:ascii="Book Antiqua" w:eastAsia="Book Antiqua" w:hAnsi="Book Antiqua" w:cs="Book Antiqua"/>
          <w:i/>
          <w:color w:val="000000"/>
        </w:rPr>
        <w:t>World Journal of Clinical Cases</w:t>
      </w:r>
    </w:p>
    <w:p w14:paraId="1ACE87C2"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Manuscript NO: </w:t>
      </w:r>
      <w:r w:rsidRPr="00C738CC">
        <w:rPr>
          <w:rFonts w:ascii="Book Antiqua" w:eastAsia="Book Antiqua" w:hAnsi="Book Antiqua" w:cs="Book Antiqua"/>
          <w:color w:val="000000"/>
        </w:rPr>
        <w:t>65756</w:t>
      </w:r>
    </w:p>
    <w:p w14:paraId="003AEC01"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Manuscript Type: </w:t>
      </w:r>
      <w:r w:rsidRPr="00C738CC">
        <w:rPr>
          <w:rFonts w:ascii="Book Antiqua" w:eastAsia="Book Antiqua" w:hAnsi="Book Antiqua" w:cs="Book Antiqua"/>
          <w:color w:val="000000"/>
        </w:rPr>
        <w:t>CASE REPORT</w:t>
      </w:r>
    </w:p>
    <w:p w14:paraId="6F7CA3A0" w14:textId="77777777" w:rsidR="00A77B3E" w:rsidRPr="00C738CC" w:rsidRDefault="00A77B3E" w:rsidP="008B3ACE">
      <w:pPr>
        <w:snapToGrid w:val="0"/>
        <w:spacing w:line="360" w:lineRule="auto"/>
        <w:jc w:val="both"/>
      </w:pPr>
    </w:p>
    <w:p w14:paraId="1B9E12FC" w14:textId="26599049"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Extremely high titer of hepatitis B surface antigen antibodies in a primary hepatocellular carcinoma patient: </w:t>
      </w:r>
      <w:r w:rsidR="00A80B75" w:rsidRPr="00C738CC">
        <w:rPr>
          <w:rFonts w:ascii="Book Antiqua" w:eastAsia="Book Antiqua" w:hAnsi="Book Antiqua" w:cs="Book Antiqua"/>
          <w:b/>
          <w:color w:val="000000"/>
        </w:rPr>
        <w:t>A</w:t>
      </w:r>
      <w:r w:rsidRPr="00C738CC">
        <w:rPr>
          <w:rFonts w:ascii="Book Antiqua" w:eastAsia="Book Antiqua" w:hAnsi="Book Antiqua" w:cs="Book Antiqua"/>
          <w:b/>
          <w:color w:val="000000"/>
        </w:rPr>
        <w:t xml:space="preserve"> case report</w:t>
      </w:r>
    </w:p>
    <w:p w14:paraId="1A4B17F4" w14:textId="77777777" w:rsidR="00A77B3E" w:rsidRPr="00C738CC" w:rsidRDefault="00A77B3E" w:rsidP="008B3ACE">
      <w:pPr>
        <w:snapToGrid w:val="0"/>
        <w:spacing w:line="360" w:lineRule="auto"/>
        <w:jc w:val="both"/>
      </w:pPr>
    </w:p>
    <w:p w14:paraId="4DE2AD47" w14:textId="7E61F5C1" w:rsidR="00A77B3E" w:rsidRPr="00C738CC" w:rsidRDefault="00E94733" w:rsidP="008B3ACE">
      <w:pPr>
        <w:snapToGrid w:val="0"/>
        <w:spacing w:line="360" w:lineRule="auto"/>
        <w:jc w:val="both"/>
      </w:pPr>
      <w:r w:rsidRPr="00C738CC">
        <w:rPr>
          <w:rFonts w:ascii="Book Antiqua" w:eastAsia="Book Antiqua" w:hAnsi="Book Antiqua" w:cs="Book Antiqua"/>
          <w:color w:val="000000"/>
        </w:rPr>
        <w:t xml:space="preserve">Han JJ </w:t>
      </w:r>
      <w:r w:rsidRPr="00C738CC">
        <w:rPr>
          <w:rFonts w:ascii="Book Antiqua" w:eastAsia="Book Antiqua" w:hAnsi="Book Antiqua" w:cs="Book Antiqua"/>
          <w:i/>
          <w:iCs/>
          <w:color w:val="000000"/>
        </w:rPr>
        <w:t>et al</w:t>
      </w:r>
      <w:r w:rsidRPr="00C738CC">
        <w:rPr>
          <w:rFonts w:ascii="Book Antiqua" w:eastAsia="Book Antiqua" w:hAnsi="Book Antiqua" w:cs="Book Antiqua"/>
          <w:color w:val="000000"/>
        </w:rPr>
        <w:t xml:space="preserve">. </w:t>
      </w:r>
      <w:r w:rsidR="00CF0CD2" w:rsidRPr="00C738CC">
        <w:rPr>
          <w:rFonts w:ascii="Book Antiqua" w:eastAsia="Book Antiqua" w:hAnsi="Book Antiqua" w:cs="Book Antiqua"/>
          <w:color w:val="000000"/>
        </w:rPr>
        <w:t>Extremely high titer of anti-HBs</w:t>
      </w:r>
    </w:p>
    <w:p w14:paraId="0C1E5B22" w14:textId="77777777" w:rsidR="00A77B3E" w:rsidRPr="00C738CC" w:rsidRDefault="00A77B3E" w:rsidP="008B3ACE">
      <w:pPr>
        <w:snapToGrid w:val="0"/>
        <w:spacing w:line="360" w:lineRule="auto"/>
        <w:jc w:val="both"/>
      </w:pPr>
    </w:p>
    <w:p w14:paraId="039ACEC5" w14:textId="0D92315A" w:rsidR="00A77B3E" w:rsidRPr="00C738CC" w:rsidRDefault="00CF0CD2" w:rsidP="008B3ACE">
      <w:pPr>
        <w:snapToGrid w:val="0"/>
        <w:spacing w:line="360" w:lineRule="auto"/>
        <w:jc w:val="both"/>
      </w:pPr>
      <w:r w:rsidRPr="00C738CC">
        <w:rPr>
          <w:rFonts w:ascii="Book Antiqua" w:eastAsia="Book Antiqua" w:hAnsi="Book Antiqua" w:cs="Book Antiqua"/>
          <w:color w:val="000000"/>
        </w:rPr>
        <w:t>Jing</w:t>
      </w:r>
      <w:r w:rsidR="00143972" w:rsidRPr="00C738CC">
        <w:rPr>
          <w:rFonts w:ascii="Book Antiqua" w:eastAsia="Book Antiqua" w:hAnsi="Book Antiqua" w:cs="Book Antiqua"/>
          <w:color w:val="000000"/>
        </w:rPr>
        <w:t>-J</w:t>
      </w:r>
      <w:r w:rsidRPr="00C738CC">
        <w:rPr>
          <w:rFonts w:ascii="Book Antiqua" w:eastAsia="Book Antiqua" w:hAnsi="Book Antiqua" w:cs="Book Antiqua"/>
          <w:color w:val="000000"/>
        </w:rPr>
        <w:t>ing Han, Yu Chen, Yu</w:t>
      </w:r>
      <w:r w:rsidR="00143972" w:rsidRPr="00C738CC">
        <w:rPr>
          <w:rFonts w:ascii="Book Antiqua" w:eastAsia="Book Antiqua" w:hAnsi="Book Antiqua" w:cs="Book Antiqua"/>
          <w:color w:val="000000"/>
        </w:rPr>
        <w:t>-C</w:t>
      </w:r>
      <w:r w:rsidRPr="00C738CC">
        <w:rPr>
          <w:rFonts w:ascii="Book Antiqua" w:eastAsia="Book Antiqua" w:hAnsi="Book Antiqua" w:cs="Book Antiqua"/>
          <w:color w:val="000000"/>
        </w:rPr>
        <w:t>hen Nan, Yong</w:t>
      </w:r>
      <w:r w:rsidR="00143972" w:rsidRPr="00C738CC">
        <w:rPr>
          <w:rFonts w:ascii="Book Antiqua" w:eastAsia="Book Antiqua" w:hAnsi="Book Antiqua" w:cs="Book Antiqua"/>
          <w:color w:val="000000"/>
        </w:rPr>
        <w:t>-L</w:t>
      </w:r>
      <w:r w:rsidRPr="00C738CC">
        <w:rPr>
          <w:rFonts w:ascii="Book Antiqua" w:eastAsia="Book Antiqua" w:hAnsi="Book Antiqua" w:cs="Book Antiqua"/>
          <w:color w:val="000000"/>
        </w:rPr>
        <w:t>in Yang</w:t>
      </w:r>
    </w:p>
    <w:p w14:paraId="64FAFD82" w14:textId="77777777" w:rsidR="00A77B3E" w:rsidRPr="00C738CC" w:rsidRDefault="00A77B3E" w:rsidP="008B3ACE">
      <w:pPr>
        <w:snapToGrid w:val="0"/>
        <w:spacing w:line="360" w:lineRule="auto"/>
        <w:jc w:val="both"/>
      </w:pPr>
    </w:p>
    <w:p w14:paraId="0BDC48EF" w14:textId="781B0DD0" w:rsidR="00A77B3E" w:rsidRPr="00C738CC" w:rsidRDefault="00C8418C" w:rsidP="008B3ACE">
      <w:pPr>
        <w:snapToGrid w:val="0"/>
        <w:spacing w:line="360" w:lineRule="auto"/>
        <w:jc w:val="both"/>
      </w:pPr>
      <w:r w:rsidRPr="00C738CC">
        <w:rPr>
          <w:rFonts w:ascii="Book Antiqua" w:eastAsia="Book Antiqua" w:hAnsi="Book Antiqua" w:cs="Book Antiqua"/>
          <w:b/>
          <w:bCs/>
          <w:color w:val="000000"/>
        </w:rPr>
        <w:t>Jing-Jing</w:t>
      </w:r>
      <w:r w:rsidR="00CF0CD2" w:rsidRPr="00C738CC">
        <w:rPr>
          <w:rFonts w:ascii="Book Antiqua" w:eastAsia="Book Antiqua" w:hAnsi="Book Antiqua" w:cs="Book Antiqua"/>
          <w:b/>
          <w:bCs/>
          <w:color w:val="000000"/>
        </w:rPr>
        <w:t xml:space="preserve"> Han, Yu Chen, </w:t>
      </w:r>
      <w:r w:rsidR="00CF0CD2" w:rsidRPr="00C738CC">
        <w:rPr>
          <w:rFonts w:ascii="Book Antiqua" w:eastAsia="Book Antiqua" w:hAnsi="Book Antiqua" w:cs="Book Antiqua"/>
          <w:color w:val="000000"/>
        </w:rPr>
        <w:t xml:space="preserve">Department of Anesthesiology, </w:t>
      </w:r>
      <w:r w:rsidR="00C0152A">
        <w:rPr>
          <w:rFonts w:ascii="Book Antiqua" w:eastAsia="Book Antiqua" w:hAnsi="Book Antiqua" w:cs="Book Antiqua"/>
          <w:color w:val="000000"/>
        </w:rPr>
        <w:t xml:space="preserve">The </w:t>
      </w:r>
      <w:r w:rsidR="00CF0CD2" w:rsidRPr="00C738CC">
        <w:rPr>
          <w:rFonts w:ascii="Book Antiqua" w:eastAsia="Book Antiqua" w:hAnsi="Book Antiqua" w:cs="Book Antiqua"/>
          <w:color w:val="000000"/>
        </w:rPr>
        <w:t>First Affiliated Hospital of Nanjing Medical University, Nanjing 210029, Jiangsu</w:t>
      </w:r>
      <w:r w:rsidR="009845B3" w:rsidRPr="00C738CC">
        <w:rPr>
          <w:rFonts w:ascii="Book Antiqua" w:eastAsia="Book Antiqua" w:hAnsi="Book Antiqua" w:cs="Book Antiqua"/>
          <w:color w:val="000000"/>
        </w:rPr>
        <w:t xml:space="preserve"> Province</w:t>
      </w:r>
      <w:r w:rsidR="00CF0CD2" w:rsidRPr="00C738CC">
        <w:rPr>
          <w:rFonts w:ascii="Book Antiqua" w:eastAsia="Book Antiqua" w:hAnsi="Book Antiqua" w:cs="Book Antiqua"/>
          <w:color w:val="000000"/>
        </w:rPr>
        <w:t>, China</w:t>
      </w:r>
    </w:p>
    <w:p w14:paraId="1CE6B119" w14:textId="77777777" w:rsidR="00A77B3E" w:rsidRPr="00C738CC" w:rsidRDefault="00A77B3E" w:rsidP="008B3ACE">
      <w:pPr>
        <w:snapToGrid w:val="0"/>
        <w:spacing w:line="360" w:lineRule="auto"/>
        <w:jc w:val="both"/>
      </w:pPr>
    </w:p>
    <w:p w14:paraId="5924CF5E" w14:textId="2C3906A0"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Yu</w:t>
      </w:r>
      <w:r w:rsidR="00715048" w:rsidRPr="00C738CC">
        <w:rPr>
          <w:rFonts w:ascii="Book Antiqua" w:eastAsia="Book Antiqua" w:hAnsi="Book Antiqua" w:cs="Book Antiqua"/>
          <w:b/>
          <w:bCs/>
          <w:color w:val="000000"/>
        </w:rPr>
        <w:t>-C</w:t>
      </w:r>
      <w:r w:rsidRPr="00C738CC">
        <w:rPr>
          <w:rFonts w:ascii="Book Antiqua" w:eastAsia="Book Antiqua" w:hAnsi="Book Antiqua" w:cs="Book Antiqua"/>
          <w:b/>
          <w:bCs/>
          <w:color w:val="000000"/>
        </w:rPr>
        <w:t xml:space="preserve">hen Nan, </w:t>
      </w:r>
      <w:r w:rsidRPr="00C738CC">
        <w:rPr>
          <w:rFonts w:ascii="Book Antiqua" w:eastAsia="Book Antiqua" w:hAnsi="Book Antiqua" w:cs="Book Antiqua"/>
          <w:color w:val="000000"/>
        </w:rPr>
        <w:t>Department of Preventive Veterinary Medicine, College of Veterinary Medicine, Northwest A&amp;F University, Yang</w:t>
      </w:r>
      <w:r w:rsidR="007F76AE" w:rsidRPr="00C738CC">
        <w:rPr>
          <w:rFonts w:ascii="Book Antiqua" w:eastAsia="Book Antiqua" w:hAnsi="Book Antiqua" w:cs="Book Antiqua"/>
          <w:color w:val="000000"/>
        </w:rPr>
        <w:t>l</w:t>
      </w:r>
      <w:r w:rsidRPr="00C738CC">
        <w:rPr>
          <w:rFonts w:ascii="Book Antiqua" w:eastAsia="Book Antiqua" w:hAnsi="Book Antiqua" w:cs="Book Antiqua"/>
          <w:color w:val="000000"/>
        </w:rPr>
        <w:t>ing 712100, Shaanxi</w:t>
      </w:r>
      <w:r w:rsidR="007F76AE" w:rsidRPr="00C738CC">
        <w:rPr>
          <w:rFonts w:ascii="Book Antiqua" w:eastAsia="Book Antiqua" w:hAnsi="Book Antiqua" w:cs="Book Antiqua"/>
          <w:color w:val="000000"/>
        </w:rPr>
        <w:t xml:space="preserve"> Province</w:t>
      </w:r>
      <w:r w:rsidRPr="00C738CC">
        <w:rPr>
          <w:rFonts w:ascii="Book Antiqua" w:eastAsia="Book Antiqua" w:hAnsi="Book Antiqua" w:cs="Book Antiqua"/>
          <w:color w:val="000000"/>
        </w:rPr>
        <w:t>, China</w:t>
      </w:r>
    </w:p>
    <w:p w14:paraId="74342755" w14:textId="77777777" w:rsidR="00A77B3E" w:rsidRPr="00C738CC" w:rsidRDefault="00A77B3E" w:rsidP="008B3ACE">
      <w:pPr>
        <w:snapToGrid w:val="0"/>
        <w:spacing w:line="360" w:lineRule="auto"/>
        <w:jc w:val="both"/>
      </w:pPr>
    </w:p>
    <w:p w14:paraId="0FD5CE16" w14:textId="02761DD6"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Yong</w:t>
      </w:r>
      <w:r w:rsidR="00FB48B3" w:rsidRPr="00C738CC">
        <w:rPr>
          <w:rFonts w:ascii="Book Antiqua" w:eastAsia="Book Antiqua" w:hAnsi="Book Antiqua" w:cs="Book Antiqua"/>
          <w:b/>
          <w:bCs/>
          <w:color w:val="000000"/>
        </w:rPr>
        <w:t>-L</w:t>
      </w:r>
      <w:r w:rsidRPr="00C738CC">
        <w:rPr>
          <w:rFonts w:ascii="Book Antiqua" w:eastAsia="Book Antiqua" w:hAnsi="Book Antiqua" w:cs="Book Antiqua"/>
          <w:b/>
          <w:bCs/>
          <w:color w:val="000000"/>
        </w:rPr>
        <w:t xml:space="preserve">in Yang, </w:t>
      </w:r>
      <w:r w:rsidR="00396623" w:rsidRPr="00C738CC">
        <w:rPr>
          <w:rFonts w:ascii="Book Antiqua" w:eastAsia="Book Antiqua" w:hAnsi="Book Antiqua" w:cs="Book Antiqua"/>
          <w:color w:val="000000"/>
        </w:rPr>
        <w:t>D</w:t>
      </w:r>
      <w:r w:rsidRPr="00C738CC">
        <w:rPr>
          <w:rFonts w:ascii="Book Antiqua" w:eastAsia="Book Antiqua" w:hAnsi="Book Antiqua" w:cs="Book Antiqua"/>
          <w:color w:val="000000"/>
        </w:rPr>
        <w:t xml:space="preserve">epartment of </w:t>
      </w:r>
      <w:r w:rsidR="0097763A" w:rsidRPr="00C738CC">
        <w:rPr>
          <w:rFonts w:ascii="Book Antiqua" w:eastAsia="Book Antiqua" w:hAnsi="Book Antiqua" w:cs="Book Antiqua"/>
          <w:color w:val="000000"/>
        </w:rPr>
        <w:t>Infectious Dis</w:t>
      </w:r>
      <w:r w:rsidRPr="00C738CC">
        <w:rPr>
          <w:rFonts w:ascii="Book Antiqua" w:eastAsia="Book Antiqua" w:hAnsi="Book Antiqua" w:cs="Book Antiqua"/>
          <w:color w:val="000000"/>
        </w:rPr>
        <w:t>ease, Taizhou Clinical Medical School of Nanjing Medical University (Taizhou People's Hospital), Taizhou 225300, Jiangsu Province, China</w:t>
      </w:r>
    </w:p>
    <w:p w14:paraId="184FCC2E" w14:textId="77777777" w:rsidR="00A77B3E" w:rsidRPr="00C738CC" w:rsidRDefault="00A77B3E" w:rsidP="008B3ACE">
      <w:pPr>
        <w:snapToGrid w:val="0"/>
        <w:spacing w:line="360" w:lineRule="auto"/>
        <w:jc w:val="both"/>
      </w:pPr>
    </w:p>
    <w:p w14:paraId="4858BE4D" w14:textId="6781D958"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Yong</w:t>
      </w:r>
      <w:r w:rsidR="00157254" w:rsidRPr="00C738CC">
        <w:rPr>
          <w:rFonts w:ascii="Book Antiqua" w:eastAsia="Book Antiqua" w:hAnsi="Book Antiqua" w:cs="Book Antiqua"/>
          <w:b/>
          <w:bCs/>
          <w:color w:val="000000"/>
        </w:rPr>
        <w:t>-L</w:t>
      </w:r>
      <w:r w:rsidRPr="00C738CC">
        <w:rPr>
          <w:rFonts w:ascii="Book Antiqua" w:eastAsia="Book Antiqua" w:hAnsi="Book Antiqua" w:cs="Book Antiqua"/>
          <w:b/>
          <w:bCs/>
          <w:color w:val="000000"/>
        </w:rPr>
        <w:t xml:space="preserve">in Yang, </w:t>
      </w:r>
      <w:r w:rsidRPr="00C738CC">
        <w:rPr>
          <w:rFonts w:ascii="Book Antiqua" w:eastAsia="Book Antiqua" w:hAnsi="Book Antiqua" w:cs="Book Antiqua"/>
          <w:color w:val="000000"/>
        </w:rPr>
        <w:t xml:space="preserve">Department of </w:t>
      </w:r>
      <w:r w:rsidR="00D80DED" w:rsidRPr="00C738CC">
        <w:rPr>
          <w:rFonts w:ascii="Book Antiqua" w:eastAsia="Book Antiqua" w:hAnsi="Book Antiqua" w:cs="Book Antiqua"/>
          <w:color w:val="000000"/>
        </w:rPr>
        <w:t xml:space="preserve">General Practice, </w:t>
      </w:r>
      <w:r w:rsidRPr="00C738CC">
        <w:rPr>
          <w:rFonts w:ascii="Book Antiqua" w:eastAsia="Book Antiqua" w:hAnsi="Book Antiqua" w:cs="Book Antiqua"/>
          <w:color w:val="000000"/>
        </w:rPr>
        <w:t>Nanjing First Hospital, Nanjing Medical University, Nanjing 210006, Jiangsu Province, China</w:t>
      </w:r>
    </w:p>
    <w:p w14:paraId="0F8975A7" w14:textId="77777777" w:rsidR="00A77B3E" w:rsidRPr="00C738CC" w:rsidRDefault="00A77B3E" w:rsidP="008B3ACE">
      <w:pPr>
        <w:snapToGrid w:val="0"/>
        <w:spacing w:line="360" w:lineRule="auto"/>
        <w:jc w:val="both"/>
      </w:pPr>
    </w:p>
    <w:p w14:paraId="27734DCD" w14:textId="656A62B0"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Author contributions: </w:t>
      </w:r>
      <w:r w:rsidRPr="00C738CC">
        <w:rPr>
          <w:rFonts w:ascii="Book Antiqua" w:eastAsia="Book Antiqua" w:hAnsi="Book Antiqua" w:cs="Book Antiqua"/>
          <w:color w:val="000000"/>
        </w:rPr>
        <w:t xml:space="preserve">Yang </w:t>
      </w:r>
      <w:r w:rsidR="00B412AE" w:rsidRPr="00C738CC">
        <w:rPr>
          <w:rFonts w:ascii="Book Antiqua" w:eastAsia="Book Antiqua" w:hAnsi="Book Antiqua" w:cs="Book Antiqua"/>
          <w:color w:val="000000"/>
        </w:rPr>
        <w:t xml:space="preserve">YL </w:t>
      </w:r>
      <w:r w:rsidRPr="00C738CC">
        <w:rPr>
          <w:rFonts w:ascii="Book Antiqua" w:eastAsia="Book Antiqua" w:hAnsi="Book Antiqua" w:cs="Book Antiqua"/>
          <w:color w:val="000000"/>
        </w:rPr>
        <w:t>was the patient’s</w:t>
      </w:r>
      <w:r w:rsidRPr="00C738CC">
        <w:rPr>
          <w:rFonts w:ascii="Book Antiqua" w:eastAsia="Book Antiqua" w:hAnsi="Book Antiqua" w:cs="Book Antiqua"/>
          <w:color w:val="000000"/>
          <w:shd w:val="clear" w:color="auto" w:fill="FFFFFF"/>
        </w:rPr>
        <w:t xml:space="preserve"> </w:t>
      </w:r>
      <w:r w:rsidRPr="00C738CC">
        <w:rPr>
          <w:rFonts w:ascii="Book Antiqua" w:eastAsia="Book Antiqua" w:hAnsi="Book Antiqua" w:cs="Book Antiqua"/>
          <w:color w:val="000000"/>
        </w:rPr>
        <w:t>attending,</w:t>
      </w:r>
      <w:r w:rsidR="00D23E7F">
        <w:rPr>
          <w:rFonts w:ascii="Book Antiqua" w:eastAsia="Book Antiqua" w:hAnsi="Book Antiqua" w:cs="Book Antiqua"/>
          <w:color w:val="000000"/>
        </w:rPr>
        <w:t xml:space="preserve"> and</w:t>
      </w:r>
      <w:r w:rsidRPr="00C738CC">
        <w:rPr>
          <w:rFonts w:ascii="Book Antiqua" w:eastAsia="Book Antiqua" w:hAnsi="Book Antiqua" w:cs="Book Antiqua"/>
          <w:color w:val="000000"/>
        </w:rPr>
        <w:t xml:space="preserve"> responsible for making critical revisions related to important intellectual content of the manuscript; Han </w:t>
      </w:r>
      <w:r w:rsidR="00B412AE" w:rsidRPr="00C738CC">
        <w:rPr>
          <w:rFonts w:ascii="Book Antiqua" w:eastAsia="Book Antiqua" w:hAnsi="Book Antiqua" w:cs="Book Antiqua"/>
          <w:color w:val="000000"/>
        </w:rPr>
        <w:t xml:space="preserve">JJ </w:t>
      </w:r>
      <w:r w:rsidRPr="00C738CC">
        <w:rPr>
          <w:rFonts w:ascii="Book Antiqua" w:eastAsia="Book Antiqua" w:hAnsi="Book Antiqua" w:cs="Book Antiqua"/>
          <w:color w:val="000000"/>
        </w:rPr>
        <w:t>reviewed the literature and contributed to manuscript drafting; Nan</w:t>
      </w:r>
      <w:r w:rsidR="00B412AE" w:rsidRPr="00C738CC">
        <w:rPr>
          <w:rFonts w:ascii="Book Antiqua" w:eastAsia="Book Antiqua" w:hAnsi="Book Antiqua" w:cs="Book Antiqua"/>
          <w:color w:val="000000"/>
        </w:rPr>
        <w:t xml:space="preserve"> YC </w:t>
      </w:r>
      <w:r w:rsidRPr="00C738CC">
        <w:rPr>
          <w:rFonts w:ascii="Book Antiqua" w:eastAsia="Book Antiqua" w:hAnsi="Book Antiqua" w:cs="Book Antiqua"/>
          <w:color w:val="000000"/>
        </w:rPr>
        <w:t>and</w:t>
      </w:r>
      <w:r w:rsidR="00B412AE"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 xml:space="preserve">Chen </w:t>
      </w:r>
      <w:r w:rsidR="00B412AE" w:rsidRPr="00C738CC">
        <w:rPr>
          <w:rFonts w:ascii="Book Antiqua" w:eastAsia="Book Antiqua" w:hAnsi="Book Antiqua" w:cs="Book Antiqua"/>
          <w:color w:val="000000"/>
        </w:rPr>
        <w:t xml:space="preserve">Y </w:t>
      </w:r>
      <w:r w:rsidRPr="00C738CC">
        <w:rPr>
          <w:rFonts w:ascii="Book Antiqua" w:eastAsia="Book Antiqua" w:hAnsi="Book Antiqua" w:cs="Book Antiqua"/>
          <w:color w:val="000000"/>
        </w:rPr>
        <w:t xml:space="preserve">were responsible for revision of the manuscript for important intellectual content; </w:t>
      </w:r>
      <w:r w:rsidR="00D23E7F">
        <w:rPr>
          <w:rFonts w:ascii="Book Antiqua" w:eastAsia="Book Antiqua" w:hAnsi="Book Antiqua" w:cs="Book Antiqua"/>
          <w:color w:val="000000"/>
        </w:rPr>
        <w:t>A</w:t>
      </w:r>
      <w:r w:rsidRPr="00C738CC">
        <w:rPr>
          <w:rFonts w:ascii="Book Antiqua" w:eastAsia="Book Antiqua" w:hAnsi="Book Antiqua" w:cs="Book Antiqua"/>
          <w:color w:val="000000"/>
        </w:rPr>
        <w:t>ll authors issued final approval for the version to be submitted.</w:t>
      </w:r>
    </w:p>
    <w:p w14:paraId="13C4F5DD" w14:textId="77777777" w:rsidR="00A77B3E" w:rsidRPr="00C738CC" w:rsidRDefault="00A77B3E" w:rsidP="008B3ACE">
      <w:pPr>
        <w:snapToGrid w:val="0"/>
        <w:spacing w:line="360" w:lineRule="auto"/>
        <w:jc w:val="both"/>
      </w:pPr>
    </w:p>
    <w:p w14:paraId="0618D5D6" w14:textId="19E0F599"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lastRenderedPageBreak/>
        <w:t xml:space="preserve">Corresponding author: </w:t>
      </w:r>
      <w:r w:rsidR="00170347" w:rsidRPr="00C738CC">
        <w:rPr>
          <w:rFonts w:ascii="Book Antiqua" w:eastAsia="Book Antiqua" w:hAnsi="Book Antiqua" w:cs="Book Antiqua"/>
          <w:b/>
          <w:bCs/>
          <w:color w:val="000000"/>
        </w:rPr>
        <w:t>Yong-Lin</w:t>
      </w:r>
      <w:r w:rsidRPr="00C738CC">
        <w:rPr>
          <w:rFonts w:ascii="Book Antiqua" w:eastAsia="Book Antiqua" w:hAnsi="Book Antiqua" w:cs="Book Antiqua"/>
          <w:b/>
          <w:bCs/>
          <w:color w:val="000000"/>
        </w:rPr>
        <w:t xml:space="preserve"> Yang, PhD, Chief Doctor, </w:t>
      </w:r>
      <w:r w:rsidR="009047CC" w:rsidRPr="00C738CC">
        <w:rPr>
          <w:rFonts w:ascii="Book Antiqua" w:eastAsia="Book Antiqua" w:hAnsi="Book Antiqua" w:cs="Book Antiqua"/>
          <w:color w:val="000000"/>
        </w:rPr>
        <w:t>D</w:t>
      </w:r>
      <w:r w:rsidRPr="00C738CC">
        <w:rPr>
          <w:rFonts w:ascii="Book Antiqua" w:eastAsia="Book Antiqua" w:hAnsi="Book Antiqua" w:cs="Book Antiqua"/>
          <w:color w:val="000000"/>
        </w:rPr>
        <w:t>epartment of</w:t>
      </w:r>
      <w:r w:rsidR="009047CC" w:rsidRPr="00C738CC">
        <w:rPr>
          <w:rFonts w:ascii="Book Antiqua" w:eastAsia="Book Antiqua" w:hAnsi="Book Antiqua" w:cs="Book Antiqua"/>
          <w:color w:val="000000"/>
        </w:rPr>
        <w:t xml:space="preserve"> Infectious Diseas</w:t>
      </w:r>
      <w:r w:rsidRPr="00C738CC">
        <w:rPr>
          <w:rFonts w:ascii="Book Antiqua" w:eastAsia="Book Antiqua" w:hAnsi="Book Antiqua" w:cs="Book Antiqua"/>
          <w:color w:val="000000"/>
        </w:rPr>
        <w:t xml:space="preserve">e, Taizhou Clinical Medical School of Nanjing Medical University (Taizhou People's Hospital), </w:t>
      </w:r>
      <w:r w:rsidR="009047CC" w:rsidRPr="00C738CC">
        <w:rPr>
          <w:rFonts w:ascii="Book Antiqua" w:eastAsia="Book Antiqua" w:hAnsi="Book Antiqua" w:cs="Book Antiqua"/>
          <w:color w:val="000000"/>
        </w:rPr>
        <w:t xml:space="preserve">No. </w:t>
      </w:r>
      <w:r w:rsidRPr="00C738CC">
        <w:rPr>
          <w:rFonts w:ascii="Book Antiqua" w:eastAsia="Book Antiqua" w:hAnsi="Book Antiqua" w:cs="Book Antiqua"/>
          <w:color w:val="000000"/>
        </w:rPr>
        <w:t>210 Yingchun Road, Hailing District, Taizhou 225300, Jiangsu Province, China. easing@163.com</w:t>
      </w:r>
    </w:p>
    <w:p w14:paraId="01D02F37" w14:textId="77777777" w:rsidR="00A77B3E" w:rsidRPr="00C738CC" w:rsidRDefault="00A77B3E" w:rsidP="008B3ACE">
      <w:pPr>
        <w:snapToGrid w:val="0"/>
        <w:spacing w:line="360" w:lineRule="auto"/>
        <w:jc w:val="both"/>
      </w:pPr>
    </w:p>
    <w:p w14:paraId="2AAFF480"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Received: </w:t>
      </w:r>
      <w:r w:rsidRPr="00C738CC">
        <w:rPr>
          <w:rFonts w:ascii="Book Antiqua" w:eastAsia="Book Antiqua" w:hAnsi="Book Antiqua" w:cs="Book Antiqua"/>
          <w:color w:val="000000"/>
        </w:rPr>
        <w:t>April 1, 2021</w:t>
      </w:r>
    </w:p>
    <w:p w14:paraId="3B4389BA" w14:textId="2C13A0B3"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Revised: </w:t>
      </w:r>
      <w:r w:rsidR="003E27B2" w:rsidRPr="00C738CC">
        <w:rPr>
          <w:rFonts w:ascii="Book Antiqua" w:eastAsia="Book Antiqua" w:hAnsi="Book Antiqua" w:cs="Book Antiqua"/>
          <w:color w:val="000000"/>
        </w:rPr>
        <w:t>May 28, 2021</w:t>
      </w:r>
    </w:p>
    <w:p w14:paraId="29076A08" w14:textId="48C8770D"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Accepted: </w:t>
      </w:r>
      <w:bookmarkStart w:id="0" w:name="OLE_LINK15"/>
      <w:bookmarkStart w:id="1" w:name="OLE_LINK33"/>
      <w:bookmarkStart w:id="2" w:name="OLE_LINK48"/>
      <w:r w:rsidR="00C0152A">
        <w:rPr>
          <w:rFonts w:ascii="Book Antiqua" w:eastAsia="SimSun" w:hAnsi="Book Antiqua" w:hint="eastAsia"/>
          <w:color w:val="000000" w:themeColor="text1"/>
        </w:rPr>
        <w:t>Au</w:t>
      </w:r>
      <w:r w:rsidR="00C0152A">
        <w:rPr>
          <w:rFonts w:ascii="Book Antiqua" w:eastAsia="SimSun" w:hAnsi="Book Antiqua"/>
          <w:color w:val="000000" w:themeColor="text1"/>
        </w:rPr>
        <w:t>gust</w:t>
      </w:r>
      <w:r w:rsidR="00C0152A" w:rsidRPr="00F06907">
        <w:rPr>
          <w:rFonts w:ascii="Book Antiqua" w:eastAsia="SimSun" w:hAnsi="Book Antiqua"/>
          <w:color w:val="000000" w:themeColor="text1"/>
        </w:rPr>
        <w:t xml:space="preserve"> </w:t>
      </w:r>
      <w:r w:rsidR="00C0152A">
        <w:rPr>
          <w:rFonts w:ascii="Book Antiqua" w:eastAsia="SimSun" w:hAnsi="Book Antiqua"/>
          <w:color w:val="000000" w:themeColor="text1"/>
        </w:rPr>
        <w:t>11</w:t>
      </w:r>
      <w:r w:rsidR="00C0152A" w:rsidRPr="00F06907">
        <w:rPr>
          <w:rFonts w:ascii="Book Antiqua" w:eastAsia="SimSun" w:hAnsi="Book Antiqua"/>
          <w:color w:val="000000" w:themeColor="text1"/>
        </w:rPr>
        <w:t>, 2021</w:t>
      </w:r>
      <w:bookmarkEnd w:id="0"/>
      <w:bookmarkEnd w:id="1"/>
      <w:bookmarkEnd w:id="2"/>
    </w:p>
    <w:p w14:paraId="1C7B76FF"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Published online: </w:t>
      </w:r>
    </w:p>
    <w:p w14:paraId="4790D00E" w14:textId="77777777" w:rsidR="00A77B3E" w:rsidRPr="00C738CC" w:rsidRDefault="00A77B3E" w:rsidP="008B3ACE">
      <w:pPr>
        <w:snapToGrid w:val="0"/>
        <w:spacing w:line="360" w:lineRule="auto"/>
        <w:jc w:val="both"/>
        <w:sectPr w:rsidR="00A77B3E" w:rsidRPr="00C738CC" w:rsidSect="00214F5B">
          <w:footerReference w:type="default" r:id="rId7"/>
          <w:pgSz w:w="12240" w:h="15840"/>
          <w:pgMar w:top="1440" w:right="1440" w:bottom="1440" w:left="1440" w:header="720" w:footer="720" w:gutter="0"/>
          <w:cols w:space="720"/>
          <w:docGrid w:linePitch="360"/>
        </w:sectPr>
      </w:pPr>
    </w:p>
    <w:p w14:paraId="198A8480"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lastRenderedPageBreak/>
        <w:t>Abstract</w:t>
      </w:r>
    </w:p>
    <w:p w14:paraId="7209ED0D"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BACKGROUND</w:t>
      </w:r>
    </w:p>
    <w:p w14:paraId="01D801AA" w14:textId="172E0386" w:rsidR="00A77B3E" w:rsidRPr="00C738CC" w:rsidRDefault="00CF0CD2" w:rsidP="008B3ACE">
      <w:pPr>
        <w:snapToGrid w:val="0"/>
        <w:spacing w:line="360" w:lineRule="auto"/>
        <w:jc w:val="both"/>
      </w:pPr>
      <w:r w:rsidRPr="00C738CC">
        <w:rPr>
          <w:rFonts w:ascii="Book Antiqua" w:eastAsia="Book Antiqua" w:hAnsi="Book Antiqua" w:cs="Book Antiqua"/>
          <w:color w:val="000000"/>
        </w:rPr>
        <w:t>Hepatocellular carcinoma (HCC) may be caused by hepatitis B virus (HBV) infection. Post-infection recovery-associated changes of HBV indicators include decreased hepatitis B surface antigen</w:t>
      </w:r>
      <w:r w:rsidR="00332B37">
        <w:rPr>
          <w:rFonts w:ascii="Book Antiqua" w:eastAsia="Book Antiqua" w:hAnsi="Book Antiqua" w:cs="Book Antiqua"/>
          <w:color w:val="000000"/>
        </w:rPr>
        <w:t xml:space="preserve"> </w:t>
      </w:r>
      <w:r w:rsidR="00332B37" w:rsidRPr="00C738CC">
        <w:rPr>
          <w:rFonts w:ascii="Book Antiqua" w:eastAsia="Book Antiqua" w:hAnsi="Book Antiqua" w:cs="Book Antiqua"/>
          <w:color w:val="000000"/>
        </w:rPr>
        <w:t>(HBsAg)</w:t>
      </w:r>
      <w:r w:rsidRPr="00C738CC">
        <w:rPr>
          <w:rFonts w:ascii="Book Antiqua" w:eastAsia="Book Antiqua" w:hAnsi="Book Antiqua" w:cs="Book Antiqua"/>
          <w:color w:val="000000"/>
        </w:rPr>
        <w:t xml:space="preserve"> level and increased anti-</w:t>
      </w:r>
      <w:r w:rsidR="00332B37" w:rsidRPr="00C738CC">
        <w:rPr>
          <w:rFonts w:ascii="Book Antiqua" w:eastAsia="Book Antiqua" w:hAnsi="Book Antiqua" w:cs="Book Antiqua"/>
          <w:color w:val="000000"/>
        </w:rPr>
        <w:t>HBsAg</w:t>
      </w:r>
      <w:r w:rsidRPr="00C738CC">
        <w:rPr>
          <w:rFonts w:ascii="Book Antiqua" w:eastAsia="Book Antiqua" w:hAnsi="Book Antiqua" w:cs="Book Antiqua"/>
          <w:color w:val="000000"/>
        </w:rPr>
        <w:t xml:space="preserve"> antibody titer. Testing to detect HBV DNA is conducted rarely but could detect latent HBV infection persisting after acute infection and prompt administration of treatments to clear HBV and prevent subsequent HBV-induced HCC development. Here</w:t>
      </w:r>
      <w:r w:rsidR="00D23E7F">
        <w:rPr>
          <w:rFonts w:ascii="Book Antiqua" w:eastAsia="Book Antiqua" w:hAnsi="Book Antiqua" w:cs="Book Antiqua"/>
          <w:color w:val="000000"/>
        </w:rPr>
        <w:t>,</w:t>
      </w:r>
      <w:r w:rsidRPr="00C738CC">
        <w:rPr>
          <w:rFonts w:ascii="Book Antiqua" w:eastAsia="Book Antiqua" w:hAnsi="Book Antiqua" w:cs="Book Antiqua"/>
          <w:color w:val="000000"/>
        </w:rPr>
        <w:t xml:space="preserve"> we present an HCC case with an extremely high anti-HBsAg antibody titer and latent HBV infection.</w:t>
      </w:r>
    </w:p>
    <w:p w14:paraId="56C486A3" w14:textId="77777777" w:rsidR="00A77B3E" w:rsidRPr="00C738CC" w:rsidRDefault="00A77B3E" w:rsidP="008B3ACE">
      <w:pPr>
        <w:snapToGrid w:val="0"/>
        <w:spacing w:line="360" w:lineRule="auto"/>
        <w:jc w:val="both"/>
      </w:pPr>
    </w:p>
    <w:p w14:paraId="4C6DF7AE"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CASE SUMMARY</w:t>
      </w:r>
    </w:p>
    <w:p w14:paraId="31C39E3C" w14:textId="3D4D6455"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A 57-year-old male patient with abdominal pain who was diagnosed with primary HCC presented with an extremely high level (over 2000 ng/mL) of serum alpha-fetoprotein. Abdominal B-ultrasonography and </w:t>
      </w:r>
      <w:r w:rsidR="00670932" w:rsidRPr="00C738CC">
        <w:rPr>
          <w:rFonts w:ascii="Book Antiqua" w:eastAsia="Book Antiqua" w:hAnsi="Book Antiqua" w:cs="Book Antiqua"/>
          <w:color w:val="000000"/>
        </w:rPr>
        <w:t xml:space="preserve">computed tomography </w:t>
      </w:r>
      <w:r w:rsidRPr="00C738CC">
        <w:rPr>
          <w:rFonts w:ascii="Book Antiqua" w:eastAsia="Book Antiqua" w:hAnsi="Book Antiqua" w:cs="Book Antiqua"/>
          <w:color w:val="000000"/>
        </w:rPr>
        <w:t>scan results indicated focal</w:t>
      </w:r>
      <w:r w:rsidR="00861B1D"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liver</w:t>
      </w:r>
      <w:r w:rsidR="00861B1D"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lesion and mild splenomegaly. Assessments of serological markers revealed a high titer of antibodies against hepatitis B core antigen (anti-HBcAg antibodies), an extremely high titer (1000 mIU/mL) of hepatitis B surface antibodies (anti-HBsAg antibodies, anti-HBs) and absence of detectible HBsAg. Medical records indicated that the patient had reported no history of HBV vaccination, infection or hepatitis. Therefore, to rule out latent HBV infection in this patient, a serum sample was collected then tested to detect HBV DNA, yielding a positive result. Based on the aforementioned information, the final diagnos</w:t>
      </w:r>
      <w:r w:rsidR="00D23E7F">
        <w:rPr>
          <w:rFonts w:ascii="Book Antiqua" w:eastAsia="Book Antiqua" w:hAnsi="Book Antiqua" w:cs="Book Antiqua"/>
          <w:color w:val="000000"/>
        </w:rPr>
        <w:t>is</w:t>
      </w:r>
      <w:r w:rsidRPr="00C738CC">
        <w:rPr>
          <w:rFonts w:ascii="Book Antiqua" w:eastAsia="Book Antiqua" w:hAnsi="Book Antiqua" w:cs="Book Antiqua"/>
          <w:color w:val="000000"/>
        </w:rPr>
        <w:t xml:space="preserve"> was HCC associated with hepatitis B in a compensated stage of liver dysfunction and the patient was hospitalized for surgical treatment.</w:t>
      </w:r>
    </w:p>
    <w:p w14:paraId="389A3D56" w14:textId="77777777" w:rsidR="00A77B3E" w:rsidRPr="00C738CC" w:rsidRDefault="00A77B3E" w:rsidP="008B3ACE">
      <w:pPr>
        <w:snapToGrid w:val="0"/>
        <w:spacing w:line="360" w:lineRule="auto"/>
        <w:jc w:val="both"/>
      </w:pPr>
    </w:p>
    <w:p w14:paraId="102FE868"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CONCLUSION</w:t>
      </w:r>
    </w:p>
    <w:p w14:paraId="18F3A14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A rare HCC case with high serum anti-HBsAg antibody titer and detectable HBV DNA resulted from untreated latent HBV infection.</w:t>
      </w:r>
    </w:p>
    <w:p w14:paraId="557F86F9" w14:textId="77777777" w:rsidR="00A77B3E" w:rsidRPr="00C738CC" w:rsidRDefault="00A77B3E" w:rsidP="008B3ACE">
      <w:pPr>
        <w:snapToGrid w:val="0"/>
        <w:spacing w:line="360" w:lineRule="auto"/>
        <w:jc w:val="both"/>
      </w:pPr>
    </w:p>
    <w:p w14:paraId="1869D84C" w14:textId="5D0EDCB4"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Key Words: </w:t>
      </w:r>
      <w:r w:rsidRPr="00C738CC">
        <w:rPr>
          <w:rFonts w:ascii="Book Antiqua" w:eastAsia="Book Antiqua" w:hAnsi="Book Antiqua" w:cs="Book Antiqua"/>
          <w:color w:val="000000"/>
        </w:rPr>
        <w:t xml:space="preserve">Hepatocellular carcinoma; </w:t>
      </w:r>
      <w:r w:rsidR="00D23E7F">
        <w:rPr>
          <w:rFonts w:ascii="Book Antiqua" w:eastAsia="Book Antiqua" w:hAnsi="Book Antiqua" w:cs="Book Antiqua"/>
          <w:color w:val="000000"/>
        </w:rPr>
        <w:t>H</w:t>
      </w:r>
      <w:r w:rsidR="00BE6FFA" w:rsidRPr="00BE6FFA">
        <w:rPr>
          <w:rFonts w:ascii="Book Antiqua" w:eastAsia="Book Antiqua" w:hAnsi="Book Antiqua" w:cs="Book Antiqua"/>
          <w:color w:val="000000"/>
        </w:rPr>
        <w:t>epatitis B virus</w:t>
      </w:r>
      <w:r w:rsidRPr="00C738CC">
        <w:rPr>
          <w:rFonts w:ascii="Book Antiqua" w:eastAsia="Book Antiqua" w:hAnsi="Book Antiqua" w:cs="Book Antiqua"/>
          <w:color w:val="000000"/>
        </w:rPr>
        <w:t xml:space="preserve"> DNA; Hepatitis B surface antibody; </w:t>
      </w:r>
      <w:r w:rsidR="00F4644F" w:rsidRPr="00C738CC">
        <w:rPr>
          <w:rFonts w:ascii="Book Antiqua" w:eastAsia="Book Antiqua" w:hAnsi="Book Antiqua" w:cs="Book Antiqua"/>
          <w:color w:val="000000"/>
        </w:rPr>
        <w:t>H</w:t>
      </w:r>
      <w:r w:rsidRPr="00C738CC">
        <w:rPr>
          <w:rFonts w:ascii="Book Antiqua" w:eastAsia="Book Antiqua" w:hAnsi="Book Antiqua" w:cs="Book Antiqua"/>
          <w:color w:val="000000"/>
        </w:rPr>
        <w:t xml:space="preserve">epatitis B core antibody; Occult </w:t>
      </w:r>
      <w:r w:rsidR="00C0152A">
        <w:rPr>
          <w:rFonts w:ascii="Book Antiqua" w:eastAsia="Book Antiqua" w:hAnsi="Book Antiqua" w:cs="Book Antiqua"/>
          <w:color w:val="000000"/>
        </w:rPr>
        <w:t>h</w:t>
      </w:r>
      <w:r w:rsidRPr="00C738CC">
        <w:rPr>
          <w:rFonts w:ascii="Book Antiqua" w:eastAsia="Book Antiqua" w:hAnsi="Book Antiqua" w:cs="Book Antiqua"/>
          <w:color w:val="000000"/>
        </w:rPr>
        <w:t>epatitis B virus infection; Case report</w:t>
      </w:r>
    </w:p>
    <w:p w14:paraId="2F9BAD48" w14:textId="77777777" w:rsidR="00A77B3E" w:rsidRPr="00C738CC" w:rsidRDefault="00A77B3E" w:rsidP="008B3ACE">
      <w:pPr>
        <w:snapToGrid w:val="0"/>
        <w:spacing w:line="360" w:lineRule="auto"/>
        <w:jc w:val="both"/>
      </w:pPr>
    </w:p>
    <w:p w14:paraId="02537C8D" w14:textId="265C491D" w:rsidR="00A77B3E" w:rsidRPr="00C738CC" w:rsidRDefault="00CF0CD2" w:rsidP="008B3ACE">
      <w:pPr>
        <w:snapToGrid w:val="0"/>
        <w:spacing w:line="360" w:lineRule="auto"/>
        <w:jc w:val="both"/>
      </w:pPr>
      <w:bookmarkStart w:id="3" w:name="OLE_LINK3"/>
      <w:r w:rsidRPr="00C738CC">
        <w:rPr>
          <w:rFonts w:ascii="Book Antiqua" w:eastAsia="Book Antiqua" w:hAnsi="Book Antiqua" w:cs="Book Antiqua"/>
          <w:color w:val="000000"/>
        </w:rPr>
        <w:t>Han J</w:t>
      </w:r>
      <w:r w:rsidR="00C0152A">
        <w:rPr>
          <w:rFonts w:ascii="Book Antiqua" w:eastAsia="Book Antiqua" w:hAnsi="Book Antiqua" w:cs="Book Antiqua"/>
          <w:color w:val="000000"/>
        </w:rPr>
        <w:t>J</w:t>
      </w:r>
      <w:r w:rsidRPr="00C738CC">
        <w:rPr>
          <w:rFonts w:ascii="Book Antiqua" w:eastAsia="Book Antiqua" w:hAnsi="Book Antiqua" w:cs="Book Antiqua"/>
          <w:color w:val="000000"/>
        </w:rPr>
        <w:t>, Chen Y, Nan Y</w:t>
      </w:r>
      <w:r w:rsidR="00C0152A">
        <w:rPr>
          <w:rFonts w:ascii="Book Antiqua" w:eastAsia="Book Antiqua" w:hAnsi="Book Antiqua" w:cs="Book Antiqua"/>
          <w:color w:val="000000"/>
        </w:rPr>
        <w:t>C</w:t>
      </w:r>
      <w:r w:rsidRPr="00C738CC">
        <w:rPr>
          <w:rFonts w:ascii="Book Antiqua" w:eastAsia="Book Antiqua" w:hAnsi="Book Antiqua" w:cs="Book Antiqua"/>
          <w:color w:val="000000"/>
        </w:rPr>
        <w:t>, Yang Y</w:t>
      </w:r>
      <w:r w:rsidR="00C0152A">
        <w:rPr>
          <w:rFonts w:ascii="Book Antiqua" w:eastAsia="Book Antiqua" w:hAnsi="Book Antiqua" w:cs="Book Antiqua"/>
          <w:color w:val="000000"/>
        </w:rPr>
        <w:t>L</w:t>
      </w:r>
      <w:r w:rsidRPr="00C738CC">
        <w:rPr>
          <w:rFonts w:ascii="Book Antiqua" w:eastAsia="Book Antiqua" w:hAnsi="Book Antiqua" w:cs="Book Antiqua"/>
          <w:color w:val="000000"/>
        </w:rPr>
        <w:t xml:space="preserve">. Extremely high titer of hepatitis B surface antigen antibodies in a primary hepatocellular carcinoma patient: </w:t>
      </w:r>
      <w:r w:rsidR="00E41D5A">
        <w:rPr>
          <w:rFonts w:ascii="Book Antiqua" w:eastAsia="Book Antiqua" w:hAnsi="Book Antiqua" w:cs="Book Antiqua"/>
          <w:color w:val="000000"/>
        </w:rPr>
        <w:t>A</w:t>
      </w:r>
      <w:r w:rsidRPr="00C738CC">
        <w:rPr>
          <w:rFonts w:ascii="Book Antiqua" w:eastAsia="Book Antiqua" w:hAnsi="Book Antiqua" w:cs="Book Antiqua"/>
          <w:color w:val="000000"/>
        </w:rPr>
        <w:t xml:space="preserve"> case report. </w:t>
      </w:r>
      <w:r w:rsidRPr="00C738CC">
        <w:rPr>
          <w:rFonts w:ascii="Book Antiqua" w:eastAsia="Book Antiqua" w:hAnsi="Book Antiqua" w:cs="Book Antiqua"/>
          <w:i/>
          <w:iCs/>
          <w:color w:val="000000"/>
        </w:rPr>
        <w:t>World J Clin Cases</w:t>
      </w:r>
      <w:r w:rsidRPr="00C738CC">
        <w:rPr>
          <w:rFonts w:ascii="Book Antiqua" w:eastAsia="Book Antiqua" w:hAnsi="Book Antiqua" w:cs="Book Antiqua"/>
          <w:color w:val="000000"/>
        </w:rPr>
        <w:t xml:space="preserve"> 2021; In press</w:t>
      </w:r>
    </w:p>
    <w:bookmarkEnd w:id="3"/>
    <w:p w14:paraId="57DDD515" w14:textId="77777777" w:rsidR="00A77B3E" w:rsidRPr="00C738CC" w:rsidRDefault="00A77B3E" w:rsidP="008B3ACE">
      <w:pPr>
        <w:snapToGrid w:val="0"/>
        <w:spacing w:line="360" w:lineRule="auto"/>
        <w:jc w:val="both"/>
      </w:pPr>
    </w:p>
    <w:p w14:paraId="744478BF" w14:textId="1E35DEB4"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Core Tip: </w:t>
      </w:r>
      <w:r w:rsidRPr="00C738CC">
        <w:rPr>
          <w:rFonts w:ascii="Book Antiqua" w:eastAsia="Book Antiqua" w:hAnsi="Book Antiqua" w:cs="Book Antiqua"/>
          <w:color w:val="000000"/>
        </w:rPr>
        <w:t>Generally, hepatitis B surface antigen</w:t>
      </w:r>
      <w:r w:rsidR="00A25B59"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turning negative and the occurrence of hepatitis B surface antibody have been regarded as indicators of virus clearance and clinical recovery in hepatitis B patients. Here</w:t>
      </w:r>
      <w:r w:rsidR="00D23E7F">
        <w:rPr>
          <w:rFonts w:ascii="Book Antiqua" w:eastAsia="Book Antiqua" w:hAnsi="Book Antiqua" w:cs="Book Antiqua"/>
          <w:color w:val="000000"/>
        </w:rPr>
        <w:t>,</w:t>
      </w:r>
      <w:r w:rsidRPr="00C738CC">
        <w:rPr>
          <w:rFonts w:ascii="Book Antiqua" w:eastAsia="Book Antiqua" w:hAnsi="Book Antiqua" w:cs="Book Antiqua"/>
          <w:color w:val="000000"/>
        </w:rPr>
        <w:t xml:space="preserve"> we present a case of hepatis B virus (HBV) infection-associated hepatocellular carcinoma with extreme high titer of hepatitis B surface antibodies</w:t>
      </w:r>
      <w:r w:rsidR="00991F00" w:rsidRPr="00C738CC">
        <w:rPr>
          <w:rFonts w:ascii="Book Antiqua" w:hAnsi="Book Antiqua" w:cs="Book Antiqua" w:hint="eastAsia"/>
          <w:color w:val="000000"/>
          <w:lang w:eastAsia="zh-CN"/>
        </w:rPr>
        <w:t>,</w:t>
      </w:r>
      <w:r w:rsidR="00991F00" w:rsidRPr="00C738CC">
        <w:rPr>
          <w:rFonts w:ascii="Book Antiqua" w:hAnsi="Book Antiqua" w:cs="Book Antiqua"/>
          <w:color w:val="000000"/>
          <w:lang w:eastAsia="zh-CN"/>
        </w:rPr>
        <w:t xml:space="preserve"> </w:t>
      </w:r>
      <w:r w:rsidRPr="00C738CC">
        <w:rPr>
          <w:rFonts w:ascii="Book Antiqua" w:eastAsia="Book Antiqua" w:hAnsi="Book Antiqua" w:cs="Book Antiqua"/>
          <w:color w:val="000000"/>
        </w:rPr>
        <w:t xml:space="preserve">up to 30396 mIU/mL, </w:t>
      </w:r>
      <w:r w:rsidR="00D23E7F">
        <w:rPr>
          <w:rFonts w:ascii="Book Antiqua" w:eastAsia="Book Antiqua" w:hAnsi="Book Antiqua" w:cs="Book Antiqua"/>
          <w:color w:val="000000"/>
        </w:rPr>
        <w:t xml:space="preserve">and </w:t>
      </w:r>
      <w:r w:rsidRPr="00C738CC">
        <w:rPr>
          <w:rFonts w:ascii="Book Antiqua" w:eastAsia="Book Antiqua" w:hAnsi="Book Antiqua" w:cs="Book Antiqua"/>
          <w:color w:val="000000"/>
        </w:rPr>
        <w:t>fail</w:t>
      </w:r>
      <w:r w:rsidR="00D23E7F">
        <w:rPr>
          <w:rFonts w:ascii="Book Antiqua" w:eastAsia="Book Antiqua" w:hAnsi="Book Antiqua" w:cs="Book Antiqua"/>
          <w:color w:val="000000"/>
        </w:rPr>
        <w:t>ure</w:t>
      </w:r>
      <w:r w:rsidRPr="00C738CC">
        <w:rPr>
          <w:rFonts w:ascii="Book Antiqua" w:eastAsia="Book Antiqua" w:hAnsi="Book Antiqua" w:cs="Book Antiqua"/>
          <w:color w:val="000000"/>
        </w:rPr>
        <w:t xml:space="preserve"> to eliminate </w:t>
      </w:r>
      <w:r w:rsidR="00991F00" w:rsidRPr="00C738CC">
        <w:rPr>
          <w:rFonts w:ascii="Book Antiqua" w:eastAsia="Book Antiqua" w:hAnsi="Book Antiqua" w:cs="Book Antiqua"/>
          <w:color w:val="000000"/>
        </w:rPr>
        <w:t>HBV</w:t>
      </w:r>
      <w:r w:rsidRPr="00C738CC">
        <w:rPr>
          <w:rFonts w:ascii="Book Antiqua" w:eastAsia="Book Antiqua" w:hAnsi="Book Antiqua" w:cs="Book Antiqua"/>
          <w:color w:val="000000"/>
        </w:rPr>
        <w:t>. This case provides details of a diagnostic process for HBV infection-associated hepatocellular carcinoma that should be considered in patients with highly elevated titer of anti-HBs.</w:t>
      </w:r>
    </w:p>
    <w:p w14:paraId="33E78F3B" w14:textId="77777777" w:rsidR="00596940" w:rsidRPr="00C738CC" w:rsidRDefault="00596940" w:rsidP="008B3ACE">
      <w:pPr>
        <w:snapToGrid w:val="0"/>
        <w:spacing w:line="360" w:lineRule="auto"/>
        <w:jc w:val="both"/>
        <w:sectPr w:rsidR="00596940" w:rsidRPr="00C738CC" w:rsidSect="00214F5B">
          <w:pgSz w:w="12240" w:h="15840"/>
          <w:pgMar w:top="1440" w:right="1440" w:bottom="1440" w:left="1440" w:header="720" w:footer="720" w:gutter="0"/>
          <w:cols w:space="720"/>
          <w:docGrid w:linePitch="360"/>
        </w:sectPr>
      </w:pPr>
    </w:p>
    <w:p w14:paraId="00D5600B" w14:textId="77777777" w:rsidR="00A77B3E" w:rsidRPr="004A6668" w:rsidRDefault="00CF0CD2" w:rsidP="008B3ACE">
      <w:pPr>
        <w:snapToGrid w:val="0"/>
        <w:spacing w:line="360" w:lineRule="auto"/>
        <w:jc w:val="both"/>
        <w:rPr>
          <w:u w:val="single"/>
        </w:rPr>
      </w:pPr>
      <w:r w:rsidRPr="004A6668">
        <w:rPr>
          <w:rFonts w:ascii="Book Antiqua" w:eastAsia="Book Antiqua" w:hAnsi="Book Antiqua" w:cs="Book Antiqua"/>
          <w:b/>
          <w:caps/>
          <w:color w:val="000000"/>
          <w:u w:val="single"/>
        </w:rPr>
        <w:lastRenderedPageBreak/>
        <w:t>INTRODUCTION</w:t>
      </w:r>
    </w:p>
    <w:p w14:paraId="14D23BF3" w14:textId="09E050E9" w:rsidR="00A77B3E" w:rsidRPr="00C738CC" w:rsidRDefault="00CF0CD2" w:rsidP="008B3ACE">
      <w:pPr>
        <w:snapToGrid w:val="0"/>
        <w:spacing w:line="360" w:lineRule="auto"/>
        <w:jc w:val="both"/>
      </w:pPr>
      <w:r w:rsidRPr="00C738CC">
        <w:rPr>
          <w:rFonts w:ascii="Book Antiqua" w:eastAsia="Book Antiqua" w:hAnsi="Book Antiqua" w:cs="Book Antiqua"/>
          <w:color w:val="000000"/>
        </w:rPr>
        <w:t>Hepatocellular carcinoma (HCC) is one of the most common gastrointestinal malignancies in China, with a mortality rate that ranks second highest of all rates of tumor-related mortality</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w:t>
      </w:r>
      <w:r w:rsidRPr="00C738CC">
        <w:rPr>
          <w:rFonts w:ascii="Book Antiqua" w:eastAsia="Book Antiqua" w:hAnsi="Book Antiqua" w:cs="Book Antiqua"/>
          <w:color w:val="000000"/>
        </w:rPr>
        <w:t>. Generally, development of HCC is associated with genetic predisposition, environmental factors (metabolic syndrome, alcohol, aflatoxin B1, Aristotelian acid), and/or infections with hepatitis B virus (HBV) or hepatitis C virus (HCV)</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2]</w:t>
      </w:r>
      <w:r w:rsidRPr="00C738CC">
        <w:rPr>
          <w:rFonts w:ascii="Book Antiqua" w:eastAsia="Book Antiqua" w:hAnsi="Book Antiqua" w:cs="Book Antiqua"/>
          <w:color w:val="000000"/>
        </w:rPr>
        <w:t>. Among these risk factors, the most frequent contributing cause of HCC in China is chronic HBV infection, as supported by the fact that nearly 85% of HCC patients have tested positive for HBV serological markers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3]</w:t>
      </w:r>
      <w:r w:rsidRPr="00C738CC">
        <w:rPr>
          <w:rFonts w:ascii="Book Antiqua" w:eastAsia="Book Antiqua" w:hAnsi="Book Antiqua" w:cs="Book Antiqua"/>
          <w:color w:val="000000"/>
        </w:rPr>
        <w:t>.</w:t>
      </w:r>
    </w:p>
    <w:p w14:paraId="60529B5B" w14:textId="7BC0FB46" w:rsidR="00A77B3E" w:rsidRPr="00C738CC" w:rsidRDefault="00CF0CD2" w:rsidP="008B3ACE">
      <w:pPr>
        <w:snapToGrid w:val="0"/>
        <w:spacing w:line="360" w:lineRule="auto"/>
        <w:ind w:firstLine="240"/>
        <w:jc w:val="both"/>
      </w:pPr>
      <w:r w:rsidRPr="00C738CC">
        <w:rPr>
          <w:rFonts w:ascii="Book Antiqua" w:eastAsia="Book Antiqua" w:hAnsi="Book Antiqua" w:cs="Book Antiqua"/>
          <w:color w:val="000000"/>
        </w:rPr>
        <w:t>Although several anti-HBV drugs that inhibit HBV replication in the host have been approved globally for clinical use, not all patients with HBV have access to these drugs</w:t>
      </w:r>
      <w:r w:rsidRPr="00C738CC">
        <w:rPr>
          <w:rFonts w:ascii="Book Antiqua" w:eastAsia="Book Antiqua" w:hAnsi="Book Antiqua" w:cs="Book Antiqua"/>
          <w:color w:val="000000"/>
          <w:vertAlign w:val="superscript"/>
        </w:rPr>
        <w:t>[4]</w:t>
      </w:r>
      <w:r w:rsidRPr="00C738CC">
        <w:rPr>
          <w:rFonts w:ascii="Book Antiqua" w:eastAsia="Book Antiqua" w:hAnsi="Book Antiqua" w:cs="Book Antiqua"/>
          <w:color w:val="000000"/>
        </w:rPr>
        <w:t xml:space="preserve">. Even patients who have developed full immune responses against HBV still carry low virus numbers, with residual virus acting as a persistent source of HBV that may later engage in replication and reactivation that can </w:t>
      </w:r>
      <w:r w:rsidR="0043221D" w:rsidRPr="00C738CC">
        <w:rPr>
          <w:rFonts w:ascii="Book Antiqua" w:eastAsia="Book Antiqua" w:hAnsi="Book Antiqua" w:cs="Book Antiqua"/>
          <w:color w:val="000000"/>
        </w:rPr>
        <w:t xml:space="preserve">eventually </w:t>
      </w:r>
      <w:r w:rsidRPr="00C738CC">
        <w:rPr>
          <w:rFonts w:ascii="Book Antiqua" w:eastAsia="Book Antiqua" w:hAnsi="Book Antiqua" w:cs="Book Antiqua"/>
          <w:color w:val="000000"/>
        </w:rPr>
        <w:t>initiate development of HBV-associated HCC</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5,6]</w:t>
      </w:r>
      <w:r w:rsidRPr="00C738CC">
        <w:rPr>
          <w:rFonts w:ascii="Book Antiqua" w:eastAsia="Book Antiqua" w:hAnsi="Book Antiqua" w:cs="Book Antiqua"/>
          <w:color w:val="000000"/>
        </w:rPr>
        <w:t>. This article reports an HCC case with an extremely high anti-</w:t>
      </w:r>
      <w:r w:rsidR="00013602" w:rsidRPr="00C738CC">
        <w:rPr>
          <w:rFonts w:ascii="Book Antiqua" w:eastAsia="Book Antiqua" w:hAnsi="Book Antiqua" w:cs="Book Antiqua"/>
          <w:color w:val="000000"/>
        </w:rPr>
        <w:t>hepatitis B surface antigen (HBsAg)</w:t>
      </w:r>
      <w:r w:rsidRPr="00C738CC">
        <w:rPr>
          <w:rFonts w:ascii="Book Antiqua" w:eastAsia="Book Antiqua" w:hAnsi="Book Antiqua" w:cs="Book Antiqua"/>
          <w:color w:val="000000"/>
        </w:rPr>
        <w:t xml:space="preserve"> antibody titer and latent HBV infection. The purpose of this work is to improve early HCC detection and help make a correct diagnosis to prevent development of HCC.</w:t>
      </w:r>
    </w:p>
    <w:p w14:paraId="5C1EE714" w14:textId="77777777" w:rsidR="00A77B3E" w:rsidRPr="00C738CC" w:rsidRDefault="00A77B3E" w:rsidP="008B3ACE">
      <w:pPr>
        <w:snapToGrid w:val="0"/>
        <w:spacing w:line="360" w:lineRule="auto"/>
        <w:jc w:val="both"/>
      </w:pPr>
    </w:p>
    <w:p w14:paraId="2893C156" w14:textId="77777777" w:rsidR="00A77B3E" w:rsidRPr="00BF7F7B" w:rsidRDefault="00CF0CD2" w:rsidP="008B3ACE">
      <w:pPr>
        <w:snapToGrid w:val="0"/>
        <w:spacing w:line="360" w:lineRule="auto"/>
        <w:jc w:val="both"/>
        <w:rPr>
          <w:u w:val="single"/>
        </w:rPr>
      </w:pPr>
      <w:r w:rsidRPr="00BF7F7B">
        <w:rPr>
          <w:rFonts w:ascii="Book Antiqua" w:eastAsia="Book Antiqua" w:hAnsi="Book Antiqua" w:cs="Book Antiqua"/>
          <w:b/>
          <w:caps/>
          <w:color w:val="000000"/>
          <w:u w:val="single"/>
        </w:rPr>
        <w:t>CASE PRESENTATION</w:t>
      </w:r>
    </w:p>
    <w:p w14:paraId="476CB644"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Chief complaints</w:t>
      </w:r>
    </w:p>
    <w:p w14:paraId="3099271F" w14:textId="56E781D8"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A 57-year-old male experiencing abdominal pain for </w:t>
      </w:r>
      <w:r w:rsidR="0043221D">
        <w:rPr>
          <w:rFonts w:ascii="Book Antiqua" w:eastAsia="Book Antiqua" w:hAnsi="Book Antiqua" w:cs="Book Antiqua"/>
          <w:color w:val="000000"/>
        </w:rPr>
        <w:t>1 mo</w:t>
      </w:r>
      <w:r w:rsidRPr="00C738CC">
        <w:rPr>
          <w:rFonts w:ascii="Book Antiqua" w:eastAsia="Book Antiqua" w:hAnsi="Book Antiqua" w:cs="Book Antiqua"/>
          <w:color w:val="000000"/>
        </w:rPr>
        <w:t xml:space="preserve"> was admitted to our hospital in September 2020.</w:t>
      </w:r>
    </w:p>
    <w:p w14:paraId="7E7E909F" w14:textId="77777777" w:rsidR="00A77B3E" w:rsidRPr="00C738CC" w:rsidRDefault="00A77B3E" w:rsidP="008B3ACE">
      <w:pPr>
        <w:snapToGrid w:val="0"/>
        <w:spacing w:line="360" w:lineRule="auto"/>
        <w:jc w:val="both"/>
      </w:pPr>
    </w:p>
    <w:p w14:paraId="587F2516"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History of present illness</w:t>
      </w:r>
    </w:p>
    <w:p w14:paraId="20BEAA9D" w14:textId="601DD39E"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The patient developed epigastric pain </w:t>
      </w:r>
      <w:r w:rsidR="0043221D">
        <w:rPr>
          <w:rFonts w:ascii="Book Antiqua" w:eastAsia="Book Antiqua" w:hAnsi="Book Antiqua" w:cs="Book Antiqua"/>
          <w:color w:val="000000"/>
        </w:rPr>
        <w:t>1 mo prior</w:t>
      </w:r>
      <w:r w:rsidRPr="00C738CC">
        <w:rPr>
          <w:rFonts w:ascii="Book Antiqua" w:eastAsia="Book Antiqua" w:hAnsi="Book Antiqua" w:cs="Book Antiqua"/>
          <w:color w:val="000000"/>
        </w:rPr>
        <w:t xml:space="preserve">, which had worsened </w:t>
      </w:r>
      <w:r w:rsidR="0043221D">
        <w:rPr>
          <w:rFonts w:ascii="Book Antiqua" w:eastAsia="Book Antiqua" w:hAnsi="Book Antiqua" w:cs="Book Antiqua"/>
          <w:color w:val="000000"/>
        </w:rPr>
        <w:t xml:space="preserve">over </w:t>
      </w:r>
      <w:r w:rsidRPr="00C738CC">
        <w:rPr>
          <w:rFonts w:ascii="Book Antiqua" w:eastAsia="Book Antiqua" w:hAnsi="Book Antiqua" w:cs="Book Antiqua"/>
          <w:color w:val="000000"/>
        </w:rPr>
        <w:t xml:space="preserve">the </w:t>
      </w:r>
      <w:r w:rsidR="0043221D">
        <w:rPr>
          <w:rFonts w:ascii="Book Antiqua" w:eastAsia="Book Antiqua" w:hAnsi="Book Antiqua" w:cs="Book Antiqua"/>
          <w:color w:val="000000"/>
        </w:rPr>
        <w:t>previous</w:t>
      </w:r>
      <w:r w:rsidR="0043221D"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week.</w:t>
      </w:r>
    </w:p>
    <w:p w14:paraId="4DA418E9" w14:textId="77777777" w:rsidR="00A77B3E" w:rsidRPr="00C738CC" w:rsidRDefault="00A77B3E" w:rsidP="008B3ACE">
      <w:pPr>
        <w:snapToGrid w:val="0"/>
        <w:spacing w:line="360" w:lineRule="auto"/>
        <w:jc w:val="both"/>
      </w:pPr>
    </w:p>
    <w:p w14:paraId="2B5C6E40"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History of past illness</w:t>
      </w:r>
    </w:p>
    <w:p w14:paraId="13FE4B4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The patient had a free previous medical history.</w:t>
      </w:r>
    </w:p>
    <w:p w14:paraId="1D9B3F02" w14:textId="77777777" w:rsidR="00A77B3E" w:rsidRPr="00C738CC" w:rsidRDefault="00A77B3E" w:rsidP="008B3ACE">
      <w:pPr>
        <w:snapToGrid w:val="0"/>
        <w:spacing w:line="360" w:lineRule="auto"/>
        <w:jc w:val="both"/>
      </w:pPr>
    </w:p>
    <w:p w14:paraId="67CD037F"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Personal and family history</w:t>
      </w:r>
    </w:p>
    <w:p w14:paraId="3F0BFBD3"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Review of the patient’s medical records indicated the patient had denied any history of HBV vaccination, HBV infection or hepatitis, as well as any history of blood transfusion, tattooing, intravenous drug abuse or family history of HBV infection.</w:t>
      </w:r>
    </w:p>
    <w:p w14:paraId="49C89B94" w14:textId="77777777" w:rsidR="00A77B3E" w:rsidRPr="00C738CC" w:rsidRDefault="00A77B3E" w:rsidP="008B3ACE">
      <w:pPr>
        <w:snapToGrid w:val="0"/>
        <w:spacing w:line="360" w:lineRule="auto"/>
        <w:jc w:val="both"/>
      </w:pPr>
    </w:p>
    <w:p w14:paraId="30055302"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Physical examination</w:t>
      </w:r>
    </w:p>
    <w:p w14:paraId="574E5030" w14:textId="58B07D28" w:rsidR="00A77B3E" w:rsidRPr="00C738CC" w:rsidRDefault="00CF0CD2" w:rsidP="008B3ACE">
      <w:pPr>
        <w:snapToGrid w:val="0"/>
        <w:spacing w:line="360" w:lineRule="auto"/>
        <w:jc w:val="both"/>
      </w:pPr>
      <w:r w:rsidRPr="00C738CC">
        <w:rPr>
          <w:rFonts w:ascii="Book Antiqua" w:eastAsia="Book Antiqua" w:hAnsi="Book Antiqua" w:cs="Book Antiqua"/>
          <w:color w:val="000000"/>
        </w:rPr>
        <w:t>Initial physical examination of the patient demonstrated mental clarity and good spirits. The patient had a dull complexion with no yellow staining on sclera or skin surfaces. Cardiopulmonary auscultation showed no abnormality. No tenderness or rebound tenderness were found across the entire abdomen</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except for percussive pain in the liver area. Bowel sounds were normal, no edema was detected in the lower extremities and the patient tested negative for hepatic encephalopathy asterixis.</w:t>
      </w:r>
    </w:p>
    <w:p w14:paraId="726720D2" w14:textId="77777777" w:rsidR="00A77B3E" w:rsidRPr="00C738CC" w:rsidRDefault="00A77B3E" w:rsidP="008B3ACE">
      <w:pPr>
        <w:snapToGrid w:val="0"/>
        <w:spacing w:line="360" w:lineRule="auto"/>
        <w:jc w:val="both"/>
      </w:pPr>
    </w:p>
    <w:p w14:paraId="7962FAE4"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Laboratory examinations</w:t>
      </w:r>
    </w:p>
    <w:p w14:paraId="653FFE87" w14:textId="0029798B"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Results of laboratory testing assessments of serum marker levels were as follows: </w:t>
      </w:r>
      <w:r w:rsidR="0043221D">
        <w:rPr>
          <w:rFonts w:ascii="Book Antiqua" w:eastAsia="Book Antiqua" w:hAnsi="Book Antiqua" w:cs="Book Antiqua"/>
          <w:color w:val="000000"/>
        </w:rPr>
        <w:t>s</w:t>
      </w:r>
      <w:r w:rsidRPr="00C738CC">
        <w:rPr>
          <w:rFonts w:ascii="Book Antiqua" w:eastAsia="Book Antiqua" w:hAnsi="Book Antiqua" w:cs="Book Antiqua"/>
          <w:color w:val="000000"/>
        </w:rPr>
        <w:t>erum alpha-fetoprotein (AFP) level greater than 2000.00 ng/mL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0.89-8.78 ng/mL); negativ</w:t>
      </w:r>
      <w:r w:rsidR="0043221D">
        <w:rPr>
          <w:rFonts w:ascii="Book Antiqua" w:eastAsia="Book Antiqua" w:hAnsi="Book Antiqua" w:cs="Book Antiqua"/>
          <w:color w:val="000000"/>
        </w:rPr>
        <w:t>ity</w:t>
      </w:r>
      <w:r w:rsidRPr="00C738CC">
        <w:rPr>
          <w:rFonts w:ascii="Book Antiqua" w:eastAsia="Book Antiqua" w:hAnsi="Book Antiqua" w:cs="Book Antiqua"/>
          <w:color w:val="000000"/>
        </w:rPr>
        <w:t xml:space="preserve"> for both HBsAg and hepatitis B virus e antigen (HBeAg); </w:t>
      </w:r>
      <w:r w:rsidR="0043221D">
        <w:rPr>
          <w:rFonts w:ascii="Book Antiqua" w:eastAsia="Book Antiqua" w:hAnsi="Book Antiqua" w:cs="Book Antiqua"/>
          <w:color w:val="000000"/>
        </w:rPr>
        <w:t xml:space="preserve">and </w:t>
      </w:r>
      <w:r w:rsidRPr="00C738CC">
        <w:rPr>
          <w:rFonts w:ascii="Book Antiqua" w:eastAsia="Book Antiqua" w:hAnsi="Book Antiqua" w:cs="Book Antiqua"/>
          <w:color w:val="000000"/>
        </w:rPr>
        <w:t>anti-HBsAg antibody level greater than 1000.00 mIU/mL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&lt; 10 mIU/mL), anti-HBeAg level of 0.04 S/Co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&gt; 1.0 S/Co) and anti-HBcAg level of 9.06 S/Co (normal range</w:t>
      </w:r>
      <w:r w:rsidR="0043221D">
        <w:rPr>
          <w:rFonts w:ascii="Book Antiqua" w:eastAsia="Book Antiqua" w:hAnsi="Book Antiqua" w:cs="Book Antiqua"/>
          <w:color w:val="000000"/>
        </w:rPr>
        <w:t>:</w:t>
      </w:r>
      <w:r w:rsidRPr="00C738CC">
        <w:rPr>
          <w:rFonts w:ascii="Book Antiqua" w:eastAsia="Book Antiqua" w:hAnsi="Book Antiqua" w:cs="Book Antiqua"/>
          <w:color w:val="000000"/>
        </w:rPr>
        <w:t xml:space="preserve"> &gt; 1.0 S/Co). Analysis of serum marker levels related to liver function indicated abnormal liver function</w:t>
      </w:r>
      <w:r w:rsidR="00C31CC2">
        <w:rPr>
          <w:rFonts w:ascii="Book Antiqua" w:eastAsia="Book Antiqua" w:hAnsi="Book Antiqua" w:cs="Book Antiqua"/>
          <w:color w:val="000000"/>
        </w:rPr>
        <w:t>, with</w:t>
      </w:r>
      <w:r w:rsidRPr="00C738CC">
        <w:rPr>
          <w:rFonts w:ascii="Book Antiqua" w:eastAsia="Book Antiqua" w:hAnsi="Book Antiqua" w:cs="Book Antiqua"/>
          <w:color w:val="000000"/>
        </w:rPr>
        <w:t xml:space="preserve"> </w:t>
      </w:r>
      <w:r w:rsidR="00C31CC2">
        <w:rPr>
          <w:rFonts w:ascii="Book Antiqua" w:eastAsia="Book Antiqua" w:hAnsi="Book Antiqua" w:cs="Book Antiqua"/>
          <w:color w:val="000000"/>
        </w:rPr>
        <w:t>a</w:t>
      </w:r>
      <w:r w:rsidRPr="00C738CC">
        <w:rPr>
          <w:rFonts w:ascii="Book Antiqua" w:eastAsia="Book Antiqua" w:hAnsi="Book Antiqua" w:cs="Book Antiqua"/>
          <w:color w:val="000000"/>
        </w:rPr>
        <w:t>lanine aminotransferase</w:t>
      </w:r>
      <w:r w:rsidR="008B0D80">
        <w:rPr>
          <w:rFonts w:ascii="Book Antiqua" w:eastAsia="Book Antiqua" w:hAnsi="Book Antiqua" w:cs="Book Antiqua"/>
          <w:color w:val="000000"/>
        </w:rPr>
        <w:t xml:space="preserv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29 U/L (normal range: 9-50 U/L), aspartate transaminase</w:t>
      </w:r>
      <w:r w:rsidR="006926DF">
        <w:rPr>
          <w:rFonts w:ascii="Book Antiqua" w:eastAsia="Book Antiqua" w:hAnsi="Book Antiqua" w:cs="Book Antiqua"/>
          <w:color w:val="000000"/>
        </w:rPr>
        <w:t xml:space="preserv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65 U/L (normal range: 15-40 U/L), lactate dehydrogenase</w:t>
      </w:r>
      <w:r w:rsidR="005922E3">
        <w:rPr>
          <w:rFonts w:ascii="Book Antiqua" w:eastAsia="Book Antiqua" w:hAnsi="Book Antiqua" w:cs="Book Antiqua"/>
          <w:color w:val="000000"/>
        </w:rPr>
        <w:t xml:space="preserv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 xml:space="preserve">274 U/L (normal range: 120-250 U/L), gamma glutamyl transpeptidase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213 U/L (normal range:</w:t>
      </w:r>
      <w:r w:rsidR="00C31CC2">
        <w:rPr>
          <w:rFonts w:ascii="Book Antiqua" w:eastAsia="Book Antiqua" w:hAnsi="Book Antiqua" w:cs="Book Antiqua"/>
          <w:color w:val="000000"/>
        </w:rPr>
        <w:t xml:space="preserve"> </w:t>
      </w:r>
      <w:r w:rsidRPr="00C738CC">
        <w:rPr>
          <w:rFonts w:ascii="Book Antiqua" w:eastAsia="Book Antiqua" w:hAnsi="Book Antiqua" w:cs="Book Antiqua"/>
          <w:color w:val="000000"/>
        </w:rPr>
        <w:t>10 to 60 U/L), alkaline phosphatase</w:t>
      </w:r>
      <w:r w:rsidR="00C31CC2">
        <w:rPr>
          <w:rFonts w:ascii="Book Antiqua" w:eastAsia="Book Antiqua" w:hAnsi="Book Antiqua" w:cs="Book Antiqua"/>
          <w:color w:val="000000"/>
        </w:rPr>
        <w:t xml:space="preserve"> of</w:t>
      </w:r>
      <w:r w:rsidRPr="00C738CC">
        <w:rPr>
          <w:rFonts w:ascii="Book Antiqua" w:eastAsia="Book Antiqua" w:hAnsi="Book Antiqua" w:cs="Book Antiqua"/>
          <w:color w:val="000000"/>
        </w:rPr>
        <w:t xml:space="preserve"> 145U/L (normal range: 45-125 U/L) and alpha hydroxy butyric acid deaminase </w:t>
      </w:r>
      <w:r w:rsidR="00C31CC2">
        <w:rPr>
          <w:rFonts w:ascii="Book Antiqua" w:eastAsia="Book Antiqua" w:hAnsi="Book Antiqua" w:cs="Book Antiqua"/>
          <w:color w:val="000000"/>
        </w:rPr>
        <w:t xml:space="preserve">of </w:t>
      </w:r>
      <w:r w:rsidRPr="00C738CC">
        <w:rPr>
          <w:rFonts w:ascii="Book Antiqua" w:eastAsia="Book Antiqua" w:hAnsi="Book Antiqua" w:cs="Book Antiqua"/>
          <w:color w:val="000000"/>
        </w:rPr>
        <w:t>224 U/L (normal range: 72-190 U/L).</w:t>
      </w:r>
    </w:p>
    <w:p w14:paraId="63146B11" w14:textId="77777777" w:rsidR="00A77B3E" w:rsidRPr="00C738CC" w:rsidRDefault="00A77B3E" w:rsidP="008B3ACE">
      <w:pPr>
        <w:snapToGrid w:val="0"/>
        <w:spacing w:line="360" w:lineRule="auto"/>
        <w:jc w:val="both"/>
      </w:pPr>
    </w:p>
    <w:p w14:paraId="215C45D7" w14:textId="77777777" w:rsidR="00A77B3E" w:rsidRPr="00C738CC" w:rsidRDefault="00CF0CD2" w:rsidP="008B3ACE">
      <w:pPr>
        <w:snapToGrid w:val="0"/>
        <w:spacing w:line="360" w:lineRule="auto"/>
        <w:jc w:val="both"/>
      </w:pPr>
      <w:r w:rsidRPr="00C738CC">
        <w:rPr>
          <w:rFonts w:ascii="Book Antiqua" w:eastAsia="Book Antiqua" w:hAnsi="Book Antiqua" w:cs="Book Antiqua"/>
          <w:b/>
          <w:i/>
          <w:color w:val="000000"/>
        </w:rPr>
        <w:t>Imaging examinations</w:t>
      </w:r>
    </w:p>
    <w:p w14:paraId="6BF01AB3" w14:textId="5228854A" w:rsidR="00A77B3E" w:rsidRPr="00C738CC" w:rsidRDefault="00CF0CD2" w:rsidP="008B3ACE">
      <w:pPr>
        <w:snapToGrid w:val="0"/>
        <w:spacing w:line="360" w:lineRule="auto"/>
        <w:jc w:val="both"/>
        <w:rPr>
          <w:rFonts w:ascii="Book Antiqua" w:eastAsia="Book Antiqua" w:hAnsi="Book Antiqua" w:cs="Book Antiqua"/>
          <w:color w:val="000000"/>
        </w:rPr>
      </w:pPr>
      <w:r w:rsidRPr="00C738CC">
        <w:rPr>
          <w:rFonts w:ascii="Book Antiqua" w:eastAsia="Book Antiqua" w:hAnsi="Book Antiqua" w:cs="Book Antiqua"/>
          <w:color w:val="000000"/>
        </w:rPr>
        <w:lastRenderedPageBreak/>
        <w:t>B-ultrasound scanning of the posterior abdomen revealed a hypoechoic solid mass in the right lobe of the liver with uneven density and irregular edges, a characteristic presentation of HCC. Moreover, mild splenomegaly was observed</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t>
      </w:r>
      <w:r w:rsidR="00C31CC2">
        <w:rPr>
          <w:rFonts w:ascii="Book Antiqua" w:eastAsia="Book Antiqua" w:hAnsi="Book Antiqua" w:cs="Book Antiqua"/>
          <w:color w:val="000000"/>
        </w:rPr>
        <w:t>which</w:t>
      </w:r>
      <w:r w:rsidR="00C31CC2"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warranted further examination. Therefore, enhanced computed tomography (CT) scanning was conducted. CT scan results revealed an area of low-density soft tissue in a scanned plane within the upper abdomen</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with mild density enhancement observed in the arterial phase and non-homogeneous density enhancement observed in the portal phase that together were suggestive of HCC</w:t>
      </w:r>
      <w:r w:rsidRPr="00C738CC">
        <w:rPr>
          <w:rFonts w:ascii="Book Antiqua" w:eastAsia="Book Antiqua" w:hAnsi="Book Antiqua" w:cs="Book Antiqua"/>
          <w:color w:val="000000"/>
          <w:szCs w:val="21"/>
          <w:shd w:val="clear" w:color="auto" w:fill="F7F8FA"/>
        </w:rPr>
        <w:t xml:space="preserve"> </w:t>
      </w:r>
      <w:r w:rsidRPr="00C738CC">
        <w:rPr>
          <w:rFonts w:ascii="Book Antiqua" w:eastAsia="Book Antiqua" w:hAnsi="Book Antiqua" w:cs="Book Antiqua"/>
          <w:color w:val="000000"/>
        </w:rPr>
        <w:t>accompanied by splenomegaly (Figure 1).</w:t>
      </w:r>
    </w:p>
    <w:p w14:paraId="41FD75AC" w14:textId="77777777" w:rsidR="00C144D7" w:rsidRPr="00C738CC" w:rsidRDefault="00C144D7" w:rsidP="008B3ACE">
      <w:pPr>
        <w:snapToGrid w:val="0"/>
        <w:spacing w:line="360" w:lineRule="auto"/>
        <w:jc w:val="both"/>
        <w:rPr>
          <w:rFonts w:ascii="Book Antiqua" w:hAnsi="Book Antiqua"/>
          <w:b/>
          <w:bCs/>
          <w:i/>
          <w:iCs/>
          <w:sz w:val="23"/>
          <w:szCs w:val="23"/>
        </w:rPr>
      </w:pPr>
    </w:p>
    <w:p w14:paraId="1CE1F1A3" w14:textId="1214C605" w:rsidR="00C144D7" w:rsidRPr="00C738CC" w:rsidRDefault="00C144D7" w:rsidP="008B3ACE">
      <w:pPr>
        <w:snapToGrid w:val="0"/>
        <w:spacing w:line="360" w:lineRule="auto"/>
        <w:jc w:val="both"/>
        <w:rPr>
          <w:rFonts w:ascii="Book Antiqua" w:hAnsi="Book Antiqua"/>
          <w:b/>
          <w:bCs/>
          <w:i/>
          <w:iCs/>
          <w:sz w:val="23"/>
          <w:szCs w:val="23"/>
        </w:rPr>
      </w:pPr>
      <w:r w:rsidRPr="00C738CC">
        <w:rPr>
          <w:rFonts w:ascii="Book Antiqua" w:hAnsi="Book Antiqua"/>
          <w:b/>
          <w:bCs/>
          <w:i/>
          <w:iCs/>
          <w:sz w:val="23"/>
          <w:szCs w:val="23"/>
        </w:rPr>
        <w:t>Further diagnostic work-up</w:t>
      </w:r>
    </w:p>
    <w:p w14:paraId="22FFB5EF" w14:textId="273179A1" w:rsidR="00C144D7" w:rsidRPr="00C738CC" w:rsidRDefault="00C144D7" w:rsidP="008B3ACE">
      <w:pPr>
        <w:snapToGrid w:val="0"/>
        <w:spacing w:line="360" w:lineRule="auto"/>
        <w:jc w:val="both"/>
        <w:rPr>
          <w:rFonts w:ascii="Book Antiqua" w:hAnsi="Book Antiqua"/>
        </w:rPr>
      </w:pPr>
      <w:r w:rsidRPr="00C738CC">
        <w:rPr>
          <w:rFonts w:ascii="Book Antiqua" w:hAnsi="Book Antiqua"/>
        </w:rPr>
        <w:t>The anti-HBs concentration of the patient's serum was quantified by chemiluminescent microparticle immunoassay after dilution, which was finally confirmed to be 30</w:t>
      </w:r>
      <w:r w:rsidR="00C31CC2">
        <w:rPr>
          <w:rFonts w:ascii="Book Antiqua" w:hAnsi="Book Antiqua"/>
        </w:rPr>
        <w:t>,</w:t>
      </w:r>
      <w:r w:rsidRPr="00C738CC">
        <w:rPr>
          <w:rFonts w:ascii="Book Antiqua" w:hAnsi="Book Antiqua"/>
        </w:rPr>
        <w:t>936 mIU/m</w:t>
      </w:r>
      <w:r w:rsidR="004A00AA">
        <w:rPr>
          <w:rFonts w:ascii="Book Antiqua" w:hAnsi="Book Antiqua"/>
        </w:rPr>
        <w:t>L</w:t>
      </w:r>
      <w:r w:rsidRPr="00C738CC">
        <w:rPr>
          <w:rFonts w:ascii="Book Antiqua" w:hAnsi="Book Antiqua"/>
        </w:rPr>
        <w:t>. Next, we selected</w:t>
      </w:r>
      <w:r w:rsidR="00C31CC2">
        <w:rPr>
          <w:rFonts w:ascii="Book Antiqua" w:hAnsi="Book Antiqua"/>
        </w:rPr>
        <w:t xml:space="preserve"> a</w:t>
      </w:r>
      <w:r w:rsidRPr="00C738CC">
        <w:rPr>
          <w:rFonts w:ascii="Book Antiqua" w:hAnsi="Book Antiqua"/>
        </w:rPr>
        <w:t xml:space="preserve"> sample from this patient and ordinary anti-HB</w:t>
      </w:r>
      <w:r w:rsidR="00FF7AF4">
        <w:rPr>
          <w:rFonts w:ascii="Book Antiqua" w:hAnsi="Book Antiqua"/>
        </w:rPr>
        <w:t>s</w:t>
      </w:r>
      <w:r w:rsidR="00C31CC2">
        <w:rPr>
          <w:rFonts w:ascii="Book Antiqua" w:hAnsi="Book Antiqua"/>
        </w:rPr>
        <w:t>-</w:t>
      </w:r>
      <w:r w:rsidRPr="00C738CC">
        <w:rPr>
          <w:rFonts w:ascii="Book Antiqua" w:hAnsi="Book Antiqua"/>
        </w:rPr>
        <w:t>positive (200</w:t>
      </w:r>
      <w:r w:rsidR="00F70B0E">
        <w:rPr>
          <w:rFonts w:ascii="Book Antiqua" w:hAnsi="Book Antiqua"/>
        </w:rPr>
        <w:t xml:space="preserve"> </w:t>
      </w:r>
      <w:r w:rsidRPr="00C738CC">
        <w:rPr>
          <w:rFonts w:ascii="Book Antiqua" w:hAnsi="Book Antiqua"/>
        </w:rPr>
        <w:t xml:space="preserve">mIU/mL) samples to conduct </w:t>
      </w:r>
      <w:r w:rsidRPr="002E331D">
        <w:rPr>
          <w:rFonts w:ascii="Book Antiqua" w:hAnsi="Book Antiqua"/>
          <w:i/>
          <w:iCs/>
        </w:rPr>
        <w:t>in vitro</w:t>
      </w:r>
      <w:r w:rsidRPr="00C738CC">
        <w:rPr>
          <w:rFonts w:ascii="Book Antiqua" w:hAnsi="Book Antiqua"/>
        </w:rPr>
        <w:t xml:space="preserve"> serological neutralization experiments </w:t>
      </w:r>
      <w:r w:rsidR="00C31CC2">
        <w:rPr>
          <w:rFonts w:ascii="Book Antiqua" w:hAnsi="Book Antiqua"/>
        </w:rPr>
        <w:t xml:space="preserve">along </w:t>
      </w:r>
      <w:r w:rsidRPr="00C738CC">
        <w:rPr>
          <w:rFonts w:ascii="Book Antiqua" w:hAnsi="Book Antiqua"/>
        </w:rPr>
        <w:t>with HBsAg samples. The results showed that the effective neutralization rate of patients' serum was 88.8%, which was much higher than the 21.9% of ordinary anti-HB</w:t>
      </w:r>
      <w:r w:rsidR="00FF7AF4">
        <w:rPr>
          <w:rFonts w:ascii="Book Antiqua" w:hAnsi="Book Antiqua"/>
        </w:rPr>
        <w:t>s</w:t>
      </w:r>
      <w:r w:rsidR="00C31CC2">
        <w:rPr>
          <w:rFonts w:ascii="Book Antiqua" w:hAnsi="Book Antiqua"/>
        </w:rPr>
        <w:t>-</w:t>
      </w:r>
      <w:r w:rsidRPr="00C738CC">
        <w:rPr>
          <w:rFonts w:ascii="Book Antiqua" w:hAnsi="Book Antiqua"/>
        </w:rPr>
        <w:t>positive serum. It is concluded that the surface antibody of hepatitis B still has a strong protective effect in patients, and the patients may still be in the active period of virus replication.</w:t>
      </w:r>
    </w:p>
    <w:p w14:paraId="46F362BF" w14:textId="6BA8A92D" w:rsidR="00C144D7" w:rsidRPr="00C738CC" w:rsidRDefault="00C144D7" w:rsidP="008B3ACE">
      <w:pPr>
        <w:snapToGrid w:val="0"/>
        <w:spacing w:line="360" w:lineRule="auto"/>
        <w:ind w:firstLineChars="100" w:firstLine="240"/>
        <w:jc w:val="both"/>
        <w:rPr>
          <w:rFonts w:ascii="Book Antiqua" w:hAnsi="Book Antiqua"/>
        </w:rPr>
      </w:pPr>
      <w:r w:rsidRPr="00C738CC">
        <w:rPr>
          <w:rFonts w:ascii="Book Antiqua" w:hAnsi="Book Antiqua"/>
        </w:rPr>
        <w:t>Results of all serum marker-based assessments of HBV disease status in this patient revealed very high titers of anti-HBsAg and anti-HBc antibodies. Meanwhile, Novartis screening test results of patient blood indicated a positive HBV DNA result (detection sensitivity: 3 IU/mL)</w:t>
      </w:r>
      <w:r w:rsidR="00C31CC2">
        <w:rPr>
          <w:rFonts w:ascii="Book Antiqua" w:hAnsi="Book Antiqua"/>
        </w:rPr>
        <w:t>,</w:t>
      </w:r>
      <w:r w:rsidRPr="00C738CC">
        <w:rPr>
          <w:rFonts w:ascii="Book Antiqua" w:hAnsi="Book Antiqua"/>
        </w:rPr>
        <w:t xml:space="preserve"> supporting categorization of the patient’s disease status as an Occult Hepatitis B virus infection (OBI); OBI status refers to an HBV patient’s serological state as characterized by a negative HBsAg detection result accompanied by detectable HBV DNA in serum and/or liver tissues and a positive anti-HBcAg antibody detection result with or without detected anti-HBsAg antibody</w:t>
      </w:r>
      <w:r w:rsidRPr="00C738CC">
        <w:rPr>
          <w:rFonts w:ascii="Book Antiqua" w:hAnsi="Book Antiqua"/>
          <w:noProof/>
          <w:vertAlign w:val="superscript"/>
        </w:rPr>
        <w:t>[7]</w:t>
      </w:r>
      <w:r w:rsidRPr="00C738CC">
        <w:rPr>
          <w:rFonts w:ascii="Book Antiqua" w:hAnsi="Book Antiqua"/>
        </w:rPr>
        <w:t>.</w:t>
      </w:r>
    </w:p>
    <w:p w14:paraId="671A4EE6" w14:textId="77777777" w:rsidR="00857F17" w:rsidRDefault="00857F17" w:rsidP="008B3ACE">
      <w:pPr>
        <w:snapToGrid w:val="0"/>
        <w:spacing w:line="360" w:lineRule="auto"/>
        <w:jc w:val="both"/>
      </w:pPr>
    </w:p>
    <w:p w14:paraId="497926E9" w14:textId="05D8BEBF" w:rsidR="00A77B3E" w:rsidRPr="006D0189" w:rsidRDefault="00CF0CD2" w:rsidP="008B3ACE">
      <w:pPr>
        <w:snapToGrid w:val="0"/>
        <w:spacing w:line="360" w:lineRule="auto"/>
        <w:jc w:val="both"/>
        <w:rPr>
          <w:u w:val="single"/>
        </w:rPr>
      </w:pPr>
      <w:r w:rsidRPr="006D0189">
        <w:rPr>
          <w:rFonts w:ascii="Book Antiqua" w:eastAsia="Book Antiqua" w:hAnsi="Book Antiqua" w:cs="Book Antiqua"/>
          <w:b/>
          <w:caps/>
          <w:color w:val="000000"/>
          <w:u w:val="single"/>
        </w:rPr>
        <w:t>FINAL DIAGNOSIS</w:t>
      </w:r>
    </w:p>
    <w:p w14:paraId="47D68419"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lastRenderedPageBreak/>
        <w:t>Based on the aforementioned serological test results, this patient could be clearly classified as a seronegative OBI case. To sum up, the patient was diagnosed with primary HCC associated with hepatitis B in a compensated stage of liver cirrhosis.</w:t>
      </w:r>
    </w:p>
    <w:p w14:paraId="0B96898E" w14:textId="77777777" w:rsidR="00A77B3E" w:rsidRPr="00C738CC" w:rsidRDefault="00A77B3E" w:rsidP="008B3ACE">
      <w:pPr>
        <w:snapToGrid w:val="0"/>
        <w:spacing w:line="360" w:lineRule="auto"/>
        <w:jc w:val="both"/>
      </w:pPr>
    </w:p>
    <w:p w14:paraId="2927B13A" w14:textId="77777777" w:rsidR="00A77B3E" w:rsidRPr="006B10CB" w:rsidRDefault="00CF0CD2" w:rsidP="008B3ACE">
      <w:pPr>
        <w:snapToGrid w:val="0"/>
        <w:spacing w:line="360" w:lineRule="auto"/>
        <w:jc w:val="both"/>
        <w:rPr>
          <w:u w:val="single"/>
        </w:rPr>
      </w:pPr>
      <w:r w:rsidRPr="006B10CB">
        <w:rPr>
          <w:rFonts w:ascii="Book Antiqua" w:eastAsia="Book Antiqua" w:hAnsi="Book Antiqua" w:cs="Book Antiqua"/>
          <w:b/>
          <w:caps/>
          <w:color w:val="000000"/>
          <w:u w:val="single"/>
        </w:rPr>
        <w:t>TREATMENT</w:t>
      </w:r>
    </w:p>
    <w:p w14:paraId="72C6D11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After admission, the patient was given antivirus, liver protection, stomach protection, anti-infection and other treatment measures, and then transferred to other hospitals for surgical treatment.</w:t>
      </w:r>
    </w:p>
    <w:p w14:paraId="50504316" w14:textId="77777777" w:rsidR="00A77B3E" w:rsidRPr="00C738CC" w:rsidRDefault="00A77B3E" w:rsidP="008B3ACE">
      <w:pPr>
        <w:snapToGrid w:val="0"/>
        <w:spacing w:line="360" w:lineRule="auto"/>
        <w:jc w:val="both"/>
      </w:pPr>
    </w:p>
    <w:p w14:paraId="322A73D7" w14:textId="77777777" w:rsidR="00A77B3E" w:rsidRPr="00B47B5B" w:rsidRDefault="00CF0CD2" w:rsidP="008B3ACE">
      <w:pPr>
        <w:snapToGrid w:val="0"/>
        <w:spacing w:line="360" w:lineRule="auto"/>
        <w:jc w:val="both"/>
        <w:rPr>
          <w:u w:val="single"/>
        </w:rPr>
      </w:pPr>
      <w:r w:rsidRPr="00B47B5B">
        <w:rPr>
          <w:rFonts w:ascii="Book Antiqua" w:eastAsia="Book Antiqua" w:hAnsi="Book Antiqua" w:cs="Book Antiqua"/>
          <w:b/>
          <w:caps/>
          <w:color w:val="000000"/>
          <w:u w:val="single"/>
        </w:rPr>
        <w:t>OUTCOME AND FOLLOW-UP</w:t>
      </w:r>
    </w:p>
    <w:p w14:paraId="21AAD892"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The patient's abdominal pain was relieved prior to surgical treatment and HBV DNA was negative on review.</w:t>
      </w:r>
    </w:p>
    <w:p w14:paraId="32432E3C" w14:textId="77777777" w:rsidR="00A77B3E" w:rsidRPr="00C738CC" w:rsidRDefault="00A77B3E" w:rsidP="008B3ACE">
      <w:pPr>
        <w:snapToGrid w:val="0"/>
        <w:spacing w:line="360" w:lineRule="auto"/>
        <w:jc w:val="both"/>
      </w:pPr>
    </w:p>
    <w:p w14:paraId="56517B6D" w14:textId="77777777" w:rsidR="00A77B3E" w:rsidRPr="00B47B5B" w:rsidRDefault="00CF0CD2" w:rsidP="008B3ACE">
      <w:pPr>
        <w:snapToGrid w:val="0"/>
        <w:spacing w:line="360" w:lineRule="auto"/>
        <w:jc w:val="both"/>
        <w:rPr>
          <w:u w:val="single"/>
        </w:rPr>
      </w:pPr>
      <w:r w:rsidRPr="00B47B5B">
        <w:rPr>
          <w:rFonts w:ascii="Book Antiqua" w:eastAsia="Book Antiqua" w:hAnsi="Book Antiqua" w:cs="Book Antiqua"/>
          <w:b/>
          <w:caps/>
          <w:color w:val="000000"/>
          <w:u w:val="single"/>
        </w:rPr>
        <w:t>DISCUSSION</w:t>
      </w:r>
    </w:p>
    <w:p w14:paraId="0EF8F751" w14:textId="474F648E" w:rsidR="00A77B3E" w:rsidRPr="00C738CC" w:rsidRDefault="00CF0CD2" w:rsidP="008B3ACE">
      <w:pPr>
        <w:snapToGrid w:val="0"/>
        <w:spacing w:line="360" w:lineRule="auto"/>
        <w:jc w:val="both"/>
      </w:pPr>
      <w:r w:rsidRPr="00C738CC">
        <w:rPr>
          <w:rFonts w:ascii="Book Antiqua" w:eastAsia="Book Antiqua" w:hAnsi="Book Antiqua" w:cs="Book Antiqua"/>
          <w:color w:val="000000"/>
        </w:rPr>
        <w:t>HCC, one of the most common gastrointestinal malignancies worldwide, occurs with an annual global incidence of greater than 626</w:t>
      </w:r>
      <w:r w:rsidR="00C31CC2">
        <w:rPr>
          <w:rFonts w:ascii="Book Antiqua" w:eastAsia="Book Antiqua" w:hAnsi="Book Antiqua" w:cs="Book Antiqua"/>
          <w:color w:val="000000"/>
        </w:rPr>
        <w:t>,</w:t>
      </w:r>
      <w:r w:rsidRPr="00C738CC">
        <w:rPr>
          <w:rFonts w:ascii="Book Antiqua" w:eastAsia="Book Antiqua" w:hAnsi="Book Antiqua" w:cs="Book Antiqua"/>
          <w:color w:val="000000"/>
        </w:rPr>
        <w:t>000 cases per year. In China, the HCC mortality rate ranks second highest of all tumor-related mortality rates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8]</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Clinical diagnosis of liver cancer is mainly based on ultrasound image-based examinations combined with assessments of serum AFP levels, with limitations of both assessments known to clinicians. Although AFP is the most widely used serum marker for HCC, its specificity as a marker for early diagnosis of HCC is 87</w:t>
      </w:r>
      <w:r w:rsidR="00B47B5B">
        <w:rPr>
          <w:rFonts w:ascii="Book Antiqua" w:eastAsia="Book Antiqua" w:hAnsi="Book Antiqua" w:cs="Book Antiqua"/>
          <w:color w:val="000000"/>
        </w:rPr>
        <w:t>%</w:t>
      </w:r>
      <w:r w:rsidRPr="00C738CC">
        <w:rPr>
          <w:rFonts w:ascii="Book Antiqua" w:eastAsia="Book Antiqua" w:hAnsi="Book Antiqua" w:cs="Book Antiqua"/>
          <w:color w:val="000000"/>
        </w:rPr>
        <w:t>-93%, and its sensitivity is only 45.3%-62%</w:t>
      </w:r>
      <w:r w:rsidRPr="00C738CC">
        <w:rPr>
          <w:rFonts w:ascii="Book Antiqua" w:eastAsia="Book Antiqua" w:hAnsi="Book Antiqua" w:cs="Book Antiqua"/>
          <w:color w:val="000000"/>
          <w:szCs w:val="30"/>
          <w:vertAlign w:val="superscript"/>
        </w:rPr>
        <w:t>[9]</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its </w:t>
      </w:r>
      <w:r w:rsidR="00C31CC2">
        <w:rPr>
          <w:rFonts w:ascii="Book Antiqua" w:eastAsia="Book Antiqua" w:hAnsi="Book Antiqua" w:cs="Book Antiqua"/>
          <w:color w:val="000000"/>
        </w:rPr>
        <w:t>results</w:t>
      </w:r>
      <w:r w:rsidR="00C31CC2"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 xml:space="preserve">need to be </w:t>
      </w:r>
      <w:r w:rsidR="00C31CC2">
        <w:rPr>
          <w:rFonts w:ascii="Book Antiqua" w:eastAsia="Book Antiqua" w:hAnsi="Book Antiqua" w:cs="Book Antiqua"/>
          <w:color w:val="000000"/>
        </w:rPr>
        <w:t>interpreted</w:t>
      </w:r>
      <w:r w:rsidR="00C31CC2"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by experts</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combined with analysis of imaging results. Meanwhile, ultrasound-based diagnosis is affected by operator skills, equipment sensitivity and patient characteristics that together decrease sensitivity to about 60%-80%</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10]</w:t>
      </w:r>
      <w:r w:rsidRPr="00C738CC">
        <w:rPr>
          <w:rFonts w:ascii="Book Antiqua" w:eastAsia="Book Antiqua" w:hAnsi="Book Antiqua" w:cs="Book Antiqua"/>
          <w:color w:val="000000"/>
        </w:rPr>
        <w:t>. Due to these limitations, CT scanning is considered a necessary step to confirm HCC diagnosis or to guide HCC clinical staging and treatment</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11]</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During CT plane-based scanning, HCC can be detected as regular or irregular low-density shadows</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with occasional observations of isometric and high-density shadows (ruptured nodules). By contrast, enhanced CT scanning reveals typical </w:t>
      </w:r>
      <w:r w:rsidR="004464FA">
        <w:rPr>
          <w:rFonts w:ascii="Book Antiqua" w:eastAsia="Book Antiqua" w:hAnsi="Book Antiqua" w:cs="Book Antiqua"/>
          <w:color w:val="000000"/>
        </w:rPr>
        <w:t>“</w:t>
      </w:r>
      <w:r w:rsidRPr="00C738CC">
        <w:rPr>
          <w:rFonts w:ascii="Book Antiqua" w:eastAsia="Book Antiqua" w:hAnsi="Book Antiqua" w:cs="Book Antiqua"/>
          <w:color w:val="000000"/>
        </w:rPr>
        <w:t>wash in and wash out</w:t>
      </w:r>
      <w:r w:rsidR="004464FA">
        <w:rPr>
          <w:rFonts w:ascii="Book Antiqua" w:eastAsia="Book Antiqua" w:hAnsi="Book Antiqua" w:cs="Book Antiqua"/>
          <w:color w:val="000000"/>
        </w:rPr>
        <w:t>”</w:t>
      </w:r>
      <w:r w:rsidRPr="00C738CC">
        <w:rPr>
          <w:rFonts w:ascii="Book Antiqua" w:eastAsia="Book Antiqua" w:hAnsi="Book Antiqua" w:cs="Book Antiqua"/>
          <w:color w:val="000000"/>
        </w:rPr>
        <w:t xml:space="preserve"> signs characterized by significantly enhanced signals in the enhanced arterial phase of tumor </w:t>
      </w:r>
      <w:r w:rsidRPr="00C738CC">
        <w:rPr>
          <w:rFonts w:ascii="Book Antiqua" w:eastAsia="Book Antiqua" w:hAnsi="Book Antiqua" w:cs="Book Antiqua"/>
          <w:color w:val="000000"/>
        </w:rPr>
        <w:lastRenderedPageBreak/>
        <w:t>nodule scans and low signals in portal and delayed phase scans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12]</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In this study, serum AFP level, ultrasound and CT results were all used together to confirm a diagnosis of HCC in this patient.</w:t>
      </w:r>
    </w:p>
    <w:p w14:paraId="0034956D" w14:textId="3C5C363D" w:rsidR="00A77B3E" w:rsidRPr="00C738CC" w:rsidRDefault="00CF0CD2" w:rsidP="008B3ACE">
      <w:pPr>
        <w:snapToGrid w:val="0"/>
        <w:spacing w:line="360" w:lineRule="auto"/>
        <w:ind w:firstLine="240"/>
        <w:jc w:val="both"/>
      </w:pPr>
      <w:r w:rsidRPr="00C738CC">
        <w:rPr>
          <w:rFonts w:ascii="Book Antiqua" w:eastAsia="Book Antiqua" w:hAnsi="Book Antiqua" w:cs="Book Antiqua"/>
          <w:color w:val="000000"/>
        </w:rPr>
        <w:t>About 80% of primary liver cancers worldwide are associated with chronic hepatitis B virus infection</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13]</w:t>
      </w:r>
      <w:r w:rsidRPr="00C738CC">
        <w:rPr>
          <w:rFonts w:ascii="Book Antiqua" w:eastAsia="Book Antiqua" w:hAnsi="Book Antiqua" w:cs="Book Antiqua"/>
          <w:color w:val="000000"/>
        </w:rPr>
        <w:t>, in line with the scenario in China</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whereby 85% of HCC patients test positive for HBV serological markers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3]</w:t>
      </w:r>
      <w:r w:rsidRPr="00C738CC">
        <w:rPr>
          <w:rFonts w:ascii="Book Antiqua" w:eastAsia="Book Antiqua" w:hAnsi="Book Antiqua" w:cs="Book Antiqua"/>
          <w:color w:val="000000"/>
        </w:rPr>
        <w:t>.</w:t>
      </w:r>
      <w:r w:rsidRPr="00C738CC">
        <w:rPr>
          <w:rFonts w:ascii="Book Antiqua" w:eastAsia="Book Antiqua" w:hAnsi="Book Antiqua" w:cs="Book Antiqua"/>
          <w:color w:val="000000"/>
          <w:shd w:val="clear" w:color="auto" w:fill="F7F8FA"/>
        </w:rPr>
        <w:t xml:space="preserve"> </w:t>
      </w:r>
      <w:r w:rsidRPr="00C738CC">
        <w:rPr>
          <w:rFonts w:ascii="Book Antiqua" w:eastAsia="Book Antiqua" w:hAnsi="Book Antiqua" w:cs="Book Antiqua"/>
          <w:color w:val="000000"/>
        </w:rPr>
        <w:t xml:space="preserve">At least three different mechanisms have been proposed to contribute to development of HBV-related HCC. In the first proposed mechanism, HBV is not completely eliminated from infected patients, allowing low-level persistence in patient tissues of covalently closed circular DNA (cccDNA). Subsequently, cccDNA can integrate into the host genome and activate host genes controlling cell proliferation, while also triggering genomic instability </w:t>
      </w:r>
      <w:r w:rsidR="00C31CC2">
        <w:rPr>
          <w:rFonts w:ascii="Book Antiqua" w:eastAsia="Book Antiqua" w:hAnsi="Book Antiqua" w:cs="Book Antiqua"/>
          <w:color w:val="000000"/>
        </w:rPr>
        <w:t xml:space="preserve">that </w:t>
      </w:r>
      <w:r w:rsidRPr="00C738CC">
        <w:rPr>
          <w:rFonts w:ascii="Book Antiqua" w:eastAsia="Book Antiqua" w:hAnsi="Book Antiqua" w:cs="Book Antiqua"/>
          <w:color w:val="000000"/>
        </w:rPr>
        <w:t>lead</w:t>
      </w:r>
      <w:r w:rsidR="00C31CC2">
        <w:rPr>
          <w:rFonts w:ascii="Book Antiqua" w:eastAsia="Book Antiqua" w:hAnsi="Book Antiqua" w:cs="Book Antiqua"/>
          <w:color w:val="000000"/>
        </w:rPr>
        <w:t>s</w:t>
      </w:r>
      <w:r w:rsidRPr="00C738CC">
        <w:rPr>
          <w:rFonts w:ascii="Book Antiqua" w:eastAsia="Book Antiqua" w:hAnsi="Book Antiqua" w:cs="Book Antiqua"/>
          <w:color w:val="000000"/>
        </w:rPr>
        <w:t xml:space="preserve"> to inactivation of tumor suppressor genes and increased expression of cancer genes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14,15]</w:t>
      </w:r>
      <w:r w:rsidRPr="00C738CC">
        <w:rPr>
          <w:rFonts w:ascii="Book Antiqua" w:eastAsia="Book Antiqua" w:hAnsi="Book Antiqua" w:cs="Book Antiqua"/>
          <w:color w:val="000000"/>
        </w:rPr>
        <w:t>. As another mechanism, chronic inflammation caused by HBV infection has been posited to lead to hepatocyte destruction and regeneration during the chronic phase of HBV infection, resulting in accumulation of genetic mutations conferring a cell growth advantage</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16]</w:t>
      </w:r>
      <w:r w:rsidRPr="00C738CC">
        <w:rPr>
          <w:rFonts w:ascii="Book Antiqua" w:eastAsia="Book Antiqua" w:hAnsi="Book Antiqua" w:cs="Book Antiqua"/>
          <w:color w:val="000000"/>
        </w:rPr>
        <w:t xml:space="preserve">. In yet another mechanism, </w:t>
      </w:r>
      <w:r w:rsidR="00C31CC2">
        <w:rPr>
          <w:rFonts w:ascii="Book Antiqua" w:eastAsia="Book Antiqua" w:hAnsi="Book Antiqua" w:cs="Book Antiqua"/>
          <w:color w:val="000000"/>
        </w:rPr>
        <w:t xml:space="preserve">the </w:t>
      </w:r>
      <w:r w:rsidRPr="00C738CC">
        <w:rPr>
          <w:rFonts w:ascii="Book Antiqua" w:eastAsia="Book Antiqua" w:hAnsi="Book Antiqua" w:cs="Book Antiqua"/>
          <w:color w:val="000000"/>
        </w:rPr>
        <w:t xml:space="preserve">HBV-X </w:t>
      </w:r>
      <w:r w:rsidR="00C31CC2">
        <w:rPr>
          <w:rFonts w:ascii="Book Antiqua" w:eastAsia="Book Antiqua" w:hAnsi="Book Antiqua" w:cs="Book Antiqua"/>
          <w:color w:val="000000"/>
        </w:rPr>
        <w:t>open reading frame</w:t>
      </w:r>
      <w:r w:rsidRPr="00C738CC">
        <w:rPr>
          <w:rFonts w:ascii="Book Antiqua" w:eastAsia="Book Antiqua" w:hAnsi="Book Antiqua" w:cs="Book Antiqua"/>
          <w:color w:val="000000"/>
        </w:rPr>
        <w:t xml:space="preserve"> encodes a nonstructural protein, HBVx, with multiple functions in viral replication and oncogenic transformation, which may promote tumorigenesis as well</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17]</w:t>
      </w:r>
      <w:r w:rsidRPr="00C738CC">
        <w:rPr>
          <w:rFonts w:ascii="Book Antiqua" w:eastAsia="Book Antiqua" w:hAnsi="Book Antiqua" w:cs="Book Antiqua"/>
          <w:color w:val="000000"/>
        </w:rPr>
        <w:t>.</w:t>
      </w:r>
      <w:r w:rsidRPr="00C738CC">
        <w:rPr>
          <w:rFonts w:ascii="Book Antiqua" w:eastAsia="Book Antiqua" w:hAnsi="Book Antiqua" w:cs="Book Antiqua"/>
          <w:color w:val="000000"/>
          <w:szCs w:val="19"/>
          <w:shd w:val="clear" w:color="auto" w:fill="FFFFFF"/>
        </w:rPr>
        <w:t xml:space="preserve"> </w:t>
      </w:r>
    </w:p>
    <w:p w14:paraId="7C553682" w14:textId="3392DF15" w:rsidR="00A77B3E" w:rsidRPr="00C738CC" w:rsidRDefault="00CF0CD2" w:rsidP="008B3ACE">
      <w:pPr>
        <w:snapToGrid w:val="0"/>
        <w:spacing w:line="360" w:lineRule="auto"/>
        <w:ind w:firstLineChars="100" w:firstLine="240"/>
        <w:jc w:val="both"/>
      </w:pPr>
      <w:bookmarkStart w:id="4" w:name="OLE_LINK1"/>
      <w:r w:rsidRPr="00C738CC">
        <w:rPr>
          <w:rFonts w:ascii="Book Antiqua" w:eastAsia="Book Antiqua" w:hAnsi="Book Antiqua" w:cs="Book Antiqua"/>
          <w:color w:val="000000"/>
        </w:rPr>
        <w:t>As compared to indicators used for HBV diagnosis, hepatitis B serological markers are generally used to guide disease prognosis. Based on the fact that HBsAg is translated from HBV cccDNA transcripts, HBsAg levels are thought to reflect the level of cccDNA in HBV-infected hepatocytes as evidence of active HBV infection. Indeed, detection tests based on HBV cccDNA have already been used effectively to detect HBV DNA in both acute and chronic hepatitis B patients as well as in asymptomatic carriers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18]</w:t>
      </w:r>
      <w:r w:rsidRPr="00C738CC">
        <w:rPr>
          <w:rFonts w:ascii="Book Antiqua" w:eastAsia="Book Antiqua" w:hAnsi="Book Antiqua" w:cs="Book Antiqua"/>
          <w:color w:val="000000"/>
        </w:rPr>
        <w:t xml:space="preserve">. In fact, for the majority of acute hepatitis B patients, HBsAg levels become undetectable after clinical recovery from HBV, while persistence of detectable HBsAg levels for 6 mo or longer is a sign of disease progression to a chronic hepatitis B infection phase. Meanwhile, anti-HBsAg antibodies are capable of neutralizing HBV and thus play a protective role against HBV infection. Therefore, a change in HBsAg detection status to undetectable along with detection of serum anti-HBsAg antibodies are viewed together as indicators of virus </w:t>
      </w:r>
      <w:r w:rsidRPr="00C738CC">
        <w:rPr>
          <w:rFonts w:ascii="Book Antiqua" w:eastAsia="Book Antiqua" w:hAnsi="Book Antiqua" w:cs="Book Antiqua"/>
          <w:color w:val="000000"/>
        </w:rPr>
        <w:lastRenderedPageBreak/>
        <w:t>clearance and clinical recovery after hepatitis B infection. However, in the unique case presented here, HBV</w:t>
      </w:r>
      <w:r w:rsidR="00C31CC2">
        <w:rPr>
          <w:rFonts w:ascii="Book Antiqua" w:eastAsia="Book Antiqua" w:hAnsi="Book Antiqua" w:cs="Book Antiqua"/>
          <w:color w:val="000000"/>
        </w:rPr>
        <w:t xml:space="preserve"> </w:t>
      </w:r>
      <w:r w:rsidRPr="00C738CC">
        <w:rPr>
          <w:rFonts w:ascii="Book Antiqua" w:eastAsia="Book Antiqua" w:hAnsi="Book Antiqua" w:cs="Book Antiqua"/>
          <w:color w:val="000000"/>
        </w:rPr>
        <w:t>DNA was still detectable at a high level in the patient in spite of indicators of clinical recovery (both an undetectable HBsAg level and high-level anti-HBsAg antibody titer). Thus, taken together all findings here pointed to active HBV replication in this patient that may have led to development of HCC</w:t>
      </w:r>
      <w:r w:rsidR="00C31CC2">
        <w:rPr>
          <w:rFonts w:ascii="Book Antiqua" w:eastAsia="Book Antiqua" w:hAnsi="Book Antiqua" w:cs="Book Antiqua"/>
          <w:color w:val="000000"/>
        </w:rPr>
        <w:t>,</w:t>
      </w:r>
      <w:r w:rsidRPr="00C738CC">
        <w:rPr>
          <w:rFonts w:ascii="Book Antiqua" w:eastAsia="Book Antiqua" w:hAnsi="Book Antiqua" w:cs="Book Antiqua"/>
          <w:color w:val="000000"/>
        </w:rPr>
        <w:t xml:space="preserve"> as consistent with the proposed diagnosis of OBI</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19]</w:t>
      </w:r>
      <w:r w:rsidRPr="00C738CC">
        <w:rPr>
          <w:rFonts w:ascii="Book Antiqua" w:eastAsia="Book Antiqua" w:hAnsi="Book Antiqua" w:cs="Book Antiqua"/>
          <w:color w:val="000000"/>
        </w:rPr>
        <w:t>.</w:t>
      </w:r>
    </w:p>
    <w:bookmarkEnd w:id="4"/>
    <w:p w14:paraId="6C19171B" w14:textId="5D1E1085" w:rsidR="00A77B3E" w:rsidRPr="00C738CC" w:rsidRDefault="00CF0CD2" w:rsidP="008B3ACE">
      <w:pPr>
        <w:snapToGrid w:val="0"/>
        <w:spacing w:line="360" w:lineRule="auto"/>
        <w:ind w:firstLineChars="100" w:firstLine="240"/>
        <w:jc w:val="both"/>
      </w:pPr>
      <w:r w:rsidRPr="00C738CC">
        <w:rPr>
          <w:rFonts w:ascii="Book Antiqua" w:eastAsia="Book Antiqua" w:hAnsi="Book Antiqua" w:cs="Book Antiqua"/>
          <w:color w:val="000000"/>
        </w:rPr>
        <w:t>The prevalence of OBI varies greatly across the world and across patient populations, with higher rates reported in Asia. The prevalence of OBI is higher in patients with chronic liver disease and may be as high as 40% to 75% in those with HBsAg-negative HCC. It is almost equivalent to a persistent HBsAg</w:t>
      </w:r>
      <w:r w:rsidR="00C1363A">
        <w:rPr>
          <w:rFonts w:ascii="Book Antiqua" w:eastAsia="Book Antiqua" w:hAnsi="Book Antiqua" w:cs="Book Antiqua"/>
          <w:color w:val="000000"/>
        </w:rPr>
        <w:t>-</w:t>
      </w:r>
      <w:r w:rsidRPr="00C738CC">
        <w:rPr>
          <w:rFonts w:ascii="Book Antiqua" w:eastAsia="Book Antiqua" w:hAnsi="Book Antiqua" w:cs="Book Antiqua"/>
          <w:color w:val="000000"/>
        </w:rPr>
        <w:t>positive HCC patient</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20]</w:t>
      </w:r>
      <w:r w:rsidRPr="00C738CC">
        <w:rPr>
          <w:rFonts w:ascii="Book Antiqua" w:eastAsia="Book Antiqua" w:hAnsi="Book Antiqua" w:cs="Book Antiqua"/>
          <w:color w:val="000000"/>
        </w:rPr>
        <w:t xml:space="preserve">. Although causative factors of OBI remain unclear, in OBI cases a strong anti-HBsAg antibody response </w:t>
      </w:r>
      <w:r w:rsidRPr="00C738CC">
        <w:rPr>
          <w:rFonts w:ascii="Book Antiqua" w:eastAsia="Book Antiqua" w:hAnsi="Book Antiqua" w:cs="Book Antiqua"/>
          <w:i/>
          <w:iCs/>
          <w:color w:val="000000"/>
        </w:rPr>
        <w:t>in vivo</w:t>
      </w:r>
      <w:r w:rsidRPr="00C738CC">
        <w:rPr>
          <w:rFonts w:ascii="Book Antiqua" w:eastAsia="Book Antiqua" w:hAnsi="Book Antiqua" w:cs="Book Antiqua"/>
          <w:color w:val="000000"/>
        </w:rPr>
        <w:t xml:space="preserve"> may result in binding of antibodies to HBsAg to form immune complexes that are rapidly removed from circulation, resulting in low serum HBsAg levels. Concurrently, partial or full HBV genomes may integrate into genomic DNA of hepatocytes to support constant HBV replication and release of HBV DNA into the circulation in spite of an abundance of anti-HBsAg antibodies. Such persistent low-level viral replication may then act as a source of escape mutants that are not neutralized by host anti-HBsAg antibodies that are also undetectable using current HBsAg assays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21]</w:t>
      </w:r>
      <w:r w:rsidRPr="00C738CC">
        <w:rPr>
          <w:rFonts w:ascii="Book Antiqua" w:eastAsia="Book Antiqua" w:hAnsi="Book Antiqua" w:cs="Book Antiqua"/>
          <w:color w:val="000000"/>
        </w:rPr>
        <w:t>. Based on this scenario, it is possible that the patient here is currently infected with a rare HBV subtype with one or more unique mutations that cannot be detected using current HBsAg detection reagents. We are currently sequencing the full genome of HBV</w:t>
      </w:r>
      <w:r w:rsidR="00C1363A">
        <w:rPr>
          <w:rFonts w:ascii="Book Antiqua" w:eastAsia="Book Antiqua" w:hAnsi="Book Antiqua" w:cs="Book Antiqua"/>
          <w:color w:val="000000"/>
        </w:rPr>
        <w:t xml:space="preserve"> </w:t>
      </w:r>
      <w:r w:rsidRPr="00C738CC">
        <w:rPr>
          <w:rFonts w:ascii="Book Antiqua" w:eastAsia="Book Antiqua" w:hAnsi="Book Antiqua" w:cs="Book Antiqua"/>
          <w:color w:val="000000"/>
        </w:rPr>
        <w:t>DNA from this patient to confirm this speculation. Meanwhile, in a recent report, a meta-analysis of 44</w:t>
      </w:r>
      <w:r w:rsidR="00C1363A">
        <w:rPr>
          <w:rFonts w:ascii="Book Antiqua" w:eastAsia="Book Antiqua" w:hAnsi="Book Antiqua" w:cs="Book Antiqua"/>
          <w:color w:val="000000"/>
        </w:rPr>
        <w:t>,</w:t>
      </w:r>
      <w:r w:rsidRPr="00C738CC">
        <w:rPr>
          <w:rFonts w:ascii="Book Antiqua" w:eastAsia="Book Antiqua" w:hAnsi="Book Antiqua" w:cs="Book Antiqua"/>
          <w:color w:val="000000"/>
        </w:rPr>
        <w:t xml:space="preserve">553 patients suggested that in HBsAg-negative patients with chronic liver disease, anti-HBc positivity is strongly associated with the presence of HCC, which suggested that more factors may </w:t>
      </w:r>
      <w:r w:rsidR="00C1363A">
        <w:rPr>
          <w:rFonts w:ascii="Book Antiqua" w:eastAsia="Book Antiqua" w:hAnsi="Book Antiqua" w:cs="Book Antiqua"/>
          <w:color w:val="000000"/>
        </w:rPr>
        <w:t xml:space="preserve">be </w:t>
      </w:r>
      <w:r w:rsidRPr="00C738CC">
        <w:rPr>
          <w:rFonts w:ascii="Book Antiqua" w:eastAsia="Book Antiqua" w:hAnsi="Book Antiqua" w:cs="Book Antiqua"/>
          <w:color w:val="000000"/>
        </w:rPr>
        <w:t>involved in develop</w:t>
      </w:r>
      <w:r w:rsidR="00C1363A">
        <w:rPr>
          <w:rFonts w:ascii="Book Antiqua" w:eastAsia="Book Antiqua" w:hAnsi="Book Antiqua" w:cs="Book Antiqua"/>
          <w:color w:val="000000"/>
        </w:rPr>
        <w:t>ment</w:t>
      </w:r>
      <w:r w:rsidRPr="00C738CC">
        <w:rPr>
          <w:rFonts w:ascii="Book Antiqua" w:eastAsia="Book Antiqua" w:hAnsi="Book Antiqua" w:cs="Book Antiqua"/>
          <w:color w:val="000000"/>
        </w:rPr>
        <w:t xml:space="preserve"> of HCC in this group of patients</w:t>
      </w:r>
      <w:r w:rsidRPr="00C738CC">
        <w:rPr>
          <w:rFonts w:ascii="Book Antiqua" w:eastAsia="Book Antiqua" w:hAnsi="Book Antiqua" w:cs="Book Antiqua"/>
          <w:color w:val="000000"/>
          <w:szCs w:val="30"/>
          <w:vertAlign w:val="superscript"/>
        </w:rPr>
        <w:t>[</w:t>
      </w:r>
      <w:r w:rsidRPr="00C738CC">
        <w:rPr>
          <w:rFonts w:ascii="Book Antiqua" w:eastAsia="Book Antiqua" w:hAnsi="Book Antiqua" w:cs="Book Antiqua"/>
          <w:color w:val="000000"/>
          <w:vertAlign w:val="superscript"/>
        </w:rPr>
        <w:t>22]</w:t>
      </w:r>
      <w:r w:rsidRPr="00C738CC">
        <w:rPr>
          <w:rFonts w:ascii="Book Antiqua" w:eastAsia="Book Antiqua" w:hAnsi="Book Antiqua" w:cs="Book Antiqua"/>
          <w:color w:val="000000"/>
        </w:rPr>
        <w:t>.</w:t>
      </w:r>
    </w:p>
    <w:p w14:paraId="4952C823" w14:textId="77777777" w:rsidR="0097058F" w:rsidRDefault="0097058F" w:rsidP="008B3ACE">
      <w:pPr>
        <w:snapToGrid w:val="0"/>
        <w:spacing w:line="360" w:lineRule="auto"/>
        <w:jc w:val="both"/>
      </w:pPr>
    </w:p>
    <w:p w14:paraId="0402CEE1" w14:textId="06D58B6F" w:rsidR="00A77B3E" w:rsidRPr="0097058F" w:rsidRDefault="00CF0CD2" w:rsidP="008B3ACE">
      <w:pPr>
        <w:snapToGrid w:val="0"/>
        <w:spacing w:line="360" w:lineRule="auto"/>
        <w:jc w:val="both"/>
        <w:rPr>
          <w:u w:val="single"/>
        </w:rPr>
      </w:pPr>
      <w:r w:rsidRPr="0097058F">
        <w:rPr>
          <w:rFonts w:ascii="Book Antiqua" w:eastAsia="Book Antiqua" w:hAnsi="Book Antiqua" w:cs="Book Antiqua"/>
          <w:b/>
          <w:caps/>
          <w:color w:val="000000"/>
          <w:u w:val="single"/>
        </w:rPr>
        <w:t>CONCLUSION</w:t>
      </w:r>
    </w:p>
    <w:p w14:paraId="7AC73F56" w14:textId="656CB1DB" w:rsidR="00A77B3E" w:rsidRPr="00C738CC" w:rsidRDefault="00CF0CD2" w:rsidP="008B3ACE">
      <w:pPr>
        <w:snapToGrid w:val="0"/>
        <w:spacing w:line="360" w:lineRule="auto"/>
        <w:jc w:val="both"/>
      </w:pPr>
      <w:r w:rsidRPr="00C738CC">
        <w:rPr>
          <w:rFonts w:ascii="Book Antiqua" w:eastAsia="Book Antiqua" w:hAnsi="Book Antiqua" w:cs="Book Antiqua"/>
          <w:color w:val="000000"/>
        </w:rPr>
        <w:t>Here</w:t>
      </w:r>
      <w:r w:rsidR="00C1363A">
        <w:rPr>
          <w:rFonts w:ascii="Book Antiqua" w:eastAsia="Book Antiqua" w:hAnsi="Book Antiqua" w:cs="Book Antiqua"/>
          <w:color w:val="000000"/>
        </w:rPr>
        <w:t>,</w:t>
      </w:r>
      <w:r w:rsidRPr="00C738CC">
        <w:rPr>
          <w:rFonts w:ascii="Book Antiqua" w:eastAsia="Book Antiqua" w:hAnsi="Book Antiqua" w:cs="Book Antiqua"/>
          <w:color w:val="000000"/>
        </w:rPr>
        <w:t xml:space="preserve"> a case of HBV infection-associated primary HCC is described with an extremely high serum titer of hepatitis B surface antibodies and detectable HBV DNA. Based on </w:t>
      </w:r>
      <w:r w:rsidRPr="00C738CC">
        <w:rPr>
          <w:rFonts w:ascii="Book Antiqua" w:eastAsia="Book Antiqua" w:hAnsi="Book Antiqua" w:cs="Book Antiqua"/>
          <w:color w:val="000000"/>
        </w:rPr>
        <w:lastRenderedPageBreak/>
        <w:t>literature review and case findings presented here, HBV infection-associated HCC can occur in “clinically recovered” HBV patients with high serum levels of anti-HBsAg and undetectable HBsAg levels. To prevent later HCC development in such patients, routine screening for HBV</w:t>
      </w:r>
      <w:r w:rsidR="00C1363A">
        <w:rPr>
          <w:rFonts w:ascii="Book Antiqua" w:eastAsia="Book Antiqua" w:hAnsi="Book Antiqua" w:cs="Book Antiqua"/>
          <w:color w:val="000000"/>
        </w:rPr>
        <w:t xml:space="preserve"> </w:t>
      </w:r>
      <w:r w:rsidRPr="00C738CC">
        <w:rPr>
          <w:rFonts w:ascii="Book Antiqua" w:eastAsia="Book Antiqua" w:hAnsi="Book Antiqua" w:cs="Book Antiqua"/>
          <w:color w:val="000000"/>
        </w:rPr>
        <w:t>DNA is required and testing should be expanded to include additional hepatitis B serum markers</w:t>
      </w:r>
      <w:r w:rsidR="00C1363A">
        <w:rPr>
          <w:rFonts w:ascii="Book Antiqua" w:eastAsia="Book Antiqua" w:hAnsi="Book Antiqua" w:cs="Book Antiqua"/>
          <w:color w:val="000000"/>
        </w:rPr>
        <w:t>,</w:t>
      </w:r>
      <w:r w:rsidRPr="00C738CC">
        <w:rPr>
          <w:rFonts w:ascii="Book Antiqua" w:eastAsia="Book Antiqua" w:hAnsi="Book Antiqua" w:cs="Book Antiqua"/>
          <w:color w:val="000000"/>
        </w:rPr>
        <w:t xml:space="preserve"> in order to improve early HCC detection and prevent development of HCC.</w:t>
      </w:r>
    </w:p>
    <w:p w14:paraId="3B2F0F44" w14:textId="77777777" w:rsidR="00A77B3E" w:rsidRPr="00C738CC" w:rsidRDefault="00A77B3E" w:rsidP="008B3ACE">
      <w:pPr>
        <w:snapToGrid w:val="0"/>
        <w:spacing w:line="360" w:lineRule="auto"/>
        <w:jc w:val="both"/>
      </w:pPr>
    </w:p>
    <w:p w14:paraId="17698078"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REFERENCES</w:t>
      </w:r>
    </w:p>
    <w:p w14:paraId="45722A20" w14:textId="77777777" w:rsidR="00A77B3E" w:rsidRPr="00C738CC" w:rsidRDefault="00CF0CD2" w:rsidP="008B3ACE">
      <w:pPr>
        <w:snapToGrid w:val="0"/>
        <w:spacing w:line="360" w:lineRule="auto"/>
        <w:jc w:val="both"/>
      </w:pPr>
      <w:bookmarkStart w:id="5" w:name="OLE_LINK2"/>
      <w:r w:rsidRPr="00C738CC">
        <w:rPr>
          <w:rFonts w:ascii="Book Antiqua" w:eastAsia="Book Antiqua" w:hAnsi="Book Antiqua" w:cs="Book Antiqua"/>
          <w:color w:val="000000"/>
        </w:rPr>
        <w:t xml:space="preserve">1 </w:t>
      </w:r>
      <w:r w:rsidRPr="00C738CC">
        <w:rPr>
          <w:rFonts w:ascii="Book Antiqua" w:eastAsia="Book Antiqua" w:hAnsi="Book Antiqua" w:cs="Book Antiqua"/>
          <w:b/>
          <w:bCs/>
          <w:color w:val="000000"/>
        </w:rPr>
        <w:t>Yuen MF</w:t>
      </w:r>
      <w:r w:rsidRPr="00C738CC">
        <w:rPr>
          <w:rFonts w:ascii="Book Antiqua" w:eastAsia="Book Antiqua" w:hAnsi="Book Antiqua" w:cs="Book Antiqua"/>
          <w:color w:val="000000"/>
        </w:rPr>
        <w:t xml:space="preserve">, Chen DS, Dusheiko GM, Janssen HLA, Lau DTY, Locarnini SA, Peters MG, Lai CL. Hepatitis B virus infection. </w:t>
      </w:r>
      <w:r w:rsidRPr="00C738CC">
        <w:rPr>
          <w:rFonts w:ascii="Book Antiqua" w:eastAsia="Book Antiqua" w:hAnsi="Book Antiqua" w:cs="Book Antiqua"/>
          <w:i/>
          <w:iCs/>
          <w:color w:val="000000"/>
        </w:rPr>
        <w:t>Nat Rev Dis Primers</w:t>
      </w:r>
      <w:r w:rsidRPr="00C738CC">
        <w:rPr>
          <w:rFonts w:ascii="Book Antiqua" w:eastAsia="Book Antiqua" w:hAnsi="Book Antiqua" w:cs="Book Antiqua"/>
          <w:color w:val="000000"/>
        </w:rPr>
        <w:t xml:space="preserve"> 2018; </w:t>
      </w:r>
      <w:r w:rsidRPr="00C738CC">
        <w:rPr>
          <w:rFonts w:ascii="Book Antiqua" w:eastAsia="Book Antiqua" w:hAnsi="Book Antiqua" w:cs="Book Antiqua"/>
          <w:b/>
          <w:bCs/>
          <w:color w:val="000000"/>
        </w:rPr>
        <w:t>4</w:t>
      </w:r>
      <w:r w:rsidRPr="00C738CC">
        <w:rPr>
          <w:rFonts w:ascii="Book Antiqua" w:eastAsia="Book Antiqua" w:hAnsi="Book Antiqua" w:cs="Book Antiqua"/>
          <w:color w:val="000000"/>
        </w:rPr>
        <w:t>: 18035 [PMID: 29877316 DOI: 10.1038/nrdp.2018.35]</w:t>
      </w:r>
    </w:p>
    <w:p w14:paraId="47C6DFB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2 </w:t>
      </w:r>
      <w:r w:rsidRPr="00C738CC">
        <w:rPr>
          <w:rFonts w:ascii="Book Antiqua" w:eastAsia="Book Antiqua" w:hAnsi="Book Antiqua" w:cs="Book Antiqua"/>
          <w:b/>
          <w:bCs/>
          <w:color w:val="000000"/>
        </w:rPr>
        <w:t>Venook AP</w:t>
      </w:r>
      <w:r w:rsidRPr="00C738CC">
        <w:rPr>
          <w:rFonts w:ascii="Book Antiqua" w:eastAsia="Book Antiqua" w:hAnsi="Book Antiqua" w:cs="Book Antiqua"/>
          <w:color w:val="000000"/>
        </w:rPr>
        <w:t xml:space="preserve">, Papandreou C, Furuse J, de Guevara LL. The incidence and epidemiology of hepatocellular carcinoma: a global and regional perspective. </w:t>
      </w:r>
      <w:r w:rsidRPr="00C738CC">
        <w:rPr>
          <w:rFonts w:ascii="Book Antiqua" w:eastAsia="Book Antiqua" w:hAnsi="Book Antiqua" w:cs="Book Antiqua"/>
          <w:i/>
          <w:iCs/>
          <w:color w:val="000000"/>
        </w:rPr>
        <w:t>Oncologist</w:t>
      </w:r>
      <w:r w:rsidRPr="00C738CC">
        <w:rPr>
          <w:rFonts w:ascii="Book Antiqua" w:eastAsia="Book Antiqua" w:hAnsi="Book Antiqua" w:cs="Book Antiqua"/>
          <w:color w:val="000000"/>
        </w:rPr>
        <w:t xml:space="preserve"> 2010; </w:t>
      </w:r>
      <w:r w:rsidRPr="00C738CC">
        <w:rPr>
          <w:rFonts w:ascii="Book Antiqua" w:eastAsia="Book Antiqua" w:hAnsi="Book Antiqua" w:cs="Book Antiqua"/>
          <w:b/>
          <w:bCs/>
          <w:color w:val="000000"/>
        </w:rPr>
        <w:t>15 Suppl 4</w:t>
      </w:r>
      <w:r w:rsidRPr="00C738CC">
        <w:rPr>
          <w:rFonts w:ascii="Book Antiqua" w:eastAsia="Book Antiqua" w:hAnsi="Book Antiqua" w:cs="Book Antiqua"/>
          <w:color w:val="000000"/>
        </w:rPr>
        <w:t>: 5-13 [PMID: 21115576 DOI: 10.1634/theoncologist.2010-S4-05]</w:t>
      </w:r>
    </w:p>
    <w:p w14:paraId="33827F39"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3 </w:t>
      </w:r>
      <w:r w:rsidRPr="00C738CC">
        <w:rPr>
          <w:rFonts w:ascii="Book Antiqua" w:eastAsia="Book Antiqua" w:hAnsi="Book Antiqua" w:cs="Book Antiqua"/>
          <w:b/>
          <w:bCs/>
          <w:color w:val="000000"/>
        </w:rPr>
        <w:t>Wang M</w:t>
      </w:r>
      <w:r w:rsidRPr="00C738CC">
        <w:rPr>
          <w:rFonts w:ascii="Book Antiqua" w:eastAsia="Book Antiqua" w:hAnsi="Book Antiqua" w:cs="Book Antiqua"/>
          <w:color w:val="000000"/>
        </w:rPr>
        <w:t xml:space="preserve">, Wang Y, Feng X, Wang R, Wang Y, Zeng H, Qi J, Zhao H, Li N, Cai J, Qu C. Contribution of hepatitis B virus and hepatitis C virus to liver cancer in China north areas: Experience of the Chinese National Cancer Center. </w:t>
      </w:r>
      <w:r w:rsidRPr="00C738CC">
        <w:rPr>
          <w:rFonts w:ascii="Book Antiqua" w:eastAsia="Book Antiqua" w:hAnsi="Book Antiqua" w:cs="Book Antiqua"/>
          <w:i/>
          <w:iCs/>
          <w:color w:val="000000"/>
        </w:rPr>
        <w:t>Int J Infect Dis</w:t>
      </w:r>
      <w:r w:rsidRPr="00C738CC">
        <w:rPr>
          <w:rFonts w:ascii="Book Antiqua" w:eastAsia="Book Antiqua" w:hAnsi="Book Antiqua" w:cs="Book Antiqua"/>
          <w:color w:val="000000"/>
        </w:rPr>
        <w:t xml:space="preserve"> 2017; </w:t>
      </w:r>
      <w:r w:rsidRPr="00C738CC">
        <w:rPr>
          <w:rFonts w:ascii="Book Antiqua" w:eastAsia="Book Antiqua" w:hAnsi="Book Antiqua" w:cs="Book Antiqua"/>
          <w:b/>
          <w:bCs/>
          <w:color w:val="000000"/>
        </w:rPr>
        <w:t>65</w:t>
      </w:r>
      <w:r w:rsidRPr="00C738CC">
        <w:rPr>
          <w:rFonts w:ascii="Book Antiqua" w:eastAsia="Book Antiqua" w:hAnsi="Book Antiqua" w:cs="Book Antiqua"/>
          <w:color w:val="000000"/>
        </w:rPr>
        <w:t>: 15-21 [PMID: 28935244 DOI: 10.1016/j.ijid.2017.09.003]</w:t>
      </w:r>
    </w:p>
    <w:p w14:paraId="30578992"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4 </w:t>
      </w:r>
      <w:r w:rsidRPr="00C738CC">
        <w:rPr>
          <w:rFonts w:ascii="Book Antiqua" w:eastAsia="Book Antiqua" w:hAnsi="Book Antiqua" w:cs="Book Antiqua"/>
          <w:b/>
          <w:bCs/>
          <w:color w:val="000000"/>
        </w:rPr>
        <w:t>Seeger C</w:t>
      </w:r>
      <w:r w:rsidRPr="00C738CC">
        <w:rPr>
          <w:rFonts w:ascii="Book Antiqua" w:eastAsia="Book Antiqua" w:hAnsi="Book Antiqua" w:cs="Book Antiqua"/>
          <w:color w:val="000000"/>
        </w:rPr>
        <w:t xml:space="preserve">, Mason WS. Molecular biology of hepatitis B virus infection. </w:t>
      </w:r>
      <w:r w:rsidRPr="00C738CC">
        <w:rPr>
          <w:rFonts w:ascii="Book Antiqua" w:eastAsia="Book Antiqua" w:hAnsi="Book Antiqua" w:cs="Book Antiqua"/>
          <w:i/>
          <w:iCs/>
          <w:color w:val="000000"/>
        </w:rPr>
        <w:t>Virology</w:t>
      </w:r>
      <w:r w:rsidRPr="00C738CC">
        <w:rPr>
          <w:rFonts w:ascii="Book Antiqua" w:eastAsia="Book Antiqua" w:hAnsi="Book Antiqua" w:cs="Book Antiqua"/>
          <w:color w:val="000000"/>
        </w:rPr>
        <w:t xml:space="preserve"> 2015; </w:t>
      </w:r>
      <w:r w:rsidRPr="00C738CC">
        <w:rPr>
          <w:rFonts w:ascii="Book Antiqua" w:eastAsia="Book Antiqua" w:hAnsi="Book Antiqua" w:cs="Book Antiqua"/>
          <w:b/>
          <w:bCs/>
          <w:color w:val="000000"/>
        </w:rPr>
        <w:t>479-480</w:t>
      </w:r>
      <w:r w:rsidRPr="00C738CC">
        <w:rPr>
          <w:rFonts w:ascii="Book Antiqua" w:eastAsia="Book Antiqua" w:hAnsi="Book Antiqua" w:cs="Book Antiqua"/>
          <w:color w:val="000000"/>
        </w:rPr>
        <w:t>: 672-686 [PMID: 25759099 DOI: 10.1016/j.virol.2015.02.031]</w:t>
      </w:r>
    </w:p>
    <w:p w14:paraId="2945740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5 </w:t>
      </w:r>
      <w:r w:rsidRPr="00C738CC">
        <w:rPr>
          <w:rFonts w:ascii="Book Antiqua" w:eastAsia="Book Antiqua" w:hAnsi="Book Antiqua" w:cs="Book Antiqua"/>
          <w:b/>
          <w:bCs/>
          <w:color w:val="000000"/>
        </w:rPr>
        <w:t>Chen Y</w:t>
      </w:r>
      <w:r w:rsidRPr="00C738CC">
        <w:rPr>
          <w:rFonts w:ascii="Book Antiqua" w:eastAsia="Book Antiqua" w:hAnsi="Book Antiqua" w:cs="Book Antiqua"/>
          <w:color w:val="000000"/>
        </w:rPr>
        <w:t xml:space="preserve">, Tian Z. HBV-Induced Immune Imbalance in the Development of HCC. </w:t>
      </w:r>
      <w:r w:rsidRPr="00C738CC">
        <w:rPr>
          <w:rFonts w:ascii="Book Antiqua" w:eastAsia="Book Antiqua" w:hAnsi="Book Antiqua" w:cs="Book Antiqua"/>
          <w:i/>
          <w:iCs/>
          <w:color w:val="000000"/>
        </w:rPr>
        <w:t>Front Immunol</w:t>
      </w:r>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10</w:t>
      </w:r>
      <w:r w:rsidRPr="00C738CC">
        <w:rPr>
          <w:rFonts w:ascii="Book Antiqua" w:eastAsia="Book Antiqua" w:hAnsi="Book Antiqua" w:cs="Book Antiqua"/>
          <w:color w:val="000000"/>
        </w:rPr>
        <w:t>: 2048 [PMID: 31507621 DOI: 10.3389/fimmu.2019.02048]</w:t>
      </w:r>
    </w:p>
    <w:p w14:paraId="688180D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6 </w:t>
      </w:r>
      <w:r w:rsidRPr="00C738CC">
        <w:rPr>
          <w:rFonts w:ascii="Book Antiqua" w:eastAsia="Book Antiqua" w:hAnsi="Book Antiqua" w:cs="Book Antiqua"/>
          <w:b/>
          <w:bCs/>
          <w:color w:val="000000"/>
        </w:rPr>
        <w:t>Ali A</w:t>
      </w:r>
      <w:r w:rsidRPr="00C738CC">
        <w:rPr>
          <w:rFonts w:ascii="Book Antiqua" w:eastAsia="Book Antiqua" w:hAnsi="Book Antiqua" w:cs="Book Antiqua"/>
          <w:color w:val="000000"/>
        </w:rPr>
        <w:t xml:space="preserve">, Abdel-Hafiz H, Suhail M, Al-Mars A, Zakaria MK, Fatima K, Ahmad S, Azhar E, Chaudhary A, Qadri I. Hepatitis B virus, HBx mutants and their role in hepatocellular carcinoma. </w:t>
      </w:r>
      <w:r w:rsidRPr="00C738CC">
        <w:rPr>
          <w:rFonts w:ascii="Book Antiqua" w:eastAsia="Book Antiqua" w:hAnsi="Book Antiqua" w:cs="Book Antiqua"/>
          <w:i/>
          <w:iCs/>
          <w:color w:val="000000"/>
        </w:rPr>
        <w:t>World J Gastroenterol</w:t>
      </w:r>
      <w:r w:rsidRPr="00C738CC">
        <w:rPr>
          <w:rFonts w:ascii="Book Antiqua" w:eastAsia="Book Antiqua" w:hAnsi="Book Antiqua" w:cs="Book Antiqua"/>
          <w:color w:val="000000"/>
        </w:rPr>
        <w:t xml:space="preserve"> 2014; </w:t>
      </w:r>
      <w:r w:rsidRPr="00C738CC">
        <w:rPr>
          <w:rFonts w:ascii="Book Antiqua" w:eastAsia="Book Antiqua" w:hAnsi="Book Antiqua" w:cs="Book Antiqua"/>
          <w:b/>
          <w:bCs/>
          <w:color w:val="000000"/>
        </w:rPr>
        <w:t>20</w:t>
      </w:r>
      <w:r w:rsidRPr="00C738CC">
        <w:rPr>
          <w:rFonts w:ascii="Book Antiqua" w:eastAsia="Book Antiqua" w:hAnsi="Book Antiqua" w:cs="Book Antiqua"/>
          <w:color w:val="000000"/>
        </w:rPr>
        <w:t>: 10238-10248 [PMID: 25132741 DOI: 10.3748/wjg.v20.i30.10238]</w:t>
      </w:r>
    </w:p>
    <w:p w14:paraId="4B38B6C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7 </w:t>
      </w:r>
      <w:r w:rsidRPr="00C738CC">
        <w:rPr>
          <w:rFonts w:ascii="Book Antiqua" w:eastAsia="Book Antiqua" w:hAnsi="Book Antiqua" w:cs="Book Antiqua"/>
          <w:b/>
          <w:bCs/>
          <w:color w:val="000000"/>
        </w:rPr>
        <w:t>Raimondo G</w:t>
      </w:r>
      <w:r w:rsidRPr="00C738CC">
        <w:rPr>
          <w:rFonts w:ascii="Book Antiqua" w:eastAsia="Book Antiqua" w:hAnsi="Book Antiqua" w:cs="Book Antiqua"/>
          <w:color w:val="000000"/>
        </w:rPr>
        <w:t xml:space="preserve">, Locarnini S, Pollicino T, Levrero M, Zoulim F, Lok AS; Taormina Workshop on Occult HBV Infection Faculty Members. Update of the statements on biology and clinical impact of occult hepatitis B virus infection. </w:t>
      </w:r>
      <w:r w:rsidRPr="00C738CC">
        <w:rPr>
          <w:rFonts w:ascii="Book Antiqua" w:eastAsia="Book Antiqua" w:hAnsi="Book Antiqua" w:cs="Book Antiqua"/>
          <w:i/>
          <w:iCs/>
          <w:color w:val="000000"/>
        </w:rPr>
        <w:t>J Hepatol</w:t>
      </w:r>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71</w:t>
      </w:r>
      <w:r w:rsidRPr="00C738CC">
        <w:rPr>
          <w:rFonts w:ascii="Book Antiqua" w:eastAsia="Book Antiqua" w:hAnsi="Book Antiqua" w:cs="Book Antiqua"/>
          <w:color w:val="000000"/>
        </w:rPr>
        <w:t>: 397-408 [PMID: 31004683 DOI: 10.1016/j.jhep.2019.03.034]</w:t>
      </w:r>
    </w:p>
    <w:p w14:paraId="59CA02F5"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lastRenderedPageBreak/>
        <w:t xml:space="preserve">8 </w:t>
      </w:r>
      <w:r w:rsidRPr="00C738CC">
        <w:rPr>
          <w:rFonts w:ascii="Book Antiqua" w:eastAsia="Book Antiqua" w:hAnsi="Book Antiqua" w:cs="Book Antiqua"/>
          <w:b/>
          <w:bCs/>
          <w:color w:val="000000"/>
        </w:rPr>
        <w:t>Asrani SK</w:t>
      </w:r>
      <w:r w:rsidRPr="00C738CC">
        <w:rPr>
          <w:rFonts w:ascii="Book Antiqua" w:eastAsia="Book Antiqua" w:hAnsi="Book Antiqua" w:cs="Book Antiqua"/>
          <w:color w:val="000000"/>
        </w:rPr>
        <w:t xml:space="preserve">, Devarbhavi H, Eaton J, Kamath PS. Burden of liver diseases in the world. </w:t>
      </w:r>
      <w:r w:rsidRPr="00C738CC">
        <w:rPr>
          <w:rFonts w:ascii="Book Antiqua" w:eastAsia="Book Antiqua" w:hAnsi="Book Antiqua" w:cs="Book Antiqua"/>
          <w:i/>
          <w:iCs/>
          <w:color w:val="000000"/>
        </w:rPr>
        <w:t>J Hepatol</w:t>
      </w:r>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70</w:t>
      </w:r>
      <w:r w:rsidRPr="00C738CC">
        <w:rPr>
          <w:rFonts w:ascii="Book Antiqua" w:eastAsia="Book Antiqua" w:hAnsi="Book Antiqua" w:cs="Book Antiqua"/>
          <w:color w:val="000000"/>
        </w:rPr>
        <w:t>: 151-171 [PMID: 30266282 DOI: 10.1016/j.jhep.2018.09.014]</w:t>
      </w:r>
    </w:p>
    <w:p w14:paraId="35E0501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9 </w:t>
      </w:r>
      <w:r w:rsidRPr="00C738CC">
        <w:rPr>
          <w:rFonts w:ascii="Book Antiqua" w:eastAsia="Book Antiqua" w:hAnsi="Book Antiqua" w:cs="Book Antiqua"/>
          <w:b/>
          <w:bCs/>
          <w:color w:val="000000"/>
        </w:rPr>
        <w:t>Lok AS</w:t>
      </w:r>
      <w:r w:rsidRPr="00C738CC">
        <w:rPr>
          <w:rFonts w:ascii="Book Antiqua" w:eastAsia="Book Antiqua" w:hAnsi="Book Antiqua" w:cs="Book Antiqua"/>
          <w:color w:val="000000"/>
        </w:rPr>
        <w:t xml:space="preserve">, Sterling RK, Everhart JE, Wright EC, Hoefs JC, Di Bisceglie AM, Morgan TR, Kim HY, Lee WM, Bonkovsky HL, Dienstag JL; HALT-C Trial Group. Des-gamma-carboxy prothrombin and alpha-fetoprotein as biomarkers for the early detection of hepatocellular carcinoma. </w:t>
      </w:r>
      <w:r w:rsidRPr="00C738CC">
        <w:rPr>
          <w:rFonts w:ascii="Book Antiqua" w:eastAsia="Book Antiqua" w:hAnsi="Book Antiqua" w:cs="Book Antiqua"/>
          <w:i/>
          <w:iCs/>
          <w:color w:val="000000"/>
        </w:rPr>
        <w:t>Gastroenterology</w:t>
      </w:r>
      <w:r w:rsidRPr="00C738CC">
        <w:rPr>
          <w:rFonts w:ascii="Book Antiqua" w:eastAsia="Book Antiqua" w:hAnsi="Book Antiqua" w:cs="Book Antiqua"/>
          <w:color w:val="000000"/>
        </w:rPr>
        <w:t xml:space="preserve"> 2010; </w:t>
      </w:r>
      <w:r w:rsidRPr="00C738CC">
        <w:rPr>
          <w:rFonts w:ascii="Book Antiqua" w:eastAsia="Book Antiqua" w:hAnsi="Book Antiqua" w:cs="Book Antiqua"/>
          <w:b/>
          <w:bCs/>
          <w:color w:val="000000"/>
        </w:rPr>
        <w:t>138</w:t>
      </w:r>
      <w:r w:rsidRPr="00C738CC">
        <w:rPr>
          <w:rFonts w:ascii="Book Antiqua" w:eastAsia="Book Antiqua" w:hAnsi="Book Antiqua" w:cs="Book Antiqua"/>
          <w:color w:val="000000"/>
        </w:rPr>
        <w:t>: 493-502 [PMID: 19852963 DOI: 10.1053/j.gastro.2009.10.031]</w:t>
      </w:r>
    </w:p>
    <w:p w14:paraId="796D4916"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10 </w:t>
      </w:r>
      <w:r w:rsidRPr="00C738CC">
        <w:rPr>
          <w:rFonts w:ascii="Book Antiqua" w:eastAsia="Book Antiqua" w:hAnsi="Book Antiqua" w:cs="Book Antiqua"/>
          <w:b/>
          <w:bCs/>
          <w:color w:val="000000"/>
        </w:rPr>
        <w:t>Tzartzeva K</w:t>
      </w:r>
      <w:r w:rsidRPr="00C738CC">
        <w:rPr>
          <w:rFonts w:ascii="Book Antiqua" w:eastAsia="Book Antiqua" w:hAnsi="Book Antiqua" w:cs="Book Antiqua"/>
          <w:color w:val="000000"/>
        </w:rPr>
        <w:t xml:space="preserve">, Obi J, Rich NE, Parikh ND, Marrero JA, Yopp A, Waljee AK, Singal AG. Surveillance Imaging and Alpha Fetoprotein for Early Detection of Hepatocellular Carcinoma in Patients With Cirrhosis: A Meta-analysis. </w:t>
      </w:r>
      <w:r w:rsidRPr="00C738CC">
        <w:rPr>
          <w:rFonts w:ascii="Book Antiqua" w:eastAsia="Book Antiqua" w:hAnsi="Book Antiqua" w:cs="Book Antiqua"/>
          <w:i/>
          <w:iCs/>
          <w:color w:val="000000"/>
        </w:rPr>
        <w:t>Gastroenterology</w:t>
      </w:r>
      <w:r w:rsidRPr="00C738CC">
        <w:rPr>
          <w:rFonts w:ascii="Book Antiqua" w:eastAsia="Book Antiqua" w:hAnsi="Book Antiqua" w:cs="Book Antiqua"/>
          <w:color w:val="000000"/>
        </w:rPr>
        <w:t xml:space="preserve"> 2018; </w:t>
      </w:r>
      <w:r w:rsidRPr="00C738CC">
        <w:rPr>
          <w:rFonts w:ascii="Book Antiqua" w:eastAsia="Book Antiqua" w:hAnsi="Book Antiqua" w:cs="Book Antiqua"/>
          <w:b/>
          <w:bCs/>
          <w:color w:val="000000"/>
        </w:rPr>
        <w:t>154</w:t>
      </w:r>
      <w:r w:rsidRPr="00C738CC">
        <w:rPr>
          <w:rFonts w:ascii="Book Antiqua" w:eastAsia="Book Antiqua" w:hAnsi="Book Antiqua" w:cs="Book Antiqua"/>
          <w:color w:val="000000"/>
        </w:rPr>
        <w:t>: 1706-1718.e1 [PMID: 29425931 DOI: 10.1053/j.gastro.2018.01.064]</w:t>
      </w:r>
    </w:p>
    <w:p w14:paraId="7099BCD0"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11 </w:t>
      </w:r>
      <w:r w:rsidRPr="00C738CC">
        <w:rPr>
          <w:rFonts w:ascii="Book Antiqua" w:eastAsia="Book Antiqua" w:hAnsi="Book Antiqua" w:cs="Book Antiqua"/>
          <w:b/>
          <w:bCs/>
          <w:color w:val="000000"/>
        </w:rPr>
        <w:t>Forner A</w:t>
      </w:r>
      <w:r w:rsidRPr="00C738CC">
        <w:rPr>
          <w:rFonts w:ascii="Book Antiqua" w:eastAsia="Book Antiqua" w:hAnsi="Book Antiqua" w:cs="Book Antiqua"/>
          <w:color w:val="000000"/>
        </w:rPr>
        <w:t xml:space="preserve">, Vilana R, Ayuso C, Bianchi L, Solé M, Ayuso JR, Boix L, Sala M, Varela M, Llovet JM, Brú C, Bruix J. Diagnosis of hepatic nodules 20 mm or smaller in cirrhosis: Prospective validation of the noninvasive diagnostic criteria for hepatocellular carcinoma. </w:t>
      </w:r>
      <w:r w:rsidRPr="00C738CC">
        <w:rPr>
          <w:rFonts w:ascii="Book Antiqua" w:eastAsia="Book Antiqua" w:hAnsi="Book Antiqua" w:cs="Book Antiqua"/>
          <w:i/>
          <w:iCs/>
          <w:color w:val="000000"/>
        </w:rPr>
        <w:t>Hepatology</w:t>
      </w:r>
      <w:r w:rsidRPr="00C738CC">
        <w:rPr>
          <w:rFonts w:ascii="Book Antiqua" w:eastAsia="Book Antiqua" w:hAnsi="Book Antiqua" w:cs="Book Antiqua"/>
          <w:color w:val="000000"/>
        </w:rPr>
        <w:t xml:space="preserve"> 2008; </w:t>
      </w:r>
      <w:r w:rsidRPr="00C738CC">
        <w:rPr>
          <w:rFonts w:ascii="Book Antiqua" w:eastAsia="Book Antiqua" w:hAnsi="Book Antiqua" w:cs="Book Antiqua"/>
          <w:b/>
          <w:bCs/>
          <w:color w:val="000000"/>
        </w:rPr>
        <w:t>47</w:t>
      </w:r>
      <w:r w:rsidRPr="00C738CC">
        <w:rPr>
          <w:rFonts w:ascii="Book Antiqua" w:eastAsia="Book Antiqua" w:hAnsi="Book Antiqua" w:cs="Book Antiqua"/>
          <w:color w:val="000000"/>
        </w:rPr>
        <w:t>: 97-104 [PMID: 18069697 DOI: 10.1002/hep.21966]</w:t>
      </w:r>
    </w:p>
    <w:p w14:paraId="54ED6016" w14:textId="3E68A3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12 </w:t>
      </w:r>
      <w:r w:rsidRPr="00C738CC">
        <w:rPr>
          <w:rFonts w:ascii="Book Antiqua" w:eastAsia="Book Antiqua" w:hAnsi="Book Antiqua" w:cs="Book Antiqua"/>
          <w:b/>
          <w:bCs/>
          <w:color w:val="000000"/>
        </w:rPr>
        <w:t>Forner A</w:t>
      </w:r>
      <w:r w:rsidRPr="00C738CC">
        <w:rPr>
          <w:rFonts w:ascii="Book Antiqua" w:eastAsia="Book Antiqua" w:hAnsi="Book Antiqua" w:cs="Book Antiqua"/>
          <w:color w:val="000000"/>
        </w:rPr>
        <w:t xml:space="preserve">, Reig M, Bruix J. Hepatocellular carcinoma. </w:t>
      </w:r>
      <w:r w:rsidRPr="00C738CC">
        <w:rPr>
          <w:rFonts w:ascii="Book Antiqua" w:eastAsia="Book Antiqua" w:hAnsi="Book Antiqua" w:cs="Book Antiqua"/>
          <w:i/>
          <w:iCs/>
          <w:color w:val="000000"/>
        </w:rPr>
        <w:t>Lancet</w:t>
      </w:r>
      <w:r w:rsidRPr="00C738CC">
        <w:rPr>
          <w:rFonts w:ascii="Book Antiqua" w:eastAsia="Book Antiqua" w:hAnsi="Book Antiqua" w:cs="Book Antiqua"/>
          <w:color w:val="000000"/>
        </w:rPr>
        <w:t xml:space="preserve"> 2018; </w:t>
      </w:r>
      <w:r w:rsidRPr="00C738CC">
        <w:rPr>
          <w:rFonts w:ascii="Book Antiqua" w:eastAsia="Book Antiqua" w:hAnsi="Book Antiqua" w:cs="Book Antiqua"/>
          <w:b/>
          <w:bCs/>
          <w:color w:val="000000"/>
        </w:rPr>
        <w:t>391</w:t>
      </w:r>
      <w:r w:rsidRPr="00C738CC">
        <w:rPr>
          <w:rFonts w:ascii="Book Antiqua" w:eastAsia="Book Antiqua" w:hAnsi="Book Antiqua" w:cs="Book Antiqua"/>
          <w:color w:val="000000"/>
        </w:rPr>
        <w:t>: 1301-1314 [PMID: 29307467 DOI: 10.1016/</w:t>
      </w:r>
      <w:r w:rsidR="00686FD4">
        <w:rPr>
          <w:rFonts w:ascii="Book Antiqua" w:eastAsia="Book Antiqua" w:hAnsi="Book Antiqua" w:cs="Book Antiqua"/>
          <w:color w:val="000000"/>
        </w:rPr>
        <w:t>S</w:t>
      </w:r>
      <w:r w:rsidRPr="00C738CC">
        <w:rPr>
          <w:rFonts w:ascii="Book Antiqua" w:eastAsia="Book Antiqua" w:hAnsi="Book Antiqua" w:cs="Book Antiqua"/>
          <w:color w:val="000000"/>
        </w:rPr>
        <w:t>0140-6736(18)30010-2]</w:t>
      </w:r>
    </w:p>
    <w:p w14:paraId="318C14D1"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13 </w:t>
      </w:r>
      <w:r w:rsidRPr="00C738CC">
        <w:rPr>
          <w:rFonts w:ascii="Book Antiqua" w:eastAsia="Book Antiqua" w:hAnsi="Book Antiqua" w:cs="Book Antiqua"/>
          <w:b/>
          <w:bCs/>
          <w:color w:val="000000"/>
        </w:rPr>
        <w:t>Wang FS</w:t>
      </w:r>
      <w:r w:rsidRPr="00C738CC">
        <w:rPr>
          <w:rFonts w:ascii="Book Antiqua" w:eastAsia="Book Antiqua" w:hAnsi="Book Antiqua" w:cs="Book Antiqua"/>
          <w:color w:val="000000"/>
        </w:rPr>
        <w:t xml:space="preserve">, Fan JG, Zhang Z, Gao B, Wang HY. The global burden of liver disease: the major impact of China. </w:t>
      </w:r>
      <w:r w:rsidRPr="00C738CC">
        <w:rPr>
          <w:rFonts w:ascii="Book Antiqua" w:eastAsia="Book Antiqua" w:hAnsi="Book Antiqua" w:cs="Book Antiqua"/>
          <w:i/>
          <w:iCs/>
          <w:color w:val="000000"/>
        </w:rPr>
        <w:t>Hepatology</w:t>
      </w:r>
      <w:r w:rsidRPr="00C738CC">
        <w:rPr>
          <w:rFonts w:ascii="Book Antiqua" w:eastAsia="Book Antiqua" w:hAnsi="Book Antiqua" w:cs="Book Antiqua"/>
          <w:color w:val="000000"/>
        </w:rPr>
        <w:t xml:space="preserve"> 2014; </w:t>
      </w:r>
      <w:r w:rsidRPr="00C738CC">
        <w:rPr>
          <w:rFonts w:ascii="Book Antiqua" w:eastAsia="Book Antiqua" w:hAnsi="Book Antiqua" w:cs="Book Antiqua"/>
          <w:b/>
          <w:bCs/>
          <w:color w:val="000000"/>
        </w:rPr>
        <w:t>60</w:t>
      </w:r>
      <w:r w:rsidRPr="00C738CC">
        <w:rPr>
          <w:rFonts w:ascii="Book Antiqua" w:eastAsia="Book Antiqua" w:hAnsi="Book Antiqua" w:cs="Book Antiqua"/>
          <w:color w:val="000000"/>
        </w:rPr>
        <w:t>: 2099-2108 [PMID: 25164003 DOI: 10.1002/hep.27406]</w:t>
      </w:r>
    </w:p>
    <w:p w14:paraId="6607742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14 </w:t>
      </w:r>
      <w:r w:rsidRPr="00C738CC">
        <w:rPr>
          <w:rFonts w:ascii="Book Antiqua" w:eastAsia="Book Antiqua" w:hAnsi="Book Antiqua" w:cs="Book Antiqua"/>
          <w:b/>
          <w:bCs/>
          <w:color w:val="000000"/>
        </w:rPr>
        <w:t>Shlomai A</w:t>
      </w:r>
      <w:r w:rsidRPr="00C738CC">
        <w:rPr>
          <w:rFonts w:ascii="Book Antiqua" w:eastAsia="Book Antiqua" w:hAnsi="Book Antiqua" w:cs="Book Antiqua"/>
          <w:color w:val="000000"/>
        </w:rPr>
        <w:t xml:space="preserve">, de Jong YP, Rice CM. Virus associated malignancies: the role of viral hepatitis in hepatocellular carcinoma. </w:t>
      </w:r>
      <w:r w:rsidRPr="00C738CC">
        <w:rPr>
          <w:rFonts w:ascii="Book Antiqua" w:eastAsia="Book Antiqua" w:hAnsi="Book Antiqua" w:cs="Book Antiqua"/>
          <w:i/>
          <w:iCs/>
          <w:color w:val="000000"/>
        </w:rPr>
        <w:t>Semin Cancer Biol</w:t>
      </w:r>
      <w:r w:rsidRPr="00C738CC">
        <w:rPr>
          <w:rFonts w:ascii="Book Antiqua" w:eastAsia="Book Antiqua" w:hAnsi="Book Antiqua" w:cs="Book Antiqua"/>
          <w:color w:val="000000"/>
        </w:rPr>
        <w:t xml:space="preserve"> 2014; </w:t>
      </w:r>
      <w:r w:rsidRPr="00C738CC">
        <w:rPr>
          <w:rFonts w:ascii="Book Antiqua" w:eastAsia="Book Antiqua" w:hAnsi="Book Antiqua" w:cs="Book Antiqua"/>
          <w:b/>
          <w:bCs/>
          <w:color w:val="000000"/>
        </w:rPr>
        <w:t>26</w:t>
      </w:r>
      <w:r w:rsidRPr="00C738CC">
        <w:rPr>
          <w:rFonts w:ascii="Book Antiqua" w:eastAsia="Book Antiqua" w:hAnsi="Book Antiqua" w:cs="Book Antiqua"/>
          <w:color w:val="000000"/>
        </w:rPr>
        <w:t>: 78-88 [PMID: 24457013 DOI: 10.1016/j.semcancer.2014.01.004]</w:t>
      </w:r>
    </w:p>
    <w:p w14:paraId="47011C3F"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15 </w:t>
      </w:r>
      <w:r w:rsidRPr="00C738CC">
        <w:rPr>
          <w:rFonts w:ascii="Book Antiqua" w:eastAsia="Book Antiqua" w:hAnsi="Book Antiqua" w:cs="Book Antiqua"/>
          <w:b/>
          <w:bCs/>
          <w:color w:val="000000"/>
        </w:rPr>
        <w:t>Cevik D</w:t>
      </w:r>
      <w:r w:rsidRPr="00C738CC">
        <w:rPr>
          <w:rFonts w:ascii="Book Antiqua" w:eastAsia="Book Antiqua" w:hAnsi="Book Antiqua" w:cs="Book Antiqua"/>
          <w:color w:val="000000"/>
        </w:rPr>
        <w:t xml:space="preserve">, Yildiz G, Ozturk M. Common telomerase reverse transcriptase promoter mutations in hepatocellular carcinomas from different geographical locations. </w:t>
      </w:r>
      <w:r w:rsidRPr="00C738CC">
        <w:rPr>
          <w:rFonts w:ascii="Book Antiqua" w:eastAsia="Book Antiqua" w:hAnsi="Book Antiqua" w:cs="Book Antiqua"/>
          <w:i/>
          <w:iCs/>
          <w:color w:val="000000"/>
        </w:rPr>
        <w:t>World J Gastroenterol</w:t>
      </w:r>
      <w:r w:rsidRPr="00C738CC">
        <w:rPr>
          <w:rFonts w:ascii="Book Antiqua" w:eastAsia="Book Antiqua" w:hAnsi="Book Antiqua" w:cs="Book Antiqua"/>
          <w:color w:val="000000"/>
        </w:rPr>
        <w:t xml:space="preserve"> 2015; </w:t>
      </w:r>
      <w:r w:rsidRPr="00C738CC">
        <w:rPr>
          <w:rFonts w:ascii="Book Antiqua" w:eastAsia="Book Antiqua" w:hAnsi="Book Antiqua" w:cs="Book Antiqua"/>
          <w:b/>
          <w:bCs/>
          <w:color w:val="000000"/>
        </w:rPr>
        <w:t>21</w:t>
      </w:r>
      <w:r w:rsidRPr="00C738CC">
        <w:rPr>
          <w:rFonts w:ascii="Book Antiqua" w:eastAsia="Book Antiqua" w:hAnsi="Book Antiqua" w:cs="Book Antiqua"/>
          <w:color w:val="000000"/>
        </w:rPr>
        <w:t>: 311-317 [PMID: 25574106 DOI: 10.3748/wjg.v21.i1.311]</w:t>
      </w:r>
    </w:p>
    <w:p w14:paraId="10A56951"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16 </w:t>
      </w:r>
      <w:r w:rsidRPr="00C738CC">
        <w:rPr>
          <w:rFonts w:ascii="Book Antiqua" w:eastAsia="Book Antiqua" w:hAnsi="Book Antiqua" w:cs="Book Antiqua"/>
          <w:b/>
          <w:bCs/>
          <w:color w:val="000000"/>
        </w:rPr>
        <w:t>Han YF</w:t>
      </w:r>
      <w:r w:rsidRPr="00C738CC">
        <w:rPr>
          <w:rFonts w:ascii="Book Antiqua" w:eastAsia="Book Antiqua" w:hAnsi="Book Antiqua" w:cs="Book Antiqua"/>
          <w:color w:val="000000"/>
        </w:rPr>
        <w:t xml:space="preserve">, Zhao J, Ma LY, Yin JH, Chang WJ, Zhang HW, Cao GW. Factors predicting occurrence and prognosis of hepatitis-B-virus-related hepatocellular carcinoma. </w:t>
      </w:r>
      <w:r w:rsidRPr="00C738CC">
        <w:rPr>
          <w:rFonts w:ascii="Book Antiqua" w:eastAsia="Book Antiqua" w:hAnsi="Book Antiqua" w:cs="Book Antiqua"/>
          <w:i/>
          <w:iCs/>
          <w:color w:val="000000"/>
        </w:rPr>
        <w:t>World J Gastroenterol</w:t>
      </w:r>
      <w:r w:rsidRPr="00C738CC">
        <w:rPr>
          <w:rFonts w:ascii="Book Antiqua" w:eastAsia="Book Antiqua" w:hAnsi="Book Antiqua" w:cs="Book Antiqua"/>
          <w:color w:val="000000"/>
        </w:rPr>
        <w:t xml:space="preserve"> 2011; </w:t>
      </w:r>
      <w:r w:rsidRPr="00C738CC">
        <w:rPr>
          <w:rFonts w:ascii="Book Antiqua" w:eastAsia="Book Antiqua" w:hAnsi="Book Antiqua" w:cs="Book Antiqua"/>
          <w:b/>
          <w:bCs/>
          <w:color w:val="000000"/>
        </w:rPr>
        <w:t>17</w:t>
      </w:r>
      <w:r w:rsidRPr="00C738CC">
        <w:rPr>
          <w:rFonts w:ascii="Book Antiqua" w:eastAsia="Book Antiqua" w:hAnsi="Book Antiqua" w:cs="Book Antiqua"/>
          <w:color w:val="000000"/>
        </w:rPr>
        <w:t>: 4258-4270 [PMID: 22090781 DOI: 10.3748/wjg.v17.i38.4258]</w:t>
      </w:r>
    </w:p>
    <w:p w14:paraId="34C60664"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lastRenderedPageBreak/>
        <w:t xml:space="preserve">17 </w:t>
      </w:r>
      <w:r w:rsidRPr="00C738CC">
        <w:rPr>
          <w:rFonts w:ascii="Book Antiqua" w:eastAsia="Book Antiqua" w:hAnsi="Book Antiqua" w:cs="Book Antiqua"/>
          <w:b/>
          <w:bCs/>
          <w:color w:val="000000"/>
        </w:rPr>
        <w:t>Salerno D</w:t>
      </w:r>
      <w:r w:rsidRPr="00C738CC">
        <w:rPr>
          <w:rFonts w:ascii="Book Antiqua" w:eastAsia="Book Antiqua" w:hAnsi="Book Antiqua" w:cs="Book Antiqua"/>
          <w:color w:val="000000"/>
        </w:rPr>
        <w:t xml:space="preserve">, Chiodo L, Alfano V, Floriot O, Cottone G, Paturel A, Pallocca M, Plissonnier ML, Jeddari S, Belloni L, Zeisel M, Levrero M, Guerrieri F. Hepatitis B protein HBx binds the DLEU2 LncRNA to sustain cccDNA and host cancer-related gene transcription. </w:t>
      </w:r>
      <w:r w:rsidRPr="00C738CC">
        <w:rPr>
          <w:rFonts w:ascii="Book Antiqua" w:eastAsia="Book Antiqua" w:hAnsi="Book Antiqua" w:cs="Book Antiqua"/>
          <w:i/>
          <w:iCs/>
          <w:color w:val="000000"/>
        </w:rPr>
        <w:t>Gut</w:t>
      </w:r>
      <w:r w:rsidRPr="00C738CC">
        <w:rPr>
          <w:rFonts w:ascii="Book Antiqua" w:eastAsia="Book Antiqua" w:hAnsi="Book Antiqua" w:cs="Book Antiqua"/>
          <w:color w:val="000000"/>
        </w:rPr>
        <w:t xml:space="preserve"> 2020; </w:t>
      </w:r>
      <w:r w:rsidRPr="00C738CC">
        <w:rPr>
          <w:rFonts w:ascii="Book Antiqua" w:eastAsia="Book Antiqua" w:hAnsi="Book Antiqua" w:cs="Book Antiqua"/>
          <w:b/>
          <w:bCs/>
          <w:color w:val="000000"/>
        </w:rPr>
        <w:t>69</w:t>
      </w:r>
      <w:r w:rsidRPr="00C738CC">
        <w:rPr>
          <w:rFonts w:ascii="Book Antiqua" w:eastAsia="Book Antiqua" w:hAnsi="Book Antiqua" w:cs="Book Antiqua"/>
          <w:color w:val="000000"/>
        </w:rPr>
        <w:t>: 2016-2024 [PMID: 32114505 DOI: 10.1136/gutjnl-2019-319637]</w:t>
      </w:r>
    </w:p>
    <w:p w14:paraId="2BF00C7C"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18 </w:t>
      </w:r>
      <w:r w:rsidRPr="00C738CC">
        <w:rPr>
          <w:rFonts w:ascii="Book Antiqua" w:eastAsia="Book Antiqua" w:hAnsi="Book Antiqua" w:cs="Book Antiqua"/>
          <w:b/>
          <w:bCs/>
          <w:color w:val="000000"/>
        </w:rPr>
        <w:t>Kao JH</w:t>
      </w:r>
      <w:r w:rsidRPr="00C738CC">
        <w:rPr>
          <w:rFonts w:ascii="Book Antiqua" w:eastAsia="Book Antiqua" w:hAnsi="Book Antiqua" w:cs="Book Antiqua"/>
          <w:color w:val="000000"/>
        </w:rPr>
        <w:t xml:space="preserve">. Diagnosis of hepatitis B virus infection through serological and virological markers. </w:t>
      </w:r>
      <w:r w:rsidRPr="00C738CC">
        <w:rPr>
          <w:rFonts w:ascii="Book Antiqua" w:eastAsia="Book Antiqua" w:hAnsi="Book Antiqua" w:cs="Book Antiqua"/>
          <w:i/>
          <w:iCs/>
          <w:color w:val="000000"/>
        </w:rPr>
        <w:t>Expert Rev Gastroenterol Hepatol</w:t>
      </w:r>
      <w:r w:rsidRPr="00C738CC">
        <w:rPr>
          <w:rFonts w:ascii="Book Antiqua" w:eastAsia="Book Antiqua" w:hAnsi="Book Antiqua" w:cs="Book Antiqua"/>
          <w:color w:val="000000"/>
        </w:rPr>
        <w:t xml:space="preserve"> 2008; </w:t>
      </w:r>
      <w:r w:rsidRPr="00C738CC">
        <w:rPr>
          <w:rFonts w:ascii="Book Antiqua" w:eastAsia="Book Antiqua" w:hAnsi="Book Antiqua" w:cs="Book Antiqua"/>
          <w:b/>
          <w:bCs/>
          <w:color w:val="000000"/>
        </w:rPr>
        <w:t>2</w:t>
      </w:r>
      <w:r w:rsidRPr="00C738CC">
        <w:rPr>
          <w:rFonts w:ascii="Book Antiqua" w:eastAsia="Book Antiqua" w:hAnsi="Book Antiqua" w:cs="Book Antiqua"/>
          <w:color w:val="000000"/>
        </w:rPr>
        <w:t>: 553-562 [PMID: 19072403 DOI: 10.1586/17474124.2.4.553]</w:t>
      </w:r>
    </w:p>
    <w:p w14:paraId="331BC8F0"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19 </w:t>
      </w:r>
      <w:r w:rsidRPr="00C738CC">
        <w:rPr>
          <w:rFonts w:ascii="Book Antiqua" w:eastAsia="Book Antiqua" w:hAnsi="Book Antiqua" w:cs="Book Antiqua"/>
          <w:b/>
          <w:bCs/>
          <w:color w:val="000000"/>
        </w:rPr>
        <w:t>Allain JP</w:t>
      </w:r>
      <w:r w:rsidRPr="00C738CC">
        <w:rPr>
          <w:rFonts w:ascii="Book Antiqua" w:eastAsia="Book Antiqua" w:hAnsi="Book Antiqua" w:cs="Book Antiqua"/>
          <w:color w:val="000000"/>
        </w:rPr>
        <w:t xml:space="preserve">. Occult hepatitis B virus infection. </w:t>
      </w:r>
      <w:r w:rsidRPr="00C738CC">
        <w:rPr>
          <w:rFonts w:ascii="Book Antiqua" w:eastAsia="Book Antiqua" w:hAnsi="Book Antiqua" w:cs="Book Antiqua"/>
          <w:i/>
          <w:iCs/>
          <w:color w:val="000000"/>
        </w:rPr>
        <w:t>Transfus Clin Biol</w:t>
      </w:r>
      <w:r w:rsidRPr="00C738CC">
        <w:rPr>
          <w:rFonts w:ascii="Book Antiqua" w:eastAsia="Book Antiqua" w:hAnsi="Book Antiqua" w:cs="Book Antiqua"/>
          <w:color w:val="000000"/>
        </w:rPr>
        <w:t xml:space="preserve"> 2004; </w:t>
      </w:r>
      <w:r w:rsidRPr="00C738CC">
        <w:rPr>
          <w:rFonts w:ascii="Book Antiqua" w:eastAsia="Book Antiqua" w:hAnsi="Book Antiqua" w:cs="Book Antiqua"/>
          <w:b/>
          <w:bCs/>
          <w:color w:val="000000"/>
        </w:rPr>
        <w:t>11</w:t>
      </w:r>
      <w:r w:rsidRPr="00C738CC">
        <w:rPr>
          <w:rFonts w:ascii="Book Antiqua" w:eastAsia="Book Antiqua" w:hAnsi="Book Antiqua" w:cs="Book Antiqua"/>
          <w:color w:val="000000"/>
        </w:rPr>
        <w:t>: 18-25 [PMID: 14980545 DOI: 10.1016/j.tracli.2003.11.007]</w:t>
      </w:r>
    </w:p>
    <w:p w14:paraId="4BF87B80"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20 </w:t>
      </w:r>
      <w:r w:rsidRPr="00C738CC">
        <w:rPr>
          <w:rFonts w:ascii="Book Antiqua" w:eastAsia="Book Antiqua" w:hAnsi="Book Antiqua" w:cs="Book Antiqua"/>
          <w:b/>
          <w:bCs/>
          <w:color w:val="000000"/>
        </w:rPr>
        <w:t>Mak LY</w:t>
      </w:r>
      <w:r w:rsidRPr="00C738CC">
        <w:rPr>
          <w:rFonts w:ascii="Book Antiqua" w:eastAsia="Book Antiqua" w:hAnsi="Book Antiqua" w:cs="Book Antiqua"/>
          <w:color w:val="000000"/>
        </w:rPr>
        <w:t xml:space="preserve">, Wong DK, Pollicino T, Raimondo G, Hollinger FB, Yuen MF. Occult hepatitis B infection and hepatocellular carcinoma: Epidemiology, virology, hepatocarcinogenesis and clinical significance. </w:t>
      </w:r>
      <w:r w:rsidRPr="00C738CC">
        <w:rPr>
          <w:rFonts w:ascii="Book Antiqua" w:eastAsia="Book Antiqua" w:hAnsi="Book Antiqua" w:cs="Book Antiqua"/>
          <w:i/>
          <w:iCs/>
          <w:color w:val="000000"/>
        </w:rPr>
        <w:t>J Hepatol</w:t>
      </w:r>
      <w:r w:rsidRPr="00C738CC">
        <w:rPr>
          <w:rFonts w:ascii="Book Antiqua" w:eastAsia="Book Antiqua" w:hAnsi="Book Antiqua" w:cs="Book Antiqua"/>
          <w:color w:val="000000"/>
        </w:rPr>
        <w:t xml:space="preserve"> 2020; </w:t>
      </w:r>
      <w:r w:rsidRPr="00C738CC">
        <w:rPr>
          <w:rFonts w:ascii="Book Antiqua" w:eastAsia="Book Antiqua" w:hAnsi="Book Antiqua" w:cs="Book Antiqua"/>
          <w:b/>
          <w:bCs/>
          <w:color w:val="000000"/>
        </w:rPr>
        <w:t>73</w:t>
      </w:r>
      <w:r w:rsidRPr="00C738CC">
        <w:rPr>
          <w:rFonts w:ascii="Book Antiqua" w:eastAsia="Book Antiqua" w:hAnsi="Book Antiqua" w:cs="Book Antiqua"/>
          <w:color w:val="000000"/>
        </w:rPr>
        <w:t>: 952-964 [PMID: 32504662 DOI: 10.1016/j.jhep.2020.05.042]</w:t>
      </w:r>
    </w:p>
    <w:p w14:paraId="16A6AEF3"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21 </w:t>
      </w:r>
      <w:r w:rsidRPr="00C738CC">
        <w:rPr>
          <w:rFonts w:ascii="Book Antiqua" w:eastAsia="Book Antiqua" w:hAnsi="Book Antiqua" w:cs="Book Antiqua"/>
          <w:b/>
          <w:bCs/>
          <w:color w:val="000000"/>
        </w:rPr>
        <w:t>Yip TC</w:t>
      </w:r>
      <w:r w:rsidRPr="00C738CC">
        <w:rPr>
          <w:rFonts w:ascii="Book Antiqua" w:eastAsia="Book Antiqua" w:hAnsi="Book Antiqua" w:cs="Book Antiqua"/>
          <w:color w:val="000000"/>
        </w:rPr>
        <w:t xml:space="preserve">, Wong GL. Current Knowledge of Occult Hepatitis B Infection and Clinical Implications. </w:t>
      </w:r>
      <w:r w:rsidRPr="00C738CC">
        <w:rPr>
          <w:rFonts w:ascii="Book Antiqua" w:eastAsia="Book Antiqua" w:hAnsi="Book Antiqua" w:cs="Book Antiqua"/>
          <w:i/>
          <w:iCs/>
          <w:color w:val="000000"/>
        </w:rPr>
        <w:t>Semin Liver Dis</w:t>
      </w:r>
      <w:r w:rsidRPr="00C738CC">
        <w:rPr>
          <w:rFonts w:ascii="Book Antiqua" w:eastAsia="Book Antiqua" w:hAnsi="Book Antiqua" w:cs="Book Antiqua"/>
          <w:color w:val="000000"/>
        </w:rPr>
        <w:t xml:space="preserve"> 2019; </w:t>
      </w:r>
      <w:r w:rsidRPr="00C738CC">
        <w:rPr>
          <w:rFonts w:ascii="Book Antiqua" w:eastAsia="Book Antiqua" w:hAnsi="Book Antiqua" w:cs="Book Antiqua"/>
          <w:b/>
          <w:bCs/>
          <w:color w:val="000000"/>
        </w:rPr>
        <w:t>39</w:t>
      </w:r>
      <w:r w:rsidRPr="00C738CC">
        <w:rPr>
          <w:rFonts w:ascii="Book Antiqua" w:eastAsia="Book Antiqua" w:hAnsi="Book Antiqua" w:cs="Book Antiqua"/>
          <w:color w:val="000000"/>
        </w:rPr>
        <w:t>: 249-260 [PMID: 30912100 DOI: 10.1055/s-0039-1678728]</w:t>
      </w:r>
    </w:p>
    <w:p w14:paraId="139264C4"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 xml:space="preserve">22 </w:t>
      </w:r>
      <w:r w:rsidRPr="00C738CC">
        <w:rPr>
          <w:rFonts w:ascii="Book Antiqua" w:eastAsia="Book Antiqua" w:hAnsi="Book Antiqua" w:cs="Book Antiqua"/>
          <w:b/>
          <w:bCs/>
          <w:color w:val="000000"/>
        </w:rPr>
        <w:t>Coppola N</w:t>
      </w:r>
      <w:r w:rsidRPr="00C738CC">
        <w:rPr>
          <w:rFonts w:ascii="Book Antiqua" w:eastAsia="Book Antiqua" w:hAnsi="Book Antiqua" w:cs="Book Antiqua"/>
          <w:color w:val="000000"/>
        </w:rPr>
        <w:t xml:space="preserve">, Onorato L, Sagnelli C, Sagnelli E, Angelillo IF. Association between anti-HBc positivity and hepatocellular carcinoma in HBsAg-negative subjects with chronic liver disease: A meta-analysis. </w:t>
      </w:r>
      <w:r w:rsidRPr="00C738CC">
        <w:rPr>
          <w:rFonts w:ascii="Book Antiqua" w:eastAsia="Book Antiqua" w:hAnsi="Book Antiqua" w:cs="Book Antiqua"/>
          <w:i/>
          <w:iCs/>
          <w:color w:val="000000"/>
        </w:rPr>
        <w:t>Medicine (Baltimore)</w:t>
      </w:r>
      <w:r w:rsidRPr="00C738CC">
        <w:rPr>
          <w:rFonts w:ascii="Book Antiqua" w:eastAsia="Book Antiqua" w:hAnsi="Book Antiqua" w:cs="Book Antiqua"/>
          <w:color w:val="000000"/>
        </w:rPr>
        <w:t xml:space="preserve"> 2016; </w:t>
      </w:r>
      <w:r w:rsidRPr="00C738CC">
        <w:rPr>
          <w:rFonts w:ascii="Book Antiqua" w:eastAsia="Book Antiqua" w:hAnsi="Book Antiqua" w:cs="Book Antiqua"/>
          <w:b/>
          <w:bCs/>
          <w:color w:val="000000"/>
        </w:rPr>
        <w:t>95</w:t>
      </w:r>
      <w:r w:rsidRPr="00C738CC">
        <w:rPr>
          <w:rFonts w:ascii="Book Antiqua" w:eastAsia="Book Antiqua" w:hAnsi="Book Antiqua" w:cs="Book Antiqua"/>
          <w:color w:val="000000"/>
        </w:rPr>
        <w:t>: e4311 [PMID: 27472708 DOI: 10.1097/MD.0000000000004311]</w:t>
      </w:r>
    </w:p>
    <w:bookmarkEnd w:id="5"/>
    <w:p w14:paraId="7230676D" w14:textId="77777777" w:rsidR="00A77B3E" w:rsidRPr="00C738CC" w:rsidRDefault="00A77B3E" w:rsidP="008B3ACE">
      <w:pPr>
        <w:snapToGrid w:val="0"/>
        <w:spacing w:line="360" w:lineRule="auto"/>
        <w:jc w:val="both"/>
        <w:sectPr w:rsidR="00A77B3E" w:rsidRPr="00C738CC" w:rsidSect="00214F5B">
          <w:pgSz w:w="12240" w:h="15840"/>
          <w:pgMar w:top="1440" w:right="1440" w:bottom="1440" w:left="1440" w:header="720" w:footer="720" w:gutter="0"/>
          <w:cols w:space="720"/>
          <w:docGrid w:linePitch="360"/>
        </w:sectPr>
      </w:pPr>
    </w:p>
    <w:p w14:paraId="45FCB197"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lastRenderedPageBreak/>
        <w:t>Footnotes</w:t>
      </w:r>
    </w:p>
    <w:p w14:paraId="0A35C467"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Informed consent statement: </w:t>
      </w:r>
      <w:r w:rsidRPr="00C738CC">
        <w:rPr>
          <w:rFonts w:ascii="Book Antiqua" w:eastAsia="Book Antiqua" w:hAnsi="Book Antiqua" w:cs="Book Antiqua"/>
          <w:color w:val="000000"/>
        </w:rPr>
        <w:t xml:space="preserve">Informed written consent was obtained from the patient for publication of this report and any accompanying images. </w:t>
      </w:r>
    </w:p>
    <w:p w14:paraId="4BBC4F07" w14:textId="77777777" w:rsidR="00A77B3E" w:rsidRPr="00C738CC" w:rsidRDefault="00A77B3E" w:rsidP="008B3ACE">
      <w:pPr>
        <w:snapToGrid w:val="0"/>
        <w:spacing w:line="360" w:lineRule="auto"/>
        <w:jc w:val="both"/>
      </w:pPr>
    </w:p>
    <w:p w14:paraId="12308E72"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Conflict-of-interest statement: </w:t>
      </w:r>
      <w:r w:rsidRPr="00C738CC">
        <w:rPr>
          <w:rFonts w:ascii="Book Antiqua" w:eastAsia="Book Antiqua" w:hAnsi="Book Antiqua" w:cs="Book Antiqua"/>
          <w:color w:val="000000"/>
        </w:rPr>
        <w:t xml:space="preserve">The authors declare that they have no conflict of interest. </w:t>
      </w:r>
    </w:p>
    <w:p w14:paraId="6BD56927" w14:textId="77777777" w:rsidR="00A77B3E" w:rsidRPr="00C738CC" w:rsidRDefault="00A77B3E" w:rsidP="008B3ACE">
      <w:pPr>
        <w:snapToGrid w:val="0"/>
        <w:spacing w:line="360" w:lineRule="auto"/>
        <w:jc w:val="both"/>
      </w:pPr>
    </w:p>
    <w:p w14:paraId="752FF0C8"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szCs w:val="21"/>
        </w:rPr>
        <w:t xml:space="preserve">CARE Checklist (2016) statement: </w:t>
      </w:r>
      <w:r w:rsidRPr="00C738CC">
        <w:rPr>
          <w:rFonts w:ascii="Book Antiqua" w:eastAsia="Book Antiqua" w:hAnsi="Book Antiqua" w:cs="Book Antiqua"/>
          <w:color w:val="000000"/>
        </w:rPr>
        <w:t>The authors have read the CARE Checklist (2016), and the manuscript was prepared and revised according to the CARE Checklist (2016).</w:t>
      </w:r>
    </w:p>
    <w:p w14:paraId="4B350CFC" w14:textId="77777777" w:rsidR="00A77B3E" w:rsidRPr="00C738CC" w:rsidRDefault="00A77B3E" w:rsidP="008B3ACE">
      <w:pPr>
        <w:snapToGrid w:val="0"/>
        <w:spacing w:line="360" w:lineRule="auto"/>
        <w:jc w:val="both"/>
      </w:pPr>
    </w:p>
    <w:p w14:paraId="4D4001C7" w14:textId="77777777"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 xml:space="preserve">Open-Access: </w:t>
      </w:r>
      <w:r w:rsidRPr="00C738CC">
        <w:rPr>
          <w:rFonts w:ascii="Book Antiqua" w:eastAsia="Book Antiqua" w:hAnsi="Book Antiqua" w:cs="Book Antiqua"/>
          <w:color w:val="000000"/>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2B910E27" w14:textId="77777777" w:rsidR="00A77B3E" w:rsidRPr="00C738CC" w:rsidRDefault="00A77B3E" w:rsidP="008B3ACE">
      <w:pPr>
        <w:snapToGrid w:val="0"/>
        <w:spacing w:line="360" w:lineRule="auto"/>
        <w:jc w:val="both"/>
      </w:pPr>
    </w:p>
    <w:p w14:paraId="76D8C65B" w14:textId="007668C5"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Manuscript source: </w:t>
      </w:r>
      <w:r w:rsidRPr="00C738CC">
        <w:rPr>
          <w:rFonts w:ascii="Book Antiqua" w:eastAsia="Book Antiqua" w:hAnsi="Book Antiqua" w:cs="Book Antiqua"/>
          <w:color w:val="000000"/>
        </w:rPr>
        <w:t>Unsolic</w:t>
      </w:r>
      <w:r w:rsidR="00741B17" w:rsidRPr="00C738CC">
        <w:rPr>
          <w:rFonts w:ascii="Book Antiqua" w:eastAsia="Book Antiqua" w:hAnsi="Book Antiqua" w:cs="Book Antiqua"/>
          <w:color w:val="000000"/>
        </w:rPr>
        <w:t>ited manusc</w:t>
      </w:r>
      <w:r w:rsidRPr="00C738CC">
        <w:rPr>
          <w:rFonts w:ascii="Book Antiqua" w:eastAsia="Book Antiqua" w:hAnsi="Book Antiqua" w:cs="Book Antiqua"/>
          <w:color w:val="000000"/>
        </w:rPr>
        <w:t>ript</w:t>
      </w:r>
    </w:p>
    <w:p w14:paraId="753E893E" w14:textId="77777777" w:rsidR="00A77B3E" w:rsidRPr="00C738CC" w:rsidRDefault="00A77B3E" w:rsidP="008B3ACE">
      <w:pPr>
        <w:snapToGrid w:val="0"/>
        <w:spacing w:line="360" w:lineRule="auto"/>
        <w:jc w:val="both"/>
      </w:pPr>
    </w:p>
    <w:p w14:paraId="7B23F6D9"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Peer-review started: </w:t>
      </w:r>
      <w:r w:rsidRPr="00C738CC">
        <w:rPr>
          <w:rFonts w:ascii="Book Antiqua" w:eastAsia="Book Antiqua" w:hAnsi="Book Antiqua" w:cs="Book Antiqua"/>
          <w:color w:val="000000"/>
        </w:rPr>
        <w:t>April 1, 2021</w:t>
      </w:r>
    </w:p>
    <w:p w14:paraId="2DC1CF41"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First decision: </w:t>
      </w:r>
      <w:r w:rsidRPr="00C738CC">
        <w:rPr>
          <w:rFonts w:ascii="Book Antiqua" w:eastAsia="Book Antiqua" w:hAnsi="Book Antiqua" w:cs="Book Antiqua"/>
          <w:color w:val="000000"/>
        </w:rPr>
        <w:t>May 27, 2021</w:t>
      </w:r>
    </w:p>
    <w:p w14:paraId="7F38C428"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Article in press: </w:t>
      </w:r>
    </w:p>
    <w:p w14:paraId="3FCA20AD" w14:textId="77777777" w:rsidR="00A77B3E" w:rsidRPr="00C738CC" w:rsidRDefault="00A77B3E" w:rsidP="008B3ACE">
      <w:pPr>
        <w:snapToGrid w:val="0"/>
        <w:spacing w:line="360" w:lineRule="auto"/>
        <w:jc w:val="both"/>
      </w:pPr>
    </w:p>
    <w:p w14:paraId="48546749" w14:textId="3AA25AE2"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Specialty type: </w:t>
      </w:r>
      <w:r w:rsidRPr="00C738CC">
        <w:rPr>
          <w:rFonts w:ascii="Book Antiqua" w:eastAsia="Book Antiqua" w:hAnsi="Book Antiqua" w:cs="Book Antiqua"/>
          <w:color w:val="000000"/>
        </w:rPr>
        <w:t>Gastroen</w:t>
      </w:r>
      <w:r w:rsidR="000B6D21" w:rsidRPr="00C738CC">
        <w:rPr>
          <w:rFonts w:ascii="Book Antiqua" w:eastAsia="Book Antiqua" w:hAnsi="Book Antiqua" w:cs="Book Antiqua"/>
          <w:color w:val="000000"/>
        </w:rPr>
        <w:t>terology and hepatology</w:t>
      </w:r>
    </w:p>
    <w:p w14:paraId="690B3E93"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 xml:space="preserve">Country/Territory of origin: </w:t>
      </w:r>
      <w:r w:rsidRPr="00C738CC">
        <w:rPr>
          <w:rFonts w:ascii="Book Antiqua" w:eastAsia="Book Antiqua" w:hAnsi="Book Antiqua" w:cs="Book Antiqua"/>
          <w:color w:val="000000"/>
        </w:rPr>
        <w:t>China</w:t>
      </w:r>
    </w:p>
    <w:p w14:paraId="6F6C6C2F"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t>Peer-review report’s scientific quality classification</w:t>
      </w:r>
    </w:p>
    <w:p w14:paraId="2D7F3EA9"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A (Excellent): A</w:t>
      </w:r>
    </w:p>
    <w:p w14:paraId="0593AF57"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B (Very good): 0</w:t>
      </w:r>
    </w:p>
    <w:p w14:paraId="0DBA5D32"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C (Good): C</w:t>
      </w:r>
    </w:p>
    <w:p w14:paraId="419610A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D (Fair): 0</w:t>
      </w:r>
    </w:p>
    <w:p w14:paraId="350A513B" w14:textId="77777777" w:rsidR="00A77B3E" w:rsidRPr="00C738CC" w:rsidRDefault="00CF0CD2" w:rsidP="008B3ACE">
      <w:pPr>
        <w:snapToGrid w:val="0"/>
        <w:spacing w:line="360" w:lineRule="auto"/>
        <w:jc w:val="both"/>
      </w:pPr>
      <w:r w:rsidRPr="00C738CC">
        <w:rPr>
          <w:rFonts w:ascii="Book Antiqua" w:eastAsia="Book Antiqua" w:hAnsi="Book Antiqua" w:cs="Book Antiqua"/>
          <w:color w:val="000000"/>
        </w:rPr>
        <w:t>Grade E (Poor): E</w:t>
      </w:r>
    </w:p>
    <w:p w14:paraId="67DB077E" w14:textId="77777777" w:rsidR="00A77B3E" w:rsidRPr="00C738CC" w:rsidRDefault="00A77B3E" w:rsidP="008B3ACE">
      <w:pPr>
        <w:snapToGrid w:val="0"/>
        <w:spacing w:line="360" w:lineRule="auto"/>
        <w:jc w:val="both"/>
      </w:pPr>
    </w:p>
    <w:p w14:paraId="58BB5C6A" w14:textId="15EFFBD9" w:rsidR="00A77B3E" w:rsidRPr="00C738CC" w:rsidRDefault="00CF0CD2" w:rsidP="008B3ACE">
      <w:pPr>
        <w:snapToGrid w:val="0"/>
        <w:spacing w:line="360" w:lineRule="auto"/>
        <w:jc w:val="both"/>
        <w:sectPr w:rsidR="00A77B3E" w:rsidRPr="00C738CC" w:rsidSect="00214F5B">
          <w:pgSz w:w="12240" w:h="15840"/>
          <w:pgMar w:top="1440" w:right="1440" w:bottom="1440" w:left="1440" w:header="720" w:footer="720" w:gutter="0"/>
          <w:cols w:space="720"/>
          <w:docGrid w:linePitch="360"/>
        </w:sectPr>
      </w:pPr>
      <w:r w:rsidRPr="00C738CC">
        <w:rPr>
          <w:rFonts w:ascii="Book Antiqua" w:eastAsia="Book Antiqua" w:hAnsi="Book Antiqua" w:cs="Book Antiqua"/>
          <w:b/>
          <w:color w:val="000000"/>
        </w:rPr>
        <w:t xml:space="preserve">P-Reviewer: </w:t>
      </w:r>
      <w:r w:rsidRPr="00C738CC">
        <w:rPr>
          <w:rFonts w:ascii="Book Antiqua" w:eastAsia="Book Antiqua" w:hAnsi="Book Antiqua" w:cs="Book Antiqua"/>
          <w:color w:val="000000"/>
        </w:rPr>
        <w:t>Bain V, Gumbs A, Kumar SKY</w:t>
      </w:r>
      <w:r w:rsidRPr="00C738CC">
        <w:rPr>
          <w:rFonts w:ascii="Book Antiqua" w:eastAsia="Book Antiqua" w:hAnsi="Book Antiqua" w:cs="Book Antiqua"/>
          <w:b/>
          <w:color w:val="000000"/>
        </w:rPr>
        <w:t xml:space="preserve"> S-Editor: </w:t>
      </w:r>
      <w:r w:rsidR="00F71050" w:rsidRPr="00596486">
        <w:rPr>
          <w:rFonts w:ascii="Book Antiqua" w:eastAsia="Book Antiqua" w:hAnsi="Book Antiqua" w:cs="Book Antiqua"/>
          <w:bCs/>
          <w:color w:val="000000"/>
        </w:rPr>
        <w:t>Wu YXJ</w:t>
      </w:r>
      <w:r w:rsidRPr="00C738CC">
        <w:rPr>
          <w:rFonts w:ascii="Book Antiqua" w:eastAsia="Book Antiqua" w:hAnsi="Book Antiqua" w:cs="Book Antiqua"/>
          <w:b/>
          <w:color w:val="000000"/>
        </w:rPr>
        <w:t xml:space="preserve"> L-Editor: </w:t>
      </w:r>
      <w:r w:rsidR="00887B36">
        <w:rPr>
          <w:rFonts w:ascii="Book Antiqua" w:eastAsia="Book Antiqua" w:hAnsi="Book Antiqua" w:cs="Book Antiqua"/>
          <w:bCs/>
          <w:color w:val="000000"/>
        </w:rPr>
        <w:t>Filipodia</w:t>
      </w:r>
      <w:r w:rsidRPr="00C738CC">
        <w:rPr>
          <w:rFonts w:ascii="Book Antiqua" w:eastAsia="Book Antiqua" w:hAnsi="Book Antiqua" w:cs="Book Antiqua"/>
          <w:b/>
          <w:color w:val="000000"/>
        </w:rPr>
        <w:t xml:space="preserve"> P-Editor: </w:t>
      </w:r>
    </w:p>
    <w:p w14:paraId="26D54113" w14:textId="77777777" w:rsidR="00A77B3E" w:rsidRPr="00C738CC" w:rsidRDefault="00CF0CD2" w:rsidP="008B3ACE">
      <w:pPr>
        <w:snapToGrid w:val="0"/>
        <w:spacing w:line="360" w:lineRule="auto"/>
        <w:jc w:val="both"/>
      </w:pPr>
      <w:r w:rsidRPr="00C738CC">
        <w:rPr>
          <w:rFonts w:ascii="Book Antiqua" w:eastAsia="Book Antiqua" w:hAnsi="Book Antiqua" w:cs="Book Antiqua"/>
          <w:b/>
          <w:color w:val="000000"/>
        </w:rPr>
        <w:lastRenderedPageBreak/>
        <w:t>Figure Legends</w:t>
      </w:r>
    </w:p>
    <w:p w14:paraId="5E2E4553" w14:textId="77B75AB1" w:rsidR="00A77B3E" w:rsidRPr="00C738CC" w:rsidRDefault="00DA6369" w:rsidP="008B3ACE">
      <w:pPr>
        <w:snapToGrid w:val="0"/>
        <w:spacing w:line="360" w:lineRule="auto"/>
        <w:jc w:val="both"/>
      </w:pPr>
      <w:r w:rsidRPr="00C738CC">
        <w:rPr>
          <w:noProof/>
        </w:rPr>
        <w:drawing>
          <wp:inline distT="0" distB="0" distL="0" distR="0" wp14:anchorId="501F3B0D" wp14:editId="47AA2EE7">
            <wp:extent cx="3162300" cy="2865834"/>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162574" cy="2866083"/>
                    </a:xfrm>
                    <a:prstGeom prst="rect">
                      <a:avLst/>
                    </a:prstGeom>
                  </pic:spPr>
                </pic:pic>
              </a:graphicData>
            </a:graphic>
          </wp:inline>
        </w:drawing>
      </w:r>
    </w:p>
    <w:p w14:paraId="30266FAC" w14:textId="4E1ACA12" w:rsidR="00A77B3E" w:rsidRPr="00C738CC" w:rsidRDefault="00CF0CD2" w:rsidP="008B3ACE">
      <w:pPr>
        <w:snapToGrid w:val="0"/>
        <w:spacing w:line="360" w:lineRule="auto"/>
        <w:jc w:val="both"/>
      </w:pPr>
      <w:r w:rsidRPr="00C738CC">
        <w:rPr>
          <w:rFonts w:ascii="Book Antiqua" w:eastAsia="Book Antiqua" w:hAnsi="Book Antiqua" w:cs="Book Antiqua"/>
          <w:b/>
          <w:bCs/>
          <w:color w:val="000000"/>
        </w:rPr>
        <w:t>Figure 1 Representative computed tomography</w:t>
      </w:r>
      <w:r w:rsidR="009839C2" w:rsidRPr="00C738CC">
        <w:rPr>
          <w:rFonts w:ascii="Book Antiqua" w:eastAsia="Book Antiqua" w:hAnsi="Book Antiqua" w:cs="Book Antiqua"/>
          <w:b/>
          <w:bCs/>
          <w:color w:val="000000"/>
        </w:rPr>
        <w:t xml:space="preserve"> </w:t>
      </w:r>
      <w:r w:rsidRPr="00C738CC">
        <w:rPr>
          <w:rFonts w:ascii="Book Antiqua" w:eastAsia="Book Antiqua" w:hAnsi="Book Antiqua" w:cs="Book Antiqua"/>
          <w:b/>
          <w:bCs/>
          <w:color w:val="000000"/>
        </w:rPr>
        <w:t xml:space="preserve">image used for </w:t>
      </w:r>
      <w:r w:rsidR="00C13E16">
        <w:rPr>
          <w:rFonts w:ascii="Book Antiqua" w:eastAsia="Book Antiqua" w:hAnsi="Book Antiqua" w:cs="Book Antiqua"/>
          <w:b/>
          <w:bCs/>
          <w:color w:val="000000"/>
        </w:rPr>
        <w:t>h</w:t>
      </w:r>
      <w:r w:rsidR="00135576" w:rsidRPr="00135576">
        <w:rPr>
          <w:rFonts w:ascii="Book Antiqua" w:eastAsia="Book Antiqua" w:hAnsi="Book Antiqua" w:cs="Book Antiqua"/>
          <w:b/>
          <w:bCs/>
          <w:color w:val="000000"/>
        </w:rPr>
        <w:t>epatocellular carcinoma</w:t>
      </w:r>
      <w:r w:rsidRPr="00C738CC">
        <w:rPr>
          <w:rFonts w:ascii="Book Antiqua" w:eastAsia="Book Antiqua" w:hAnsi="Book Antiqua" w:cs="Book Antiqua"/>
          <w:b/>
          <w:bCs/>
          <w:color w:val="000000"/>
        </w:rPr>
        <w:t xml:space="preserve"> diagnosis.</w:t>
      </w:r>
      <w:r w:rsidRPr="00C738CC">
        <w:rPr>
          <w:rFonts w:ascii="Book Antiqua" w:eastAsia="Book Antiqua" w:hAnsi="Book Antiqua" w:cs="Book Antiqua"/>
          <w:color w:val="000000"/>
        </w:rPr>
        <w:t xml:space="preserve"> A low-density soft tissue area was observed in the scanning plane of the upper abdomen. Mild density enhancement in the arterial phase and non-homogeneous density enhancement in the portal phase were observed.</w:t>
      </w:r>
      <w:r w:rsidRPr="00C738CC">
        <w:rPr>
          <w:rFonts w:ascii="Book Antiqua" w:eastAsia="Book Antiqua" w:hAnsi="Book Antiqua" w:cs="Book Antiqua"/>
          <w:b/>
          <w:bCs/>
          <w:color w:val="000000"/>
        </w:rPr>
        <w:t xml:space="preserve"> </w:t>
      </w:r>
      <w:r w:rsidRPr="00C738CC">
        <w:rPr>
          <w:rFonts w:ascii="Book Antiqua" w:eastAsia="Book Antiqua" w:hAnsi="Book Antiqua" w:cs="Book Antiqua"/>
          <w:color w:val="000000"/>
        </w:rPr>
        <w:t>The tumor was about 10</w:t>
      </w:r>
      <w:r w:rsidR="0096196F"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cm</w:t>
      </w:r>
      <w:r w:rsidR="0096196F" w:rsidRPr="00C738CC">
        <w:rPr>
          <w:rFonts w:ascii="Book Antiqua" w:eastAsia="Book Antiqua" w:hAnsi="Book Antiqua" w:cs="Book Antiqua"/>
          <w:color w:val="000000"/>
        </w:rPr>
        <w:t xml:space="preserve"> ×</w:t>
      </w:r>
      <w:r w:rsidR="0096196F" w:rsidRPr="00C738CC">
        <w:rPr>
          <w:rFonts w:ascii="Book Antiqua" w:hAnsi="Book Antiqua" w:cs="Book Antiqua"/>
          <w:color w:val="000000"/>
          <w:lang w:eastAsia="zh-CN"/>
        </w:rPr>
        <w:t xml:space="preserve"> </w:t>
      </w:r>
      <w:r w:rsidRPr="00C738CC">
        <w:rPr>
          <w:rFonts w:ascii="Book Antiqua" w:eastAsia="Book Antiqua" w:hAnsi="Book Antiqua" w:cs="Book Antiqua"/>
          <w:color w:val="000000"/>
        </w:rPr>
        <w:t>12</w:t>
      </w:r>
      <w:r w:rsidR="0096196F" w:rsidRPr="00C738CC">
        <w:rPr>
          <w:rFonts w:ascii="Book Antiqua" w:eastAsia="Book Antiqua" w:hAnsi="Book Antiqua" w:cs="Book Antiqua"/>
          <w:color w:val="000000"/>
        </w:rPr>
        <w:t xml:space="preserve"> </w:t>
      </w:r>
      <w:r w:rsidRPr="00C738CC">
        <w:rPr>
          <w:rFonts w:ascii="Book Antiqua" w:eastAsia="Book Antiqua" w:hAnsi="Book Antiqua" w:cs="Book Antiqua"/>
          <w:color w:val="000000"/>
        </w:rPr>
        <w:t>cm in cross-section.</w:t>
      </w:r>
    </w:p>
    <w:sectPr w:rsidR="00A77B3E" w:rsidRPr="00C738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F08B1" w14:textId="77777777" w:rsidR="00A33CCD" w:rsidRDefault="00A33CCD" w:rsidP="00BC044F">
      <w:r>
        <w:separator/>
      </w:r>
    </w:p>
  </w:endnote>
  <w:endnote w:type="continuationSeparator" w:id="0">
    <w:p w14:paraId="2D0F9515" w14:textId="77777777" w:rsidR="00A33CCD" w:rsidRDefault="00A33CCD" w:rsidP="00BC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8AA9A" w14:textId="46FC97E1" w:rsidR="00BC044F" w:rsidRPr="00BC044F" w:rsidRDefault="00BC044F" w:rsidP="00BC044F">
    <w:pPr>
      <w:pStyle w:val="Footer"/>
      <w:jc w:val="right"/>
      <w:rPr>
        <w:rFonts w:ascii="Book Antiqua" w:hAnsi="Book Antiqua"/>
        <w:sz w:val="24"/>
        <w:szCs w:val="24"/>
      </w:rPr>
    </w:pPr>
    <w:r>
      <w:rPr>
        <w:rFonts w:ascii="Book Antiqua" w:hAnsi="Book Antiqua"/>
        <w:sz w:val="24"/>
        <w:szCs w:val="24"/>
      </w:rPr>
      <w:fldChar w:fldCharType="begin"/>
    </w:r>
    <w:r>
      <w:rPr>
        <w:rFonts w:ascii="Book Antiqua" w:hAnsi="Book Antiqua"/>
        <w:sz w:val="24"/>
        <w:szCs w:val="24"/>
      </w:rPr>
      <w:instrText xml:space="preserve"> PAGE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r w:rsidR="00D23E7F">
      <w:rPr>
        <w:rFonts w:ascii="Book Antiqua" w:hAnsi="Book Antiqua"/>
        <w:sz w:val="24"/>
        <w:szCs w:val="24"/>
      </w:rPr>
      <w:t xml:space="preserve"> </w:t>
    </w:r>
    <w:r>
      <w:rPr>
        <w:rFonts w:ascii="Book Antiqua" w:hAnsi="Book Antiqua"/>
        <w:sz w:val="24"/>
        <w:szCs w:val="24"/>
      </w:rPr>
      <w:t>/</w:t>
    </w:r>
    <w:r w:rsidR="00D23E7F">
      <w:rPr>
        <w:rFonts w:ascii="Book Antiqua" w:hAnsi="Book Antiqua"/>
        <w:sz w:val="24"/>
        <w:szCs w:val="24"/>
      </w:rPr>
      <w:t xml:space="preserve"> </w:t>
    </w:r>
    <w:r>
      <w:rPr>
        <w:rFonts w:ascii="Book Antiqua" w:hAnsi="Book Antiqua"/>
        <w:sz w:val="24"/>
        <w:szCs w:val="24"/>
      </w:rPr>
      <w:fldChar w:fldCharType="begin"/>
    </w:r>
    <w:r>
      <w:rPr>
        <w:rFonts w:ascii="Book Antiqua" w:hAnsi="Book Antiqua"/>
        <w:sz w:val="24"/>
        <w:szCs w:val="24"/>
      </w:rPr>
      <w:instrText xml:space="preserve"> NUMPAGES   \* MERGEFORMAT </w:instrText>
    </w:r>
    <w:r>
      <w:rPr>
        <w:rFonts w:ascii="Book Antiqua" w:hAnsi="Book Antiqua"/>
        <w:sz w:val="24"/>
        <w:szCs w:val="24"/>
      </w:rPr>
      <w:fldChar w:fldCharType="separate"/>
    </w:r>
    <w:r>
      <w:rPr>
        <w:rFonts w:ascii="Book Antiqua" w:hAnsi="Book Antiqua"/>
        <w:noProof/>
        <w:sz w:val="24"/>
        <w:szCs w:val="24"/>
      </w:rPr>
      <w:t>16</w:t>
    </w:r>
    <w:r>
      <w:rPr>
        <w:rFonts w:ascii="Book Antiqua" w:hAnsi="Book Antiqua"/>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181A3D" w14:textId="77777777" w:rsidR="00A33CCD" w:rsidRDefault="00A33CCD" w:rsidP="00BC044F">
      <w:r>
        <w:separator/>
      </w:r>
    </w:p>
  </w:footnote>
  <w:footnote w:type="continuationSeparator" w:id="0">
    <w:p w14:paraId="0027EC5B" w14:textId="77777777" w:rsidR="00A33CCD" w:rsidRDefault="00A33CCD" w:rsidP="00BC044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166"/>
    <w:rsid w:val="00013602"/>
    <w:rsid w:val="000212A1"/>
    <w:rsid w:val="00044437"/>
    <w:rsid w:val="00091AFB"/>
    <w:rsid w:val="000929EF"/>
    <w:rsid w:val="000A3926"/>
    <w:rsid w:val="000B6D21"/>
    <w:rsid w:val="000C344C"/>
    <w:rsid w:val="00123993"/>
    <w:rsid w:val="00125056"/>
    <w:rsid w:val="00135576"/>
    <w:rsid w:val="00143972"/>
    <w:rsid w:val="00157254"/>
    <w:rsid w:val="00170347"/>
    <w:rsid w:val="001B7290"/>
    <w:rsid w:val="00214F5B"/>
    <w:rsid w:val="00215D4E"/>
    <w:rsid w:val="002E331D"/>
    <w:rsid w:val="002F4A8B"/>
    <w:rsid w:val="00332B37"/>
    <w:rsid w:val="00333708"/>
    <w:rsid w:val="00366911"/>
    <w:rsid w:val="00396623"/>
    <w:rsid w:val="003E27B2"/>
    <w:rsid w:val="004212A3"/>
    <w:rsid w:val="0043221D"/>
    <w:rsid w:val="004464FA"/>
    <w:rsid w:val="00474FD7"/>
    <w:rsid w:val="00482263"/>
    <w:rsid w:val="00483D77"/>
    <w:rsid w:val="004A00AA"/>
    <w:rsid w:val="004A6668"/>
    <w:rsid w:val="00524709"/>
    <w:rsid w:val="00542F8D"/>
    <w:rsid w:val="005434A2"/>
    <w:rsid w:val="00550D14"/>
    <w:rsid w:val="005922E3"/>
    <w:rsid w:val="00596486"/>
    <w:rsid w:val="00596940"/>
    <w:rsid w:val="005C1EAF"/>
    <w:rsid w:val="00615460"/>
    <w:rsid w:val="0064181F"/>
    <w:rsid w:val="00670932"/>
    <w:rsid w:val="00686FD4"/>
    <w:rsid w:val="006926DF"/>
    <w:rsid w:val="006B10CB"/>
    <w:rsid w:val="006D0189"/>
    <w:rsid w:val="006F187D"/>
    <w:rsid w:val="00715048"/>
    <w:rsid w:val="00741B17"/>
    <w:rsid w:val="007605D5"/>
    <w:rsid w:val="007665C7"/>
    <w:rsid w:val="0079332B"/>
    <w:rsid w:val="007F76AE"/>
    <w:rsid w:val="00804317"/>
    <w:rsid w:val="00807602"/>
    <w:rsid w:val="00815694"/>
    <w:rsid w:val="00857F17"/>
    <w:rsid w:val="00861B1D"/>
    <w:rsid w:val="00867921"/>
    <w:rsid w:val="00887B36"/>
    <w:rsid w:val="008B0D80"/>
    <w:rsid w:val="008B3ACE"/>
    <w:rsid w:val="008D7875"/>
    <w:rsid w:val="009047CC"/>
    <w:rsid w:val="009421A7"/>
    <w:rsid w:val="0096196F"/>
    <w:rsid w:val="0097058F"/>
    <w:rsid w:val="0097763A"/>
    <w:rsid w:val="00977C23"/>
    <w:rsid w:val="00977D31"/>
    <w:rsid w:val="009839C2"/>
    <w:rsid w:val="009845B3"/>
    <w:rsid w:val="00991F00"/>
    <w:rsid w:val="00994F34"/>
    <w:rsid w:val="009C1BD8"/>
    <w:rsid w:val="00A25B59"/>
    <w:rsid w:val="00A33CCD"/>
    <w:rsid w:val="00A60A61"/>
    <w:rsid w:val="00A63AC2"/>
    <w:rsid w:val="00A77B3E"/>
    <w:rsid w:val="00A80B75"/>
    <w:rsid w:val="00AF511E"/>
    <w:rsid w:val="00B038FD"/>
    <w:rsid w:val="00B11F1B"/>
    <w:rsid w:val="00B412AE"/>
    <w:rsid w:val="00B47B5B"/>
    <w:rsid w:val="00B8773E"/>
    <w:rsid w:val="00BC044F"/>
    <w:rsid w:val="00BE6FFA"/>
    <w:rsid w:val="00BF7F7B"/>
    <w:rsid w:val="00C0152A"/>
    <w:rsid w:val="00C1363A"/>
    <w:rsid w:val="00C13E16"/>
    <w:rsid w:val="00C144D7"/>
    <w:rsid w:val="00C31CC2"/>
    <w:rsid w:val="00C62134"/>
    <w:rsid w:val="00C63DCF"/>
    <w:rsid w:val="00C738CC"/>
    <w:rsid w:val="00C80481"/>
    <w:rsid w:val="00C8418C"/>
    <w:rsid w:val="00C94748"/>
    <w:rsid w:val="00CA2A55"/>
    <w:rsid w:val="00CD6D17"/>
    <w:rsid w:val="00CF0CD2"/>
    <w:rsid w:val="00D23E7F"/>
    <w:rsid w:val="00D80DED"/>
    <w:rsid w:val="00DA6369"/>
    <w:rsid w:val="00E41D5A"/>
    <w:rsid w:val="00E81BC2"/>
    <w:rsid w:val="00E94733"/>
    <w:rsid w:val="00EA0E1C"/>
    <w:rsid w:val="00EB0D4F"/>
    <w:rsid w:val="00EB62D0"/>
    <w:rsid w:val="00F44867"/>
    <w:rsid w:val="00F4644F"/>
    <w:rsid w:val="00F46B98"/>
    <w:rsid w:val="00F5281F"/>
    <w:rsid w:val="00F70B0E"/>
    <w:rsid w:val="00F71050"/>
    <w:rsid w:val="00F85A42"/>
    <w:rsid w:val="00FB48B3"/>
    <w:rsid w:val="00FB574F"/>
    <w:rsid w:val="00FF7A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268FBE9"/>
  <w15:docId w15:val="{BFAF3537-D8D8-4986-A053-C6BC6881B2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BC044F"/>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BC044F"/>
    <w:rPr>
      <w:sz w:val="18"/>
      <w:szCs w:val="18"/>
    </w:rPr>
  </w:style>
  <w:style w:type="paragraph" w:styleId="Footer">
    <w:name w:val="footer"/>
    <w:basedOn w:val="Normal"/>
    <w:link w:val="FooterChar"/>
    <w:unhideWhenUsed/>
    <w:rsid w:val="00BC044F"/>
    <w:pPr>
      <w:tabs>
        <w:tab w:val="center" w:pos="4153"/>
        <w:tab w:val="right" w:pos="8306"/>
      </w:tabs>
      <w:snapToGrid w:val="0"/>
    </w:pPr>
    <w:rPr>
      <w:sz w:val="18"/>
      <w:szCs w:val="18"/>
    </w:rPr>
  </w:style>
  <w:style w:type="character" w:customStyle="1" w:styleId="FooterChar">
    <w:name w:val="Footer Char"/>
    <w:basedOn w:val="DefaultParagraphFont"/>
    <w:link w:val="Footer"/>
    <w:rsid w:val="00BC044F"/>
    <w:rPr>
      <w:sz w:val="18"/>
      <w:szCs w:val="18"/>
    </w:rPr>
  </w:style>
  <w:style w:type="character" w:styleId="LineNumber">
    <w:name w:val="line number"/>
    <w:basedOn w:val="DefaultParagraphFont"/>
    <w:semiHidden/>
    <w:unhideWhenUsed/>
    <w:rsid w:val="00B038FD"/>
  </w:style>
  <w:style w:type="paragraph" w:styleId="Revision">
    <w:name w:val="Revision"/>
    <w:hidden/>
    <w:uiPriority w:val="99"/>
    <w:semiHidden/>
    <w:rsid w:val="002E331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BDC38-9632-4CE4-81FE-96C84CB3BD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3604</Words>
  <Characters>20544</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Fox</cp:lastModifiedBy>
  <cp:revision>2</cp:revision>
  <dcterms:created xsi:type="dcterms:W3CDTF">2021-08-27T05:25:00Z</dcterms:created>
  <dcterms:modified xsi:type="dcterms:W3CDTF">2021-08-27T05:25:00Z</dcterms:modified>
</cp:coreProperties>
</file>