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056" w14:textId="50CA567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Name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Journal: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World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Journal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Gastrointestinal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1A1F14CF" w14:textId="7DF5A41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Manuscript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NO: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66391</w:t>
      </w:r>
    </w:p>
    <w:p w14:paraId="356DFA34" w14:textId="6B97459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Manuscript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Type: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ORIGINAL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ARTICLE</w:t>
      </w:r>
    </w:p>
    <w:p w14:paraId="57246EC9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BBB0351" w14:textId="73CA29C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407AFC4A" w14:textId="0635560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elevated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interleukin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secretion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8E" w:rsidRPr="003436EA">
        <w:rPr>
          <w:rFonts w:ascii="Book Antiqua" w:eastAsia="Book Antiqua" w:hAnsi="Book Antiqua" w:cs="Book Antiqua"/>
          <w:b/>
          <w:bCs/>
          <w:color w:val="000000"/>
        </w:rPr>
        <w:t>pancreatitis</w:t>
      </w:r>
    </w:p>
    <w:p w14:paraId="492D6FC2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6F254D40" w14:textId="5609AA7B" w:rsidR="00A77B3E" w:rsidRPr="003436EA" w:rsidRDefault="00282A96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Nalisa</w:t>
      </w:r>
      <w:r w:rsidR="00BF6322" w:rsidRPr="003436E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436EA">
        <w:rPr>
          <w:rFonts w:ascii="Book Antiqua" w:hAnsi="Book Antiqua" w:cs="Book Antiqua"/>
          <w:iCs/>
          <w:color w:val="000000"/>
          <w:lang w:eastAsia="zh-CN"/>
        </w:rPr>
        <w:t>M</w:t>
      </w:r>
      <w:r w:rsidR="00BF6322" w:rsidRPr="003436EA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436EA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BF6322" w:rsidRPr="003436EA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436EA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3436EA">
        <w:rPr>
          <w:rFonts w:ascii="Book Antiqua" w:hAnsi="Book Antiqua" w:cs="Book Antiqua"/>
          <w:iCs/>
          <w:color w:val="000000"/>
          <w:lang w:eastAsia="zh-CN"/>
        </w:rPr>
        <w:t>.</w:t>
      </w:r>
      <w:r w:rsidR="00BF6322" w:rsidRPr="003436E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severity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0511800C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0B6A0023" w14:textId="217DB72A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Mwangala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Nalisa,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Ekene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696896" w:rsidRPr="003436EA">
        <w:rPr>
          <w:rFonts w:ascii="Book Antiqua" w:eastAsia="Book Antiqua" w:hAnsi="Book Antiqua" w:cs="Book Antiqua"/>
          <w:color w:val="000000"/>
        </w:rPr>
        <w:t xml:space="preserve">Emmanuel </w:t>
      </w:r>
      <w:r w:rsidRPr="003436EA">
        <w:rPr>
          <w:rFonts w:ascii="Book Antiqua" w:eastAsia="Book Antiqua" w:hAnsi="Book Antiqua" w:cs="Book Antiqua"/>
          <w:color w:val="000000"/>
        </w:rPr>
        <w:t>Nweke,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Martin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Smith,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Omoshoro-Jones,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Devar,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Rebecca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Metzger,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Tanya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Augustine,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Pascaline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Fru</w:t>
      </w:r>
    </w:p>
    <w:p w14:paraId="7C9405E5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B31175" w14:textId="34A4C15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Mwangala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Nalisa,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Ekene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6896" w:rsidRPr="003436EA">
        <w:rPr>
          <w:rFonts w:ascii="Book Antiqua" w:eastAsia="Book Antiqua" w:hAnsi="Book Antiqua" w:cs="Book Antiqua"/>
          <w:b/>
          <w:bCs/>
          <w:color w:val="000000"/>
        </w:rPr>
        <w:t xml:space="preserve">Emmanuel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Nweke,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Smith,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Omoshoro-Jones,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WS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Devar,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Pascaline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Fru,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Department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Surgery,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Medicine,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Faculty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2193,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Gauteng,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</w:t>
      </w:r>
    </w:p>
    <w:p w14:paraId="51B1ABAA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81383C2" w14:textId="11E411C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Smith,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Omoshoro-Jones,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WS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Devar,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Department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Surgery,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Baragwanath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1864,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Gauteng,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</w:t>
      </w:r>
    </w:p>
    <w:p w14:paraId="0FB26BA4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AD834F7" w14:textId="7BA1336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Rebecca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Metzger,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Institut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für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Immunologie,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Ludwig-Maximilians-Universität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München,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München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80539,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</w:t>
      </w:r>
    </w:p>
    <w:p w14:paraId="6374BF05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0D1141C" w14:textId="091D5B0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Tanya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Augustine,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Anatomical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Faculty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BA5B0B" w:rsidRPr="003436EA">
        <w:rPr>
          <w:rFonts w:ascii="Book Antiqua" w:eastAsia="Book Antiqua" w:hAnsi="Book Antiqua" w:cs="Book Antiqua"/>
          <w:color w:val="000000"/>
        </w:rPr>
        <w:t>Witwatersrand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2193,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Gauteng,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</w:t>
      </w:r>
    </w:p>
    <w:p w14:paraId="3FFD4239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F8464DA" w14:textId="352C2116" w:rsidR="00696896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6896" w:rsidRPr="003436EA">
        <w:rPr>
          <w:rFonts w:ascii="Book Antiqua" w:hAnsi="Book Antiqua"/>
        </w:rPr>
        <w:t xml:space="preserve">Nalisa M, Nweke EE, Smith M, Augustine </w:t>
      </w:r>
      <w:r w:rsidR="001F29A5" w:rsidRPr="003436EA">
        <w:rPr>
          <w:rFonts w:ascii="Book Antiqua" w:hAnsi="Book Antiqua"/>
        </w:rPr>
        <w:t>TN</w:t>
      </w:r>
      <w:r w:rsidR="005617E4" w:rsidRPr="003436EA">
        <w:rPr>
          <w:rFonts w:ascii="Book Antiqua" w:hAnsi="Book Antiqua" w:hint="eastAsia"/>
          <w:lang w:eastAsia="zh-CN"/>
        </w:rPr>
        <w:t xml:space="preserve"> and</w:t>
      </w:r>
      <w:r w:rsidR="00696896" w:rsidRPr="003436EA">
        <w:rPr>
          <w:rFonts w:ascii="Book Antiqua" w:hAnsi="Book Antiqua"/>
        </w:rPr>
        <w:t xml:space="preserve"> Fru PN designed the research; Nalisa M, Nweke EE, Omoshoro-Jones J, Devar JWS, Metzger R </w:t>
      </w:r>
      <w:r w:rsidR="00696896" w:rsidRPr="003436EA">
        <w:rPr>
          <w:rFonts w:ascii="Book Antiqua" w:hAnsi="Book Antiqua"/>
        </w:rPr>
        <w:lastRenderedPageBreak/>
        <w:t xml:space="preserve">and Fru PN performed the research; Nalisa M, Nweke EE, Smith M, Augustine </w:t>
      </w:r>
      <w:r w:rsidR="001F29A5" w:rsidRPr="003436EA">
        <w:rPr>
          <w:rFonts w:ascii="Book Antiqua" w:hAnsi="Book Antiqua"/>
        </w:rPr>
        <w:t>TN</w:t>
      </w:r>
      <w:r w:rsidR="00696896" w:rsidRPr="003436EA">
        <w:rPr>
          <w:rFonts w:ascii="Book Antiqua" w:hAnsi="Book Antiqua"/>
        </w:rPr>
        <w:t xml:space="preserve">, Metzger R and Fru PN contributed new reagents/analytic tools; Nalisa M, Nweke EE, Augustine </w:t>
      </w:r>
      <w:r w:rsidR="001F29A5" w:rsidRPr="003436EA">
        <w:rPr>
          <w:rFonts w:ascii="Book Antiqua" w:hAnsi="Book Antiqua"/>
        </w:rPr>
        <w:t>TN</w:t>
      </w:r>
      <w:r w:rsidR="005617E4" w:rsidRPr="003436EA">
        <w:rPr>
          <w:rFonts w:ascii="Book Antiqua" w:hAnsi="Book Antiqua" w:hint="eastAsia"/>
          <w:lang w:eastAsia="zh-CN"/>
        </w:rPr>
        <w:t xml:space="preserve"> </w:t>
      </w:r>
      <w:r w:rsidR="00696896" w:rsidRPr="003436EA">
        <w:rPr>
          <w:rFonts w:ascii="Book Antiqua" w:hAnsi="Book Antiqua"/>
        </w:rPr>
        <w:t xml:space="preserve">and Fru PN wrote the paper; all authors </w:t>
      </w:r>
      <w:r w:rsidR="005617E4" w:rsidRPr="003436EA">
        <w:rPr>
          <w:rFonts w:ascii="Book Antiqua" w:hAnsi="Book Antiqua"/>
        </w:rPr>
        <w:t>analysed</w:t>
      </w:r>
      <w:r w:rsidR="005617E4" w:rsidRPr="003436EA">
        <w:rPr>
          <w:rFonts w:ascii="Book Antiqua" w:hAnsi="Book Antiqua" w:hint="eastAsia"/>
          <w:lang w:eastAsia="zh-CN"/>
        </w:rPr>
        <w:t>,</w:t>
      </w:r>
      <w:r w:rsidR="005617E4" w:rsidRPr="003436EA">
        <w:rPr>
          <w:rFonts w:ascii="Book Antiqua" w:hAnsi="Book Antiqua"/>
        </w:rPr>
        <w:t xml:space="preserve"> interpreted the data </w:t>
      </w:r>
      <w:r w:rsidR="005617E4" w:rsidRPr="003436EA">
        <w:rPr>
          <w:rFonts w:ascii="Book Antiqua" w:hAnsi="Book Antiqua" w:hint="eastAsia"/>
          <w:lang w:eastAsia="zh-CN"/>
        </w:rPr>
        <w:t xml:space="preserve">and </w:t>
      </w:r>
      <w:r w:rsidR="00696896" w:rsidRPr="003436EA">
        <w:rPr>
          <w:rFonts w:ascii="Book Antiqua" w:hAnsi="Book Antiqua"/>
        </w:rPr>
        <w:t xml:space="preserve">approved the final version. </w:t>
      </w:r>
    </w:p>
    <w:p w14:paraId="166B7A5A" w14:textId="06EA4EDE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4417E6D" w14:textId="5FAE788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617E4" w:rsidRPr="003436E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by</w:t>
      </w:r>
      <w:r w:rsidR="002D4DBA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Foundation,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3436EA">
        <w:rPr>
          <w:rFonts w:ascii="Book Antiqua" w:eastAsia="Book Antiqua" w:hAnsi="Book Antiqua" w:cs="Book Antiqua"/>
          <w:color w:val="000000"/>
        </w:rPr>
        <w:t>121277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Individual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3436EA">
        <w:rPr>
          <w:rFonts w:ascii="Book Antiqua" w:eastAsia="Book Antiqua" w:hAnsi="Book Antiqua" w:cs="Book Antiqua"/>
          <w:color w:val="000000"/>
        </w:rPr>
        <w:t>001283844110151211055142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and t</w:t>
      </w:r>
      <w:r w:rsidRPr="003436EA">
        <w:rPr>
          <w:rFonts w:ascii="Book Antiqua" w:eastAsia="Book Antiqua" w:hAnsi="Book Antiqua" w:cs="Book Antiqua"/>
          <w:color w:val="000000"/>
        </w:rPr>
        <w:t>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Faculty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Funding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No.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0012518441101512110500000000000000004550.</w:t>
      </w:r>
    </w:p>
    <w:p w14:paraId="4F9BEA1F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B718EE4" w14:textId="0548490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Pascaline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Fru,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Department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Surgery,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Medicine,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Faculty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York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Road,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Parktown,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2193,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Gauteng,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pascaline.fru@wits.ac.za</w:t>
      </w:r>
    </w:p>
    <w:p w14:paraId="3E837C52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45382B" w14:textId="1D5A90C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April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2021</w:t>
      </w:r>
    </w:p>
    <w:p w14:paraId="5B88B66A" w14:textId="00FEDE3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F6322" w:rsidRPr="003436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927F8" w:rsidRPr="003436EA">
        <w:rPr>
          <w:rFonts w:ascii="Book Antiqua" w:hAnsi="Book Antiqua" w:cs="Book Antiqua"/>
          <w:bCs/>
          <w:color w:val="000000"/>
          <w:lang w:eastAsia="zh-CN"/>
        </w:rPr>
        <w:t>July</w:t>
      </w:r>
      <w:r w:rsidR="00BF6322" w:rsidRPr="003436E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927F8" w:rsidRPr="003436EA">
        <w:rPr>
          <w:rFonts w:ascii="Book Antiqua" w:hAnsi="Book Antiqua" w:cs="Book Antiqua"/>
          <w:bCs/>
          <w:color w:val="000000"/>
          <w:lang w:eastAsia="zh-CN"/>
        </w:rPr>
        <w:t>8,</w:t>
      </w:r>
      <w:r w:rsidR="00BF6322" w:rsidRPr="003436E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927F8" w:rsidRPr="003436EA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6CAF6D2" w14:textId="14F2E81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53D" w:rsidRPr="003436EA">
        <w:rPr>
          <w:rFonts w:ascii="Book Antiqua" w:eastAsia="Book Antiqua" w:hAnsi="Book Antiqua" w:cs="Book Antiqua"/>
          <w:color w:val="000000"/>
        </w:rPr>
        <w:t>September 14, 2021</w:t>
      </w:r>
    </w:p>
    <w:p w14:paraId="536BA8DC" w14:textId="1275CCD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429A" w:rsidRPr="003436EA">
        <w:rPr>
          <w:rFonts w:ascii="Book Antiqua" w:eastAsia="Book Antiqua" w:hAnsi="Book Antiqua" w:cs="Book Antiqua"/>
          <w:color w:val="000000"/>
        </w:rPr>
        <w:t>November 22, 2021</w:t>
      </w:r>
    </w:p>
    <w:p w14:paraId="101ADCD0" w14:textId="77777777" w:rsidR="00BF6322" w:rsidRPr="003436EA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95C3D8" w14:textId="77777777" w:rsidR="00BF6322" w:rsidRPr="003436EA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9871CB9" w14:textId="77777777" w:rsidR="00BF6322" w:rsidRPr="003436EA" w:rsidRDefault="00BF6322" w:rsidP="001D08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B5B1464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Abstract</w:t>
      </w:r>
    </w:p>
    <w:p w14:paraId="102A1094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BACKGROUND</w:t>
      </w:r>
    </w:p>
    <w:p w14:paraId="38CAC5D9" w14:textId="6D7E782C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diagnosed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amylase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lipase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limit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normal.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Atlanta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377609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risk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categories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namely,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(MSAP),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(SAP).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Challenges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stratifying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diagnosis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understanding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underlying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pathophysiology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beneficial.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5614E5A1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ABA3C7C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AIM</w:t>
      </w:r>
    </w:p>
    <w:p w14:paraId="55AF4992" w14:textId="3D7AEEB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hemokine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CCR8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T-helper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type-2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Interleukin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(IL)-6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</w:p>
    <w:p w14:paraId="40A64EDD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72C528B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METHODS</w:t>
      </w:r>
    </w:p>
    <w:p w14:paraId="0A678BAC" w14:textId="69C68E59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prospective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case-control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Baragwanath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Charlotte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Maxeke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Bioassays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(D)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panels,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polymerase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</w:t>
      </w:r>
      <w:r w:rsidR="001F29A5" w:rsidRPr="003436EA">
        <w:rPr>
          <w:rFonts w:ascii="Book Antiqua" w:eastAsia="Book Antiqua" w:hAnsi="Book Antiqua" w:cs="Book Antiqua"/>
          <w:color w:val="000000"/>
        </w:rPr>
        <w:t>q</w:t>
      </w:r>
      <w:r w:rsidRPr="003436EA">
        <w:rPr>
          <w:rFonts w:ascii="Book Antiqua" w:eastAsia="Book Antiqua" w:hAnsi="Book Antiqua" w:cs="Book Antiqua"/>
          <w:color w:val="000000"/>
        </w:rPr>
        <w:t>RT-PCR)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response-related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GraphPad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Prism™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software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36EA">
        <w:rPr>
          <w:rFonts w:ascii="Book Antiqua" w:eastAsia="Book Antiqua" w:hAnsi="Book Antiqua" w:cs="Book Antiqua"/>
          <w:color w:val="000000"/>
        </w:rPr>
        <w:t>&lt;0.05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considered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significant.</w:t>
      </w:r>
    </w:p>
    <w:p w14:paraId="4165EB8C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E0A3E2F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RESULTS</w:t>
      </w:r>
    </w:p>
    <w:p w14:paraId="6A009997" w14:textId="3DB681B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both</w:t>
      </w:r>
      <w:r w:rsidR="00A02262">
        <w:rPr>
          <w:rFonts w:ascii="Book Antiqua" w:eastAsia="Book Antiqua" w:hAnsi="Book Antiqua" w:cs="Book Antiqua"/>
          <w:color w:val="000000"/>
        </w:rPr>
        <w:t xml:space="preserve"> 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0.001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0.013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assay.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applied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C5252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steadily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(1.33),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(38.28)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(1172.45)</w:t>
      </w:r>
      <w:r w:rsidR="00216172">
        <w:rPr>
          <w:rFonts w:ascii="Book Antiqua" w:eastAsia="Book Antiqua" w:hAnsi="Book Antiqua" w:cs="Book Antiqua"/>
          <w:color w:val="000000"/>
        </w:rPr>
        <w:t xml:space="preserve"> median FC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RT-PCR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ranging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eastAsia="Book Antiqua" w:hAnsi="Book Antiqua" w:cs="Book Antiqua"/>
          <w:color w:val="000000"/>
        </w:rPr>
        <w:t>1</w:t>
      </w:r>
      <w:r w:rsidRPr="003436EA">
        <w:rPr>
          <w:rFonts w:ascii="Book Antiqua" w:eastAsia="Book Antiqua" w:hAnsi="Book Antiqua" w:cs="Book Antiqua"/>
          <w:color w:val="000000"/>
        </w:rPr>
        <w:t>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eastAsia="Book Antiqua" w:hAnsi="Book Antiqua" w:cs="Book Antiqua"/>
          <w:color w:val="000000"/>
        </w:rPr>
        <w:t>1000</w:t>
      </w:r>
      <w:r w:rsidRPr="003436EA">
        <w:rPr>
          <w:rFonts w:ascii="Book Antiqua" w:eastAsia="Book Antiqua" w:hAnsi="Book Antiqua" w:cs="Book Antiqua"/>
          <w:color w:val="000000"/>
        </w:rPr>
        <w:t>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Log</w:t>
      </w:r>
      <w:r w:rsidRPr="003436EA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D3.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70%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D3.</w:t>
      </w:r>
    </w:p>
    <w:p w14:paraId="34113443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30EB23A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CONCLUSION</w:t>
      </w:r>
    </w:p>
    <w:p w14:paraId="35D82447" w14:textId="6B58959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provide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avenue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exploring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improve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management.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3FF47D07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16D4917" w14:textId="762D5A9F" w:rsidR="00A77B3E" w:rsidRPr="003436EA" w:rsidRDefault="00F63179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Interleukin-6;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</w:p>
    <w:p w14:paraId="74C253C0" w14:textId="77777777" w:rsidR="00F2445F" w:rsidRDefault="00F2445F" w:rsidP="00F2445F">
      <w:pPr>
        <w:spacing w:line="360" w:lineRule="auto"/>
        <w:jc w:val="both"/>
        <w:rPr>
          <w:lang w:eastAsia="zh-CN"/>
        </w:rPr>
      </w:pPr>
    </w:p>
    <w:p w14:paraId="5E13F2B8" w14:textId="77777777" w:rsidR="00F2445F" w:rsidRPr="00026CB8" w:rsidRDefault="00F2445F" w:rsidP="00F244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E53745B" w14:textId="77777777" w:rsidR="00F2445F" w:rsidRPr="009C101B" w:rsidRDefault="00F2445F" w:rsidP="00F2445F">
      <w:pPr>
        <w:spacing w:line="360" w:lineRule="auto"/>
        <w:jc w:val="both"/>
        <w:rPr>
          <w:lang w:eastAsia="zh-CN"/>
        </w:rPr>
      </w:pPr>
    </w:p>
    <w:p w14:paraId="3B07B500" w14:textId="2997601A" w:rsidR="00DC1505" w:rsidRDefault="00F2445F" w:rsidP="00F244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Nalisa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Nweke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696896" w:rsidRPr="003436EA">
        <w:rPr>
          <w:rFonts w:ascii="Book Antiqua" w:eastAsia="Book Antiqua" w:hAnsi="Book Antiqua" w:cs="Book Antiqua"/>
          <w:color w:val="000000"/>
        </w:rPr>
        <w:t>E</w:t>
      </w:r>
      <w:r w:rsidR="00F63179" w:rsidRPr="003436EA">
        <w:rPr>
          <w:rFonts w:ascii="Book Antiqua" w:eastAsia="Book Antiqua" w:hAnsi="Book Antiqua" w:cs="Book Antiqua"/>
          <w:color w:val="000000"/>
        </w:rPr>
        <w:t>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Smith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Omoshoro-Jones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Devar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JW,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Metzger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Augustine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TN,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Fru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linked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elevated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interleukin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secretion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94F8E" w:rsidRPr="003436EA">
        <w:rPr>
          <w:rFonts w:ascii="Book Antiqua" w:eastAsia="Book Antiqua" w:hAnsi="Book Antiqua" w:cs="Book Antiqua"/>
          <w:color w:val="000000"/>
        </w:rPr>
        <w:t>pancreatitis</w:t>
      </w:r>
      <w:r w:rsidR="00F63179"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Pathophysiol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2021;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CC17CA" w:rsidRPr="003436EA">
        <w:rPr>
          <w:rFonts w:ascii="Book Antiqua" w:eastAsia="Book Antiqua" w:hAnsi="Book Antiqua" w:cs="Book Antiqua"/>
          <w:color w:val="000000"/>
        </w:rPr>
        <w:t xml:space="preserve">12(6): </w:t>
      </w:r>
      <w:r w:rsidR="00DC1505">
        <w:rPr>
          <w:rFonts w:ascii="Book Antiqua" w:hAnsi="Book Antiqua" w:hint="eastAsia"/>
          <w:color w:val="000000" w:themeColor="text1"/>
        </w:rPr>
        <w:t>1</w:t>
      </w:r>
      <w:r w:rsidR="00DC1505">
        <w:rPr>
          <w:rFonts w:ascii="Book Antiqua" w:hAnsi="Book Antiqua"/>
          <w:color w:val="000000" w:themeColor="text1"/>
        </w:rPr>
        <w:t>15</w:t>
      </w:r>
      <w:r w:rsidR="00DC1505">
        <w:rPr>
          <w:rFonts w:ascii="Book Antiqua" w:hAnsi="Book Antiqua" w:hint="eastAsia"/>
          <w:color w:val="000000" w:themeColor="text1"/>
        </w:rPr>
        <w:t>-</w:t>
      </w:r>
      <w:r w:rsidR="00DC1505">
        <w:rPr>
          <w:rFonts w:ascii="Book Antiqua" w:hAnsi="Book Antiqua"/>
          <w:color w:val="000000" w:themeColor="text1"/>
        </w:rPr>
        <w:t>1</w:t>
      </w:r>
      <w:r w:rsidR="00CB0EA3">
        <w:rPr>
          <w:rFonts w:ascii="Book Antiqua" w:hAnsi="Book Antiqua"/>
          <w:color w:val="000000" w:themeColor="text1"/>
        </w:rPr>
        <w:t>32</w:t>
      </w:r>
      <w:r w:rsidR="00AB3720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6CC19002" w14:textId="09CB2D45" w:rsidR="00DC1505" w:rsidRDefault="00AB3720" w:rsidP="00F244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36EA">
        <w:rPr>
          <w:rFonts w:ascii="Book Antiqua" w:eastAsia="Book Antiqua" w:hAnsi="Book Antiqua" w:cs="Book Antiqua"/>
          <w:color w:val="000000"/>
        </w:rPr>
        <w:t>URL</w:t>
      </w:r>
      <w:r w:rsidR="00CC17CA" w:rsidRPr="003436EA">
        <w:rPr>
          <w:rFonts w:ascii="Book Antiqua" w:eastAsia="Book Antiqua" w:hAnsi="Book Antiqua" w:cs="Book Antiqua"/>
          <w:color w:val="000000"/>
        </w:rPr>
        <w:t>: https://www.wjgnet.com/2150-5330/full/v12/i6/</w:t>
      </w:r>
      <w:r w:rsidR="00ED6820">
        <w:rPr>
          <w:rFonts w:ascii="Book Antiqua" w:hAnsi="Book Antiqua" w:hint="eastAsia"/>
          <w:color w:val="000000" w:themeColor="text1"/>
        </w:rPr>
        <w:t>1</w:t>
      </w:r>
      <w:r w:rsidR="00CB0EA3">
        <w:rPr>
          <w:rFonts w:ascii="Book Antiqua" w:hAnsi="Book Antiqua"/>
          <w:color w:val="000000" w:themeColor="text1"/>
        </w:rPr>
        <w:t>32</w:t>
      </w:r>
      <w:r w:rsidR="00CC17CA" w:rsidRPr="003436EA">
        <w:rPr>
          <w:rFonts w:ascii="Book Antiqua" w:eastAsia="Book Antiqua" w:hAnsi="Book Antiqua" w:cs="Book Antiqua"/>
          <w:color w:val="000000"/>
        </w:rPr>
        <w:t xml:space="preserve">.htm  </w:t>
      </w:r>
    </w:p>
    <w:p w14:paraId="3D467C01" w14:textId="16222A23" w:rsidR="00A77B3E" w:rsidRPr="003436EA" w:rsidRDefault="00CC17CA" w:rsidP="00F2445F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 xml:space="preserve">DOI: </w:t>
      </w:r>
      <w:bookmarkStart w:id="0" w:name="OLE_LINK2"/>
      <w:r w:rsidRPr="003436EA">
        <w:rPr>
          <w:rFonts w:ascii="Book Antiqua" w:eastAsia="Book Antiqua" w:hAnsi="Book Antiqua" w:cs="Book Antiqua"/>
          <w:color w:val="000000"/>
        </w:rPr>
        <w:t>https://dx.doi.org/10.4291/wjgp.v12.i6.</w:t>
      </w:r>
      <w:r w:rsidR="00ED6820">
        <w:rPr>
          <w:rFonts w:ascii="Book Antiqua" w:hAnsi="Book Antiqua" w:hint="eastAsia"/>
          <w:color w:val="000000" w:themeColor="text1"/>
        </w:rPr>
        <w:t>1</w:t>
      </w:r>
      <w:bookmarkEnd w:id="0"/>
      <w:r w:rsidR="00CB0EA3">
        <w:rPr>
          <w:rFonts w:ascii="Book Antiqua" w:hAnsi="Book Antiqua"/>
          <w:color w:val="000000" w:themeColor="text1"/>
        </w:rPr>
        <w:t>32</w:t>
      </w:r>
    </w:p>
    <w:p w14:paraId="5410078E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05FEC096" w14:textId="5BACA37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type-2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(Th2)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interleukin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(IL)-6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[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(SAP)</w:t>
      </w:r>
      <w:r w:rsidR="005617E4" w:rsidRPr="003436EA">
        <w:rPr>
          <w:rFonts w:ascii="Book Antiqua" w:hAnsi="Book Antiqua" w:cs="Book Antiqua" w:hint="eastAsia"/>
          <w:color w:val="000000"/>
          <w:lang w:eastAsia="zh-CN"/>
        </w:rPr>
        <w:t>]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could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in-depth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look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ILC2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cell-associated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novel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approach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192EE07C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959EF55" w14:textId="77777777" w:rsidR="00BF6322" w:rsidRPr="003436EA" w:rsidRDefault="00BF632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666AC0C" w14:textId="6F65A43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BE30847" w14:textId="652B11B5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diagnosed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amylase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lipase</w:t>
      </w:r>
      <w:r w:rsidR="0037698B">
        <w:rPr>
          <w:rFonts w:ascii="Book Antiqua" w:eastAsia="Book Antiqua" w:hAnsi="Book Antiqua" w:cs="Book Antiqua"/>
          <w:color w:val="000000"/>
        </w:rPr>
        <w:t xml:space="preserve"> 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limit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normal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triggered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premature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digestive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enzymes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2-3]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Through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develop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</w:t>
      </w:r>
      <w:r w:rsidR="00A63FFB" w:rsidRPr="003436EA">
        <w:rPr>
          <w:rFonts w:ascii="Book Antiqua" w:eastAsia="Book Antiqua" w:hAnsi="Book Antiqua" w:cs="Book Antiqua"/>
          <w:color w:val="000000"/>
        </w:rPr>
        <w:t>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3436EA">
        <w:rPr>
          <w:rFonts w:ascii="Book Antiqua" w:eastAsia="Book Antiqua" w:hAnsi="Book Antiqua" w:cs="Book Antiqua"/>
          <w:color w:val="000000"/>
        </w:rPr>
        <w:t>syndrome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3436EA">
        <w:rPr>
          <w:rFonts w:ascii="Book Antiqua" w:eastAsia="Book Antiqua" w:hAnsi="Book Antiqua" w:cs="Book Antiqua"/>
          <w:color w:val="000000"/>
        </w:rPr>
        <w:t>(SIRS)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subsequently,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single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leading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mortality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674154">
        <w:rPr>
          <w:rFonts w:ascii="Book Antiqua" w:eastAsia="Book Antiqua" w:hAnsi="Book Antiqua" w:cs="Book Antiqua"/>
          <w:color w:val="000000"/>
        </w:rPr>
        <w:t xml:space="preserve">one of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admissions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annual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incidence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people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worldwide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5–7]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634BEFBF" w14:textId="2459B3FF" w:rsidR="00A77B3E" w:rsidRPr="003436EA" w:rsidRDefault="00F63179" w:rsidP="00BF63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01C30" w:rsidRPr="003436EA">
        <w:rPr>
          <w:rFonts w:ascii="Book Antiqua" w:hAnsi="Book Antiqua" w:cs="Book Antiqua" w:hint="eastAsia"/>
          <w:color w:val="000000"/>
          <w:lang w:eastAsia="zh-CN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complications.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01C30" w:rsidRPr="003436EA">
        <w:rPr>
          <w:rFonts w:ascii="Book Antiqua" w:hAnsi="Book Antiqua" w:cs="Book Antiqua" w:hint="eastAsia"/>
          <w:color w:val="000000"/>
          <w:lang w:eastAsia="zh-CN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(OF)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necrosis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1,8-9]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persists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defined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complications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exacerbation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co-morbid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complications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fluid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collections,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necrosis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(sterile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infected),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pseudocyst,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walled-off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necrosis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(sterile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infected)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complications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subsequent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mortality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arises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through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understanding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pathogenesis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4,7,10]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7A058988" w14:textId="7D3BAC80" w:rsidR="00A77B3E" w:rsidRPr="003436EA" w:rsidRDefault="00F63179" w:rsidP="00A01C3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generally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accepted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premature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proenzymes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trypsinogen)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initial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trigger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normal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conditions,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proteolytic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enzymes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blocked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serine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inhibitor</w:t>
      </w:r>
      <w:r w:rsidR="00404084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Kazal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secreted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characterized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obstruction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passage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gallstones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duct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biliary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turn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blocks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transport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intestine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7,12]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leads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premature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lipase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elastase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intracellular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subsequently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thrombosis.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regulate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leading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eventual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through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amounts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enzymes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846F5">
        <w:rPr>
          <w:rFonts w:ascii="Book Antiqua" w:eastAsia="Book Antiqua" w:hAnsi="Book Antiqua" w:cs="Book Antiqua"/>
          <w:color w:val="000000"/>
        </w:rPr>
        <w:t>the pancreas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Lipase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particular</w:t>
      </w:r>
      <w:r w:rsidR="004846F5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induces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necrosis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leading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7,13]</w:t>
      </w:r>
      <w:r w:rsidRPr="003436EA">
        <w:rPr>
          <w:rFonts w:ascii="Book Antiqua" w:eastAsia="Book Antiqua" w:hAnsi="Book Antiqua" w:cs="Book Antiqua"/>
          <w:color w:val="000000"/>
        </w:rPr>
        <w:t>.</w:t>
      </w:r>
    </w:p>
    <w:p w14:paraId="417A0EA2" w14:textId="0DBDB209" w:rsidR="00A77B3E" w:rsidRPr="003436EA" w:rsidRDefault="00F63179" w:rsidP="00BD50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Identifying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would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ensure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C-reactive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(CRP),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nuclear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kappa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846F5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(NF-κ</w:t>
      </w:r>
      <w:r w:rsidR="004846F5">
        <w:rPr>
          <w:rFonts w:ascii="Book Antiqua" w:eastAsia="Book Antiqua" w:hAnsi="Book Antiqua" w:cs="Book Antiqua"/>
          <w:color w:val="000000"/>
        </w:rPr>
        <w:t>B</w:t>
      </w:r>
      <w:r w:rsidRPr="003436EA">
        <w:rPr>
          <w:rFonts w:ascii="Book Antiqua" w:eastAsia="Book Antiqua" w:hAnsi="Book Antiqua" w:cs="Book Antiqua"/>
          <w:color w:val="000000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acute-phase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liver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induced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described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demonstrated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effective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admission,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although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strength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prominent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admission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11,14-15]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NF-κ</w:t>
      </w:r>
      <w:r w:rsidR="00C85F2E">
        <w:rPr>
          <w:rFonts w:ascii="Book Antiqua" w:eastAsia="Book Antiqua" w:hAnsi="Book Antiqua" w:cs="Book Antiqua"/>
          <w:color w:val="000000"/>
        </w:rPr>
        <w:t>B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involved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proliferation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molecule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cellular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radicals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oxygen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species,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(IL-2,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TNF-α,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IL-1β,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IL-8),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calcium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premature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trypsinogen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NF-κ</w:t>
      </w:r>
      <w:r w:rsidR="00C23256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cascade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manifests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SIRS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6-17]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6FA08C37" w14:textId="78EFAFF7" w:rsidR="00A77B3E" w:rsidRPr="003436EA" w:rsidRDefault="00F63179" w:rsidP="00BD50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Considering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continuous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efforts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understand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immunopathogenesis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critical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improve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management.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underlying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pathophysiology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mediators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subsequent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insult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condition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aggravated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continued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infiltration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neutrophils,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19–21].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either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obstruction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passage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gallstones,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biliary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damage-associated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molecular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patterns,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necrosis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forms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molecules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1F29A5" w:rsidRPr="003436EA">
        <w:rPr>
          <w:rFonts w:ascii="Book Antiqua" w:eastAsia="Book Antiqua" w:hAnsi="Book Antiqua" w:cs="Book Antiqua"/>
          <w:color w:val="000000"/>
        </w:rPr>
        <w:t>recognized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pattern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recognition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receptors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process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1F29A5" w:rsidRPr="003436EA">
        <w:rPr>
          <w:rFonts w:ascii="Book Antiqua" w:eastAsia="Book Antiqua" w:hAnsi="Book Antiqua" w:cs="Book Antiqua"/>
          <w:color w:val="000000"/>
        </w:rPr>
        <w:t>mobilizes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neutrophils,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dendritic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turn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</w:t>
      </w:r>
      <w:r w:rsidR="00AA0535">
        <w:rPr>
          <w:rFonts w:ascii="Book Antiqua" w:eastAsia="Book Antiqua" w:hAnsi="Book Antiqua" w:cs="Book Antiqua"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TNF-α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20-21]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phagocytosis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neutrophils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Phagocytosis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antigen-presenting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(APCs),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dendritic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involved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natural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(NK)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(AIS)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interferon-gamma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(IFN-γ)</w:t>
      </w:r>
      <w:r w:rsidR="000617A7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recognized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initiator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process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proliferation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Naïve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cytotoxic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(CD8+)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(CD4+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CD8+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eliminate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tumorous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eliminated</w:t>
      </w:r>
      <w:r w:rsidR="00E33CE2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regulatory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suppress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achieve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homeostasis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436EA">
        <w:rPr>
          <w:rFonts w:ascii="Book Antiqua" w:eastAsia="Book Antiqua" w:hAnsi="Book Antiqua" w:cs="Book Antiqua"/>
          <w:color w:val="000000"/>
        </w:rPr>
        <w:t>.</w:t>
      </w:r>
    </w:p>
    <w:p w14:paraId="7D3005A7" w14:textId="27FF3F3A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Natural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belong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(ILCs).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regulating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described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mirrors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immunity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i.e.</w:t>
      </w:r>
      <w:r w:rsidR="007F496A" w:rsidRPr="003436EA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(ILC1)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21-22]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detailed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IFN-γ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require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T-box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their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proliferation;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require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GATA-3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ROR-α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develop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IL-4,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IL-13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depend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ROR-γt</w:t>
      </w:r>
      <w:r w:rsidR="00C01EDD" w:rsidRPr="00C01EDD">
        <w:rPr>
          <w:rFonts w:ascii="Book Antiqua" w:eastAsia="Book Antiqua" w:hAnsi="Book Antiqua" w:cs="Book Antiqua"/>
          <w:color w:val="000000"/>
          <w:rPrChange w:id="1" w:author="Pascaline Fru" w:date="2021-11-15T08:19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>,</w:t>
      </w:r>
      <w:r w:rsidR="00BF6322" w:rsidRPr="00C01EDD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their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development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IL-22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granulocyte-macrophage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colony-stimulating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(GM-CSF)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reported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antagonists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mimicking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regulatory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achieving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homeostasis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3655C92F" w14:textId="06295782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demonstrate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NF-к</w:t>
      </w:r>
      <w:r w:rsidR="00C01EDD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deficient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chemotaxis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cavity,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286C34" w:rsidRPr="00364C94">
        <w:rPr>
          <w:rFonts w:ascii="Book Antiqua" w:hAnsi="Book Antiqua" w:cs="Segoe UI"/>
          <w:color w:val="000000"/>
          <w:lang w:val="en-ZA"/>
          <w:rPrChange w:id="2" w:author="Pascaline Fru" w:date="2021-11-15T08:22:00Z">
            <w:rPr>
              <w:rFonts w:ascii="Segoe UI" w:hAnsi="Segoe UI" w:cs="Segoe UI"/>
              <w:color w:val="000000"/>
              <w:sz w:val="20"/>
              <w:szCs w:val="20"/>
              <w:lang w:val="en-ZA"/>
            </w:rPr>
          </w:rPrChange>
        </w:rPr>
        <w:t xml:space="preserve">Chemokine (C-C motif) ligand 1 </w:t>
      </w:r>
      <w:r w:rsidR="00364C94" w:rsidRPr="00364C94">
        <w:rPr>
          <w:rFonts w:ascii="Book Antiqua" w:hAnsi="Book Antiqua" w:cs="Segoe UI"/>
          <w:color w:val="000000"/>
          <w:lang w:val="en-ZA"/>
          <w:rPrChange w:id="3" w:author="Pascaline Fru" w:date="2021-11-15T08:22:00Z">
            <w:rPr>
              <w:rFonts w:ascii="Segoe UI" w:hAnsi="Segoe UI" w:cs="Segoe UI"/>
              <w:color w:val="000000"/>
              <w:sz w:val="20"/>
              <w:szCs w:val="20"/>
              <w:lang w:val="en-ZA"/>
            </w:rPr>
          </w:rPrChange>
        </w:rPr>
        <w:t>(</w:t>
      </w:r>
      <w:r w:rsidRPr="003436EA">
        <w:rPr>
          <w:rFonts w:ascii="Book Antiqua" w:eastAsia="Book Antiqua" w:hAnsi="Book Antiqua" w:cs="Book Antiqua"/>
          <w:color w:val="000000"/>
        </w:rPr>
        <w:t>CCL1</w:t>
      </w:r>
      <w:r w:rsidR="00364C94">
        <w:rPr>
          <w:rFonts w:ascii="Book Antiqua" w:eastAsia="Book Antiqua" w:hAnsi="Book Antiqua" w:cs="Book Antiqua"/>
          <w:color w:val="000000"/>
        </w:rPr>
        <w:t>)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ligand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dependent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ligand,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CCL1,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A63FFB" w:rsidRPr="003436EA">
        <w:rPr>
          <w:rFonts w:ascii="Book Antiqua" w:eastAsia="Book Antiqua" w:hAnsi="Book Antiqua" w:cs="Book Antiqua"/>
          <w:color w:val="000000"/>
        </w:rPr>
        <w:t>diabetes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28-29]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describe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frequencies.</w:t>
      </w:r>
    </w:p>
    <w:p w14:paraId="1413F11C" w14:textId="1183893A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utilized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patients’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those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distinctly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characterised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proposed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provide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insights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contribute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scarce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prevalence,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demographics,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setting.</w:t>
      </w:r>
    </w:p>
    <w:p w14:paraId="5C157B43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F26AD1B" w14:textId="7078645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F6322"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F6322"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CBB0A3" w14:textId="76BF705C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2644302A" w14:textId="28E8809E" w:rsidR="00A77B3E" w:rsidRPr="003436EA" w:rsidRDefault="00F63179" w:rsidP="001D08D6">
      <w:pPr>
        <w:spacing w:line="360" w:lineRule="auto"/>
        <w:jc w:val="both"/>
        <w:rPr>
          <w:rStyle w:val="MsoCommentReference0"/>
          <w:rFonts w:ascii="Book Antiqua" w:hAnsi="Book Antiqua" w:cs="Book Antiqua"/>
          <w:color w:val="000000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Ethics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approval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Committee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(Ethics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M180133).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written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received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before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taken.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Revised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Atlanta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2C7048">
        <w:rPr>
          <w:rFonts w:ascii="Book Antiqua" w:eastAsia="Book Antiqua" w:hAnsi="Book Antiqua" w:cs="Book Antiqua"/>
          <w:color w:val="000000"/>
        </w:rPr>
        <w:t xml:space="preserve"> (RAC)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Hepatopancreatobiliary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Baragwanath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(CHBAH)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Charlotte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Maxeke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(CMJAH)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August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September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(21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volunteers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sex-matched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vacutainer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purple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collection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tubes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each.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average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approximately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Clinicians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Gastrointestinal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diagnosed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2C7048">
        <w:rPr>
          <w:rFonts w:ascii="Book Antiqua" w:eastAsia="Book Antiqua" w:hAnsi="Book Antiqua" w:cs="Book Antiqua"/>
          <w:color w:val="000000"/>
        </w:rPr>
        <w:t>RAC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guidelines.</w:t>
      </w:r>
      <w:r w:rsidR="00BF6322" w:rsidRPr="003436EA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</w:p>
    <w:p w14:paraId="7490C453" w14:textId="77777777" w:rsidR="007F496A" w:rsidRPr="003436E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F871A8" w14:textId="5A4DC02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Sampling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processing: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F496A" w:rsidRPr="003436EA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O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verview</w:t>
      </w:r>
    </w:p>
    <w:p w14:paraId="762D0EEC" w14:textId="2840A30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aspects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illustrated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processed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laboratory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phlebotomy.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A7EBD">
        <w:rPr>
          <w:rFonts w:ascii="Book Antiqua" w:eastAsia="Book Antiqua" w:hAnsi="Book Antiqua" w:cs="Book Antiqua"/>
          <w:color w:val="000000"/>
        </w:rPr>
        <w:t>analysed</w:t>
      </w:r>
      <w:r w:rsidR="004A7EBD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Th1/Th2/Th17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(CBA)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initial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exploratory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randomly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(Millipore™,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39A26C38" w14:textId="552A5358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436EA">
        <w:rPr>
          <w:rFonts w:ascii="Book Antiqua" w:eastAsia="Book Antiqua" w:hAnsi="Book Antiqua" w:cs="Book Antiqua"/>
          <w:color w:val="000000"/>
        </w:rPr>
        <w:t>RNA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extracted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mononuclear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(PBMCs)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TriReagent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(Sigma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Aldrich,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Missouri,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method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screening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96-well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(QIAGEN,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Hilden,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dose-dependent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E93B35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prompting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reverse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polymerase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(qRT-PCR)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verify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characterize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granulocytes</w:t>
      </w:r>
      <w:r w:rsidR="00052840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seven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specific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multicolour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immunophenotyping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experiment.</w:t>
      </w:r>
    </w:p>
    <w:p w14:paraId="6F26BF37" w14:textId="77777777" w:rsidR="00A63FFB" w:rsidRPr="003436EA" w:rsidRDefault="00A63FFB" w:rsidP="001D08D6">
      <w:pPr>
        <w:spacing w:line="360" w:lineRule="auto"/>
        <w:jc w:val="both"/>
        <w:rPr>
          <w:rFonts w:ascii="Book Antiqua" w:hAnsi="Book Antiqua"/>
        </w:rPr>
      </w:pPr>
    </w:p>
    <w:p w14:paraId="57B52992" w14:textId="1DA166F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Blood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processing</w:t>
      </w:r>
    </w:p>
    <w:p w14:paraId="5C08BA67" w14:textId="170732D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gravity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separation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room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temperature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centrifugation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1500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r/min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aliquoted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(200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µL)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vials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-80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°C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E3DEA1" w14:textId="053D6201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Ficoll-Paque™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Healthcare,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Illinois,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separation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method,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manufacturer’s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instructions,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PBMCs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separated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stored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single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aliquots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liquid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nitrogen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freezing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medium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(10%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dimethyl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sulphoxide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fetal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bovine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serum,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Aldrich,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Missouri,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until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required.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preserve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integrity.</w:t>
      </w:r>
    </w:p>
    <w:p w14:paraId="21E09ED5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13A0AC6" w14:textId="1B451AD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Cytokine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expression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6ABC2D03" w14:textId="2FDF0BD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depicted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BioSciences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cytometric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Th1/Th2/Th17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served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interleukin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(IL-2),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IL-4,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IL-10,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TNF,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IL-17A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cytokines.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(15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(see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supplementary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protocol).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Bead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(Millipore™,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017B92F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9282BE6" w14:textId="4B512E8F" w:rsidR="00A77B3E" w:rsidRPr="006038B0" w:rsidRDefault="00F63179" w:rsidP="001D08D6">
      <w:pPr>
        <w:spacing w:line="360" w:lineRule="auto"/>
        <w:jc w:val="both"/>
        <w:rPr>
          <w:rFonts w:ascii="Book Antiqua" w:hAnsi="Book Antiqua"/>
          <w:i/>
          <w:iCs/>
        </w:rPr>
      </w:pP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Using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MILLIPLEX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  <w:vertAlign w:val="superscript"/>
        </w:rPr>
        <w:t>®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MAP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Human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Th17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Magnetic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Bead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Panel</w:t>
      </w:r>
      <w:r w:rsidR="00BF6322"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6038B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kit</w:t>
      </w:r>
    </w:p>
    <w:p w14:paraId="5528D8A4" w14:textId="46B9882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preselected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F408A"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30–32]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were;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IL-17A,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IL-21,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IL-23,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IL-28λ,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TNF-β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(10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B0BED5D" w14:textId="44E46C03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plate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manufacturer’s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instructions.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Plates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run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BioPlex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2200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(BioRAD,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California,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analysed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BioPlex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Manager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5.0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(BioRad,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California,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duplicate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minimize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errors.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(QC)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(low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level)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QC2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(high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level)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lowest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dilution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4:1.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excluding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outliers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range.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designated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asterisk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BioPlex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Manager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5.0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software,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inputted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zero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labeled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7F496A" w:rsidRPr="003436E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</w:p>
    <w:p w14:paraId="4588854C" w14:textId="018666E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RNA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16E842F" w14:textId="595CD8D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extracted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TriReagent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(Sigma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Aldrich,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Missouri,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protocol,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according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manufacturer’s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instructions,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isolated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PBMCs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However,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initial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screening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quality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measured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NanoDrop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ND-1000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Spectrophotometer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A260/280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ratio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&gt;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1.8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across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33-34]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27D1D52B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7EBA126" w14:textId="0E2D87A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Complementary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91F011" w14:textId="7BAA6974" w:rsidR="00A77B3E" w:rsidRPr="003436EA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Complementary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synthesis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(cDNA)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250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ng/µL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(QIAGEN,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Hilden,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according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manufacturers’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instructions.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genomic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elimination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incubated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42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°C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SimpliAmp™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thermocycler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(ThermoFischer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subsequently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placed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Following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µL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synthesis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run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42°C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followed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incubation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95</w:t>
      </w:r>
      <w:r w:rsidR="007F496A" w:rsidRPr="003436EA">
        <w:rPr>
          <w:rFonts w:ascii="Book Antiqua" w:eastAsia="Book Antiqua" w:hAnsi="Book Antiqua" w:cs="Book Antiqua"/>
          <w:color w:val="000000"/>
        </w:rPr>
        <w:t xml:space="preserve"> °C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cDNA,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µL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mixture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loaded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96-well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(QIAGEN,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Hilden,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mixture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amplified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run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cycles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95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cycle;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95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60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reference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reverse-transcription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positive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genomic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QIAGEN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GeneGlobe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3436EA">
          <w:rPr>
            <w:rFonts w:ascii="Book Antiqua" w:eastAsia="Book Antiqua" w:hAnsi="Book Antiqua" w:cs="Book Antiqua"/>
            <w:color w:val="000000"/>
          </w:rPr>
          <w:t>https://geneglobe.qiagen.com/za/analyze/</w:t>
        </w:r>
      </w:hyperlink>
      <w:r w:rsidRPr="003436EA">
        <w:rPr>
          <w:rFonts w:ascii="Book Antiqua" w:eastAsia="Book Antiqua" w:hAnsi="Book Antiqua" w:cs="Book Antiqua"/>
          <w:color w:val="000000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fold-change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applied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cut-off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32334A">
        <w:rPr>
          <w:rFonts w:ascii="Book Antiqua" w:eastAsia="Book Antiqua" w:hAnsi="Book Antiqua" w:cs="Book Antiqua"/>
          <w:color w:val="000000"/>
        </w:rPr>
        <w:t>expression level 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control.</w:t>
      </w:r>
    </w:p>
    <w:p w14:paraId="303E9133" w14:textId="77777777" w:rsidR="007F496A" w:rsidRPr="003436E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B39E09" w14:textId="0C20FBB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Verification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targets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</w:p>
    <w:p w14:paraId="47C27B49" w14:textId="3526BE0F" w:rsidR="00A77B3E" w:rsidRPr="003436EA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screening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(QIAGEN,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Hilden,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Twenty-nine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14,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11,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4)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TaqMan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Advanced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qRT-PCR.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run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cycles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D2228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95ºC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cycle;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95ºC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60</w:t>
      </w:r>
      <w:r w:rsidR="007F496A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ºC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Normalisation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RPL13A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Hs04194366_g1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reference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established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models</w:t>
      </w:r>
      <w:r w:rsidR="00FE3AC3">
        <w:rPr>
          <w:rFonts w:ascii="Book Antiqua" w:eastAsia="Book Antiqua" w:hAnsi="Book Antiqua" w:cs="Book Antiqua"/>
          <w:color w:val="000000"/>
        </w:rPr>
        <w:t xml:space="preserve"> as a reference gene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target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Hs00174764_m1,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Studio™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(Thermo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Fischer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Scientific,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Massachusetts,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run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RT-qPCR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-ΔΔCT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method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calculate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436EA">
        <w:rPr>
          <w:rFonts w:ascii="Book Antiqua" w:eastAsia="Book Antiqua" w:hAnsi="Book Antiqua" w:cs="Book Antiqua"/>
          <w:color w:val="000000"/>
        </w:rPr>
        <w:t>.</w:t>
      </w:r>
    </w:p>
    <w:p w14:paraId="1A8776BA" w14:textId="77777777" w:rsidR="007F496A" w:rsidRPr="003436EA" w:rsidRDefault="007F496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008C52" w14:textId="52D9E67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Immunophenotyping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multicolor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cytometry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13CF60" w14:textId="4189694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onset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symptoms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correlation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participant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small,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given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characterized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18,20,37-38]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discussed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reference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26076873" w14:textId="503F44A8" w:rsidR="00A77B3E" w:rsidRPr="003436EA" w:rsidRDefault="00F63179" w:rsidP="007F49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12-colour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established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characterize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heterogeneous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risk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categories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23423">
        <w:rPr>
          <w:rFonts w:ascii="Book Antiqua" w:eastAsia="Book Antiqua" w:hAnsi="Book Antiqua" w:cs="Book Antiqua"/>
          <w:color w:val="000000"/>
        </w:rPr>
        <w:t>Using the lyse</w:t>
      </w:r>
      <w:r w:rsidR="00280543">
        <w:rPr>
          <w:rFonts w:ascii="Book Antiqua" w:eastAsia="Book Antiqua" w:hAnsi="Book Antiqua" w:cs="Book Antiqua"/>
          <w:color w:val="000000"/>
        </w:rPr>
        <w:t>/wash method, whole 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isolate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µL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EDTA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phlebotomy.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optimized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titration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optimally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Horizon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Brilliant™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Ultraviolet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(BUV);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Alexa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flour;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Brilliant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Violet™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605;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Phycoerythrin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Cyanine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(PECy7),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PECy5)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CD16PECy5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Peridinin-Chlorophyll-protein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cyanine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5.5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(PerCPCy5.5),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CD14PerCP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Cy5.5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leukocyte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(HLA-DR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BV650).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reported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listed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S2.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).</w:t>
      </w:r>
    </w:p>
    <w:p w14:paraId="053EBDB3" w14:textId="68C6E769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unstained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suspended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Horizon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brilliant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buffer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S2).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incubated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thereafter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fixed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diluted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incubated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min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intermittent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mixing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pipette.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washed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diluted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Dulbecco's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Phosphate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Buffered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Saline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(Sigma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Aldrich,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Missouri,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150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min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Approximately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971274" w:rsidRPr="003436EA">
        <w:rPr>
          <w:rFonts w:ascii="Book Antiqua" w:eastAsia="Book Antiqua" w:hAnsi="Book Antiqua" w:cs="Book Antiqua"/>
          <w:color w:val="000000"/>
        </w:rPr>
        <w:t>100</w:t>
      </w:r>
      <w:r w:rsidRPr="003436EA">
        <w:rPr>
          <w:rFonts w:ascii="Book Antiqua" w:eastAsia="Book Antiqua" w:hAnsi="Book Antiqua" w:cs="Book Antiqua"/>
          <w:color w:val="000000"/>
        </w:rPr>
        <w:t>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acquired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LSRFortessa™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threshold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necessary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quality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FACSDiva™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software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voltages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optimization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single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compensation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spillover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CompBeads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(Anti-Mouse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κ/Negative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Compensation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Particles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Set;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peak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beads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fluorescence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channels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every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run.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53003F2A" w14:textId="037AFD5F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FlowJo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LLC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(BD,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Jersey,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previously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compensation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FACSDiva™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software.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singlets,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forward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properties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fluorescent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stains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specific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Doublets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Forward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height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(FSC-H)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FSC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(FSC-A),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FSC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(SSC)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discriminate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namely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percentages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antibodies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differentiation,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+/-,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3436EA">
        <w:rPr>
          <w:rFonts w:ascii="Book Antiqua" w:eastAsia="Book Antiqua" w:hAnsi="Book Antiqua" w:cs="Book Antiqua"/>
          <w:color w:val="000000"/>
        </w:rPr>
        <w:t>CD57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(CD14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CD14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3436EA">
        <w:rPr>
          <w:rFonts w:ascii="Book Antiqua" w:eastAsia="Book Antiqua" w:hAnsi="Book Antiqua" w:cs="Book Antiqua"/>
          <w:color w:val="000000"/>
        </w:rPr>
        <w:t>HLA-DR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+/-</w:t>
      </w:r>
      <w:r w:rsidRPr="003436EA">
        <w:rPr>
          <w:rFonts w:ascii="Book Antiqua" w:eastAsia="Book Antiqua" w:hAnsi="Book Antiqua" w:cs="Book Antiqua"/>
          <w:color w:val="000000"/>
        </w:rPr>
        <w:t>).</w:t>
      </w:r>
    </w:p>
    <w:p w14:paraId="2BE93B0C" w14:textId="77777777" w:rsidR="00971274" w:rsidRPr="003436EA" w:rsidRDefault="00971274" w:rsidP="009712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83FE81" w14:textId="6107EE8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1C7894F" w14:textId="2639CB8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qRT-PCR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GraphPad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Prism™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software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(GraphPad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Software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California,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F496A" w:rsidRPr="003436EA">
        <w:rPr>
          <w:rFonts w:ascii="Book Antiqua" w:eastAsia="Book Antiqua" w:hAnsi="Book Antiqua" w:cs="Book Antiqua"/>
          <w:color w:val="000000"/>
        </w:rPr>
        <w:t>United States</w:t>
      </w:r>
      <w:r w:rsidRPr="003436EA">
        <w:rPr>
          <w:rFonts w:ascii="Book Antiqua" w:eastAsia="Book Antiqua" w:hAnsi="Book Antiqua" w:cs="Book Antiqua"/>
          <w:color w:val="000000"/>
        </w:rPr>
        <w:t>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Shapiro-Wilk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67037">
        <w:rPr>
          <w:rFonts w:ascii="Book Antiqua" w:eastAsia="Book Antiqua" w:hAnsi="Book Antiqua" w:cs="Book Antiqua"/>
          <w:color w:val="000000"/>
        </w:rPr>
        <w:t xml:space="preserve">for </w:t>
      </w:r>
      <w:r w:rsidRPr="003436EA">
        <w:rPr>
          <w:rFonts w:ascii="Book Antiqua" w:eastAsia="Book Antiqua" w:hAnsi="Book Antiqua" w:cs="Book Antiqua"/>
          <w:color w:val="000000"/>
        </w:rPr>
        <w:t>normality.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non-parametric,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Kruskal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Wallis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values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considered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971274" w:rsidRPr="003436EA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&lt;</w:t>
      </w:r>
      <w:r w:rsidR="0097127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0.05.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Dunn</w:t>
      </w:r>
      <w:r w:rsidR="00826283">
        <w:rPr>
          <w:rFonts w:ascii="Book Antiqua" w:eastAsia="Book Antiqua" w:hAnsi="Book Antiqua" w:cs="Book Antiqua"/>
          <w:color w:val="000000"/>
        </w:rPr>
        <w:t>’</w:t>
      </w:r>
      <w:r w:rsidRPr="003436EA">
        <w:rPr>
          <w:rFonts w:ascii="Book Antiqua" w:eastAsia="Book Antiqua" w:hAnsi="Book Antiqua" w:cs="Book Antiqua"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Comparison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eliminate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errors.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Immunophenotyping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focused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percentages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ratios.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statistical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methods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reviewed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Glory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Chidumwa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Division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Epidemiology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Biostatistics,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Public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Faculty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Sciences,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7EEB6B7F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887D223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954AE0" w14:textId="4785007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63665C1F" w14:textId="55251A50" w:rsidR="00A77B3E" w:rsidRPr="003436EA" w:rsidRDefault="00F63179" w:rsidP="001D08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overall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prescribed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criteria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August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August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CHBAH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CMJAH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reported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gender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distribution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41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females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59</w:t>
      </w:r>
      <w:r w:rsidR="00826283">
        <w:rPr>
          <w:rFonts w:ascii="Book Antiqua" w:eastAsia="Book Antiqua" w:hAnsi="Book Antiqua" w:cs="Book Antiqua"/>
          <w:color w:val="000000"/>
        </w:rPr>
        <w:t>%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males.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etiologies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alcohol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biliary-related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each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category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consisting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45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36.5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years.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years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years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old.</w:t>
      </w:r>
    </w:p>
    <w:p w14:paraId="73D70CB0" w14:textId="77777777" w:rsidR="00971274" w:rsidRPr="003436EA" w:rsidRDefault="00971274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E90F10" w14:textId="6FCB11C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Secreted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differentiates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pancreatitis</w:t>
      </w:r>
      <w:r w:rsidR="00971274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FF3D80A" w14:textId="2996D4F5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CBA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Fluorescent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(MFI)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S1.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A3BE1">
        <w:rPr>
          <w:rFonts w:ascii="Book Antiqua" w:eastAsia="Book Antiqua" w:hAnsi="Book Antiqua" w:cs="Book Antiqua"/>
          <w:color w:val="000000"/>
          <w:shd w:val="clear" w:color="auto" w:fill="FFFFFF"/>
        </w:rPr>
        <w:t>In the a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nalysis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A3BE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MFI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3.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expression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5000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MFI,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0.015).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0.004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="00453523">
        <w:rPr>
          <w:rFonts w:ascii="Book Antiqua" w:eastAsia="Book Antiqua" w:hAnsi="Book Antiqua" w:cs="Book Antiqua"/>
          <w:color w:val="000000"/>
          <w:shd w:val="clear" w:color="auto" w:fill="FFFFFF"/>
        </w:rPr>
        <w:t>0.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004)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0.029).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MFI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5000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8B3E1CE" w14:textId="764EA63A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MILLIPLEX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visible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trends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severities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 w:rsidRPr="003436E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4.9pg/mL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dropped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2.9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 w:rsidRPr="003436E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1.7pg/mL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drop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71274" w:rsidRPr="003436E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7.7pg/mL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535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ay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0.001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0.013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0.094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0.186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(this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0.13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pg/mL).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62pg/mL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</w:p>
    <w:p w14:paraId="154BC084" w14:textId="77777777" w:rsidR="00E33A85" w:rsidRPr="003436EA" w:rsidRDefault="00E33A85" w:rsidP="001D08D6">
      <w:pPr>
        <w:spacing w:line="360" w:lineRule="auto"/>
        <w:jc w:val="both"/>
        <w:rPr>
          <w:rFonts w:ascii="Book Antiqua" w:hAnsi="Book Antiqua"/>
        </w:rPr>
      </w:pPr>
    </w:p>
    <w:p w14:paraId="2F0E272B" w14:textId="256AC72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Differential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4D0167EC" w14:textId="4E3139B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applied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(QIAGEN,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Hilden,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Germany)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summarized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(represented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CXCL8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</w:rPr>
        <w:t>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-45.26)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CD14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-21.58)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CCR6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-21.05).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CCL5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-3.76)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137.02)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APCS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262.91)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overexpressed,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Importantly,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specifically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those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involved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IL4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108.64),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IL5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192.59)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IL23A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18.07),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GATA-3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= </w:t>
      </w:r>
      <w:r w:rsidRPr="003436EA">
        <w:rPr>
          <w:rFonts w:ascii="Book Antiqua" w:eastAsia="Book Antiqua" w:hAnsi="Book Antiqua" w:cs="Book Antiqua"/>
          <w:color w:val="000000"/>
        </w:rPr>
        <w:t>11.58),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CRP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177.42),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1172.45)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CD8A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-74.26)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Notably,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steadily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across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GAPDH,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NOD1,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TRL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TICAM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1,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TBX21,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CASP1,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closely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3).</w:t>
      </w:r>
    </w:p>
    <w:p w14:paraId="062FCA08" w14:textId="77777777" w:rsidR="00971274" w:rsidRPr="003436EA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7705423" w14:textId="56D0EEF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</w:p>
    <w:p w14:paraId="0B58AF97" w14:textId="3CD1299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plotted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Log10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(2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-ΔΔCT</w:t>
      </w:r>
      <w:r w:rsidRPr="003436EA">
        <w:rPr>
          <w:rFonts w:ascii="Book Antiqua" w:eastAsia="Book Antiqua" w:hAnsi="Book Antiqua" w:cs="Book Antiqua"/>
          <w:color w:val="000000"/>
        </w:rPr>
        <w:t>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4A).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4B).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10000000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4C).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individual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considered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outlier.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1090632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±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1090631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4C).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dropped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1:1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ratio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consistent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dropped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slightly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±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846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comparisons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72663A11" w14:textId="77777777" w:rsidR="00971274" w:rsidRPr="003436EA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FF8CDE0" w14:textId="2B8130E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subsets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suppression</w:t>
      </w:r>
    </w:p>
    <w:p w14:paraId="46FEF05A" w14:textId="1BD2550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3436EA">
        <w:rPr>
          <w:rFonts w:ascii="Book Antiqua" w:eastAsia="Book Antiqua" w:hAnsi="Book Antiqua" w:cs="Book Antiqua"/>
          <w:color w:val="000000"/>
        </w:rPr>
        <w:t>CD56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doubled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27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those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3436EA">
        <w:rPr>
          <w:rFonts w:ascii="Book Antiqua" w:eastAsia="Book Antiqua" w:hAnsi="Book Antiqua" w:cs="Book Antiqua"/>
          <w:color w:val="000000"/>
        </w:rPr>
        <w:t>CD56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–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percentage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19.8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49.6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8696A">
        <w:rPr>
          <w:rFonts w:ascii="Book Antiqua" w:eastAsia="Book Antiqua" w:hAnsi="Book Antiqua" w:cs="Book Antiqua"/>
          <w:color w:val="000000"/>
        </w:rPr>
        <w:t>D</w:t>
      </w:r>
      <w:r w:rsidRPr="003436EA">
        <w:rPr>
          <w:rFonts w:ascii="Book Antiqua" w:eastAsia="Book Antiqua" w:hAnsi="Book Antiqua" w:cs="Book Antiqua"/>
          <w:color w:val="000000"/>
        </w:rPr>
        <w:t>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CD57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over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30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8696A">
        <w:rPr>
          <w:rFonts w:ascii="Book Antiqua" w:eastAsia="Book Antiqua" w:hAnsi="Book Antiqua" w:cs="Book Antiqua"/>
          <w:color w:val="000000"/>
        </w:rPr>
        <w:t>D</w:t>
      </w:r>
      <w:r w:rsidRPr="003436EA">
        <w:rPr>
          <w:rFonts w:ascii="Book Antiqua" w:eastAsia="Book Antiqua" w:hAnsi="Book Antiqua" w:cs="Book Antiqua"/>
          <w:color w:val="000000"/>
        </w:rPr>
        <w:t>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S2).</w:t>
      </w:r>
    </w:p>
    <w:p w14:paraId="56CEA1F9" w14:textId="77777777" w:rsidR="00971274" w:rsidRPr="003436EA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D578EB4" w14:textId="3FD4CEB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populations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</w:p>
    <w:p w14:paraId="1F126986" w14:textId="7E7B8C40" w:rsidR="00A77B3E" w:rsidRPr="003436EA" w:rsidRDefault="00F63179" w:rsidP="00BD7369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immunophenotyping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namely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belonging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ILC1)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subpopulations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(CD14+CD16-)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71.6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dropping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undetectable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consistently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536CE">
        <w:rPr>
          <w:rFonts w:ascii="Book Antiqua" w:eastAsia="Book Antiqua" w:hAnsi="Book Antiqua" w:cs="Book Antiqua"/>
          <w:color w:val="000000"/>
        </w:rPr>
        <w:t>7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commentRangeStart w:id="4"/>
      <w:r w:rsidRPr="003436EA">
        <w:rPr>
          <w:rFonts w:ascii="Book Antiqua" w:eastAsia="Book Antiqua" w:hAnsi="Book Antiqua" w:cs="Book Antiqua"/>
          <w:color w:val="000000"/>
        </w:rPr>
        <w:t>5</w:t>
      </w:r>
      <w:r w:rsidR="009A2A93">
        <w:rPr>
          <w:rFonts w:ascii="Book Antiqua" w:eastAsia="Book Antiqua" w:hAnsi="Book Antiqua" w:cs="Book Antiqua"/>
          <w:color w:val="000000"/>
        </w:rPr>
        <w:t xml:space="preserve"> (Figure 6A and B)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percentage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5433">
        <w:rPr>
          <w:rFonts w:ascii="Book Antiqua" w:eastAsia="Book Antiqua" w:hAnsi="Book Antiqua" w:cs="Book Antiqua"/>
          <w:color w:val="000000"/>
        </w:rPr>
        <w:t>HLA-DR+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595F51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7161AF">
        <w:rPr>
          <w:rFonts w:ascii="Book Antiqua" w:eastAsia="Book Antiqua" w:hAnsi="Book Antiqua" w:cs="Book Antiqua"/>
          <w:color w:val="000000"/>
        </w:rPr>
        <w:t>43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commentRangeEnd w:id="4"/>
      <w:r w:rsidR="00D2694A">
        <w:rPr>
          <w:rStyle w:val="a3"/>
        </w:rPr>
        <w:commentReference w:id="4"/>
      </w:r>
      <w:commentRangeStart w:id="5"/>
      <w:commentRangeEnd w:id="5"/>
      <w:r w:rsidR="007161AF">
        <w:rPr>
          <w:rStyle w:val="a3"/>
        </w:rPr>
        <w:commentReference w:id="5"/>
      </w:r>
      <w:r w:rsidRPr="003436EA">
        <w:rPr>
          <w:rFonts w:ascii="Book Antiqua" w:eastAsia="Book Antiqua" w:hAnsi="Book Antiqua" w:cs="Book Antiqua"/>
          <w:color w:val="000000"/>
        </w:rPr>
        <w:t>Whereas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percentage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HLA-DR+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EC3CD5">
        <w:rPr>
          <w:rFonts w:ascii="Book Antiqua" w:eastAsia="Book Antiqua" w:hAnsi="Book Antiqua" w:cs="Book Antiqua"/>
          <w:color w:val="000000"/>
        </w:rPr>
        <w:t>.2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13</w:t>
      </w:r>
      <w:r w:rsidR="00EC3CD5">
        <w:rPr>
          <w:rFonts w:ascii="Book Antiqua" w:eastAsia="Book Antiqua" w:hAnsi="Book Antiqua" w:cs="Book Antiqua"/>
          <w:color w:val="000000"/>
        </w:rPr>
        <w:t>.</w:t>
      </w:r>
      <w:r w:rsidR="00BD7369">
        <w:rPr>
          <w:rFonts w:ascii="Book Antiqua" w:eastAsia="Book Antiqua" w:hAnsi="Book Antiqua" w:cs="Book Antiqua"/>
          <w:color w:val="000000"/>
        </w:rPr>
        <w:t>5</w:t>
      </w:r>
      <w:r w:rsidR="007F496A" w:rsidRPr="003436EA">
        <w:rPr>
          <w:rFonts w:ascii="Book Antiqua" w:eastAsia="Book Antiqua" w:hAnsi="Book Antiqua" w:cs="Book Antiqua"/>
          <w:color w:val="000000"/>
        </w:rPr>
        <w:t>%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CE735A">
        <w:rPr>
          <w:rFonts w:ascii="Book Antiqua" w:eastAsia="Book Antiqua" w:hAnsi="Book Antiqua" w:cs="Book Antiqua"/>
          <w:color w:val="000000"/>
        </w:rPr>
        <w:t xml:space="preserve"> in the SAP 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</w:t>
      </w:r>
      <w:r w:rsidR="005B339E">
        <w:rPr>
          <w:rFonts w:ascii="Book Antiqua" w:eastAsia="Book Antiqua" w:hAnsi="Book Antiqua" w:cs="Book Antiqua"/>
          <w:color w:val="000000"/>
        </w:rPr>
        <w:t>C and D</w:t>
      </w:r>
      <w:r w:rsidRPr="003436EA">
        <w:rPr>
          <w:rFonts w:ascii="Book Antiqua" w:eastAsia="Book Antiqua" w:hAnsi="Book Antiqua" w:cs="Book Antiqua"/>
          <w:color w:val="000000"/>
        </w:rPr>
        <w:t>).</w:t>
      </w:r>
    </w:p>
    <w:p w14:paraId="5028BAC7" w14:textId="77777777" w:rsidR="00971274" w:rsidRPr="003436EA" w:rsidRDefault="00971274" w:rsidP="001D08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</w:p>
    <w:p w14:paraId="3FB14C76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CF1E6A" w14:textId="727C9E1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demographics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biomolecules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explored.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demographics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older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falling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demonstrated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upward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consistency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likely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well-defined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initiated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8F408A"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CRP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reactant,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2,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S3)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8F408A" w:rsidRPr="003436E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Although,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useful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independent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distinguish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risk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categories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S2),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E33A85" w:rsidRPr="003436EA">
        <w:rPr>
          <w:rFonts w:ascii="Book Antiqua" w:eastAsia="Book Antiqua" w:hAnsi="Book Antiqua" w:cs="Book Antiqua"/>
          <w:color w:val="000000"/>
          <w:vertAlign w:val="superscript"/>
        </w:rPr>
        <w:t>,39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possibility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exists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exploring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value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ratio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SAP.</w:t>
      </w:r>
    </w:p>
    <w:p w14:paraId="17CE904B" w14:textId="4567C2E8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HLA-DR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negative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HLA-DR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correlates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dysfunction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important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5C),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HLA-DR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downregulated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5D)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resolve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3E1557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immunosuppressive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CD57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S2)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important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CD16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CD57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subsets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function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hypothesis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experience</w:t>
      </w:r>
      <w:r w:rsidR="00B96A22">
        <w:rPr>
          <w:rFonts w:ascii="Book Antiqua" w:eastAsia="Book Antiqua" w:hAnsi="Book Antiqua" w:cs="Book Antiqua"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indicate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CB6CF5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patients.</w:t>
      </w:r>
    </w:p>
    <w:p w14:paraId="6A82412B" w14:textId="39E7E0AC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investigated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patterns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response-related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molecules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describe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hypothetical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deduced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1C8F6E79" w14:textId="7B75FF82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lineage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(ILC2)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population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abundantly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state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971274" w:rsidRPr="003436EA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suppress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failure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resolved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</w:t>
      </w:r>
      <w:r w:rsidR="00E33A85" w:rsidRPr="003436EA">
        <w:rPr>
          <w:rFonts w:ascii="Book Antiqua" w:eastAsia="Book Antiqua" w:hAnsi="Book Antiqua" w:cs="Book Antiqua"/>
          <w:color w:val="000000"/>
        </w:rPr>
        <w:t>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cell-deficient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patient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A5B0B" w:rsidRPr="003436EA">
        <w:rPr>
          <w:rFonts w:ascii="Book Antiqua" w:eastAsia="Book Antiqua" w:hAnsi="Book Antiqua" w:cs="Book Antiqua"/>
          <w:color w:val="000000"/>
          <w:vertAlign w:val="superscript"/>
        </w:rPr>
        <w:t>,36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elevation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trypsin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followed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neutrophils,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F97F99" w:rsidRPr="003436EA">
        <w:rPr>
          <w:rFonts w:ascii="Book Antiqua" w:eastAsia="Book Antiqua" w:hAnsi="Book Antiqua" w:cs="Book Antiqua"/>
          <w:color w:val="000000"/>
          <w:vertAlign w:val="superscript"/>
        </w:rPr>
        <w:t>-44</w:t>
      </w:r>
      <w:r w:rsidR="00BA5B0B"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(ILC1),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ILC2,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maintenance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37,</w:t>
      </w:r>
      <w:r w:rsidR="00BF6322" w:rsidRPr="003436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97F99" w:rsidRPr="003436E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Thus,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agonist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ligand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CCL1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97F99" w:rsidRPr="003436E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CCL1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peripheral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classical,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non-classical,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intermediate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cancers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positive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namely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granulocytes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abundant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bloodstream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prolonged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97F99" w:rsidRPr="003436EA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Oshio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1274" w:rsidRPr="003436EA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971274" w:rsidRPr="003436EA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demonstrated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NF-к</w:t>
      </w:r>
      <w:r w:rsidR="00083FEA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deficient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chemotaxis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cavity,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CCL1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dependent.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provides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</w:p>
    <w:p w14:paraId="458DE86E" w14:textId="6A5783CA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1446DE">
        <w:rPr>
          <w:rFonts w:ascii="Book Antiqua" w:eastAsia="Book Antiqua" w:hAnsi="Book Antiqua" w:cs="Book Antiqua"/>
          <w:color w:val="000000"/>
        </w:rPr>
        <w:t xml:space="preserve"> was concomitantly upregulated</w:t>
      </w:r>
      <w:r w:rsidR="00B47CCC">
        <w:rPr>
          <w:rFonts w:ascii="Book Antiqua" w:eastAsia="Book Antiqua" w:hAnsi="Book Antiqua" w:cs="Book Antiqua"/>
          <w:color w:val="000000"/>
        </w:rPr>
        <w:t xml:space="preserve"> 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TLR1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NOD1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CASP1,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GAPDH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pooled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looking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injury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continued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neutrophils,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nitric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oxide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impaired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regeneration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damage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12D65" w:rsidRPr="003436EA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extent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could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1090631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pooled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4C).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means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necessarily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representative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limited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2D70AA">
        <w:rPr>
          <w:rFonts w:ascii="Book Antiqua" w:eastAsia="Book Antiqua" w:hAnsi="Book Antiqua" w:cs="Book Antiqua"/>
          <w:color w:val="000000"/>
        </w:rPr>
        <w:t>the need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research.</w:t>
      </w:r>
    </w:p>
    <w:p w14:paraId="701AA0F2" w14:textId="2143D566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Several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transcription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factor,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GATA-3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IL4,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IL5,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indicate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stronger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type-2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E33A85"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excessive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tissues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bloodstream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A7D4F" w:rsidRPr="003436EA">
        <w:rPr>
          <w:rFonts w:ascii="Book Antiqua" w:eastAsia="Book Antiqua" w:hAnsi="Book Antiqua" w:cs="Book Antiqua"/>
          <w:color w:val="000000"/>
          <w:vertAlign w:val="superscript"/>
        </w:rPr>
        <w:t>22,49]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IL6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CRP,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S3)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CCR8/CCL1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Overexpression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FOXP3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pathway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directly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proportional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IL-17A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23A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implicated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diseases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12D65" w:rsidRPr="003436E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Therefore,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likely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elevation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8F408A" w:rsidRPr="003436E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63FFB" w:rsidRPr="003436E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436E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489D4DB6" w14:textId="5FAFBE19" w:rsidR="00A77B3E" w:rsidRPr="003436EA" w:rsidRDefault="00F63179" w:rsidP="0097127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limitations.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obtaining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size,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adequate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big)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interpretation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important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extrapolated.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Here,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overall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three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points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(D3,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tested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Figure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dropped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consenting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weak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sick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participate,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especially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also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usually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delayed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could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socio-economic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delay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seeking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circumvent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challenge,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applicable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(especially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discussed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expanded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numbers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planned.</w:t>
      </w:r>
    </w:p>
    <w:p w14:paraId="55BB2B3D" w14:textId="5CFFFB7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concerns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about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affecting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valid.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However,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guideline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according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protocol,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influence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analgesia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fluids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prescribed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nutrition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maintained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combination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enteral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and/or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parenteral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feeding.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implemented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depending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organ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dysfunction.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Antibiotics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steroids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routinely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phase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influence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7.</w:t>
      </w:r>
    </w:p>
    <w:p w14:paraId="0876A120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A0FF38F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FF91DC" w14:textId="3A67AE5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proposes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elevation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Simultaneously,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ILCs,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found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beneficial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parameters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Despite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limitation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sizes,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findings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indicate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molecules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promising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parameters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improve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complement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existing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risk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contributes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scarce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literature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setting.</w:t>
      </w:r>
    </w:p>
    <w:p w14:paraId="478B87C1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EE3C0FE" w14:textId="2E6E8C0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F6322"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26FADDD" w14:textId="2A0BF5C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16DA5BD" w14:textId="2BE8B30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type-2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Lineage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including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(ILC2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elevated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interleukin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(IL)-6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</w:rPr>
        <w:t>.</w:t>
      </w:r>
    </w:p>
    <w:p w14:paraId="467C352D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2610E04F" w14:textId="65861B2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79EBD2" w14:textId="6763022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currently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known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clear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effectively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distinguish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underlying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pathophysiology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complicates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necessitating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understand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ensuing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improved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</w:p>
    <w:p w14:paraId="1058CF2D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A10BCCD" w14:textId="259E4089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F27DAF1" w14:textId="17A5C06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identify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early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assist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</w:p>
    <w:p w14:paraId="27071A8E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6928C9B" w14:textId="51F8359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28FA0A" w14:textId="2A0E5F8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Baragwanath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Charlotte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Maxeke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Bioassays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consisting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(MAP),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moderately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(MSAP),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blood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samples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(D)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immunoassay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panels,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polymerase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(RT-PCR)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arrays,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multicolour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flow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cytometry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response-related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profiled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(FC)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differences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720D2267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7CEDC246" w14:textId="0B83E7E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42F72F" w14:textId="2BBF5FC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possible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linkages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between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mainly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concentration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significantly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0.001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7DD3" w:rsidRPr="003436EA">
        <w:rPr>
          <w:rFonts w:ascii="Book Antiqua" w:eastAsia="Book Antiqua" w:hAnsi="Book Antiqua" w:cs="Book Antiqua"/>
          <w:color w:val="000000"/>
        </w:rPr>
        <w:t xml:space="preserve"> = </w:t>
      </w:r>
      <w:r w:rsidRPr="003436EA">
        <w:rPr>
          <w:rFonts w:ascii="Book Antiqua" w:eastAsia="Book Antiqua" w:hAnsi="Book Antiqua" w:cs="Book Antiqua"/>
          <w:color w:val="000000"/>
        </w:rPr>
        <w:t>0.013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assay.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following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(1.33),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(38.28)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(1172.45).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verification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RT-PCR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showed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ranging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1000000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times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represented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Log</w:t>
      </w:r>
      <w:r w:rsidRPr="003436EA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healthy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respectively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epigastric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pain.</w:t>
      </w:r>
      <w:r w:rsidR="00971274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4C119460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975F998" w14:textId="1A861EF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DF52A71" w14:textId="4AF5949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Notable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observed.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frequencies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suggest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(MSAP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provides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avenue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exploring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improve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management.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</w:p>
    <w:p w14:paraId="6169EBF1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78D73EA" w14:textId="27097ED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8A4990C" w14:textId="15F3898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opportunity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further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investigate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</w:t>
      </w:r>
      <w:r w:rsidR="0097127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increases,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cell-associated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novel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approach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risk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stratification.</w:t>
      </w:r>
    </w:p>
    <w:p w14:paraId="6D902E4F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F4D7B71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A8589DF" w14:textId="00434DA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support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staff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Baragwanath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Charlotte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Maxeke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Academic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Johannesburg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Hospital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Department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Surgery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acknowledged.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Laboratory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Tanya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Augustine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School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Anatomical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1F29A5" w:rsidRPr="003436EA">
        <w:rPr>
          <w:rFonts w:ascii="Book Antiqua" w:eastAsia="Book Antiqua" w:hAnsi="Book Antiqua" w:cs="Book Antiqua"/>
          <w:color w:val="000000"/>
        </w:rPr>
        <w:t>Sciences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Studio™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equipment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laboratory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Professor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Raquel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Duarte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Department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their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BioPlex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multiplex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platform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Therese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Dix-Peek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technical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assistance.</w:t>
      </w:r>
    </w:p>
    <w:p w14:paraId="20071877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B4248A6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8E9E3B8" w14:textId="463881A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Bollen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Dervenis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Gooszen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Johnson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Sarr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Tsiotos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Vege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SS;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Group.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pancreatitis--2012: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revision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Atlanta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definitions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international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consensus.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102-111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23100216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10.1136/gutjnl-2012-302779]</w:t>
      </w:r>
    </w:p>
    <w:p w14:paraId="4FD1D466" w14:textId="30EFB58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acinar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2006;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1024-1030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16423553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10.1016/j.biocel.2005.12.001]</w:t>
      </w:r>
    </w:p>
    <w:p w14:paraId="3FCE1CA1" w14:textId="742E4A6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Xue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Jaffee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Habtezion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immune-based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therapies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ductal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adenocarcinoma.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1230-1240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23622132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10.1053/j.gastro.2012.12.042]</w:t>
      </w:r>
    </w:p>
    <w:p w14:paraId="612D2294" w14:textId="1F1206F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Kylänpää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Rakonczay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Z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O'Reilly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course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mediators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Inflam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2012;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360685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23304633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10.1155/2012/360685]</w:t>
      </w:r>
    </w:p>
    <w:p w14:paraId="1B947CA8" w14:textId="325A0BC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Nesvaderani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Eslick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Vagg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Faraj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Cox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Epidemiology,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aetiology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outcomes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retrospective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cohort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2015;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68-74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26384834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10.1016/j.ijsu.2015.07.701]</w:t>
      </w:r>
    </w:p>
    <w:p w14:paraId="2A7EFA4C" w14:textId="74039288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Thomson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high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HIV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prevalence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environment.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Afr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706-709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28809620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10.7196/SAMJ.2017.v107i8.10296]</w:t>
      </w:r>
    </w:p>
    <w:p w14:paraId="6454F11A" w14:textId="71FDD88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Derrick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Frandy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Wirawan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Pancreatitis-Etiology,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Pathogenesis,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Pathophysiology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current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management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prevention.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 xml:space="preserve">Indones 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>J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>G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>astroenterol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 xml:space="preserve"> H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>epatol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 xml:space="preserve"> D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>ig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 xml:space="preserve"> E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>ndosc</w:t>
      </w:r>
      <w:r w:rsidR="006E7EA4" w:rsidRPr="003436E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6E7EA4" w:rsidRPr="003436EA">
        <w:rPr>
          <w:rFonts w:ascii="Book Antiqua" w:eastAsia="Book Antiqua" w:hAnsi="Book Antiqua" w:cs="Book Antiqua"/>
          <w:i/>
          <w:color w:val="000000"/>
        </w:rPr>
        <w:t>(Online)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20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27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>-</w:t>
      </w:r>
      <w:r w:rsidRPr="003436EA">
        <w:rPr>
          <w:rFonts w:ascii="Book Antiqua" w:eastAsia="Book Antiqua" w:hAnsi="Book Antiqua" w:cs="Book Antiqua"/>
          <w:color w:val="000000"/>
        </w:rPr>
        <w:t>38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10.24871/201201927-37]</w:t>
      </w:r>
    </w:p>
    <w:p w14:paraId="29B254D4" w14:textId="7271235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Campos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Parreira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Assef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Rizoli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Nascimento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Fraga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Col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Cir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164-168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23752646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10.1590/s0100-69912013000200015]</w:t>
      </w:r>
    </w:p>
    <w:p w14:paraId="396D0F73" w14:textId="3CD2A2C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Dellinger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Forsmark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Layer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Lévy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Maraví-Poma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Petrov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Shimosegawa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Siriwardena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Uomo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Whitcomb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Windsor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Across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Education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Alliance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(PANCREA).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Determinant-based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classification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international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multidisciplinary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consultation.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2012;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875-880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22735715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10.1097/SLA.0b013e318256f778]</w:t>
      </w:r>
    </w:p>
    <w:p w14:paraId="27F67EBA" w14:textId="12F004A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PK.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Pathophysiological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mechanisms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Current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understanding.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2016;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153-166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27206712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10.1007/s12664-016-0647-y]</w:t>
      </w:r>
    </w:p>
    <w:p w14:paraId="36687824" w14:textId="40124B4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Leal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Almeida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Predicting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Never-Ending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Quest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GE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232-234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31328136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10.1159/000499680]</w:t>
      </w:r>
    </w:p>
    <w:p w14:paraId="60D5DD5C" w14:textId="254D2D2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JH.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Mechanism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Focusing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Development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Progression.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Korean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Biliary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Tract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2015;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20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115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>-1</w:t>
      </w:r>
      <w:r w:rsidRPr="003436EA">
        <w:rPr>
          <w:rFonts w:ascii="Book Antiqua" w:eastAsia="Book Antiqua" w:hAnsi="Book Antiqua" w:cs="Book Antiqua"/>
          <w:color w:val="000000"/>
        </w:rPr>
        <w:t>23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10.15279/kpba.2015.20.3.115]</w:t>
      </w:r>
    </w:p>
    <w:p w14:paraId="0799FBED" w14:textId="41EA91D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Lerch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Gorelick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chronic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1180-1193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23622127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10.1053/j.gastro.2012.12.043]</w:t>
      </w:r>
    </w:p>
    <w:p w14:paraId="39625CFC" w14:textId="1BD3823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Stirling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Moran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Kelly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Ridgway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PF,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Conlon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KC.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predictive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value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C-reactive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(CRP)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interval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change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additional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lastRenderedPageBreak/>
        <w:t>indicator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severity?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874-880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28693979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10.1016/j.hpb.2017.06.001]</w:t>
      </w:r>
    </w:p>
    <w:p w14:paraId="0D95F7A2" w14:textId="1ADBA6F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Meher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Mishra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Sasmal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Sharma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Rout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Sahu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MK.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Biomarkers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Diagnosis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Prognostic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Evaluation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Biomark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2015;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519534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26345247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10.1155/2015/519534]</w:t>
      </w:r>
    </w:p>
    <w:p w14:paraId="4D49AB49" w14:textId="1279675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Jakkampudi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Jangala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Reddy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Mitnala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Nageshwar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Reddy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Talukdar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NF-κB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Mechanisms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therapeutic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2016;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477-488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27282980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10.1016/j.pan.2016.05.001]</w:t>
      </w:r>
    </w:p>
    <w:p w14:paraId="1E3CFA85" w14:textId="460B4B2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Jakkampudi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Reddy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Reddy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PB,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Murthy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HVV,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Rao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GV,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Reddy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Talukdar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Association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Anti-inflammatory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Adverse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Outcomes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Preliminary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Results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Ongoing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3468-3478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29080144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10.1007/s10620-017-4813-6]</w:t>
      </w:r>
    </w:p>
    <w:p w14:paraId="2463827B" w14:textId="755FB36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Z,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X.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Infiltrating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2021;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534-545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33390823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10.7150/ijms.51618]</w:t>
      </w:r>
    </w:p>
    <w:p w14:paraId="18916B13" w14:textId="30404B6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19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Zambrano-Zaragoza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Romo-Martínez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Durán-Avelar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García-Magallanes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Vibanco-Pérez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infectious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Inflam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2014;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651503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25152827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10.1155/2014/651503]</w:t>
      </w:r>
    </w:p>
    <w:p w14:paraId="1DC568D5" w14:textId="06118B9C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Fonteh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Dysregulation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Treatment.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(Warsz)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199-209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29189884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10.1007/s00005-017-0495-1]</w:t>
      </w:r>
    </w:p>
    <w:p w14:paraId="39537E4F" w14:textId="04EEA19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Warrington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Watson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Kim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immunopathology.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30263032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10.1186/s13223-018-0278-1]</w:t>
      </w:r>
    </w:p>
    <w:p w14:paraId="532168C0" w14:textId="64BC10F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Vivier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Colonna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Diefenbach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Santo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Eberl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Koyasu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Locksley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McKenzie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Mebius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Powrie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Years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1054-1066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30142344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10.1016/j.cell.2018.07.017]</w:t>
      </w:r>
    </w:p>
    <w:p w14:paraId="43BC759A" w14:textId="17ADDDE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Panda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Colonna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Mucosal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Immunity.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861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31134050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10.3389/fimmu.2019.00861]</w:t>
      </w:r>
    </w:p>
    <w:p w14:paraId="2FF86558" w14:textId="5DBE7FC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24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Willinger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436EA">
        <w:rPr>
          <w:rFonts w:ascii="Book Antiqua" w:eastAsia="Book Antiqua" w:hAnsi="Book Antiqua" w:cs="Book Antiqua"/>
          <w:color w:val="000000"/>
        </w:rPr>
        <w:t>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Metabolic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Control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Migration.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31507605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10.3389/fimmu.2019.02010]</w:t>
      </w:r>
    </w:p>
    <w:p w14:paraId="6754B6FC" w14:textId="3AAFF5C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Crome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SQ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Ohashi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Immunoregulatory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functions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lymphoid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30454038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10.1186/s40425-018-0433-8]</w:t>
      </w:r>
    </w:p>
    <w:p w14:paraId="37FCCF78" w14:textId="1CC95FA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Bielecki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Mazurek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Wolinski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Glabinski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during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ChREAE.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2007;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383-392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17850582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10.1111/j.1365-3083.2007.01954.x]</w:t>
      </w:r>
    </w:p>
    <w:p w14:paraId="78AFF3F9" w14:textId="49BB7DC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Oshio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Kawashima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Kawamura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Hagiwara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Mizutani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Okada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Otsubo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Inagaki-Ohara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Matsukawa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Haga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Kakuta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Iwakura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Hosokawa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Dohi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Chemokine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receptor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required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lipopolysaccharide-triggered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cytokine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production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2014;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e94445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24714157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10.1371/journal.pone.0094445]</w:t>
      </w:r>
    </w:p>
    <w:p w14:paraId="112F9F4E" w14:textId="70ED0A2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Cantor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Haskins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Recruitment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pathogenic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diabetes: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evidence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involvement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CCL1.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2007;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5760-5767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17947648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10.4049/jimmunol.179.9.5760]</w:t>
      </w:r>
    </w:p>
    <w:p w14:paraId="6AFF32F3" w14:textId="7467252A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Zychowska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Rojewska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Piotrowska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Kreiner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Nalepa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Spinal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CCL1/CCR8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signaling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interplay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therapeutic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target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-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Evidence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from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diabetic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neuropathy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model.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Immunopharmacol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261-271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28961489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10.1016/j.intimp.2017.09.021]</w:t>
      </w:r>
    </w:p>
    <w:p w14:paraId="5B527648" w14:textId="11F64459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Thomson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Fonteh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imbalance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second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independent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IL-17A.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246-252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29422392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10.1016/j.pan.2018.01.007]</w:t>
      </w:r>
    </w:p>
    <w:p w14:paraId="0590987A" w14:textId="7CA11BC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Kay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Smith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Initiating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Mediated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T-Helper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Pathway.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5</w:t>
      </w:r>
    </w:p>
    <w:p w14:paraId="17363E83" w14:textId="736C00F5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Thomson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Nweke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Nel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Fonteh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Transient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Interleukin-21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Second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Potentiate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Severe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107-112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30451792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10.1097/MPA.0000000000001207]</w:t>
      </w:r>
    </w:p>
    <w:p w14:paraId="1708F84A" w14:textId="0A5CBB4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33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Huggett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Emslie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Garson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Haynes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Hellemans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Kubista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Mueller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RD,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Nolan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Pfaffl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MW,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Shipley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Vandesompele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Wittwer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Bustin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digital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MIQE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guidelines: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Minimum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Information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Publication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Digital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Experiments.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892-902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23570709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10.1373/clinchem.2013.206375]</w:t>
      </w:r>
    </w:p>
    <w:p w14:paraId="4E29FA69" w14:textId="68ED53D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Bustin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Garson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Hellemans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Huggett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Kubista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Mueller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Nolan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Pfaffl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MW,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Shipley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Vandesompele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Wittwer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MIQE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guidelines: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minimum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information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publication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experiments.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2009;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611-622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19246619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10.1373/clinchem.2008.112797]</w:t>
      </w:r>
    </w:p>
    <w:p w14:paraId="3B786B95" w14:textId="21438C5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Gao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Lv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X,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Yang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Tang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Evaluation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Reference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RT-PCR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2016;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8367063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27069927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10.1155/2016/8367063]</w:t>
      </w:r>
    </w:p>
    <w:p w14:paraId="15C3FA04" w14:textId="11D565D3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Livak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Schmittgen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Analysis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gene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real-time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quantitative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PCR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2(-Delta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Delta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C(T))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Method.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2001;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402-408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11846609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10.1006/meth.2001.1262]</w:t>
      </w:r>
    </w:p>
    <w:p w14:paraId="1A5B187D" w14:textId="13E2BE09" w:rsidR="00A77B3E" w:rsidRPr="003436EA" w:rsidRDefault="00F63179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eastAsia="Book Antiqua" w:hAnsi="Book Antiqua" w:cs="Book Antiqua"/>
          <w:color w:val="000000"/>
        </w:rPr>
        <w:t>37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Cesar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Mendonca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Coelho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Peritoneal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Local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Systemic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Response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color w:val="000000"/>
        </w:rPr>
        <w:t>IntechOpen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2012</w:t>
      </w:r>
    </w:p>
    <w:p w14:paraId="33C72D42" w14:textId="106018E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Mayerle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Dummer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Sendler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Malla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Brandt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Aghdassi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Nitsche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2012;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27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47-51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22320916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10.1111/j.1440-1746.2011.07011.x]</w:t>
      </w:r>
    </w:p>
    <w:p w14:paraId="7B1FF924" w14:textId="50B5E23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39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Thul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Lindskog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atlas: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spatial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map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proteome.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233-244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28940711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10.1002/pro.3307]</w:t>
      </w:r>
    </w:p>
    <w:p w14:paraId="14A5D4D0" w14:textId="1E13B96C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Banks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Clinical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management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1272-1281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23622137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10.1053/j.gastro.2013.01.075]</w:t>
      </w:r>
    </w:p>
    <w:p w14:paraId="38E1F76B" w14:textId="1053A682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Nielsen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Goodier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Riley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Functional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Significance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CD57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Relevance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Disease.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422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24367364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10.3389/fimmu.2013.00422]</w:t>
      </w:r>
    </w:p>
    <w:p w14:paraId="4FDDA521" w14:textId="48335A5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42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Shrivastava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Bhatia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Essential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role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monocytes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macrophages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progression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2010;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3995-4002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20731012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10.3748/wjg.v16.i32.3995]</w:t>
      </w:r>
    </w:p>
    <w:p w14:paraId="30A993D1" w14:textId="5FB0E8D5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</w:t>
      </w:r>
      <w:r w:rsidR="00412D65" w:rsidRPr="003436EA">
        <w:rPr>
          <w:rFonts w:ascii="Book Antiqua" w:eastAsia="Book Antiqua" w:hAnsi="Book Antiqua" w:cs="Book Antiqua"/>
          <w:color w:val="000000"/>
        </w:rPr>
        <w:t>3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Gukovsky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Todoric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Gukovskaya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Karin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autophagy,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obesity: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features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pathogenesis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pancreatitis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cancer.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1199-209.e4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23622129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10.1053/j.gastro.2013.02.007]</w:t>
      </w:r>
    </w:p>
    <w:p w14:paraId="74987E3B" w14:textId="63605295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</w:t>
      </w:r>
      <w:r w:rsidR="00412D65" w:rsidRPr="003436EA">
        <w:rPr>
          <w:rFonts w:ascii="Book Antiqua" w:eastAsia="Book Antiqua" w:hAnsi="Book Antiqua" w:cs="Book Antiqua"/>
          <w:color w:val="000000"/>
        </w:rPr>
        <w:t>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Hirahara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Yagi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Tumes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Nakayama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Pathogenic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memory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type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allergic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inflammation.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2014;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69-78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24332592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10.1016/j.it.2013.11.003]</w:t>
      </w:r>
    </w:p>
    <w:p w14:paraId="7488B7E1" w14:textId="450D6D41" w:rsidR="00412D65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</w:t>
      </w:r>
      <w:r w:rsidR="00412D65" w:rsidRPr="003436EA">
        <w:rPr>
          <w:rFonts w:ascii="Book Antiqua" w:eastAsia="Book Antiqua" w:hAnsi="Book Antiqua" w:cs="Book Antiqua"/>
          <w:color w:val="000000"/>
        </w:rPr>
        <w:t>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Barsheshet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Wildbaum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Levy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Vitenshtein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Akinseye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Griggs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Lira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Karin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CCR8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3436EA">
        <w:rPr>
          <w:rFonts w:ascii="Book Antiqua" w:eastAsia="Book Antiqua" w:hAnsi="Book Antiqua" w:cs="Book Antiqua"/>
          <w:color w:val="000000"/>
        </w:rPr>
        <w:t>FOXp3</w:t>
      </w:r>
      <w:r w:rsidRPr="003436E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</w:t>
      </w:r>
      <w:r w:rsidRPr="003436EA">
        <w:rPr>
          <w:rFonts w:ascii="Book Antiqua" w:eastAsia="Book Antiqua" w:hAnsi="Book Antiqua" w:cs="Book Antiqua"/>
          <w:color w:val="000000"/>
          <w:vertAlign w:val="subscript"/>
        </w:rPr>
        <w:t>reg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master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drivers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regulation.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U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i/>
          <w:iCs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2017;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6086-6091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28533380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10.1073/pnas.1621280114]</w:t>
      </w:r>
    </w:p>
    <w:p w14:paraId="6FAF61DE" w14:textId="5E792466" w:rsidR="00A77B3E" w:rsidRPr="003436EA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Cs/>
          <w:color w:val="000000"/>
        </w:rPr>
        <w:t>46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Eruslanov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E</w:t>
      </w:r>
      <w:r w:rsidR="00F63179"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Stoffs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Kim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WJ,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Daurkin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Gilbert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LM,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Vieweg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Daaka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Kusmartsev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Expansion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CCR8(+)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myeloid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cancer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patients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urothelial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renal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carcinomas.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2013;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19</w:t>
      </w:r>
      <w:r w:rsidR="00F63179"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1670-1680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23363815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10.1158/1078-0432.CCR-12-2091]</w:t>
      </w:r>
    </w:p>
    <w:p w14:paraId="364A799C" w14:textId="3B2039B2" w:rsidR="00A77B3E" w:rsidRPr="003436EA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Folias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AE</w:t>
      </w:r>
      <w:r w:rsidR="00F63179"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Penaranda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Su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AL,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Bluestone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JA,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Hebrok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Aberrant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innate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immune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activation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following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tissue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injury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impairs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pancreatic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regeneration.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F6322" w:rsidRPr="003436E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2014;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9</w:t>
      </w:r>
      <w:r w:rsidR="00F63179"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e102125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25010227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10.1371/journal.pone.0102125]</w:t>
      </w:r>
    </w:p>
    <w:p w14:paraId="3999D2F0" w14:textId="6E2E750C" w:rsidR="00A77B3E" w:rsidRPr="003436EA" w:rsidRDefault="00412D65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b/>
          <w:bCs/>
          <w:color w:val="000000"/>
        </w:rPr>
        <w:t>BP,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Rothenberg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ME.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Inflammatory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Effector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Cells/Cell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Migration.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Third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Edition.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Pediatric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Allergy: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Principles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Practice: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Third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Edition.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Elsevier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Inc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2016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41-53.e4</w:t>
      </w:r>
      <w:r w:rsidR="006E7EA4"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[DOI: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F63179" w:rsidRPr="003436EA">
        <w:rPr>
          <w:rFonts w:ascii="Book Antiqua" w:eastAsia="Book Antiqua" w:hAnsi="Book Antiqua" w:cs="Book Antiqua"/>
          <w:color w:val="000000"/>
        </w:rPr>
        <w:t>10.1016/B978-0-323-29875-9.00005-7]</w:t>
      </w:r>
    </w:p>
    <w:p w14:paraId="492204EE" w14:textId="66A4E1F7" w:rsidR="00412D65" w:rsidRPr="003436EA" w:rsidRDefault="004A7D4F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49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b/>
          <w:bCs/>
          <w:color w:val="000000"/>
        </w:rPr>
        <w:t>Dabrowski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b/>
          <w:bCs/>
          <w:color w:val="000000"/>
        </w:rPr>
        <w:t>A</w:t>
      </w:r>
      <w:r w:rsidR="00412D65" w:rsidRPr="003436EA">
        <w:rPr>
          <w:rFonts w:ascii="Book Antiqua" w:eastAsia="Book Antiqua" w:hAnsi="Book Antiqua" w:cs="Book Antiqua"/>
          <w:color w:val="000000"/>
        </w:rPr>
        <w:t>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Osada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J,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Dabrowska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MI,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Wereszczynska-Siemiatkowska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U.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Monocyte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subsets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natural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killer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cells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acute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pancreatitis.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2008;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D65" w:rsidRPr="003436EA">
        <w:rPr>
          <w:rFonts w:ascii="Book Antiqua" w:eastAsia="Book Antiqua" w:hAnsi="Book Antiqua" w:cs="Book Antiqua"/>
          <w:color w:val="000000"/>
        </w:rPr>
        <w:t>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126-134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[PMID: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18382098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DOI: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412D65" w:rsidRPr="003436EA">
        <w:rPr>
          <w:rFonts w:ascii="Book Antiqua" w:eastAsia="Book Antiqua" w:hAnsi="Book Antiqua" w:cs="Book Antiqua"/>
          <w:color w:val="000000"/>
        </w:rPr>
        <w:t>10.1159/000123605]</w:t>
      </w:r>
    </w:p>
    <w:p w14:paraId="27DF26CE" w14:textId="77777777" w:rsidR="00412D65" w:rsidRPr="003436EA" w:rsidRDefault="00412D65" w:rsidP="001D08D6">
      <w:pPr>
        <w:spacing w:line="360" w:lineRule="auto"/>
        <w:jc w:val="both"/>
        <w:rPr>
          <w:rFonts w:ascii="Book Antiqua" w:hAnsi="Book Antiqua"/>
        </w:rPr>
      </w:pPr>
    </w:p>
    <w:p w14:paraId="631AA51C" w14:textId="1D76D18E" w:rsidR="00412D65" w:rsidRPr="003436EA" w:rsidRDefault="00412D65" w:rsidP="001D08D6">
      <w:pPr>
        <w:spacing w:line="360" w:lineRule="auto"/>
        <w:jc w:val="both"/>
        <w:rPr>
          <w:rFonts w:ascii="Book Antiqua" w:hAnsi="Book Antiqua"/>
        </w:rPr>
        <w:sectPr w:rsidR="00412D65" w:rsidRPr="003436EA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E0871" w14:textId="7777777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D6CD4A" w14:textId="02316DF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procedures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performed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study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involving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participants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were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accordance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ethical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standards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University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Witwatersrand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Human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ethics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committee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(M180133)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1964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Helsinki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declaration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later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amendments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comparable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ethical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standards.</w:t>
      </w:r>
    </w:p>
    <w:p w14:paraId="5E8E5B7C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6588874" w14:textId="6164F91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All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authors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have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nothing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disclose</w:t>
      </w:r>
    </w:p>
    <w:p w14:paraId="5D778CE6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4E654DB0" w14:textId="7FF26F4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additional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data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available</w:t>
      </w:r>
    </w:p>
    <w:p w14:paraId="1F6235A0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15B0090E" w14:textId="2218851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F6322" w:rsidRPr="003436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article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open-access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article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that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was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selected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in-house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editor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fully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peer-reviewed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external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reviewers.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distributed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accordance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with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Creative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Commons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Attribution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NonCommercial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(CC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BY-NC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4.0)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license,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which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permits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others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to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distribute,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remix,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adapt,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build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upon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non-commercially,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license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their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derivative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on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different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terms,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provided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original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work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properly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the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use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is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non-commercial.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See: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D580DF8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61C9931" w14:textId="5C46A0D7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Manuscript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source: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Invited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="000A6953" w:rsidRPr="003436EA">
        <w:rPr>
          <w:rFonts w:ascii="Book Antiqua" w:hAnsi="Book Antiqua" w:cs="Book Antiqua" w:hint="eastAsia"/>
          <w:color w:val="000000"/>
          <w:lang w:eastAsia="zh-CN"/>
        </w:rPr>
        <w:t>m</w:t>
      </w:r>
      <w:r w:rsidRPr="003436EA">
        <w:rPr>
          <w:rFonts w:ascii="Book Antiqua" w:eastAsia="Book Antiqua" w:hAnsi="Book Antiqua" w:cs="Book Antiqua"/>
          <w:color w:val="000000"/>
        </w:rPr>
        <w:t>anuscript</w:t>
      </w:r>
    </w:p>
    <w:p w14:paraId="222DCC30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1FF09AE" w14:textId="27F20276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Peer-review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started: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April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16,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2021</w:t>
      </w:r>
    </w:p>
    <w:p w14:paraId="4023338D" w14:textId="502A6F8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First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decision: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June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23,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2021</w:t>
      </w:r>
    </w:p>
    <w:p w14:paraId="217D6BCF" w14:textId="0708D52E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Article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in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press: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704D" w:rsidRPr="003436EA">
        <w:rPr>
          <w:rFonts w:ascii="Book Antiqua" w:eastAsia="Book Antiqua" w:hAnsi="Book Antiqua" w:cs="Book Antiqua"/>
          <w:color w:val="000000"/>
        </w:rPr>
        <w:t>September 14, 2021</w:t>
      </w:r>
    </w:p>
    <w:p w14:paraId="639DB7E4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34A4A1E9" w14:textId="221CBBBD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Specialty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type: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Medicine,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Research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and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Experimental</w:t>
      </w:r>
    </w:p>
    <w:p w14:paraId="2AE439B1" w14:textId="76F4EB3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Country/Territory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of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origin: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South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Africa</w:t>
      </w:r>
    </w:p>
    <w:p w14:paraId="1086112C" w14:textId="1A8E7D6B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Peer-review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report’s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scientific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quality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4D7E9C" w14:textId="3D29B581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Grade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A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(Excellent):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</w:t>
      </w:r>
    </w:p>
    <w:p w14:paraId="71FECDEE" w14:textId="7382DB2C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Grade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B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(Very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good):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</w:t>
      </w:r>
    </w:p>
    <w:p w14:paraId="572F2A8F" w14:textId="49D6AD64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Grade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C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(Good):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</w:t>
      </w:r>
    </w:p>
    <w:p w14:paraId="47808D89" w14:textId="172F3F8F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(Fair):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D</w:t>
      </w:r>
    </w:p>
    <w:p w14:paraId="29C29597" w14:textId="3286F0E0" w:rsidR="00A77B3E" w:rsidRPr="003436EA" w:rsidRDefault="00F63179" w:rsidP="001D08D6">
      <w:pPr>
        <w:spacing w:line="360" w:lineRule="auto"/>
        <w:jc w:val="both"/>
        <w:rPr>
          <w:rFonts w:ascii="Book Antiqua" w:hAnsi="Book Antiqua"/>
        </w:rPr>
      </w:pPr>
      <w:r w:rsidRPr="003436EA">
        <w:rPr>
          <w:rFonts w:ascii="Book Antiqua" w:eastAsia="Book Antiqua" w:hAnsi="Book Antiqua" w:cs="Book Antiqua"/>
          <w:color w:val="000000"/>
        </w:rPr>
        <w:t>Grade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E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(Poor):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0</w:t>
      </w:r>
    </w:p>
    <w:p w14:paraId="28F18D03" w14:textId="77777777" w:rsidR="00A77B3E" w:rsidRPr="003436EA" w:rsidRDefault="00A77B3E" w:rsidP="001D08D6">
      <w:pPr>
        <w:spacing w:line="360" w:lineRule="auto"/>
        <w:jc w:val="both"/>
        <w:rPr>
          <w:rFonts w:ascii="Book Antiqua" w:hAnsi="Book Antiqua"/>
        </w:rPr>
      </w:pPr>
    </w:p>
    <w:p w14:paraId="55BB66AF" w14:textId="0B5B3E21" w:rsidR="00CF411A" w:rsidRPr="003436EA" w:rsidRDefault="00F63179" w:rsidP="001D08D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t>P-Reviewer: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Zhong</w:t>
      </w:r>
      <w:r w:rsidR="00BF6322" w:rsidRPr="003436EA">
        <w:rPr>
          <w:rFonts w:ascii="Book Antiqua" w:eastAsia="Book Antiqua" w:hAnsi="Book Antiqua" w:cs="Book Antiqua"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color w:val="000000"/>
        </w:rPr>
        <w:t>HJ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S-Editor:</w:t>
      </w:r>
      <w:r w:rsidR="00BF6322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953" w:rsidRPr="003436EA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3436EA">
        <w:rPr>
          <w:rFonts w:ascii="Book Antiqua" w:eastAsia="Book Antiqua" w:hAnsi="Book Antiqua" w:cs="Book Antiqua"/>
          <w:b/>
          <w:color w:val="000000"/>
        </w:rPr>
        <w:t>L-Editor:</w:t>
      </w:r>
      <w:r w:rsidR="00921466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1466" w:rsidRPr="003436EA">
        <w:rPr>
          <w:rFonts w:ascii="Book Antiqua" w:eastAsia="Book Antiqua" w:hAnsi="Book Antiqua" w:cs="Book Antiqua"/>
          <w:bCs/>
          <w:color w:val="000000"/>
        </w:rPr>
        <w:t>A</w:t>
      </w:r>
      <w:r w:rsidR="00971274" w:rsidRPr="003436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6EA">
        <w:rPr>
          <w:rFonts w:ascii="Book Antiqua" w:eastAsia="Book Antiqua" w:hAnsi="Book Antiqua" w:cs="Book Antiqua"/>
          <w:b/>
          <w:color w:val="000000"/>
        </w:rPr>
        <w:t>P-Editor:</w:t>
      </w:r>
      <w:r w:rsidR="00BF6322" w:rsidRPr="003436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21466" w:rsidRPr="003436EA">
        <w:rPr>
          <w:rFonts w:ascii="Book Antiqua" w:eastAsia="Book Antiqua" w:hAnsi="Book Antiqua" w:cs="Book Antiqua"/>
          <w:bCs/>
          <w:color w:val="000000"/>
        </w:rPr>
        <w:t>Li JH</w:t>
      </w:r>
    </w:p>
    <w:p w14:paraId="49996FB6" w14:textId="77777777" w:rsidR="00CF411A" w:rsidRPr="003436EA" w:rsidRDefault="00CF411A" w:rsidP="001D08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36EA">
        <w:rPr>
          <w:rFonts w:ascii="Book Antiqua" w:eastAsia="Book Antiqua" w:hAnsi="Book Antiqua" w:cs="Book Antiqua"/>
          <w:b/>
          <w:color w:val="000000"/>
        </w:rPr>
        <w:br w:type="page"/>
      </w:r>
    </w:p>
    <w:p w14:paraId="2620371F" w14:textId="5B9DB254" w:rsidR="00A77B3E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lastRenderedPageBreak/>
        <w:t>Figure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Legends</w:t>
      </w:r>
    </w:p>
    <w:p w14:paraId="590646D6" w14:textId="693BE06B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drawing>
          <wp:inline distT="0" distB="0" distL="0" distR="0" wp14:anchorId="391D458F" wp14:editId="7A4C039D">
            <wp:extent cx="5943600" cy="2637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641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A0DC" w14:textId="2CE63B6D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1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Flow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diagram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of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patient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recruitment.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From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the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40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patients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and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6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healthy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controls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recruited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over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the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study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period,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peripheral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blood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mononuclear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cells</w:t>
      </w:r>
      <w:r w:rsidR="00971274" w:rsidRPr="003436EA">
        <w:rPr>
          <w:rFonts w:ascii="Book Antiqua" w:hAnsi="Book Antiqua" w:hint="eastAsia"/>
          <w:b/>
          <w:lang w:eastAsia="zh-CN"/>
        </w:rPr>
        <w:t>,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whole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blood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and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plasma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were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used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for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the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various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study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assays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as</w:t>
      </w:r>
      <w:r w:rsidR="00BF6322" w:rsidRPr="003436EA">
        <w:rPr>
          <w:rFonts w:ascii="Book Antiqua" w:hAnsi="Book Antiqua"/>
          <w:b/>
          <w:lang w:eastAsia="zh-CN"/>
        </w:rPr>
        <w:t xml:space="preserve"> </w:t>
      </w:r>
      <w:r w:rsidRPr="003436EA">
        <w:rPr>
          <w:rFonts w:ascii="Book Antiqua" w:hAnsi="Book Antiqua"/>
          <w:b/>
          <w:lang w:eastAsia="zh-CN"/>
        </w:rPr>
        <w:t>shown.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P</w:t>
      </w:r>
      <w:r w:rsidR="00971274" w:rsidRPr="003436EA">
        <w:rPr>
          <w:rFonts w:ascii="Book Antiqua" w:hAnsi="Book Antiqua"/>
          <w:lang w:eastAsia="zh-CN"/>
        </w:rPr>
        <w:t>eripheral blood mononuclear cells (PBMCs)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from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971274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data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screening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study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innate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adaptive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immune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using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RT</w:t>
      </w:r>
      <w:r w:rsidRPr="003436EA">
        <w:rPr>
          <w:rFonts w:ascii="Book Antiqua" w:hAnsi="Book Antiqua"/>
          <w:vertAlign w:val="superscript"/>
          <w:lang w:eastAsia="zh-CN"/>
        </w:rPr>
        <w:t>2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Profiler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Array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(Qiagen,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Hilden,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Germany).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selected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target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further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verification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studies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29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depicted.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immunophenotyping,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12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antibodies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selected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discriminate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lymphocytes,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granulocytes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their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subpopulations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from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blood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samples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seven</w:t>
      </w:r>
      <w:r w:rsidR="00971274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exploratory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study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Th1/Th2/Th17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cytokines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31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samples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23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randomly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selected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further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analysis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using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MILLIPLEX</w:t>
      </w:r>
      <w:r w:rsidRPr="003436EA">
        <w:rPr>
          <w:rFonts w:ascii="Book Antiqua" w:hAnsi="Book Antiqua"/>
          <w:i/>
          <w:iCs/>
          <w:vertAlign w:val="superscript"/>
          <w:lang w:eastAsia="zh-CN"/>
        </w:rPr>
        <w:t>®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assay.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PBMCs: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P</w:t>
      </w:r>
      <w:r w:rsidRPr="003436EA">
        <w:rPr>
          <w:rFonts w:ascii="Book Antiqua" w:hAnsi="Book Antiqua"/>
          <w:lang w:eastAsia="zh-CN"/>
        </w:rPr>
        <w:t>eripheral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blood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mononuclear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RT</w:t>
      </w:r>
      <w:r w:rsidRPr="003436EA">
        <w:rPr>
          <w:rFonts w:ascii="Book Antiqua" w:hAnsi="Book Antiqua"/>
          <w:vertAlign w:val="superscript"/>
          <w:lang w:eastAsia="zh-CN"/>
        </w:rPr>
        <w:t>2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R</w:t>
      </w:r>
      <w:r w:rsidRPr="003436EA">
        <w:rPr>
          <w:rFonts w:ascii="Book Antiqua" w:hAnsi="Book Antiqua"/>
          <w:lang w:eastAsia="zh-CN"/>
        </w:rPr>
        <w:t>everse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transcriptase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square;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ild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oderately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S</w:t>
      </w:r>
      <w:r w:rsidRPr="003436EA">
        <w:rPr>
          <w:rFonts w:ascii="Book Antiqua" w:hAnsi="Book Antiqua"/>
          <w:lang w:eastAsia="zh-CN"/>
        </w:rPr>
        <w:t>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hemokine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8;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Th1/Th2/Th17: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helper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type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1/2/17.</w:t>
      </w:r>
    </w:p>
    <w:p w14:paraId="7DBBC3F9" w14:textId="7777777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br w:type="page"/>
      </w:r>
    </w:p>
    <w:p w14:paraId="5D804745" w14:textId="465D4AD6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40CD634" wp14:editId="4C75894A">
            <wp:extent cx="5943600" cy="2447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E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AED4" w14:textId="47CF304C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2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IL-6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secretion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levels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acquired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using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MILLIPLEX</w:t>
      </w:r>
      <w:r w:rsidRPr="003436EA">
        <w:rPr>
          <w:rFonts w:ascii="Book Antiqua" w:hAnsi="Book Antiqua"/>
          <w:b/>
          <w:bCs/>
          <w:vertAlign w:val="superscript"/>
          <w:lang w:eastAsia="zh-CN"/>
        </w:rPr>
        <w:t>®</w:t>
      </w:r>
      <w:r w:rsidR="00BF6322" w:rsidRPr="003436EA">
        <w:rPr>
          <w:rFonts w:ascii="Book Antiqua" w:hAnsi="Book Antiqua"/>
          <w:b/>
          <w:bCs/>
          <w:vertAlign w:val="superscript"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MAP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Human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Th17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Magnetic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Bead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Panel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kit.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Analysis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23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sampled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healthy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controls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included.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concentration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interleukin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(IL)-6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highest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±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50</w:t>
      </w:r>
      <w:r w:rsidR="000C7DD3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pg/mL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65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±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61pg/ml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(n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2)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5)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971274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levels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13</w:t>
      </w:r>
      <w:r w:rsidR="005056B9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±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8pg/mL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7)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20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±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13</w:t>
      </w:r>
      <w:r w:rsidR="00971274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pg/mL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4)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Significant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differences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observed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between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healthy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controls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6)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4)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P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0.014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P</w:t>
      </w:r>
      <w:r w:rsidR="000C7DD3" w:rsidRPr="003436EA">
        <w:rPr>
          <w:rFonts w:ascii="Book Antiqua" w:hAnsi="Book Antiqua"/>
          <w:lang w:eastAsia="zh-CN"/>
        </w:rPr>
        <w:t xml:space="preserve"> = </w:t>
      </w:r>
      <w:r w:rsidRPr="003436EA">
        <w:rPr>
          <w:rFonts w:ascii="Book Antiqua" w:hAnsi="Book Antiqua"/>
          <w:lang w:eastAsia="zh-CN"/>
        </w:rPr>
        <w:t>0.013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Dunn’s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multiple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comparison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test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post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hoc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adjust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values.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specific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severity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n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number;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MAP:</w:t>
      </w:r>
      <w:r w:rsidR="00971274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ild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oderately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S</w:t>
      </w:r>
      <w:r w:rsidRPr="003436EA">
        <w:rPr>
          <w:rFonts w:ascii="Book Antiqua" w:hAnsi="Book Antiqua"/>
          <w:lang w:eastAsia="zh-CN"/>
        </w:rPr>
        <w:t>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IL-6: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I</w:t>
      </w:r>
      <w:r w:rsidRPr="003436EA">
        <w:rPr>
          <w:rFonts w:ascii="Book Antiqua" w:hAnsi="Book Antiqua"/>
          <w:lang w:eastAsia="zh-CN"/>
        </w:rPr>
        <w:t>nterleukin-6.</w:t>
      </w:r>
    </w:p>
    <w:p w14:paraId="2BEFD99E" w14:textId="7777777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br w:type="page"/>
      </w:r>
    </w:p>
    <w:p w14:paraId="2E3A4F2F" w14:textId="4BC0EB3F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30D9E7D" wp14:editId="068E7702">
            <wp:extent cx="5111797" cy="6926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A60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240" cy="692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56F71" w14:textId="138C4FCA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3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heat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map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showing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gene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dysregulation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in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mild</w:t>
      </w:r>
      <w:r w:rsidR="00971274" w:rsidRPr="003436EA">
        <w:rPr>
          <w:rFonts w:ascii="Book Antiqua" w:hAnsi="Book Antiqua" w:hint="eastAsi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moderate</w:t>
      </w:r>
      <w:r w:rsidR="00971274" w:rsidRPr="003436EA">
        <w:rPr>
          <w:rFonts w:ascii="Book Antiqua" w:hAnsi="Book Antiqua" w:hint="eastAsi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and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severe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acute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pancreatitis</w:t>
      </w:r>
      <w:r w:rsidR="00971274" w:rsidRPr="003436EA">
        <w:rPr>
          <w:rFonts w:ascii="Book Antiqua" w:hAnsi="Book Antiqua" w:hint="eastAsi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patients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compared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to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healthy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controls.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Hierarchical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cluster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across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severities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shown.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colour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represents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upregulated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green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downregulated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black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unchanged.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iCs/>
          <w:lang w:eastAsia="zh-CN"/>
        </w:rPr>
        <w:t>C</w:t>
      </w:r>
      <w:r w:rsidR="00407E2F" w:rsidRPr="003436EA">
        <w:rPr>
          <w:rFonts w:ascii="Book Antiqua" w:hAnsi="Book Antiqua"/>
          <w:iCs/>
          <w:lang w:eastAsia="zh-CN"/>
        </w:rPr>
        <w:t xml:space="preserve">hemokine receptor 8 </w:t>
      </w:r>
      <w:r w:rsidR="00407E2F" w:rsidRPr="003436EA">
        <w:rPr>
          <w:rFonts w:ascii="Book Antiqua" w:hAnsi="Book Antiqua"/>
          <w:i/>
          <w:iCs/>
          <w:lang w:eastAsia="zh-CN"/>
        </w:rPr>
        <w:t>(CCR8)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shown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lastRenderedPageBreak/>
        <w:t>increase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severity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GAPDH,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NOD1,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TRL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1,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TICAM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1,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TBX21,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CASP1,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which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associated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expression.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GAPDH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Glyceraldehyde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3-phosphate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dehydrogenase;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NOD1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Nucleotide-binding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oligomerization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domain-containing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protein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TRL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T</w:t>
      </w:r>
      <w:r w:rsidRPr="003436EA">
        <w:rPr>
          <w:rFonts w:ascii="Book Antiqua" w:hAnsi="Book Antiqua"/>
          <w:lang w:eastAsia="zh-CN"/>
        </w:rPr>
        <w:t>oll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like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Pr="003436EA">
        <w:rPr>
          <w:rFonts w:ascii="Book Antiqua" w:hAnsi="Book Antiqua"/>
          <w:i/>
          <w:iCs/>
          <w:lang w:eastAsia="zh-CN"/>
        </w:rPr>
        <w:t>;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TICAM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1: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T</w:t>
      </w:r>
      <w:r w:rsidRPr="003436EA">
        <w:rPr>
          <w:rFonts w:ascii="Book Antiqua" w:hAnsi="Book Antiqua"/>
          <w:lang w:eastAsia="zh-CN"/>
        </w:rPr>
        <w:t>oll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Like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Adaptor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Molecule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Pr="003436EA">
        <w:rPr>
          <w:rFonts w:ascii="Book Antiqua" w:hAnsi="Book Antiqua"/>
          <w:i/>
          <w:iCs/>
          <w:lang w:eastAsia="zh-CN"/>
        </w:rPr>
        <w:t>;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TBX21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T-Box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Transcription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Factor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21</w:t>
      </w:r>
      <w:r w:rsidRPr="003436EA">
        <w:rPr>
          <w:rFonts w:ascii="Book Antiqua" w:hAnsi="Book Antiqua"/>
          <w:i/>
          <w:iCs/>
          <w:lang w:eastAsia="zh-CN"/>
        </w:rPr>
        <w:t>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CASP1: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Caspase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apoptosis-related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cysteine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peptidase;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CCR8: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hemokine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8;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</w:t>
      </w:r>
      <w:r w:rsidR="00971274" w:rsidRPr="003436EA">
        <w:rPr>
          <w:rFonts w:ascii="Book Antiqua" w:hAnsi="Book Antiqua" w:hint="eastAsia"/>
          <w:lang w:eastAsia="zh-CN"/>
        </w:rPr>
        <w:t>AP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ild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MSAP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oderately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</w:t>
      </w:r>
      <w:r w:rsidR="00971274" w:rsidRPr="003436EA">
        <w:rPr>
          <w:rFonts w:ascii="Book Antiqua" w:hAnsi="Book Antiqua" w:hint="eastAsia"/>
          <w:lang w:eastAsia="zh-CN"/>
        </w:rPr>
        <w:t>AP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971274" w:rsidRPr="003436EA">
        <w:rPr>
          <w:rFonts w:ascii="Book Antiqua" w:hAnsi="Book Antiqua" w:hint="eastAsia"/>
          <w:lang w:eastAsia="zh-CN"/>
        </w:rPr>
        <w:t>S</w:t>
      </w:r>
      <w:r w:rsidRPr="003436EA">
        <w:rPr>
          <w:rFonts w:ascii="Book Antiqua" w:hAnsi="Book Antiqua"/>
          <w:lang w:eastAsia="zh-CN"/>
        </w:rPr>
        <w:t>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pancreatitis.</w:t>
      </w:r>
      <w:r w:rsidRPr="003436EA">
        <w:rPr>
          <w:rFonts w:ascii="Book Antiqua" w:hAnsi="Book Antiqua"/>
          <w:lang w:eastAsia="zh-CN"/>
        </w:rPr>
        <w:br w:type="page"/>
      </w:r>
    </w:p>
    <w:p w14:paraId="0A37317B" w14:textId="35918A0D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B69F528" wp14:editId="748AF641">
            <wp:extent cx="5943600" cy="34391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19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7542" w14:textId="33ECAC69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4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Gene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expression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analysis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for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971274" w:rsidRPr="003436EA">
        <w:rPr>
          <w:rFonts w:ascii="Book Antiqua" w:hAnsi="Book Antiqua"/>
          <w:b/>
          <w:bCs/>
          <w:iCs/>
          <w:lang w:eastAsia="zh-CN"/>
        </w:rPr>
        <w:t>chemokine receptor 8</w:t>
      </w:r>
      <w:r w:rsidR="00407E2F" w:rsidRPr="003436EA">
        <w:rPr>
          <w:rFonts w:ascii="Book Antiqua" w:hAnsi="Book Antiqua" w:hint="eastAsia"/>
          <w:b/>
          <w:bCs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in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different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severities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Day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3,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5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and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7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post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epigastric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pain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due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to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407E2F" w:rsidRPr="003436EA">
        <w:rPr>
          <w:rFonts w:ascii="Book Antiqua" w:hAnsi="Book Antiqua"/>
          <w:b/>
          <w:bCs/>
          <w:lang w:eastAsia="zh-CN"/>
        </w:rPr>
        <w:t>acute pancreatitis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for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407E2F" w:rsidRPr="003436EA">
        <w:rPr>
          <w:rFonts w:ascii="Book Antiqua" w:hAnsi="Book Antiqua"/>
          <w:b/>
          <w:bCs/>
          <w:lang w:eastAsia="zh-CN"/>
        </w:rPr>
        <w:t>mild acute pancreatitis</w:t>
      </w:r>
      <w:r w:rsidRPr="003436EA">
        <w:rPr>
          <w:rFonts w:ascii="Book Antiqua" w:hAnsi="Book Antiqua"/>
          <w:b/>
          <w:bCs/>
          <w:lang w:eastAsia="zh-CN"/>
        </w:rPr>
        <w:t>,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407E2F" w:rsidRPr="003436EA">
        <w:rPr>
          <w:rFonts w:ascii="Book Antiqua" w:hAnsi="Book Antiqua"/>
          <w:b/>
          <w:bCs/>
          <w:lang w:eastAsia="zh-CN"/>
        </w:rPr>
        <w:t xml:space="preserve">moderately severe acute </w:t>
      </w:r>
      <w:r w:rsidR="00F3259E" w:rsidRPr="003436EA">
        <w:rPr>
          <w:rFonts w:ascii="Book Antiqua" w:hAnsi="Book Antiqua"/>
          <w:b/>
          <w:bCs/>
          <w:lang w:eastAsia="zh-CN"/>
        </w:rPr>
        <w:t>pancreatitis,</w:t>
      </w:r>
      <w:r w:rsidR="00407E2F" w:rsidRPr="003436EA">
        <w:rPr>
          <w:rFonts w:ascii="Book Antiqua" w:hAnsi="Book Antiqua" w:hint="eastAsi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and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407E2F" w:rsidRPr="003436EA">
        <w:rPr>
          <w:rFonts w:ascii="Book Antiqua" w:hAnsi="Book Antiqua"/>
          <w:b/>
          <w:bCs/>
          <w:lang w:eastAsia="zh-CN"/>
        </w:rPr>
        <w:t>severe acute pancreatitis</w:t>
      </w:r>
      <w:r w:rsidRPr="003436EA">
        <w:rPr>
          <w:rFonts w:ascii="Book Antiqua" w:hAnsi="Book Antiqua"/>
          <w:b/>
          <w:bCs/>
          <w:lang w:eastAsia="zh-CN"/>
        </w:rPr>
        <w:t>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data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shown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Log10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transformed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scale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change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(2</w:t>
      </w:r>
      <w:r w:rsidRPr="003436EA">
        <w:rPr>
          <w:rFonts w:ascii="Book Antiqua" w:hAnsi="Book Antiqua"/>
          <w:vertAlign w:val="superscript"/>
          <w:lang w:eastAsia="zh-CN"/>
        </w:rPr>
        <w:t>-ΔΔCT</w:t>
      </w:r>
      <w:r w:rsidRPr="003436EA">
        <w:rPr>
          <w:rFonts w:ascii="Book Antiqua" w:hAnsi="Book Antiqua"/>
          <w:lang w:eastAsia="zh-CN"/>
        </w:rPr>
        <w:t>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normalized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using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RPL13A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VIC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fluorescent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dye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Hs04194366_g1</w:t>
      </w:r>
      <w:r w:rsidRPr="003436EA">
        <w:rPr>
          <w:rFonts w:ascii="Book Antiqua" w:hAnsi="Book Antiqua"/>
          <w:lang w:eastAsia="zh-CN"/>
        </w:rPr>
        <w:t>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Thermo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Fischer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Scientific)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reference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less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D5,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increased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slightly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compared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healthy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controls.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1000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times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healthy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controls.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1000000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times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healthy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controls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time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more.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FC: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change.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specific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severity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ild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M</w:t>
      </w:r>
      <w:r w:rsidRPr="003436EA">
        <w:rPr>
          <w:rFonts w:ascii="Book Antiqua" w:hAnsi="Book Antiqua"/>
          <w:lang w:eastAsia="zh-CN"/>
        </w:rPr>
        <w:t>oderately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S</w:t>
      </w:r>
      <w:r w:rsidRPr="003436EA">
        <w:rPr>
          <w:rFonts w:ascii="Book Antiqua" w:hAnsi="Book Antiqua"/>
          <w:lang w:eastAsia="zh-CN"/>
        </w:rPr>
        <w:t>evere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407E2F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hemokine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8.</w:t>
      </w:r>
    </w:p>
    <w:p w14:paraId="12160ABC" w14:textId="64695DC9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br w:type="page"/>
      </w:r>
    </w:p>
    <w:p w14:paraId="393FE527" w14:textId="2DB4011D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D9B7466" wp14:editId="0B093F8F">
            <wp:extent cx="5943600" cy="464629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8A8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1494" w14:textId="5A516E0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Representative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C34468" w:rsidRPr="003436EA">
        <w:rPr>
          <w:rFonts w:ascii="Book Antiqua" w:hAnsi="Book Antiqua" w:hint="eastAsia"/>
          <w:b/>
          <w:bCs/>
          <w:lang w:eastAsia="zh-CN"/>
        </w:rPr>
        <w:t>m</w:t>
      </w:r>
      <w:r w:rsidR="00C34468" w:rsidRPr="003436EA">
        <w:rPr>
          <w:rFonts w:ascii="Book Antiqua" w:hAnsi="Book Antiqua"/>
          <w:b/>
          <w:bCs/>
          <w:lang w:eastAsia="zh-CN"/>
        </w:rPr>
        <w:t>oderately severe acute pancreatitis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profile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of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monocyte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subpopulation.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Cells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were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gated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into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intermediate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(CD14+CD16+),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classical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(CD14+CD16-),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non-classical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monocytes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(CD16+CD14-)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and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HLA-DR+/-</w:t>
      </w:r>
      <w:r w:rsidR="00BF6322" w:rsidRPr="003436EA">
        <w:rPr>
          <w:rFonts w:ascii="Book Antiqua" w:hAnsi="Book Antiqua"/>
          <w:bCs/>
          <w:lang w:eastAsia="zh-CN"/>
        </w:rPr>
        <w:t xml:space="preserve"> </w:t>
      </w:r>
      <w:r w:rsidRPr="003436EA">
        <w:rPr>
          <w:rFonts w:ascii="Book Antiqua" w:hAnsi="Book Antiqua"/>
          <w:bCs/>
          <w:lang w:eastAsia="zh-CN"/>
        </w:rPr>
        <w:t>monocytes.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They</w:t>
      </w:r>
      <w:r w:rsidR="00502167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show</w:t>
      </w:r>
      <w:r w:rsidR="00502167" w:rsidRPr="003436EA">
        <w:rPr>
          <w:rFonts w:ascii="Book Antiqua" w:hAnsi="Book Antiqua" w:hint="eastAsia"/>
          <w:lang w:eastAsia="zh-CN"/>
        </w:rPr>
        <w:t>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CD14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Cy5.5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CD16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PECy5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plot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C34468" w:rsidRPr="003436EA">
        <w:rPr>
          <w:rFonts w:ascii="Book Antiqua" w:hAnsi="Book Antiqua"/>
          <w:lang w:eastAsia="zh-CN"/>
        </w:rPr>
        <w:t>Classical monocyte subpopulations (CD14+CD16-) were higher in more severe patients with the MSAP patient having as much as 70% of the parent population on Day 3, which subsequently dropped to undetectable levels on Day 5</w:t>
      </w:r>
      <w:r w:rsidR="00C34468" w:rsidRPr="003436EA">
        <w:rPr>
          <w:rFonts w:ascii="Book Antiqua" w:hAnsi="Book Antiqua" w:hint="eastAsia"/>
          <w:lang w:eastAsia="zh-CN"/>
        </w:rPr>
        <w:t xml:space="preserve">. </w:t>
      </w:r>
      <w:r w:rsidRPr="003436EA">
        <w:rPr>
          <w:rFonts w:ascii="Book Antiqua" w:hAnsi="Book Antiqua"/>
          <w:lang w:eastAsia="zh-CN"/>
        </w:rPr>
        <w:t>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They</w:t>
      </w:r>
      <w:r w:rsidR="00502167" w:rsidRPr="003436EA">
        <w:rPr>
          <w:rFonts w:ascii="Book Antiqua" w:hAnsi="Book Antiqua"/>
          <w:lang w:eastAsia="zh-CN"/>
        </w:rPr>
        <w:t xml:space="preserve"> show</w:t>
      </w:r>
      <w:r w:rsidR="00502167" w:rsidRPr="003436EA">
        <w:rPr>
          <w:rFonts w:ascii="Book Antiqua" w:hAnsi="Book Antiqua" w:hint="eastAsia"/>
          <w:lang w:eastAsia="zh-CN"/>
        </w:rPr>
        <w:t>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plot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CD14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Cy5.5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HLA-DR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BV650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C34468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percentage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HLA-DR+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increased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from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4%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47%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5.</w:t>
      </w:r>
      <w:r w:rsidR="00971274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BUV: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Horizon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Brilliant™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Ultraviolet;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Cyanine;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BV: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Brilliant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Violet™;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HLA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DR: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H</w:t>
      </w:r>
      <w:r w:rsidRPr="003436EA">
        <w:rPr>
          <w:rFonts w:ascii="Book Antiqua" w:hAnsi="Book Antiqua"/>
          <w:lang w:eastAsia="zh-CN"/>
        </w:rPr>
        <w:t>uman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leukocyte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related;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Phycoerythrin;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Peridinin-Chlorophyll-protein;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luster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differentiation.</w:t>
      </w:r>
      <w:r w:rsidRPr="003436EA">
        <w:rPr>
          <w:rFonts w:ascii="Book Antiqua" w:hAnsi="Book Antiqua"/>
          <w:lang w:eastAsia="zh-CN"/>
        </w:rPr>
        <w:br w:type="page"/>
      </w:r>
    </w:p>
    <w:p w14:paraId="6D04934A" w14:textId="63AE5CB9" w:rsidR="00CF411A" w:rsidRPr="003436EA" w:rsidRDefault="00BF6322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lastRenderedPageBreak/>
        <w:t xml:space="preserve"> </w:t>
      </w:r>
      <w:r w:rsidR="00CF411A" w:rsidRPr="003436EA">
        <w:rPr>
          <w:rFonts w:ascii="Book Antiqua" w:hAnsi="Book Antiqua"/>
          <w:noProof/>
          <w:lang w:eastAsia="zh-CN"/>
        </w:rPr>
        <w:drawing>
          <wp:inline distT="0" distB="0" distL="0" distR="0" wp14:anchorId="00CFA5EC" wp14:editId="287D6835">
            <wp:extent cx="5943600" cy="4439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3C8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DD88" w14:textId="0E00D80E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6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plot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generated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from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FlowJo™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version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10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(Oregon,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7F496A" w:rsidRPr="003436EA">
        <w:rPr>
          <w:rFonts w:ascii="Book Antiqua" w:hAnsi="Book Antiqua"/>
          <w:b/>
          <w:bCs/>
          <w:lang w:eastAsia="zh-CN"/>
        </w:rPr>
        <w:t>United States</w:t>
      </w:r>
      <w:r w:rsidRPr="003436EA">
        <w:rPr>
          <w:rFonts w:ascii="Book Antiqua" w:hAnsi="Book Antiqua"/>
          <w:b/>
          <w:bCs/>
          <w:lang w:eastAsia="zh-CN"/>
        </w:rPr>
        <w:t>)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of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an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502167" w:rsidRPr="003436EA">
        <w:rPr>
          <w:rFonts w:ascii="Book Antiqua" w:hAnsi="Book Antiqua"/>
          <w:b/>
          <w:bCs/>
          <w:lang w:eastAsia="zh-CN"/>
        </w:rPr>
        <w:t>severe acute pancreatitis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patient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for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monocyte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subpopulations.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were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intermediate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(CD16</w:t>
      </w:r>
      <w:r w:rsidRPr="003436EA">
        <w:rPr>
          <w:rFonts w:ascii="Book Antiqua" w:hAnsi="Book Antiqua"/>
          <w:vertAlign w:val="superscript"/>
          <w:lang w:eastAsia="zh-CN"/>
        </w:rPr>
        <w:t>+</w:t>
      </w:r>
      <w:r w:rsidRPr="003436EA">
        <w:rPr>
          <w:rFonts w:ascii="Book Antiqua" w:hAnsi="Book Antiqua"/>
          <w:lang w:eastAsia="zh-CN"/>
        </w:rPr>
        <w:t>CD14</w:t>
      </w:r>
      <w:r w:rsidRPr="003436EA">
        <w:rPr>
          <w:rFonts w:ascii="Book Antiqua" w:hAnsi="Book Antiqua"/>
          <w:vertAlign w:val="superscript"/>
          <w:lang w:eastAsia="zh-CN"/>
        </w:rPr>
        <w:t>+</w:t>
      </w:r>
      <w:r w:rsidRPr="003436EA">
        <w:rPr>
          <w:rFonts w:ascii="Book Antiqua" w:hAnsi="Book Antiqua"/>
          <w:lang w:eastAsia="zh-CN"/>
        </w:rPr>
        <w:t>),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classical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(CD16</w:t>
      </w:r>
      <w:r w:rsidRPr="003436EA">
        <w:rPr>
          <w:rFonts w:ascii="Book Antiqua" w:hAnsi="Book Antiqua"/>
          <w:vertAlign w:val="superscript"/>
          <w:lang w:eastAsia="zh-CN"/>
        </w:rPr>
        <w:t>-</w:t>
      </w:r>
      <w:r w:rsidRPr="003436EA">
        <w:rPr>
          <w:rFonts w:ascii="Book Antiqua" w:hAnsi="Book Antiqua"/>
          <w:lang w:eastAsia="zh-CN"/>
        </w:rPr>
        <w:t>CD14</w:t>
      </w:r>
      <w:r w:rsidRPr="003436EA">
        <w:rPr>
          <w:rFonts w:ascii="Book Antiqua" w:hAnsi="Book Antiqua"/>
          <w:vertAlign w:val="superscript"/>
          <w:lang w:eastAsia="zh-CN"/>
        </w:rPr>
        <w:t>+</w:t>
      </w:r>
      <w:r w:rsidRPr="003436EA">
        <w:rPr>
          <w:rFonts w:ascii="Book Antiqua" w:hAnsi="Book Antiqua"/>
          <w:lang w:eastAsia="zh-CN"/>
        </w:rPr>
        <w:t>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non-classical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(CD16</w:t>
      </w:r>
      <w:r w:rsidRPr="003436EA">
        <w:rPr>
          <w:rFonts w:ascii="Book Antiqua" w:hAnsi="Book Antiqua"/>
          <w:vertAlign w:val="superscript"/>
          <w:lang w:eastAsia="zh-CN"/>
        </w:rPr>
        <w:t>+</w:t>
      </w:r>
      <w:r w:rsidRPr="003436EA">
        <w:rPr>
          <w:rFonts w:ascii="Book Antiqua" w:hAnsi="Book Antiqua"/>
          <w:lang w:eastAsia="zh-CN"/>
        </w:rPr>
        <w:t>CD14</w:t>
      </w:r>
      <w:r w:rsidRPr="003436EA">
        <w:rPr>
          <w:rFonts w:ascii="Book Antiqua" w:hAnsi="Book Antiqua"/>
          <w:vertAlign w:val="superscript"/>
          <w:lang w:eastAsia="zh-CN"/>
        </w:rPr>
        <w:t>-</w:t>
      </w:r>
      <w:r w:rsidRPr="003436EA">
        <w:rPr>
          <w:rFonts w:ascii="Book Antiqua" w:hAnsi="Book Antiqua"/>
          <w:lang w:eastAsia="zh-CN"/>
        </w:rPr>
        <w:t>).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 xml:space="preserve">They </w:t>
      </w:r>
      <w:r w:rsidRPr="003436EA">
        <w:rPr>
          <w:rFonts w:ascii="Book Antiqua" w:hAnsi="Book Antiqua"/>
          <w:lang w:eastAsia="zh-CN"/>
        </w:rPr>
        <w:t>show</w:t>
      </w:r>
      <w:r w:rsidR="00502167" w:rsidRPr="003436EA">
        <w:rPr>
          <w:rFonts w:ascii="Book Antiqua" w:hAnsi="Book Antiqua" w:hint="eastAsia"/>
          <w:lang w:eastAsia="zh-CN"/>
        </w:rPr>
        <w:t>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CD14CD16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plot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They</w:t>
      </w:r>
      <w:r w:rsidR="00502167" w:rsidRPr="003436EA">
        <w:rPr>
          <w:rFonts w:ascii="Book Antiqua" w:hAnsi="Book Antiqua"/>
          <w:lang w:eastAsia="zh-CN"/>
        </w:rPr>
        <w:t xml:space="preserve"> show</w:t>
      </w:r>
      <w:r w:rsidR="00502167" w:rsidRPr="003436EA">
        <w:rPr>
          <w:rFonts w:ascii="Book Antiqua" w:hAnsi="Book Antiqua" w:hint="eastAsia"/>
          <w:lang w:eastAsia="zh-CN"/>
        </w:rPr>
        <w:t>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plot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CD14HLA-DR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respectively.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percentage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HLA-DR</w:t>
      </w:r>
      <w:r w:rsidRPr="003436EA">
        <w:rPr>
          <w:rFonts w:ascii="Book Antiqua" w:hAnsi="Book Antiqua"/>
          <w:vertAlign w:val="superscript"/>
          <w:lang w:eastAsia="zh-CN"/>
        </w:rPr>
        <w:t>+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increased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from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4</w:t>
      </w:r>
      <w:r w:rsidR="007F496A" w:rsidRPr="003436EA">
        <w:rPr>
          <w:rFonts w:ascii="Book Antiqua" w:hAnsi="Book Antiqua"/>
          <w:lang w:eastAsia="zh-CN"/>
        </w:rPr>
        <w:t>%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13</w:t>
      </w:r>
      <w:r w:rsidR="007F496A" w:rsidRPr="003436EA">
        <w:rPr>
          <w:rFonts w:ascii="Book Antiqua" w:hAnsi="Book Antiqua"/>
          <w:lang w:eastAsia="zh-CN"/>
        </w:rPr>
        <w:t>%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5.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BUV: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Horizon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Brilliant™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Ultraviolet;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luster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differentiation;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Cyanine;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BV: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Brilliant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Violet™;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HLA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DR: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H</w:t>
      </w:r>
      <w:r w:rsidRPr="003436EA">
        <w:rPr>
          <w:rFonts w:ascii="Book Antiqua" w:hAnsi="Book Antiqua"/>
          <w:lang w:eastAsia="zh-CN"/>
        </w:rPr>
        <w:t>uman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leukocyte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related;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Phycoerythrin;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PerCP: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Peridinin-Chlorophyll-protein;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502167" w:rsidRPr="003436EA">
        <w:rPr>
          <w:rFonts w:ascii="Book Antiqua" w:hAnsi="Book Antiqua" w:hint="eastAsia"/>
          <w:lang w:eastAsia="zh-CN"/>
        </w:rPr>
        <w:t>C</w:t>
      </w:r>
      <w:r w:rsidRPr="003436EA">
        <w:rPr>
          <w:rFonts w:ascii="Book Antiqua" w:hAnsi="Book Antiqua"/>
          <w:lang w:eastAsia="zh-CN"/>
        </w:rPr>
        <w:t>luster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differentiation.</w:t>
      </w:r>
      <w:r w:rsidR="00BF6322" w:rsidRPr="003436EA">
        <w:rPr>
          <w:rFonts w:ascii="Book Antiqua" w:hAnsi="Book Antiqua"/>
          <w:lang w:eastAsia="zh-CN"/>
        </w:rPr>
        <w:t xml:space="preserve"> </w:t>
      </w:r>
    </w:p>
    <w:p w14:paraId="7AFB8985" w14:textId="7777777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br w:type="page"/>
      </w:r>
    </w:p>
    <w:p w14:paraId="4296627B" w14:textId="7777777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  <w:sectPr w:rsidR="00CF411A" w:rsidRPr="003436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E5B29" w14:textId="14BA1A79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C2EEE5A" wp14:editId="460571F7">
            <wp:extent cx="8161020" cy="4661198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CFB3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466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D6EB" w14:textId="58470C34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b/>
          <w:bCs/>
          <w:lang w:eastAsia="zh-CN"/>
        </w:rPr>
        <w:t>Figure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7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schematic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shows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the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possible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mechanism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by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which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="00502167" w:rsidRPr="003436EA">
        <w:rPr>
          <w:rFonts w:ascii="Book Antiqua" w:hAnsi="Book Antiqua"/>
          <w:b/>
          <w:bCs/>
          <w:iCs/>
          <w:lang w:eastAsia="zh-CN"/>
        </w:rPr>
        <w:t>chemokine receptor 8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is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upregulated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in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peripheral</w:t>
      </w:r>
      <w:r w:rsidR="00BF6322" w:rsidRPr="003436EA">
        <w:rPr>
          <w:rFonts w:ascii="Book Antiqua" w:hAnsi="Book Antiqua"/>
          <w:b/>
          <w:bCs/>
          <w:lang w:eastAsia="zh-CN"/>
        </w:rPr>
        <w:t xml:space="preserve"> </w:t>
      </w:r>
      <w:r w:rsidRPr="003436EA">
        <w:rPr>
          <w:rFonts w:ascii="Book Antiqua" w:hAnsi="Book Antiqua"/>
          <w:b/>
          <w:bCs/>
          <w:lang w:eastAsia="zh-CN"/>
        </w:rPr>
        <w:t>blood</w:t>
      </w:r>
      <w:r w:rsidRPr="003436EA">
        <w:rPr>
          <w:rFonts w:ascii="Book Antiqua" w:hAnsi="Book Antiqua"/>
          <w:lang w:eastAsia="zh-CN"/>
        </w:rPr>
        <w:t>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Upon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elevation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trypsin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due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acinar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injury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acute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pancreatitis,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lymphoid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groups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(ILCs),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neutrophils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eosinophils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migrate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site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injury.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Once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pancreatic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tissue,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become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activated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macrophages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(φ)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which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express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chemokine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(C-C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motif)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ligand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="00644D9B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</w:t>
      </w:r>
      <w:r w:rsidRPr="003436EA">
        <w:rPr>
          <w:rFonts w:ascii="Book Antiqua" w:hAnsi="Book Antiqua"/>
          <w:i/>
          <w:iCs/>
          <w:lang w:eastAsia="zh-CN"/>
        </w:rPr>
        <w:t>CCL1</w:t>
      </w:r>
      <w:r w:rsidRPr="003436EA">
        <w:rPr>
          <w:rFonts w:ascii="Book Antiqua" w:hAnsi="Book Antiqua"/>
          <w:lang w:eastAsia="zh-CN"/>
        </w:rPr>
        <w:t>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lastRenderedPageBreak/>
        <w:t>CCL1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binds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turn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binds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="00644D9B" w:rsidRPr="003436EA">
        <w:rPr>
          <w:rFonts w:ascii="Book Antiqua" w:hAnsi="Book Antiqua"/>
          <w:iCs/>
          <w:lang w:eastAsia="zh-CN"/>
        </w:rPr>
        <w:t>chemokine receptor 8</w:t>
      </w:r>
      <w:r w:rsidR="00644D9B" w:rsidRPr="003436EA">
        <w:rPr>
          <w:rFonts w:ascii="Book Antiqua" w:hAnsi="Book Antiqua" w:hint="eastAsia"/>
          <w:iCs/>
          <w:lang w:eastAsia="zh-CN"/>
        </w:rPr>
        <w:t xml:space="preserve"> (</w:t>
      </w:r>
      <w:r w:rsidRPr="003436EA">
        <w:rPr>
          <w:rFonts w:ascii="Book Antiqua" w:hAnsi="Book Antiqua"/>
          <w:iCs/>
          <w:lang w:eastAsia="zh-CN"/>
        </w:rPr>
        <w:t>CCR8</w:t>
      </w:r>
      <w:r w:rsidR="00644D9B" w:rsidRPr="003436EA">
        <w:rPr>
          <w:rFonts w:ascii="Book Antiqua" w:hAnsi="Book Antiqua" w:hint="eastAsia"/>
          <w:iCs/>
          <w:lang w:eastAsia="zh-CN"/>
        </w:rPr>
        <w:t>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surface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macrophages,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ILC2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neutrophils.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with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MSAP,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ILC2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cytokines,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interleukin-4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(IL-4),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IL-5,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IL-13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upregulated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while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downregulation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cytokines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observed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(Table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S3).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observed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increases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i/>
          <w:iCs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SAP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patients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due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excessive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activation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of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macrophages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activated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(ILCs,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neutrophils,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monocytes)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releasing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IL-1-β,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tumor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necrosis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factor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alpha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(TNF-α),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IL-6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local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sites,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which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send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signals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activate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recruit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inflammatory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which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include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macrophages,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neutrophils,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ILC2,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ILC3</w:t>
      </w:r>
      <w:r w:rsidR="00644D9B" w:rsidRPr="003436EA">
        <w:rPr>
          <w:rFonts w:ascii="Book Antiqua" w:hAnsi="Book Antiqua" w:hint="eastAsia"/>
          <w:lang w:eastAsia="zh-CN"/>
        </w:rPr>
        <w:t>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</w:t>
      </w:r>
      <w:r w:rsidR="00644D9B" w:rsidRPr="003436EA">
        <w:rPr>
          <w:rFonts w:ascii="Book Antiqua" w:hAnsi="Book Antiqua" w:hint="eastAsia"/>
          <w:lang w:eastAsia="zh-CN"/>
        </w:rPr>
        <w:t>-</w:t>
      </w:r>
      <w:r w:rsidRPr="003436EA">
        <w:rPr>
          <w:rFonts w:ascii="Book Antiqua" w:hAnsi="Book Antiqua"/>
          <w:lang w:eastAsia="zh-CN"/>
        </w:rPr>
        <w:t>D: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cells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migrate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bloodstream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express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Toll-like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Nucleotide-binding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oligomerization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domain,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caspase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</w:t>
      </w:r>
      <w:r w:rsidR="00644D9B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genes.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genes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are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mainly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expressed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monocytes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release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proinflammatory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cytokines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such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IL-6,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IL-8,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TNF-α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depending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their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levels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peripheral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blood,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will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cause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dysregulation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that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leads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to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systemic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inflammatory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response</w:t>
      </w:r>
      <w:r w:rsidR="00644D9B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consequently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single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multiple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organ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failure.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IL: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644D9B" w:rsidRPr="003436EA">
        <w:rPr>
          <w:rFonts w:ascii="Book Antiqua" w:hAnsi="Book Antiqua" w:hint="eastAsia"/>
          <w:lang w:eastAsia="zh-CN"/>
        </w:rPr>
        <w:t>I</w:t>
      </w:r>
      <w:r w:rsidRPr="003436EA">
        <w:rPr>
          <w:rFonts w:ascii="Book Antiqua" w:hAnsi="Book Antiqua"/>
          <w:lang w:eastAsia="zh-CN"/>
        </w:rPr>
        <w:t>nterleukin;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CASP1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Caspase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1,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apoptosis-related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cysteine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peptidase;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CCR8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Chemokine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8;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TRL1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644D9B" w:rsidRPr="003436EA">
        <w:rPr>
          <w:rFonts w:ascii="Book Antiqua" w:hAnsi="Book Antiqua" w:hint="eastAsia"/>
          <w:lang w:eastAsia="zh-CN"/>
        </w:rPr>
        <w:t>T</w:t>
      </w:r>
      <w:r w:rsidRPr="003436EA">
        <w:rPr>
          <w:rFonts w:ascii="Book Antiqua" w:hAnsi="Book Antiqua"/>
          <w:lang w:eastAsia="zh-CN"/>
        </w:rPr>
        <w:t>oll-like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receptor-1;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NOD1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Nucleotide-binding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oligomerization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domain-containing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protein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i/>
          <w:iCs/>
          <w:lang w:eastAsia="zh-CN"/>
        </w:rPr>
        <w:t>CCL1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Chemokine</w:t>
      </w:r>
      <w:r w:rsidR="00644D9B" w:rsidRPr="003436EA">
        <w:rPr>
          <w:rFonts w:ascii="Book Antiqua" w:hAnsi="Book Antiqua" w:hint="eastAsi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ligand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1;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TNF-</w:t>
      </w:r>
      <w:r w:rsidRPr="003436EA">
        <w:rPr>
          <w:rFonts w:ascii="Book Antiqua" w:hAnsi="Book Antiqua"/>
          <w:lang w:val="el-GR" w:eastAsia="zh-CN"/>
        </w:rPr>
        <w:t>α</w:t>
      </w:r>
      <w:r w:rsidRPr="003436EA">
        <w:rPr>
          <w:rFonts w:ascii="Book Antiqua" w:hAnsi="Book Antiqua"/>
          <w:lang w:eastAsia="zh-CN"/>
        </w:rPr>
        <w:t>: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="00644D9B" w:rsidRPr="003436EA">
        <w:rPr>
          <w:rFonts w:ascii="Book Antiqua" w:hAnsi="Book Antiqua" w:hint="eastAsia"/>
          <w:lang w:eastAsia="zh-CN"/>
        </w:rPr>
        <w:t>T</w:t>
      </w:r>
      <w:r w:rsidRPr="003436EA">
        <w:rPr>
          <w:rFonts w:ascii="Book Antiqua" w:hAnsi="Book Antiqua"/>
          <w:lang w:eastAsia="zh-CN"/>
        </w:rPr>
        <w:t>umor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necrosis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factor</w:t>
      </w:r>
      <w:r w:rsidR="00BF6322" w:rsidRPr="003436EA">
        <w:rPr>
          <w:rFonts w:ascii="Book Antiqua" w:hAnsi="Book Antiqua"/>
          <w:lang w:eastAsia="zh-CN"/>
        </w:rPr>
        <w:t xml:space="preserve"> </w:t>
      </w:r>
      <w:r w:rsidRPr="003436EA">
        <w:rPr>
          <w:rFonts w:ascii="Book Antiqua" w:hAnsi="Book Antiqua"/>
          <w:lang w:eastAsia="zh-CN"/>
        </w:rPr>
        <w:t>alpha.</w:t>
      </w:r>
    </w:p>
    <w:p w14:paraId="7CD7FF1A" w14:textId="59F1FD86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6EA">
        <w:rPr>
          <w:rFonts w:ascii="Book Antiqua" w:hAnsi="Book Antiqua"/>
          <w:lang w:eastAsia="zh-CN"/>
        </w:rPr>
        <w:br w:type="page"/>
      </w:r>
    </w:p>
    <w:p w14:paraId="07EA23C1" w14:textId="77777777" w:rsidR="00CF411A" w:rsidRPr="003436EA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  <w:sectPr w:rsidR="00CF411A" w:rsidRPr="003436EA" w:rsidSect="00CF41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D6688B0" w14:textId="47DEB8A3" w:rsidR="001D08D6" w:rsidRPr="003436EA" w:rsidRDefault="001D08D6" w:rsidP="001D08D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436EA">
        <w:rPr>
          <w:rFonts w:ascii="Book Antiqua" w:eastAsia="宋体" w:hAnsi="Book Antiqua"/>
          <w:b/>
        </w:rPr>
        <w:lastRenderedPageBreak/>
        <w:t>Table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1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Demographic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characteristics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of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the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="00644D9B" w:rsidRPr="003436EA">
        <w:rPr>
          <w:rFonts w:ascii="Book Antiqua" w:eastAsia="宋体" w:hAnsi="Book Antiqua" w:hint="eastAsia"/>
          <w:b/>
          <w:lang w:eastAsia="zh-CN"/>
        </w:rPr>
        <w:t>a</w:t>
      </w:r>
      <w:r w:rsidR="00644D9B" w:rsidRPr="003436EA">
        <w:rPr>
          <w:rFonts w:ascii="Book Antiqua" w:eastAsia="宋体" w:hAnsi="Book Antiqua"/>
          <w:b/>
        </w:rPr>
        <w:t>cute pancreatitis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patients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included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in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the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gene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expression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analysis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study</w:t>
      </w:r>
    </w:p>
    <w:tbl>
      <w:tblPr>
        <w:tblStyle w:val="PlainTable21"/>
        <w:tblW w:w="9888" w:type="dxa"/>
        <w:tblLook w:val="04A0" w:firstRow="1" w:lastRow="0" w:firstColumn="1" w:lastColumn="0" w:noHBand="0" w:noVBand="1"/>
      </w:tblPr>
      <w:tblGrid>
        <w:gridCol w:w="4876"/>
        <w:gridCol w:w="5012"/>
      </w:tblGrid>
      <w:tr w:rsidR="001D08D6" w:rsidRPr="003436EA" w14:paraId="5AC0703D" w14:textId="77777777" w:rsidTr="001D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196B9AF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Parameter</w:t>
            </w:r>
          </w:p>
        </w:tc>
        <w:tc>
          <w:tcPr>
            <w:tcW w:w="501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E5E17B5" w14:textId="20B481A7" w:rsidR="001D08D6" w:rsidRPr="003436EA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Value</w:t>
            </w:r>
            <w:r w:rsidR="00BF6322" w:rsidRPr="003436EA">
              <w:rPr>
                <w:rFonts w:ascii="Book Antiqua" w:eastAsia="宋体" w:hAnsi="Book Antiqua"/>
              </w:rPr>
              <w:t xml:space="preserve"> </w:t>
            </w:r>
            <w:r w:rsidRPr="003436EA">
              <w:rPr>
                <w:rFonts w:ascii="Book Antiqua" w:eastAsia="宋体" w:hAnsi="Book Antiqua"/>
              </w:rPr>
              <w:t>[</w:t>
            </w:r>
            <w:r w:rsidRPr="003436EA">
              <w:rPr>
                <w:rFonts w:ascii="Book Antiqua" w:eastAsia="宋体" w:hAnsi="Book Antiqua"/>
                <w:i/>
              </w:rPr>
              <w:t>n</w:t>
            </w:r>
            <w:r w:rsidRPr="003436EA">
              <w:rPr>
                <w:rFonts w:ascii="Book Antiqua" w:eastAsia="宋体" w:hAnsi="Book Antiqua"/>
              </w:rPr>
              <w:t>,</w:t>
            </w:r>
            <w:r w:rsidR="00644D9B" w:rsidRPr="003436EA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3436EA">
              <w:rPr>
                <w:rFonts w:ascii="Book Antiqua" w:eastAsia="宋体" w:hAnsi="Book Antiqua"/>
              </w:rPr>
              <w:t>%]</w:t>
            </w:r>
          </w:p>
        </w:tc>
      </w:tr>
      <w:tr w:rsidR="001D08D6" w:rsidRPr="003436EA" w14:paraId="784D3D63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single" w:sz="4" w:space="0" w:color="auto"/>
              <w:bottom w:val="nil"/>
            </w:tcBorders>
          </w:tcPr>
          <w:p w14:paraId="239ECD2C" w14:textId="7A60AB97" w:rsidR="001D08D6" w:rsidRPr="003436EA" w:rsidRDefault="001D08D6" w:rsidP="00644D9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AP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 w:hint="eastAsia"/>
                <w:b w:val="0"/>
                <w:lang w:eastAsia="zh-CN"/>
              </w:rPr>
              <w:t>p</w:t>
            </w:r>
            <w:r w:rsidRPr="003436EA">
              <w:rPr>
                <w:rFonts w:ascii="Book Antiqua" w:eastAsia="宋体" w:hAnsi="Book Antiqua"/>
                <w:b w:val="0"/>
              </w:rPr>
              <w:t>atient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 w:hint="eastAsia"/>
                <w:b w:val="0"/>
                <w:lang w:eastAsia="zh-CN"/>
              </w:rPr>
              <w:t>d</w:t>
            </w:r>
            <w:r w:rsidRPr="003436EA">
              <w:rPr>
                <w:rFonts w:ascii="Book Antiqua" w:eastAsia="宋体" w:hAnsi="Book Antiqua"/>
                <w:b w:val="0"/>
              </w:rPr>
              <w:t>emographics</w:t>
            </w:r>
          </w:p>
        </w:tc>
        <w:tc>
          <w:tcPr>
            <w:tcW w:w="5012" w:type="dxa"/>
            <w:tcBorders>
              <w:top w:val="single" w:sz="4" w:space="0" w:color="auto"/>
              <w:bottom w:val="nil"/>
            </w:tcBorders>
          </w:tcPr>
          <w:p w14:paraId="1E31D1E0" w14:textId="4B697CAD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  <w:i/>
              </w:rPr>
              <w:t>n</w:t>
            </w:r>
            <w:r w:rsidR="000C7DD3" w:rsidRPr="003436EA">
              <w:rPr>
                <w:rFonts w:ascii="Book Antiqua" w:eastAsia="宋体" w:hAnsi="Book Antiqua"/>
              </w:rPr>
              <w:t xml:space="preserve"> = </w:t>
            </w:r>
            <w:r w:rsidRPr="003436EA">
              <w:rPr>
                <w:rFonts w:ascii="Book Antiqua" w:eastAsia="宋体" w:hAnsi="Book Antiqua"/>
              </w:rPr>
              <w:t>29</w:t>
            </w:r>
          </w:p>
        </w:tc>
      </w:tr>
      <w:tr w:rsidR="001D08D6" w:rsidRPr="003436EA" w14:paraId="4937C415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4638F5F3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MAP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12405634" w14:textId="465E1E4E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14</w:t>
            </w:r>
            <w:r w:rsidR="00644D9B" w:rsidRPr="003436EA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3436EA">
              <w:rPr>
                <w:rFonts w:ascii="Book Antiqua" w:eastAsia="宋体" w:hAnsi="Book Antiqua"/>
              </w:rPr>
              <w:t>(48)</w:t>
            </w:r>
          </w:p>
        </w:tc>
      </w:tr>
      <w:tr w:rsidR="001D08D6" w:rsidRPr="003436EA" w14:paraId="4C9B9E52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7B6A467F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MSAP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371F736B" w14:textId="23BD6F0E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11</w:t>
            </w:r>
            <w:r w:rsidR="00644D9B" w:rsidRPr="003436EA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3436EA">
              <w:rPr>
                <w:rFonts w:ascii="Book Antiqua" w:eastAsia="宋体" w:hAnsi="Book Antiqua"/>
              </w:rPr>
              <w:t>(38)</w:t>
            </w:r>
          </w:p>
        </w:tc>
      </w:tr>
      <w:tr w:rsidR="001D08D6" w:rsidRPr="003436EA" w14:paraId="65801D55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09159073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SAP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1B534B65" w14:textId="757DD945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4</w:t>
            </w:r>
            <w:r w:rsidR="00BF6322" w:rsidRPr="003436EA">
              <w:rPr>
                <w:rFonts w:ascii="Book Antiqua" w:eastAsia="宋体" w:hAnsi="Book Antiqua"/>
              </w:rPr>
              <w:t xml:space="preserve"> </w:t>
            </w:r>
            <w:r w:rsidRPr="003436EA">
              <w:rPr>
                <w:rFonts w:ascii="Book Antiqua" w:eastAsia="宋体" w:hAnsi="Book Antiqua"/>
              </w:rPr>
              <w:t>(14)</w:t>
            </w:r>
          </w:p>
        </w:tc>
      </w:tr>
      <w:tr w:rsidR="001D08D6" w:rsidRPr="003436EA" w14:paraId="4026638B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7EF23631" w14:textId="2F70C770" w:rsidR="001D08D6" w:rsidRPr="003436EA" w:rsidRDefault="001D08D6" w:rsidP="00644D9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lang w:eastAsia="zh-CN"/>
              </w:rPr>
            </w:pPr>
            <w:r w:rsidRPr="003436EA">
              <w:rPr>
                <w:rFonts w:ascii="Book Antiqua" w:eastAsia="宋体" w:hAnsi="Book Antiqua"/>
                <w:b w:val="0"/>
              </w:rPr>
              <w:t>Age</w:t>
            </w:r>
            <w:r w:rsidR="00644D9B" w:rsidRPr="003436EA">
              <w:rPr>
                <w:rFonts w:ascii="Book Antiqua" w:eastAsia="宋体" w:hAnsi="Book Antiqua" w:hint="eastAsia"/>
                <w:b w:val="0"/>
                <w:lang w:eastAsia="zh-CN"/>
              </w:rPr>
              <w:t xml:space="preserve"> (yr), [</w:t>
            </w:r>
            <w:r w:rsidRPr="003436EA">
              <w:rPr>
                <w:rFonts w:ascii="Book Antiqua" w:eastAsia="宋体" w:hAnsi="Book Antiqua"/>
                <w:b w:val="0"/>
              </w:rPr>
              <w:t>median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Pr="003436EA">
              <w:rPr>
                <w:rFonts w:ascii="Book Antiqua" w:eastAsia="宋体" w:hAnsi="Book Antiqua"/>
                <w:b w:val="0"/>
              </w:rPr>
              <w:t>(IQR)</w:t>
            </w:r>
            <w:r w:rsidR="00644D9B" w:rsidRPr="003436EA">
              <w:rPr>
                <w:rFonts w:ascii="Book Antiqua" w:eastAsia="宋体" w:hAnsi="Book Antiqua" w:hint="eastAsia"/>
                <w:b w:val="0"/>
                <w:lang w:eastAsia="zh-CN"/>
              </w:rPr>
              <w:t>]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2D1600B8" w14:textId="0827BB16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41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23</w:t>
            </w:r>
            <w:r w:rsidR="00644D9B" w:rsidRPr="003436EA">
              <w:rPr>
                <w:rFonts w:ascii="Book Antiqua" w:eastAsia="宋体" w:hAnsi="Book Antiqua"/>
              </w:rPr>
              <w:t xml:space="preserve">, </w:t>
            </w:r>
            <w:r w:rsidRPr="003436EA">
              <w:rPr>
                <w:rFonts w:ascii="Book Antiqua" w:eastAsia="宋体" w:hAnsi="Book Antiqua"/>
              </w:rPr>
              <w:t>76)</w:t>
            </w:r>
          </w:p>
        </w:tc>
      </w:tr>
      <w:tr w:rsidR="001D08D6" w:rsidRPr="003436EA" w14:paraId="51B4DA48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BC59707" w14:textId="167CA228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Male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63F9E9E" w14:textId="21A38D7F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17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49)</w:t>
            </w:r>
          </w:p>
        </w:tc>
      </w:tr>
      <w:tr w:rsidR="001D08D6" w:rsidRPr="003436EA" w14:paraId="6AE9427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2226CF8E" w14:textId="42AA4406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Female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45F5346E" w14:textId="0A0F18C2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12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51)</w:t>
            </w:r>
          </w:p>
        </w:tc>
      </w:tr>
      <w:tr w:rsidR="001D08D6" w:rsidRPr="003436EA" w14:paraId="606EDC20" w14:textId="77777777" w:rsidTr="007F49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1A8B025" w14:textId="0669B41E" w:rsidR="001D08D6" w:rsidRPr="003436EA" w:rsidRDefault="001D08D6" w:rsidP="00030388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AP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030388" w:rsidRPr="003436EA">
              <w:rPr>
                <w:rFonts w:ascii="Book Antiqua" w:eastAsia="宋体" w:hAnsi="Book Antiqua" w:hint="eastAsia"/>
                <w:b w:val="0"/>
                <w:lang w:eastAsia="zh-CN"/>
              </w:rPr>
              <w:t>e</w:t>
            </w:r>
            <w:r w:rsidRPr="003436EA">
              <w:rPr>
                <w:rFonts w:ascii="Book Antiqua" w:eastAsia="宋体" w:hAnsi="Book Antiqua"/>
                <w:b w:val="0"/>
              </w:rPr>
              <w:t>tiology/risk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Pr="003436EA">
              <w:rPr>
                <w:rFonts w:ascii="Book Antiqua" w:eastAsia="宋体" w:hAnsi="Book Antiqua"/>
                <w:b w:val="0"/>
              </w:rPr>
              <w:t>factor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F7A4327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</w:p>
        </w:tc>
      </w:tr>
      <w:tr w:rsidR="001D08D6" w:rsidRPr="003436EA" w14:paraId="44784F2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17FF90DE" w14:textId="43C2BAB8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Biliary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426554F0" w14:textId="1FE5C30A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13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45)</w:t>
            </w:r>
          </w:p>
        </w:tc>
      </w:tr>
      <w:tr w:rsidR="001D08D6" w:rsidRPr="003436EA" w14:paraId="1678ECED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682894D" w14:textId="34A741AC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Alcohol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8DA36E5" w14:textId="34CF6CBB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13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45)</w:t>
            </w:r>
          </w:p>
        </w:tc>
      </w:tr>
      <w:tr w:rsidR="001D08D6" w:rsidRPr="003436EA" w14:paraId="60F979E1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3825EBA2" w14:textId="03112345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ERCP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21CD6DC9" w14:textId="3598E4EA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1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3)</w:t>
            </w:r>
          </w:p>
        </w:tc>
      </w:tr>
      <w:tr w:rsidR="001D08D6" w:rsidRPr="003436EA" w14:paraId="1DF0B404" w14:textId="77777777" w:rsidTr="007F49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DC59FFA" w14:textId="0BF40FE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Antiretroviral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0197219A" w14:textId="2ABE9059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2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7)</w:t>
            </w:r>
          </w:p>
        </w:tc>
      </w:tr>
      <w:tr w:rsidR="001D08D6" w:rsidRPr="003436EA" w14:paraId="29CA117E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3636B13B" w14:textId="3BE78896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i/>
              </w:rPr>
            </w:pPr>
            <w:r w:rsidRPr="003436EA">
              <w:rPr>
                <w:rFonts w:ascii="Book Antiqua" w:eastAsia="宋体" w:hAnsi="Book Antiqua"/>
                <w:b w:val="0"/>
                <w:i/>
              </w:rPr>
              <w:t>Healthy</w:t>
            </w:r>
            <w:r w:rsidR="00BF6322" w:rsidRPr="003436EA">
              <w:rPr>
                <w:rFonts w:ascii="Book Antiqua" w:eastAsia="宋体" w:hAnsi="Book Antiqua"/>
                <w:b w:val="0"/>
                <w:i/>
              </w:rPr>
              <w:t xml:space="preserve"> </w:t>
            </w:r>
            <w:r w:rsidRPr="003436EA">
              <w:rPr>
                <w:rFonts w:ascii="Book Antiqua" w:eastAsia="宋体" w:hAnsi="Book Antiqua"/>
                <w:b w:val="0"/>
                <w:i/>
              </w:rPr>
              <w:t>control</w:t>
            </w:r>
            <w:r w:rsidR="00BF6322" w:rsidRPr="003436EA">
              <w:rPr>
                <w:rFonts w:ascii="Book Antiqua" w:eastAsia="宋体" w:hAnsi="Book Antiqua"/>
                <w:b w:val="0"/>
                <w:i/>
              </w:rPr>
              <w:t xml:space="preserve"> </w:t>
            </w:r>
            <w:r w:rsidRPr="003436EA">
              <w:rPr>
                <w:rFonts w:ascii="Book Antiqua" w:eastAsia="宋体" w:hAnsi="Book Antiqua"/>
                <w:b w:val="0"/>
                <w:i/>
              </w:rPr>
              <w:t>Demographics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B39F71D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</w:p>
        </w:tc>
      </w:tr>
      <w:tr w:rsidR="001D08D6" w:rsidRPr="003436EA" w14:paraId="32A74A1A" w14:textId="77777777" w:rsidTr="007F496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480DCF49" w14:textId="16D4BFC7" w:rsidR="001D08D6" w:rsidRPr="003436EA" w:rsidRDefault="00644D9B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Age</w:t>
            </w:r>
            <w:r w:rsidRPr="003436EA">
              <w:rPr>
                <w:rFonts w:ascii="Book Antiqua" w:eastAsia="宋体" w:hAnsi="Book Antiqua" w:hint="eastAsia"/>
                <w:b w:val="0"/>
                <w:lang w:eastAsia="zh-CN"/>
              </w:rPr>
              <w:t xml:space="preserve"> (yr), [</w:t>
            </w:r>
            <w:r w:rsidRPr="003436EA">
              <w:rPr>
                <w:rFonts w:ascii="Book Antiqua" w:eastAsia="宋体" w:hAnsi="Book Antiqua"/>
                <w:b w:val="0"/>
              </w:rPr>
              <w:t>median (IQR)</w:t>
            </w:r>
            <w:r w:rsidRPr="003436EA">
              <w:rPr>
                <w:rFonts w:ascii="Book Antiqua" w:eastAsia="宋体" w:hAnsi="Book Antiqua" w:hint="eastAsia"/>
                <w:b w:val="0"/>
                <w:lang w:eastAsia="zh-CN"/>
              </w:rPr>
              <w:t>]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54D60C6B" w14:textId="1217771D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36.5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23</w:t>
            </w:r>
            <w:r w:rsidR="00644D9B" w:rsidRPr="003436EA">
              <w:rPr>
                <w:rFonts w:ascii="Book Antiqua" w:eastAsia="宋体" w:hAnsi="Book Antiqua"/>
              </w:rPr>
              <w:t xml:space="preserve">, </w:t>
            </w:r>
            <w:r w:rsidRPr="003436EA">
              <w:rPr>
                <w:rFonts w:ascii="Book Antiqua" w:eastAsia="宋体" w:hAnsi="Book Antiqua"/>
              </w:rPr>
              <w:t>55)</w:t>
            </w:r>
          </w:p>
        </w:tc>
      </w:tr>
      <w:tr w:rsidR="001D08D6" w:rsidRPr="003436EA" w14:paraId="29C143FA" w14:textId="77777777" w:rsidTr="001D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nil"/>
            </w:tcBorders>
          </w:tcPr>
          <w:p w14:paraId="56D28A21" w14:textId="475DC1D3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Male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14:paraId="660A0727" w14:textId="7068911A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3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50)</w:t>
            </w:r>
          </w:p>
        </w:tc>
      </w:tr>
      <w:tr w:rsidR="001D08D6" w:rsidRPr="003436EA" w14:paraId="31FC1F7F" w14:textId="77777777" w:rsidTr="001D08D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il"/>
              <w:bottom w:val="single" w:sz="4" w:space="0" w:color="auto"/>
            </w:tcBorders>
          </w:tcPr>
          <w:p w14:paraId="76599B5E" w14:textId="530E55FF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3436EA">
              <w:rPr>
                <w:rFonts w:ascii="Book Antiqua" w:eastAsia="宋体" w:hAnsi="Book Antiqua"/>
                <w:b w:val="0"/>
              </w:rPr>
              <w:t>Female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(</w:t>
            </w:r>
            <w:r w:rsidRPr="003436EA">
              <w:rPr>
                <w:rFonts w:ascii="Book Antiqua" w:eastAsia="宋体" w:hAnsi="Book Antiqua"/>
                <w:b w:val="0"/>
                <w:i/>
              </w:rPr>
              <w:t>n</w:t>
            </w:r>
            <w:r w:rsidRPr="003436EA">
              <w:rPr>
                <w:rFonts w:ascii="Book Antiqua" w:eastAsia="宋体" w:hAnsi="Book Antiqua"/>
                <w:b w:val="0"/>
              </w:rPr>
              <w:t>,</w:t>
            </w:r>
            <w:r w:rsidR="00BF6322" w:rsidRPr="003436EA">
              <w:rPr>
                <w:rFonts w:ascii="Book Antiqua" w:eastAsia="宋体" w:hAnsi="Book Antiqua"/>
                <w:b w:val="0"/>
              </w:rPr>
              <w:t xml:space="preserve"> </w:t>
            </w:r>
            <w:r w:rsidR="00644D9B" w:rsidRPr="003436EA">
              <w:rPr>
                <w:rFonts w:ascii="Book Antiqua" w:eastAsia="宋体" w:hAnsi="Book Antiqua"/>
                <w:b w:val="0"/>
              </w:rPr>
              <w:t>%)</w:t>
            </w: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</w:tcPr>
          <w:p w14:paraId="66AA6546" w14:textId="15204B0E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3436EA">
              <w:rPr>
                <w:rFonts w:ascii="Book Antiqua" w:eastAsia="宋体" w:hAnsi="Book Antiqua"/>
              </w:rPr>
              <w:t>3</w:t>
            </w:r>
            <w:r w:rsidR="00644D9B" w:rsidRPr="003436EA">
              <w:rPr>
                <w:rFonts w:ascii="Book Antiqua" w:eastAsia="宋体" w:hAnsi="Book Antiqua"/>
              </w:rPr>
              <w:t xml:space="preserve"> (</w:t>
            </w:r>
            <w:r w:rsidRPr="003436EA">
              <w:rPr>
                <w:rFonts w:ascii="Book Antiqua" w:eastAsia="宋体" w:hAnsi="Book Antiqua"/>
              </w:rPr>
              <w:t>50)</w:t>
            </w:r>
          </w:p>
        </w:tc>
      </w:tr>
    </w:tbl>
    <w:p w14:paraId="19262771" w14:textId="77777777" w:rsidR="001D08D6" w:rsidRPr="003436EA" w:rsidRDefault="00024B8B" w:rsidP="00024B8B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436EA">
        <w:rPr>
          <w:rFonts w:ascii="Book Antiqua" w:eastAsia="宋体" w:hAnsi="Book Antiqua" w:hint="eastAsia"/>
          <w:lang w:eastAsia="zh-CN"/>
        </w:rPr>
        <w:t>AP: A</w:t>
      </w:r>
      <w:r w:rsidRPr="003436EA">
        <w:rPr>
          <w:rFonts w:ascii="Book Antiqua" w:eastAsia="宋体" w:hAnsi="Book Antiqua"/>
          <w:lang w:eastAsia="zh-CN"/>
        </w:rPr>
        <w:t>cute pancreatitis</w:t>
      </w:r>
      <w:r w:rsidRPr="003436EA">
        <w:rPr>
          <w:rFonts w:ascii="Book Antiqua" w:eastAsia="宋体" w:hAnsi="Book Antiqua" w:hint="eastAsia"/>
          <w:lang w:eastAsia="zh-CN"/>
        </w:rPr>
        <w:t>;</w:t>
      </w:r>
      <w:r w:rsidRPr="003436EA">
        <w:rPr>
          <w:rFonts w:ascii="Book Antiqua" w:eastAsia="宋体" w:hAnsi="Book Antiqua"/>
          <w:lang w:eastAsia="zh-CN"/>
        </w:rPr>
        <w:t xml:space="preserve"> MAP</w:t>
      </w:r>
      <w:r w:rsidRPr="003436EA">
        <w:rPr>
          <w:rFonts w:ascii="Book Antiqua" w:eastAsia="宋体" w:hAnsi="Book Antiqua" w:hint="eastAsia"/>
          <w:lang w:eastAsia="zh-CN"/>
        </w:rPr>
        <w:t>: M</w:t>
      </w:r>
      <w:r w:rsidRPr="003436EA">
        <w:rPr>
          <w:rFonts w:ascii="Book Antiqua" w:eastAsia="宋体" w:hAnsi="Book Antiqua"/>
          <w:lang w:eastAsia="zh-CN"/>
        </w:rPr>
        <w:t xml:space="preserve">ild </w:t>
      </w:r>
      <w:r w:rsidRPr="003436EA">
        <w:rPr>
          <w:rFonts w:ascii="Book Antiqua" w:eastAsia="宋体" w:hAnsi="Book Antiqua" w:hint="eastAsia"/>
          <w:lang w:eastAsia="zh-CN"/>
        </w:rPr>
        <w:t>a</w:t>
      </w:r>
      <w:r w:rsidRPr="003436EA">
        <w:rPr>
          <w:rFonts w:ascii="Book Antiqua" w:eastAsia="宋体" w:hAnsi="Book Antiqua"/>
          <w:lang w:eastAsia="zh-CN"/>
        </w:rPr>
        <w:t>cute pancreatitis</w:t>
      </w:r>
      <w:r w:rsidRPr="003436EA">
        <w:rPr>
          <w:rFonts w:ascii="Book Antiqua" w:eastAsia="宋体" w:hAnsi="Book Antiqua" w:hint="eastAsia"/>
          <w:lang w:eastAsia="zh-CN"/>
        </w:rPr>
        <w:t xml:space="preserve">; </w:t>
      </w:r>
      <w:r w:rsidRPr="003436EA">
        <w:rPr>
          <w:rFonts w:ascii="Book Antiqua" w:eastAsia="宋体" w:hAnsi="Book Antiqua"/>
          <w:lang w:eastAsia="zh-CN"/>
        </w:rPr>
        <w:t>MSAP</w:t>
      </w:r>
      <w:r w:rsidRPr="003436EA">
        <w:rPr>
          <w:rFonts w:ascii="Book Antiqua" w:eastAsia="宋体" w:hAnsi="Book Antiqua" w:hint="eastAsia"/>
          <w:lang w:eastAsia="zh-CN"/>
        </w:rPr>
        <w:t xml:space="preserve">: </w:t>
      </w:r>
      <w:r w:rsidRPr="003436EA">
        <w:rPr>
          <w:rFonts w:ascii="Book Antiqua" w:hAnsi="Book Antiqua" w:cs="Book Antiqua" w:hint="eastAsia"/>
          <w:color w:val="000000"/>
          <w:lang w:eastAsia="zh-CN"/>
        </w:rPr>
        <w:t>M</w:t>
      </w:r>
      <w:r w:rsidRPr="003436EA">
        <w:rPr>
          <w:rFonts w:ascii="Book Antiqua" w:eastAsia="Book Antiqua" w:hAnsi="Book Antiqua" w:cs="Book Antiqua"/>
          <w:color w:val="000000"/>
        </w:rPr>
        <w:t>oderately severe</w:t>
      </w:r>
      <w:r w:rsidRPr="003436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6EA">
        <w:rPr>
          <w:rFonts w:ascii="Book Antiqua" w:eastAsia="宋体" w:hAnsi="Book Antiqua" w:hint="eastAsia"/>
          <w:lang w:eastAsia="zh-CN"/>
        </w:rPr>
        <w:t>a</w:t>
      </w:r>
      <w:r w:rsidRPr="003436EA">
        <w:rPr>
          <w:rFonts w:ascii="Book Antiqua" w:eastAsia="宋体" w:hAnsi="Book Antiqua"/>
          <w:lang w:eastAsia="zh-CN"/>
        </w:rPr>
        <w:t>cute pancreatitis</w:t>
      </w:r>
      <w:r w:rsidRPr="003436EA">
        <w:rPr>
          <w:rFonts w:ascii="Book Antiqua" w:eastAsia="宋体" w:hAnsi="Book Antiqua" w:hint="eastAsia"/>
          <w:lang w:eastAsia="zh-CN"/>
        </w:rPr>
        <w:t xml:space="preserve">; </w:t>
      </w:r>
      <w:r w:rsidR="001D08D6" w:rsidRPr="003436EA">
        <w:rPr>
          <w:rFonts w:ascii="Book Antiqua" w:eastAsia="宋体" w:hAnsi="Book Antiqua"/>
        </w:rPr>
        <w:t>IQR:</w:t>
      </w:r>
      <w:r w:rsidR="00BF6322" w:rsidRPr="003436EA">
        <w:rPr>
          <w:rFonts w:ascii="Book Antiqua" w:eastAsia="宋体" w:hAnsi="Book Antiqua"/>
        </w:rPr>
        <w:t xml:space="preserve"> </w:t>
      </w:r>
      <w:r w:rsidR="00644D9B" w:rsidRPr="003436EA">
        <w:rPr>
          <w:rFonts w:ascii="Book Antiqua" w:eastAsia="宋体" w:hAnsi="Book Antiqua" w:hint="eastAsia"/>
          <w:lang w:eastAsia="zh-CN"/>
        </w:rPr>
        <w:t>I</w:t>
      </w:r>
      <w:r w:rsidR="001D08D6" w:rsidRPr="003436EA">
        <w:rPr>
          <w:rFonts w:ascii="Book Antiqua" w:eastAsia="宋体" w:hAnsi="Book Antiqua"/>
        </w:rPr>
        <w:t>nterquartile</w:t>
      </w:r>
      <w:r w:rsidR="00BF6322" w:rsidRPr="003436EA">
        <w:rPr>
          <w:rFonts w:ascii="Book Antiqua" w:eastAsia="宋体" w:hAnsi="Book Antiqua"/>
        </w:rPr>
        <w:t xml:space="preserve"> </w:t>
      </w:r>
      <w:r w:rsidR="001D08D6" w:rsidRPr="003436EA">
        <w:rPr>
          <w:rFonts w:ascii="Book Antiqua" w:eastAsia="宋体" w:hAnsi="Book Antiqua"/>
        </w:rPr>
        <w:t>range;</w:t>
      </w:r>
      <w:r w:rsidR="00BF6322" w:rsidRPr="003436EA">
        <w:rPr>
          <w:rFonts w:ascii="Book Antiqua" w:eastAsia="宋体" w:hAnsi="Book Antiqua"/>
        </w:rPr>
        <w:t xml:space="preserve"> </w:t>
      </w:r>
      <w:r w:rsidR="001D08D6" w:rsidRPr="003436EA">
        <w:rPr>
          <w:rFonts w:ascii="Book Antiqua" w:eastAsia="宋体" w:hAnsi="Book Antiqua"/>
        </w:rPr>
        <w:t>ERCP:</w:t>
      </w:r>
      <w:r w:rsidR="00BF6322" w:rsidRPr="003436EA">
        <w:rPr>
          <w:rFonts w:ascii="Book Antiqua" w:eastAsia="宋体" w:hAnsi="Book Antiqua"/>
        </w:rPr>
        <w:t xml:space="preserve"> </w:t>
      </w:r>
      <w:r w:rsidR="001D08D6" w:rsidRPr="003436EA">
        <w:rPr>
          <w:rFonts w:ascii="Book Antiqua" w:eastAsia="宋体" w:hAnsi="Book Antiqua"/>
        </w:rPr>
        <w:t>Endoscopic</w:t>
      </w:r>
      <w:r w:rsidR="00BF6322" w:rsidRPr="003436EA">
        <w:rPr>
          <w:rFonts w:ascii="Book Antiqua" w:eastAsia="宋体" w:hAnsi="Book Antiqua"/>
        </w:rPr>
        <w:t xml:space="preserve"> </w:t>
      </w:r>
      <w:r w:rsidR="001D08D6" w:rsidRPr="003436EA">
        <w:rPr>
          <w:rFonts w:ascii="Book Antiqua" w:eastAsia="宋体" w:hAnsi="Book Antiqua"/>
        </w:rPr>
        <w:t>retrograde</w:t>
      </w:r>
      <w:r w:rsidR="00BF6322" w:rsidRPr="003436EA">
        <w:rPr>
          <w:rFonts w:ascii="Book Antiqua" w:eastAsia="宋体" w:hAnsi="Book Antiqua"/>
        </w:rPr>
        <w:t xml:space="preserve"> </w:t>
      </w:r>
      <w:r w:rsidR="001D08D6" w:rsidRPr="003436EA">
        <w:rPr>
          <w:rFonts w:ascii="Book Antiqua" w:eastAsia="宋体" w:hAnsi="Book Antiqua"/>
        </w:rPr>
        <w:t>cholangiopancreatography</w:t>
      </w:r>
      <w:r w:rsidRPr="003436EA">
        <w:rPr>
          <w:rFonts w:ascii="Book Antiqua" w:eastAsia="宋体" w:hAnsi="Book Antiqua" w:hint="eastAsia"/>
          <w:lang w:eastAsia="zh-CN"/>
        </w:rPr>
        <w:t>.</w:t>
      </w:r>
    </w:p>
    <w:p w14:paraId="0F1A3D44" w14:textId="77777777" w:rsidR="00CC17CA" w:rsidRPr="003436EA" w:rsidRDefault="00CC17CA" w:rsidP="00024B8B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5FC2E18" w14:textId="77777777" w:rsidR="00CC17CA" w:rsidRPr="003436EA" w:rsidRDefault="00CC17CA" w:rsidP="00024B8B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05128A6" w14:textId="7CAD0DED" w:rsidR="00CC17CA" w:rsidRPr="003436EA" w:rsidRDefault="00CC17CA" w:rsidP="00024B8B">
      <w:pPr>
        <w:spacing w:line="360" w:lineRule="auto"/>
        <w:jc w:val="both"/>
        <w:rPr>
          <w:rFonts w:ascii="Book Antiqua" w:eastAsia="宋体" w:hAnsi="Book Antiqua"/>
          <w:i/>
          <w:lang w:eastAsia="zh-CN"/>
        </w:rPr>
        <w:sectPr w:rsidR="00CC17CA" w:rsidRPr="003436EA" w:rsidSect="007F49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913628" w14:textId="2EA48FBE" w:rsidR="001D08D6" w:rsidRPr="003436EA" w:rsidRDefault="001D08D6" w:rsidP="001D08D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436EA">
        <w:rPr>
          <w:rFonts w:ascii="Book Antiqua" w:eastAsia="宋体" w:hAnsi="Book Antiqua"/>
          <w:b/>
        </w:rPr>
        <w:lastRenderedPageBreak/>
        <w:t>Table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2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  <w:b/>
        </w:rPr>
        <w:t>List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of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selected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genes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and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their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fold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changes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in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mild,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="00024B8B" w:rsidRPr="003436EA">
        <w:rPr>
          <w:rFonts w:ascii="Book Antiqua" w:eastAsia="宋体" w:hAnsi="Book Antiqua" w:hint="eastAsia"/>
          <w:b/>
          <w:lang w:eastAsia="zh-CN"/>
        </w:rPr>
        <w:t>m</w:t>
      </w:r>
      <w:r w:rsidR="00024B8B" w:rsidRPr="003436EA">
        <w:rPr>
          <w:rFonts w:ascii="Book Antiqua" w:eastAsia="宋体" w:hAnsi="Book Antiqua"/>
          <w:b/>
        </w:rPr>
        <w:t>ild acute pancreatitis</w:t>
      </w:r>
      <w:r w:rsidRPr="003436EA">
        <w:rPr>
          <w:rFonts w:ascii="Book Antiqua" w:eastAsia="宋体" w:hAnsi="Book Antiqua"/>
          <w:b/>
        </w:rPr>
        <w:t>,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moderate,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="00024B8B" w:rsidRPr="003436EA">
        <w:rPr>
          <w:rFonts w:ascii="Book Antiqua" w:eastAsia="宋体" w:hAnsi="Book Antiqua"/>
          <w:b/>
        </w:rPr>
        <w:t>moderately severe acute pancreatitis</w:t>
      </w:r>
      <w:r w:rsidRPr="003436EA">
        <w:rPr>
          <w:rFonts w:ascii="Book Antiqua" w:eastAsia="宋体" w:hAnsi="Book Antiqua"/>
          <w:b/>
        </w:rPr>
        <w:t>,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and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="00D32E69" w:rsidRPr="003436EA">
        <w:rPr>
          <w:rFonts w:ascii="Book Antiqua" w:eastAsia="宋体" w:hAnsi="Book Antiqua"/>
          <w:b/>
        </w:rPr>
        <w:t>severe acute pancreatitis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patients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when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compared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to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healthy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/>
          <w:b/>
        </w:rPr>
        <w:t>controls</w:t>
      </w:r>
    </w:p>
    <w:tbl>
      <w:tblPr>
        <w:tblStyle w:val="ListTable21"/>
        <w:tblW w:w="1324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3464"/>
        <w:gridCol w:w="3002"/>
        <w:gridCol w:w="2745"/>
      </w:tblGrid>
      <w:tr w:rsidR="001D08D6" w:rsidRPr="003436EA" w14:paraId="4EA59A9B" w14:textId="77777777" w:rsidTr="007F4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D76BCE" w14:textId="07DCE8F9" w:rsidR="001D08D6" w:rsidRPr="003436EA" w:rsidRDefault="00D32E69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>G</w:t>
            </w:r>
            <w:r w:rsidRPr="003436EA">
              <w:rPr>
                <w:rFonts w:ascii="Book Antiqua" w:eastAsia="Times New Roman" w:hAnsi="Book Antiqua" w:cs="Arial"/>
                <w:color w:val="000000"/>
                <w:kern w:val="24"/>
              </w:rPr>
              <w:t>ene symbol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4F9E6C" w14:textId="2DC0804A" w:rsidR="001D08D6" w:rsidRPr="003436EA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color w:val="000000"/>
                <w:kern w:val="24"/>
              </w:rPr>
              <w:t>MAP</w:t>
            </w:r>
            <w:r w:rsidR="004B1395" w:rsidRPr="003436EA">
              <w:rPr>
                <w:rFonts w:ascii="Book Antiqua" w:eastAsia="Times New Roman" w:hAnsi="Book Antiqua" w:cs="Arial"/>
                <w:color w:val="000000"/>
                <w:kern w:val="24"/>
              </w:rPr>
              <w:t xml:space="preserve"> </w:t>
            </w:r>
            <w:r w:rsidR="00024B8B" w:rsidRPr="003436EA">
              <w:rPr>
                <w:rFonts w:ascii="Book Antiqua" w:eastAsia="宋体" w:hAnsi="Book Antiqua"/>
              </w:rPr>
              <w:t>(</w:t>
            </w:r>
            <w:r w:rsidR="00024B8B" w:rsidRPr="003436EA">
              <w:rPr>
                <w:rFonts w:ascii="Book Antiqua" w:eastAsia="宋体" w:hAnsi="Book Antiqua"/>
                <w:i/>
              </w:rPr>
              <w:t>n</w:t>
            </w:r>
            <w:r w:rsidR="00024B8B" w:rsidRPr="003436EA">
              <w:rPr>
                <w:rFonts w:ascii="Book Antiqua" w:eastAsia="宋体" w:hAnsi="Book Antiqua"/>
              </w:rPr>
              <w:t xml:space="preserve"> = 7)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7D4DE2" w14:textId="13AEAD48" w:rsidR="001D08D6" w:rsidRPr="003436EA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color w:val="000000"/>
                <w:kern w:val="24"/>
              </w:rPr>
              <w:t>MSAP</w:t>
            </w:r>
            <w:r w:rsidR="00024B8B" w:rsidRPr="003436EA">
              <w:rPr>
                <w:rFonts w:ascii="Book Antiqua" w:eastAsia="宋体" w:hAnsi="Book Antiqua"/>
              </w:rPr>
              <w:t xml:space="preserve"> (</w:t>
            </w:r>
            <w:r w:rsidR="00024B8B" w:rsidRPr="003436EA">
              <w:rPr>
                <w:rFonts w:ascii="Book Antiqua" w:eastAsia="宋体" w:hAnsi="Book Antiqua"/>
                <w:i/>
              </w:rPr>
              <w:t>n</w:t>
            </w:r>
            <w:r w:rsidR="00024B8B" w:rsidRPr="003436EA">
              <w:rPr>
                <w:rFonts w:ascii="Book Antiqua" w:eastAsia="宋体" w:hAnsi="Book Antiqua"/>
              </w:rPr>
              <w:t xml:space="preserve"> = 4)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2196DE" w14:textId="088B54C2" w:rsidR="001D08D6" w:rsidRPr="003436EA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color w:val="000000"/>
                <w:kern w:val="24"/>
              </w:rPr>
              <w:t>SAP</w:t>
            </w:r>
            <w:r w:rsidR="00024B8B" w:rsidRPr="003436EA">
              <w:rPr>
                <w:rFonts w:ascii="Book Antiqua" w:eastAsia="宋体" w:hAnsi="Book Antiqua"/>
              </w:rPr>
              <w:t xml:space="preserve"> (</w:t>
            </w:r>
            <w:r w:rsidR="00024B8B" w:rsidRPr="003436EA">
              <w:rPr>
                <w:rFonts w:ascii="Book Antiqua" w:eastAsia="宋体" w:hAnsi="Book Antiqua"/>
                <w:i/>
              </w:rPr>
              <w:t>n</w:t>
            </w:r>
            <w:r w:rsidR="00024B8B" w:rsidRPr="003436EA">
              <w:rPr>
                <w:rFonts w:ascii="Book Antiqua" w:eastAsia="宋体" w:hAnsi="Book Antiqua"/>
              </w:rPr>
              <w:t xml:space="preserve"> = 2)</w:t>
            </w:r>
          </w:p>
        </w:tc>
      </w:tr>
      <w:tr w:rsidR="001D08D6" w:rsidRPr="003436EA" w14:paraId="4D0092BA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290057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CCL5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FEEB8A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-2.97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9ED01F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-3.76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A2F792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-15.22</w:t>
            </w:r>
          </w:p>
        </w:tc>
      </w:tr>
      <w:tr w:rsidR="001D08D6" w:rsidRPr="003436EA" w14:paraId="1F12F14A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2A09B89F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CCR8</w:t>
            </w:r>
          </w:p>
        </w:tc>
        <w:tc>
          <w:tcPr>
            <w:tcW w:w="3464" w:type="dxa"/>
            <w:shd w:val="clear" w:color="auto" w:fill="auto"/>
            <w:hideMark/>
          </w:tcPr>
          <w:p w14:paraId="51FC7770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shd w:val="clear" w:color="auto" w:fill="auto"/>
            <w:hideMark/>
          </w:tcPr>
          <w:p w14:paraId="5D7EEF0F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38.28</w:t>
            </w:r>
          </w:p>
        </w:tc>
        <w:tc>
          <w:tcPr>
            <w:tcW w:w="2745" w:type="dxa"/>
            <w:shd w:val="clear" w:color="auto" w:fill="auto"/>
            <w:hideMark/>
          </w:tcPr>
          <w:p w14:paraId="69A5F773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1172.45</w:t>
            </w:r>
          </w:p>
        </w:tc>
      </w:tr>
      <w:tr w:rsidR="001D08D6" w:rsidRPr="003436EA" w14:paraId="2A89127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4BF56AF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IL10</w:t>
            </w:r>
          </w:p>
        </w:tc>
        <w:tc>
          <w:tcPr>
            <w:tcW w:w="3464" w:type="dxa"/>
            <w:shd w:val="clear" w:color="auto" w:fill="auto"/>
            <w:hideMark/>
          </w:tcPr>
          <w:p w14:paraId="2B6D5742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-1.30</w:t>
            </w:r>
          </w:p>
        </w:tc>
        <w:tc>
          <w:tcPr>
            <w:tcW w:w="3002" w:type="dxa"/>
            <w:shd w:val="clear" w:color="auto" w:fill="auto"/>
            <w:hideMark/>
          </w:tcPr>
          <w:p w14:paraId="1CB95718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58.62</w:t>
            </w:r>
          </w:p>
        </w:tc>
        <w:tc>
          <w:tcPr>
            <w:tcW w:w="2745" w:type="dxa"/>
            <w:shd w:val="clear" w:color="auto" w:fill="auto"/>
            <w:hideMark/>
          </w:tcPr>
          <w:p w14:paraId="0D4EFE93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-1.47</w:t>
            </w:r>
          </w:p>
        </w:tc>
      </w:tr>
      <w:tr w:rsidR="001D08D6" w:rsidRPr="003436EA" w14:paraId="0AA46C53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</w:tcPr>
          <w:p w14:paraId="67970B04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  <w:kern w:val="24"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FOXP3</w:t>
            </w:r>
          </w:p>
        </w:tc>
        <w:tc>
          <w:tcPr>
            <w:tcW w:w="3464" w:type="dxa"/>
            <w:shd w:val="clear" w:color="auto" w:fill="auto"/>
          </w:tcPr>
          <w:p w14:paraId="288E8ED7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Arial"/>
                <w:bCs/>
                <w:kern w:val="24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3.90</w:t>
            </w:r>
          </w:p>
        </w:tc>
        <w:tc>
          <w:tcPr>
            <w:tcW w:w="3002" w:type="dxa"/>
            <w:shd w:val="clear" w:color="auto" w:fill="auto"/>
          </w:tcPr>
          <w:p w14:paraId="000AA7A6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bCs/>
                <w:kern w:val="24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137.02</w:t>
            </w:r>
          </w:p>
        </w:tc>
        <w:tc>
          <w:tcPr>
            <w:tcW w:w="2745" w:type="dxa"/>
            <w:shd w:val="clear" w:color="auto" w:fill="auto"/>
          </w:tcPr>
          <w:p w14:paraId="33CE411B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Arial"/>
                <w:bCs/>
                <w:kern w:val="24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96.27</w:t>
            </w:r>
          </w:p>
        </w:tc>
      </w:tr>
      <w:tr w:rsidR="001D08D6" w:rsidRPr="003436EA" w14:paraId="69BE1739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60DC6027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IL13</w:t>
            </w:r>
          </w:p>
        </w:tc>
        <w:tc>
          <w:tcPr>
            <w:tcW w:w="3464" w:type="dxa"/>
            <w:shd w:val="clear" w:color="auto" w:fill="auto"/>
            <w:hideMark/>
          </w:tcPr>
          <w:p w14:paraId="01619442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-1.92</w:t>
            </w:r>
          </w:p>
        </w:tc>
        <w:tc>
          <w:tcPr>
            <w:tcW w:w="3002" w:type="dxa"/>
            <w:shd w:val="clear" w:color="auto" w:fill="auto"/>
            <w:hideMark/>
          </w:tcPr>
          <w:p w14:paraId="17816485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83.66</w:t>
            </w:r>
          </w:p>
        </w:tc>
        <w:tc>
          <w:tcPr>
            <w:tcW w:w="2745" w:type="dxa"/>
            <w:shd w:val="clear" w:color="auto" w:fill="auto"/>
            <w:hideMark/>
          </w:tcPr>
          <w:p w14:paraId="59FA132A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19.53</w:t>
            </w:r>
          </w:p>
        </w:tc>
      </w:tr>
      <w:tr w:rsidR="001D08D6" w:rsidRPr="003436EA" w14:paraId="67CFBF70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C8DC996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IL17A</w:t>
            </w:r>
          </w:p>
        </w:tc>
        <w:tc>
          <w:tcPr>
            <w:tcW w:w="3464" w:type="dxa"/>
            <w:shd w:val="clear" w:color="auto" w:fill="auto"/>
            <w:hideMark/>
          </w:tcPr>
          <w:p w14:paraId="267B5E34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1.72</w:t>
            </w:r>
          </w:p>
        </w:tc>
        <w:tc>
          <w:tcPr>
            <w:tcW w:w="3002" w:type="dxa"/>
            <w:shd w:val="clear" w:color="auto" w:fill="auto"/>
            <w:hideMark/>
          </w:tcPr>
          <w:p w14:paraId="65D9BB25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116.93</w:t>
            </w:r>
          </w:p>
        </w:tc>
        <w:tc>
          <w:tcPr>
            <w:tcW w:w="2745" w:type="dxa"/>
            <w:shd w:val="clear" w:color="auto" w:fill="auto"/>
            <w:hideMark/>
          </w:tcPr>
          <w:p w14:paraId="6CED5481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2.56</w:t>
            </w:r>
          </w:p>
        </w:tc>
      </w:tr>
      <w:tr w:rsidR="001D08D6" w:rsidRPr="003436EA" w14:paraId="44C1DB1C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27F01F27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IL23A</w:t>
            </w:r>
          </w:p>
        </w:tc>
        <w:tc>
          <w:tcPr>
            <w:tcW w:w="3464" w:type="dxa"/>
            <w:shd w:val="clear" w:color="auto" w:fill="auto"/>
            <w:hideMark/>
          </w:tcPr>
          <w:p w14:paraId="41E7F17C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-5.60</w:t>
            </w:r>
          </w:p>
        </w:tc>
        <w:tc>
          <w:tcPr>
            <w:tcW w:w="3002" w:type="dxa"/>
            <w:shd w:val="clear" w:color="auto" w:fill="auto"/>
            <w:hideMark/>
          </w:tcPr>
          <w:p w14:paraId="7A280579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18.07</w:t>
            </w:r>
          </w:p>
        </w:tc>
        <w:tc>
          <w:tcPr>
            <w:tcW w:w="2745" w:type="dxa"/>
            <w:shd w:val="clear" w:color="auto" w:fill="auto"/>
            <w:hideMark/>
          </w:tcPr>
          <w:p w14:paraId="6C66F495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6.57</w:t>
            </w:r>
          </w:p>
        </w:tc>
      </w:tr>
      <w:tr w:rsidR="001D08D6" w:rsidRPr="003436EA" w14:paraId="10ED116D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5BFF9910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IL4</w:t>
            </w:r>
          </w:p>
        </w:tc>
        <w:tc>
          <w:tcPr>
            <w:tcW w:w="3464" w:type="dxa"/>
            <w:shd w:val="clear" w:color="auto" w:fill="auto"/>
            <w:hideMark/>
          </w:tcPr>
          <w:p w14:paraId="779FD71F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-1.13</w:t>
            </w:r>
          </w:p>
        </w:tc>
        <w:tc>
          <w:tcPr>
            <w:tcW w:w="3002" w:type="dxa"/>
            <w:shd w:val="clear" w:color="auto" w:fill="auto"/>
            <w:hideMark/>
          </w:tcPr>
          <w:p w14:paraId="4A0CB812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108.64</w:t>
            </w:r>
          </w:p>
        </w:tc>
        <w:tc>
          <w:tcPr>
            <w:tcW w:w="2745" w:type="dxa"/>
            <w:shd w:val="clear" w:color="auto" w:fill="auto"/>
            <w:hideMark/>
          </w:tcPr>
          <w:p w14:paraId="64FE7576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36.83</w:t>
            </w:r>
          </w:p>
        </w:tc>
      </w:tr>
      <w:tr w:rsidR="001D08D6" w:rsidRPr="003436EA" w14:paraId="4B19C8E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71C2491A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IL5</w:t>
            </w:r>
          </w:p>
        </w:tc>
        <w:tc>
          <w:tcPr>
            <w:tcW w:w="3464" w:type="dxa"/>
            <w:shd w:val="clear" w:color="auto" w:fill="auto"/>
            <w:hideMark/>
          </w:tcPr>
          <w:p w14:paraId="457B67BA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shd w:val="clear" w:color="auto" w:fill="auto"/>
            <w:hideMark/>
          </w:tcPr>
          <w:p w14:paraId="2A471906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192.59</w:t>
            </w:r>
          </w:p>
        </w:tc>
        <w:tc>
          <w:tcPr>
            <w:tcW w:w="2745" w:type="dxa"/>
            <w:shd w:val="clear" w:color="auto" w:fill="auto"/>
            <w:hideMark/>
          </w:tcPr>
          <w:p w14:paraId="0497B57A" w14:textId="77777777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1.21</w:t>
            </w:r>
          </w:p>
        </w:tc>
      </w:tr>
      <w:tr w:rsidR="001D08D6" w:rsidRPr="003436EA" w14:paraId="3A33E4B5" w14:textId="77777777" w:rsidTr="007F496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shd w:val="clear" w:color="auto" w:fill="auto"/>
            <w:hideMark/>
          </w:tcPr>
          <w:p w14:paraId="373E5AD5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Times New Roman" w:hAnsi="Book Antiqua" w:cs="Arial"/>
                <w:b w:val="0"/>
                <w:i/>
                <w:kern w:val="24"/>
              </w:rPr>
              <w:t>NOD1</w:t>
            </w:r>
          </w:p>
        </w:tc>
        <w:tc>
          <w:tcPr>
            <w:tcW w:w="3464" w:type="dxa"/>
            <w:shd w:val="clear" w:color="auto" w:fill="auto"/>
            <w:hideMark/>
          </w:tcPr>
          <w:p w14:paraId="6E2F6755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-8.93</w:t>
            </w:r>
          </w:p>
        </w:tc>
        <w:tc>
          <w:tcPr>
            <w:tcW w:w="3002" w:type="dxa"/>
            <w:shd w:val="clear" w:color="auto" w:fill="auto"/>
            <w:hideMark/>
          </w:tcPr>
          <w:p w14:paraId="2B9C0C6F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-14.62</w:t>
            </w:r>
          </w:p>
        </w:tc>
        <w:tc>
          <w:tcPr>
            <w:tcW w:w="2745" w:type="dxa"/>
            <w:shd w:val="clear" w:color="auto" w:fill="auto"/>
            <w:hideMark/>
          </w:tcPr>
          <w:p w14:paraId="1C95CF06" w14:textId="77777777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  <w:bCs/>
                <w:kern w:val="24"/>
              </w:rPr>
              <w:t>64.21</w:t>
            </w:r>
          </w:p>
        </w:tc>
      </w:tr>
      <w:tr w:rsidR="001D08D6" w:rsidRPr="003436EA" w14:paraId="5405B181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D9D130" w14:textId="77777777" w:rsidR="001D08D6" w:rsidRPr="003436EA" w:rsidRDefault="001D08D6" w:rsidP="001D08D6">
            <w:pPr>
              <w:spacing w:line="360" w:lineRule="auto"/>
              <w:jc w:val="both"/>
              <w:textAlignment w:val="bottom"/>
              <w:rPr>
                <w:rFonts w:ascii="Book Antiqua" w:eastAsia="Times New Roman" w:hAnsi="Book Antiqua" w:cs="Arial"/>
                <w:b w:val="0"/>
                <w:i/>
              </w:rPr>
            </w:pPr>
            <w:r w:rsidRPr="003436EA">
              <w:rPr>
                <w:rFonts w:ascii="Book Antiqua" w:eastAsia="宋体" w:hAnsi="Book Antiqua" w:cs="Arial"/>
                <w:b w:val="0"/>
                <w:i/>
                <w:kern w:val="24"/>
              </w:rPr>
              <w:t>MPO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3B0BB0" w14:textId="77777777" w:rsidR="001D08D6" w:rsidRPr="003436EA" w:rsidRDefault="001D08D6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1.33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3C0BF9" w14:textId="77777777" w:rsidR="001D08D6" w:rsidRPr="003436EA" w:rsidRDefault="001D08D6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>91.77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A4094C" w14:textId="08DF839D" w:rsidR="001D08D6" w:rsidRPr="003436EA" w:rsidRDefault="00BF6322" w:rsidP="001D08D6">
            <w:pPr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宋体" w:hAnsi="Book Antiqua" w:cs="Arial"/>
                <w:bCs/>
                <w:kern w:val="24"/>
              </w:rPr>
              <w:t xml:space="preserve"> </w:t>
            </w:r>
            <w:r w:rsidR="001D08D6" w:rsidRPr="003436EA">
              <w:rPr>
                <w:rFonts w:ascii="Book Antiqua" w:eastAsia="宋体" w:hAnsi="Book Antiqua" w:cs="Arial"/>
                <w:bCs/>
                <w:kern w:val="24"/>
              </w:rPr>
              <w:t>11.8</w:t>
            </w:r>
          </w:p>
        </w:tc>
      </w:tr>
    </w:tbl>
    <w:p w14:paraId="7702835F" w14:textId="76F3D9FD" w:rsidR="001D08D6" w:rsidRPr="003436EA" w:rsidRDefault="001D08D6" w:rsidP="001D08D6">
      <w:pPr>
        <w:spacing w:line="360" w:lineRule="auto"/>
        <w:jc w:val="both"/>
        <w:rPr>
          <w:rFonts w:ascii="Book Antiqua" w:eastAsia="宋体" w:hAnsi="Book Antiqua"/>
        </w:rPr>
      </w:pPr>
      <w:r w:rsidRPr="003436EA">
        <w:rPr>
          <w:rFonts w:ascii="Book Antiqua" w:eastAsia="宋体" w:hAnsi="Book Antiqua"/>
        </w:rPr>
        <w:t>MAP:</w:t>
      </w:r>
      <w:r w:rsidR="00BF6322" w:rsidRPr="003436EA">
        <w:rPr>
          <w:rFonts w:ascii="Book Antiqua" w:eastAsia="宋体" w:hAnsi="Book Antiqua"/>
        </w:rPr>
        <w:t xml:space="preserve"> </w:t>
      </w:r>
      <w:r w:rsidR="00D32E69" w:rsidRPr="003436EA">
        <w:rPr>
          <w:rFonts w:ascii="Book Antiqua" w:eastAsia="宋体" w:hAnsi="Book Antiqua" w:hint="eastAsia"/>
          <w:lang w:eastAsia="zh-CN"/>
        </w:rPr>
        <w:t>M</w:t>
      </w:r>
      <w:r w:rsidRPr="003436EA">
        <w:rPr>
          <w:rFonts w:ascii="Book Antiqua" w:eastAsia="宋体" w:hAnsi="Book Antiqua"/>
        </w:rPr>
        <w:t>ild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acute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pancreatitis;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MSAP:</w:t>
      </w:r>
      <w:r w:rsidR="00BF6322" w:rsidRPr="003436EA">
        <w:rPr>
          <w:rFonts w:ascii="Book Antiqua" w:eastAsia="宋体" w:hAnsi="Book Antiqua"/>
        </w:rPr>
        <w:t xml:space="preserve"> </w:t>
      </w:r>
      <w:r w:rsidR="00D32E69" w:rsidRPr="003436EA">
        <w:rPr>
          <w:rFonts w:ascii="Book Antiqua" w:eastAsia="宋体" w:hAnsi="Book Antiqua" w:hint="eastAsia"/>
          <w:lang w:eastAsia="zh-CN"/>
        </w:rPr>
        <w:t>M</w:t>
      </w:r>
      <w:r w:rsidRPr="003436EA">
        <w:rPr>
          <w:rFonts w:ascii="Book Antiqua" w:eastAsia="宋体" w:hAnsi="Book Antiqua"/>
        </w:rPr>
        <w:t>oderately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severe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acute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pancreatitis;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SAP:</w:t>
      </w:r>
      <w:r w:rsidR="00BF6322" w:rsidRPr="003436EA">
        <w:rPr>
          <w:rFonts w:ascii="Book Antiqua" w:eastAsia="宋体" w:hAnsi="Book Antiqua"/>
        </w:rPr>
        <w:t xml:space="preserve"> </w:t>
      </w:r>
      <w:r w:rsidR="00D32E69" w:rsidRPr="003436EA">
        <w:rPr>
          <w:rFonts w:ascii="Book Antiqua" w:eastAsia="宋体" w:hAnsi="Book Antiqua" w:hint="eastAsia"/>
          <w:lang w:eastAsia="zh-CN"/>
        </w:rPr>
        <w:t>S</w:t>
      </w:r>
      <w:r w:rsidRPr="003436EA">
        <w:rPr>
          <w:rFonts w:ascii="Book Antiqua" w:eastAsia="宋体" w:hAnsi="Book Antiqua"/>
        </w:rPr>
        <w:t>evere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acute</w:t>
      </w:r>
      <w:r w:rsidR="00BF6322" w:rsidRPr="003436EA">
        <w:rPr>
          <w:rFonts w:ascii="Book Antiqua" w:eastAsia="宋体" w:hAnsi="Book Antiqua"/>
        </w:rPr>
        <w:t xml:space="preserve"> </w:t>
      </w:r>
      <w:r w:rsidRPr="003436EA">
        <w:rPr>
          <w:rFonts w:ascii="Book Antiqua" w:eastAsia="宋体" w:hAnsi="Book Antiqua"/>
        </w:rPr>
        <w:t>pancreatitis</w:t>
      </w:r>
      <w:r w:rsidR="00D32E69" w:rsidRPr="003436EA">
        <w:rPr>
          <w:rFonts w:ascii="Book Antiqua" w:eastAsia="宋体" w:hAnsi="Book Antiqua" w:hint="eastAsia"/>
          <w:lang w:eastAsia="zh-CN"/>
        </w:rPr>
        <w:t xml:space="preserve">; </w:t>
      </w:r>
      <w:r w:rsidRPr="003436EA">
        <w:rPr>
          <w:rFonts w:ascii="Book Antiqua" w:eastAsia="宋体" w:hAnsi="Book Antiqua" w:cs="Arial"/>
          <w:i/>
        </w:rPr>
        <w:t>CCL5:</w:t>
      </w:r>
      <w:r w:rsidR="00BF6322" w:rsidRPr="003436EA">
        <w:rPr>
          <w:rFonts w:ascii="Book Antiqua" w:eastAsia="宋体" w:hAnsi="Book Antiqua" w:cs="Arial"/>
          <w:i/>
        </w:rPr>
        <w:t xml:space="preserve"> </w:t>
      </w:r>
      <w:r w:rsidRPr="003436EA">
        <w:rPr>
          <w:rFonts w:ascii="Book Antiqua" w:eastAsia="宋体" w:hAnsi="Book Antiqua" w:cs="Arial"/>
        </w:rPr>
        <w:t>Chemokine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(C-C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Motif)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Ligand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5;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 w:cs="Arial"/>
          <w:i/>
        </w:rPr>
        <w:t>CCR8</w:t>
      </w:r>
      <w:r w:rsidRPr="003436EA">
        <w:rPr>
          <w:rFonts w:ascii="Book Antiqua" w:eastAsia="宋体" w:hAnsi="Book Antiqua"/>
          <w:b/>
        </w:rPr>
        <w:t>:</w:t>
      </w:r>
      <w:r w:rsidR="00BF6322" w:rsidRPr="003436EA">
        <w:rPr>
          <w:rFonts w:ascii="Book Antiqua" w:eastAsia="宋体" w:hAnsi="Book Antiqua"/>
          <w:b/>
        </w:rPr>
        <w:t xml:space="preserve"> </w:t>
      </w:r>
      <w:r w:rsidRPr="003436EA">
        <w:rPr>
          <w:rFonts w:ascii="Book Antiqua" w:eastAsia="宋体" w:hAnsi="Book Antiqua" w:cs="Arial"/>
        </w:rPr>
        <w:t>Chemokine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receptor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8</w:t>
      </w:r>
      <w:r w:rsidR="00D32E69" w:rsidRPr="003436EA">
        <w:rPr>
          <w:rFonts w:ascii="Book Antiqua" w:eastAsia="宋体" w:hAnsi="Book Antiqua" w:cs="Arial" w:hint="eastAsia"/>
          <w:lang w:eastAsia="zh-CN"/>
        </w:rPr>
        <w:t>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  <w:i/>
        </w:rPr>
        <w:t>IL: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I</w:t>
      </w:r>
      <w:r w:rsidRPr="003436EA">
        <w:rPr>
          <w:rFonts w:ascii="Book Antiqua" w:eastAsia="宋体" w:hAnsi="Book Antiqua" w:cs="Arial"/>
        </w:rPr>
        <w:t>nterleukin-(4;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5;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10;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13;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17A;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23A);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FOXP3: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F</w:t>
      </w:r>
      <w:r w:rsidRPr="003436EA">
        <w:rPr>
          <w:rFonts w:ascii="Book Antiqua" w:eastAsia="宋体" w:hAnsi="Book Antiqua" w:cs="Arial"/>
        </w:rPr>
        <w:t>orkhead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box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P3;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/>
          <w:i/>
        </w:rPr>
        <w:t>NOD1</w:t>
      </w:r>
      <w:r w:rsidRPr="003436EA">
        <w:rPr>
          <w:rFonts w:ascii="Book Antiqua" w:eastAsia="宋体" w:hAnsi="Book Antiqua" w:cs="Arial"/>
        </w:rPr>
        <w:t>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Nucleotide-binding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oligomerization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domain-containing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protein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1;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  <w:i/>
        </w:rPr>
        <w:t>MPO</w:t>
      </w:r>
      <w:r w:rsidRPr="003436EA">
        <w:rPr>
          <w:rFonts w:ascii="Book Antiqua" w:eastAsia="宋体" w:hAnsi="Book Antiqua" w:cs="Arial"/>
        </w:rPr>
        <w:t>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M</w:t>
      </w:r>
      <w:r w:rsidRPr="003436EA">
        <w:rPr>
          <w:rFonts w:ascii="Book Antiqua" w:eastAsia="宋体" w:hAnsi="Book Antiqua" w:cs="Arial"/>
        </w:rPr>
        <w:t>yeloperoxidase.</w:t>
      </w:r>
    </w:p>
    <w:p w14:paraId="3676C913" w14:textId="77777777" w:rsidR="001D08D6" w:rsidRPr="003436EA" w:rsidRDefault="001D08D6" w:rsidP="001D08D6">
      <w:pPr>
        <w:spacing w:line="360" w:lineRule="auto"/>
        <w:jc w:val="both"/>
        <w:rPr>
          <w:rFonts w:ascii="Book Antiqua" w:eastAsia="宋体" w:hAnsi="Book Antiqua"/>
          <w:b/>
        </w:rPr>
        <w:sectPr w:rsidR="001D08D6" w:rsidRPr="003436EA" w:rsidSect="007F49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EC05F5" w14:textId="4EDBE56C" w:rsidR="001D08D6" w:rsidRPr="003436EA" w:rsidRDefault="001D08D6" w:rsidP="001D08D6">
      <w:pPr>
        <w:spacing w:line="360" w:lineRule="auto"/>
        <w:jc w:val="both"/>
        <w:rPr>
          <w:rFonts w:ascii="Book Antiqua" w:eastAsia="宋体" w:hAnsi="Book Antiqua" w:cs="Arial"/>
          <w:b/>
        </w:rPr>
      </w:pPr>
      <w:bookmarkStart w:id="6" w:name="_Toc68045467"/>
      <w:r w:rsidRPr="003436EA">
        <w:rPr>
          <w:rFonts w:ascii="Book Antiqua" w:eastAsia="宋体" w:hAnsi="Book Antiqua" w:cs="Arial"/>
          <w:b/>
        </w:rPr>
        <w:lastRenderedPageBreak/>
        <w:t>Table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3</w:t>
      </w:r>
      <w:r w:rsidR="00502167" w:rsidRPr="003436EA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Pr="003436EA">
        <w:rPr>
          <w:rFonts w:ascii="Book Antiqua" w:eastAsia="宋体" w:hAnsi="Book Antiqua" w:cs="Arial"/>
          <w:b/>
        </w:rPr>
        <w:t>Gene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expression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levels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(fold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change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2</w:t>
      </w:r>
      <w:r w:rsidRPr="003436EA">
        <w:rPr>
          <w:rFonts w:ascii="Book Antiqua" w:eastAsia="宋体" w:hAnsi="Book Antiqua" w:cs="Arial"/>
          <w:b/>
          <w:vertAlign w:val="superscript"/>
        </w:rPr>
        <w:t>^-ΔΔCT</w:t>
      </w:r>
      <w:r w:rsidRPr="003436EA">
        <w:rPr>
          <w:rFonts w:ascii="Book Antiqua" w:eastAsia="宋体" w:hAnsi="Book Antiqua" w:cs="Arial"/>
          <w:b/>
        </w:rPr>
        <w:t>)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for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="00502167" w:rsidRPr="003436EA">
        <w:rPr>
          <w:rFonts w:ascii="Book Antiqua" w:eastAsia="宋体" w:hAnsi="Book Antiqua" w:cs="Arial"/>
          <w:b/>
        </w:rPr>
        <w:t>chemokine receptor 8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gene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in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="00D32E69" w:rsidRPr="003436EA">
        <w:rPr>
          <w:rFonts w:ascii="Book Antiqua" w:eastAsia="宋体" w:hAnsi="Book Antiqua" w:cs="Arial"/>
          <w:b/>
        </w:rPr>
        <w:t>acute pancreatitis</w:t>
      </w:r>
      <w:r w:rsidR="00BF6322" w:rsidRPr="003436EA">
        <w:rPr>
          <w:rFonts w:ascii="Book Antiqua" w:eastAsia="宋体" w:hAnsi="Book Antiqua" w:cs="Arial"/>
          <w:b/>
        </w:rPr>
        <w:t xml:space="preserve"> </w:t>
      </w:r>
      <w:r w:rsidRPr="003436EA">
        <w:rPr>
          <w:rFonts w:ascii="Book Antiqua" w:eastAsia="宋体" w:hAnsi="Book Antiqua" w:cs="Arial"/>
          <w:b/>
        </w:rPr>
        <w:t>patients.</w:t>
      </w:r>
      <w:bookmarkEnd w:id="6"/>
    </w:p>
    <w:tbl>
      <w:tblPr>
        <w:tblStyle w:val="ListTable21"/>
        <w:tblW w:w="98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905"/>
      </w:tblGrid>
      <w:tr w:rsidR="001D08D6" w:rsidRPr="003436EA" w14:paraId="48221414" w14:textId="77777777" w:rsidTr="007F4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AD4345" w14:textId="7777777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Severity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FAA1E8" w14:textId="57C9E4EE" w:rsidR="001D08D6" w:rsidRPr="003436EA" w:rsidRDefault="001D08D6" w:rsidP="001D08D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Mean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fold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change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(2</w:t>
            </w:r>
            <w:r w:rsidRPr="003436EA">
              <w:rPr>
                <w:rFonts w:ascii="Book Antiqua" w:eastAsia="Times New Roman" w:hAnsi="Book Antiqua" w:cs="Arial"/>
                <w:vertAlign w:val="superscript"/>
              </w:rPr>
              <w:t>^-ΔΔCT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)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</w:p>
        </w:tc>
      </w:tr>
      <w:tr w:rsidR="001D08D6" w:rsidRPr="003436EA" w14:paraId="7C8F8824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5E691217" w14:textId="7A313736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7FE7D97D" w14:textId="5BB4CF76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0.8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0.22</w:t>
            </w:r>
          </w:p>
        </w:tc>
      </w:tr>
      <w:tr w:rsidR="001D08D6" w:rsidRPr="003436EA" w14:paraId="06B02FA1" w14:textId="77777777" w:rsidTr="007F496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2966D753" w14:textId="6F07801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95F4392" w14:textId="4F076812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0.9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0.25</w:t>
            </w:r>
          </w:p>
        </w:tc>
      </w:tr>
      <w:tr w:rsidR="001D08D6" w:rsidRPr="003436EA" w14:paraId="6B60BD7E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301FE312" w14:textId="5D6F2466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5256EA20" w14:textId="1EE2E2A1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1.0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0.26</w:t>
            </w:r>
          </w:p>
        </w:tc>
      </w:tr>
      <w:tr w:rsidR="001D08D6" w:rsidRPr="003436EA" w14:paraId="569E949D" w14:textId="77777777" w:rsidTr="007F496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79526BE1" w14:textId="4EFE8199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A018029" w14:textId="0068CFC3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1386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1372</w:t>
            </w:r>
          </w:p>
        </w:tc>
      </w:tr>
      <w:tr w:rsidR="001D08D6" w:rsidRPr="003436EA" w14:paraId="6248107A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1CB81E35" w14:textId="54B5EC67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5E6BA28E" w14:textId="4CB68D9D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68.0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67</w:t>
            </w:r>
          </w:p>
        </w:tc>
      </w:tr>
      <w:tr w:rsidR="001D08D6" w:rsidRPr="003436EA" w14:paraId="739D55B5" w14:textId="77777777" w:rsidTr="007F496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01AD11EF" w14:textId="1174DF2A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MSAP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6795A9BB" w14:textId="70D98986" w:rsidR="001D08D6" w:rsidRPr="003436EA" w:rsidRDefault="001D08D6" w:rsidP="001D08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848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846</w:t>
            </w:r>
          </w:p>
        </w:tc>
      </w:tr>
      <w:tr w:rsidR="001D08D6" w:rsidRPr="003436EA" w14:paraId="14FEEDAD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75EDEB60" w14:textId="483CA5F5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D3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436BADFF" w14:textId="6BDA928D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1090632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1090631</w:t>
            </w:r>
          </w:p>
        </w:tc>
      </w:tr>
      <w:tr w:rsidR="001D08D6" w:rsidRPr="003436EA" w14:paraId="45CEA656" w14:textId="77777777" w:rsidTr="007F496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shd w:val="clear" w:color="auto" w:fill="auto"/>
            <w:noWrap/>
            <w:hideMark/>
          </w:tcPr>
          <w:p w14:paraId="12F0B7C1" w14:textId="7CE79EC8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D5</w:t>
            </w:r>
          </w:p>
        </w:tc>
        <w:tc>
          <w:tcPr>
            <w:tcW w:w="6905" w:type="dxa"/>
            <w:shd w:val="clear" w:color="auto" w:fill="auto"/>
            <w:noWrap/>
            <w:hideMark/>
          </w:tcPr>
          <w:p w14:paraId="37C6198A" w14:textId="649054CF" w:rsidR="001D08D6" w:rsidRPr="003436EA" w:rsidRDefault="001D08D6" w:rsidP="00D32E6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lang w:eastAsia="zh-CN"/>
              </w:rPr>
            </w:pPr>
            <w:r w:rsidRPr="003436EA">
              <w:rPr>
                <w:rFonts w:ascii="Book Antiqua" w:eastAsia="Times New Roman" w:hAnsi="Book Antiqua" w:cs="Arial"/>
              </w:rPr>
              <w:t>1.1</w:t>
            </w:r>
            <w:r w:rsidR="00D32E69" w:rsidRPr="003436EA">
              <w:rPr>
                <w:rFonts w:ascii="Book Antiqua" w:hAnsi="Book Antiqua" w:cs="Arial" w:hint="eastAsia"/>
                <w:lang w:eastAsia="zh-CN"/>
              </w:rPr>
              <w:t>, NA</w:t>
            </w:r>
          </w:p>
        </w:tc>
      </w:tr>
      <w:tr w:rsidR="001D08D6" w:rsidRPr="003436EA" w14:paraId="4756FDCF" w14:textId="77777777" w:rsidTr="007F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D01DF7" w14:textId="53FEFECD" w:rsidR="001D08D6" w:rsidRPr="003436EA" w:rsidRDefault="001D08D6" w:rsidP="001D08D6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3436EA">
              <w:rPr>
                <w:rFonts w:ascii="Book Antiqua" w:eastAsia="Times New Roman" w:hAnsi="Book Antiqua" w:cs="Arial"/>
                <w:b w:val="0"/>
              </w:rPr>
              <w:t>SAP</w:t>
            </w:r>
            <w:r w:rsidR="00BF6322" w:rsidRPr="003436EA">
              <w:rPr>
                <w:rFonts w:ascii="Book Antiqua" w:eastAsia="Times New Roman" w:hAnsi="Book Antiqua" w:cs="Arial"/>
                <w:b w:val="0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  <w:b w:val="0"/>
              </w:rPr>
              <w:t>D7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1A55B7" w14:textId="271B1504" w:rsidR="001D08D6" w:rsidRPr="003436EA" w:rsidRDefault="001D08D6" w:rsidP="001D08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3436EA">
              <w:rPr>
                <w:rFonts w:ascii="Book Antiqua" w:eastAsia="Times New Roman" w:hAnsi="Book Antiqua" w:cs="Arial"/>
              </w:rPr>
              <w:t>1.3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±</w:t>
            </w:r>
            <w:r w:rsidR="00BF6322" w:rsidRPr="003436EA">
              <w:rPr>
                <w:rFonts w:ascii="Book Antiqua" w:eastAsia="Times New Roman" w:hAnsi="Book Antiqua" w:cs="Arial"/>
              </w:rPr>
              <w:t xml:space="preserve"> </w:t>
            </w:r>
            <w:r w:rsidRPr="003436EA">
              <w:rPr>
                <w:rFonts w:ascii="Book Antiqua" w:eastAsia="Times New Roman" w:hAnsi="Book Antiqua" w:cs="Arial"/>
              </w:rPr>
              <w:t>0.46</w:t>
            </w:r>
          </w:p>
        </w:tc>
      </w:tr>
    </w:tbl>
    <w:p w14:paraId="3397F3FE" w14:textId="11ADD68F" w:rsidR="005A13AE" w:rsidRDefault="001D08D6" w:rsidP="001D08D6">
      <w:pPr>
        <w:spacing w:line="360" w:lineRule="auto"/>
        <w:jc w:val="both"/>
        <w:rPr>
          <w:rFonts w:ascii="Book Antiqua" w:eastAsia="Times New Roman" w:hAnsi="Book Antiqua" w:cs="Arial"/>
          <w:bCs/>
        </w:rPr>
      </w:pPr>
      <w:r w:rsidRPr="003436EA">
        <w:rPr>
          <w:rFonts w:ascii="Book Antiqua" w:eastAsia="宋体" w:hAnsi="Book Antiqua" w:cs="Arial"/>
        </w:rPr>
        <w:t>MAP: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M</w:t>
      </w:r>
      <w:r w:rsidRPr="003436EA">
        <w:rPr>
          <w:rFonts w:ascii="Book Antiqua" w:eastAsia="宋体" w:hAnsi="Book Antiqua" w:cs="Arial"/>
        </w:rPr>
        <w:t>ild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/>
        </w:rPr>
        <w:t>acute pancreatitis</w:t>
      </w:r>
      <w:r w:rsidRPr="003436EA">
        <w:rPr>
          <w:rFonts w:ascii="Book Antiqua" w:eastAsia="宋体" w:hAnsi="Book Antiqua" w:cs="Arial"/>
        </w:rPr>
        <w:t>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MSAP: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M</w:t>
      </w:r>
      <w:r w:rsidRPr="003436EA">
        <w:rPr>
          <w:rFonts w:ascii="Book Antiqua" w:eastAsia="宋体" w:hAnsi="Book Antiqua" w:cs="Arial"/>
        </w:rPr>
        <w:t>oderately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severe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acute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pancreatitis;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SAP: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="00D32E69" w:rsidRPr="003436EA">
        <w:rPr>
          <w:rFonts w:ascii="Book Antiqua" w:eastAsia="宋体" w:hAnsi="Book Antiqua" w:cs="Arial" w:hint="eastAsia"/>
          <w:lang w:eastAsia="zh-CN"/>
        </w:rPr>
        <w:t>S</w:t>
      </w:r>
      <w:r w:rsidRPr="003436EA">
        <w:rPr>
          <w:rFonts w:ascii="Book Antiqua" w:eastAsia="宋体" w:hAnsi="Book Antiqua" w:cs="Arial"/>
        </w:rPr>
        <w:t>evere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acute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pancreatitis.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D: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Day</w:t>
      </w:r>
      <w:r w:rsidR="00D32E69" w:rsidRPr="003436EA">
        <w:rPr>
          <w:rFonts w:ascii="Book Antiqua" w:eastAsia="宋体" w:hAnsi="Book Antiqua" w:cs="Arial" w:hint="eastAsia"/>
          <w:lang w:eastAsia="zh-CN"/>
        </w:rPr>
        <w:t>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D3: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Day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3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post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epigastric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pain;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  <w:i/>
        </w:rPr>
        <w:t>CCR8</w:t>
      </w:r>
      <w:r w:rsidRPr="003436EA">
        <w:rPr>
          <w:rFonts w:ascii="Book Antiqua" w:eastAsia="宋体" w:hAnsi="Book Antiqua" w:cs="Arial"/>
        </w:rPr>
        <w:t>:</w:t>
      </w:r>
      <w:r w:rsidR="00BF6322" w:rsidRPr="003436EA">
        <w:rPr>
          <w:rFonts w:ascii="Book Antiqua" w:eastAsia="宋体" w:hAnsi="Book Antiqua" w:cs="Arial"/>
          <w:i/>
        </w:rPr>
        <w:t xml:space="preserve"> </w:t>
      </w:r>
      <w:r w:rsidRPr="003436EA">
        <w:rPr>
          <w:rFonts w:ascii="Book Antiqua" w:eastAsia="宋体" w:hAnsi="Book Antiqua" w:cs="Arial"/>
        </w:rPr>
        <w:t>Chemokine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receptor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宋体" w:hAnsi="Book Antiqua" w:cs="Arial"/>
        </w:rPr>
        <w:t>8</w:t>
      </w:r>
      <w:r w:rsidR="00D32E69" w:rsidRPr="003436EA">
        <w:rPr>
          <w:rFonts w:ascii="Book Antiqua" w:eastAsia="宋体" w:hAnsi="Book Antiqua" w:cs="Arial" w:hint="eastAsia"/>
          <w:lang w:eastAsia="zh-CN"/>
        </w:rPr>
        <w:t>;</w:t>
      </w:r>
      <w:r w:rsidR="00BF6322" w:rsidRPr="003436EA">
        <w:rPr>
          <w:rFonts w:ascii="Book Antiqua" w:eastAsia="宋体" w:hAnsi="Book Antiqua" w:cs="Arial"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2</w:t>
      </w:r>
      <w:r w:rsidRPr="003436EA">
        <w:rPr>
          <w:rFonts w:ascii="Book Antiqua" w:eastAsia="Times New Roman" w:hAnsi="Book Antiqua" w:cs="Arial"/>
          <w:bCs/>
          <w:vertAlign w:val="superscript"/>
        </w:rPr>
        <w:t>^-ΔΔCT</w:t>
      </w:r>
      <w:r w:rsidRPr="003436EA">
        <w:rPr>
          <w:rFonts w:ascii="Book Antiqua" w:eastAsia="Times New Roman" w:hAnsi="Book Antiqua" w:cs="Arial"/>
          <w:bCs/>
        </w:rPr>
        <w:t>: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="00D32E69" w:rsidRPr="003436EA">
        <w:rPr>
          <w:rFonts w:ascii="Book Antiqua" w:hAnsi="Book Antiqua" w:cs="Arial" w:hint="eastAsia"/>
          <w:bCs/>
          <w:lang w:eastAsia="zh-CN"/>
        </w:rPr>
        <w:t>F</w:t>
      </w:r>
      <w:r w:rsidRPr="003436EA">
        <w:rPr>
          <w:rFonts w:ascii="Book Antiqua" w:eastAsia="Times New Roman" w:hAnsi="Book Antiqua" w:cs="Arial"/>
          <w:bCs/>
        </w:rPr>
        <w:t>old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change,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is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used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to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measure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change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in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the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expression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level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of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a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gene</w:t>
      </w:r>
      <w:r w:rsidRPr="003436EA">
        <w:rPr>
          <w:rFonts w:ascii="Book Antiqua" w:eastAsia="Times New Roman" w:hAnsi="Book Antiqua" w:cs="Arial"/>
          <w:bCs/>
          <w:vertAlign w:val="superscript"/>
        </w:rPr>
        <w:t>[32]</w:t>
      </w:r>
      <w:r w:rsidRPr="003436EA">
        <w:rPr>
          <w:rFonts w:ascii="Book Antiqua" w:eastAsia="Times New Roman" w:hAnsi="Book Antiqua" w:cs="Arial"/>
          <w:bCs/>
        </w:rPr>
        <w:t>;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="00D32E69" w:rsidRPr="003436EA">
        <w:rPr>
          <w:rFonts w:ascii="Book Antiqua" w:hAnsi="Book Antiqua" w:cs="Arial" w:hint="eastAsia"/>
          <w:lang w:eastAsia="zh-CN"/>
        </w:rPr>
        <w:t>NA</w:t>
      </w:r>
      <w:r w:rsidRPr="003436EA">
        <w:rPr>
          <w:rFonts w:ascii="Book Antiqua" w:eastAsia="Times New Roman" w:hAnsi="Book Antiqua" w:cs="Arial"/>
          <w:bCs/>
        </w:rPr>
        <w:t>: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="00D32E69" w:rsidRPr="003436EA">
        <w:rPr>
          <w:rFonts w:ascii="Book Antiqua" w:hAnsi="Book Antiqua" w:cs="Arial" w:hint="eastAsia"/>
          <w:bCs/>
          <w:lang w:eastAsia="zh-CN"/>
        </w:rPr>
        <w:t>N</w:t>
      </w:r>
      <w:r w:rsidRPr="003436EA">
        <w:rPr>
          <w:rFonts w:ascii="Book Antiqua" w:eastAsia="Times New Roman" w:hAnsi="Book Antiqua" w:cs="Arial"/>
          <w:bCs/>
        </w:rPr>
        <w:t>ot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available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due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to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single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data</w:t>
      </w:r>
      <w:r w:rsidR="00BF6322" w:rsidRPr="003436EA">
        <w:rPr>
          <w:rFonts w:ascii="Book Antiqua" w:eastAsia="Times New Roman" w:hAnsi="Book Antiqua" w:cs="Arial"/>
          <w:bCs/>
        </w:rPr>
        <w:t xml:space="preserve"> </w:t>
      </w:r>
      <w:r w:rsidRPr="003436EA">
        <w:rPr>
          <w:rFonts w:ascii="Book Antiqua" w:eastAsia="Times New Roman" w:hAnsi="Book Antiqua" w:cs="Arial"/>
          <w:bCs/>
        </w:rPr>
        <w:t>points.</w:t>
      </w:r>
    </w:p>
    <w:p w14:paraId="550CE425" w14:textId="77777777" w:rsidR="005A13AE" w:rsidRDefault="005A13AE">
      <w:pPr>
        <w:rPr>
          <w:rFonts w:ascii="Book Antiqua" w:eastAsia="Times New Roman" w:hAnsi="Book Antiqua" w:cs="Arial"/>
          <w:bCs/>
        </w:rPr>
      </w:pPr>
      <w:r>
        <w:rPr>
          <w:rFonts w:ascii="Book Antiqua" w:eastAsia="Times New Roman" w:hAnsi="Book Antiqua" w:cs="Arial"/>
          <w:bCs/>
        </w:rPr>
        <w:br w:type="page"/>
      </w:r>
    </w:p>
    <w:p w14:paraId="6A99421F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148A8192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20997D81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3B7091EF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689B5005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2959B39F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20A42D6" wp14:editId="4EB2CCC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B280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2668CD3D" w14:textId="77777777" w:rsidR="005A13AE" w:rsidRPr="00763D22" w:rsidRDefault="005A13AE" w:rsidP="005A13A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D967700" w14:textId="77777777" w:rsidR="005A13AE" w:rsidRPr="00763D22" w:rsidRDefault="005A13AE" w:rsidP="005A13A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0600CAC" w14:textId="77777777" w:rsidR="005A13AE" w:rsidRPr="00763D22" w:rsidRDefault="005A13AE" w:rsidP="005A13A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FD2FBDF" w14:textId="77777777" w:rsidR="005A13AE" w:rsidRPr="00763D22" w:rsidRDefault="005A13AE" w:rsidP="005A13A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158E9B" w14:textId="77777777" w:rsidR="005A13AE" w:rsidRPr="00763D22" w:rsidRDefault="005A13AE" w:rsidP="005A13A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0C75B3" w14:textId="77777777" w:rsidR="005A13AE" w:rsidRPr="00763D22" w:rsidRDefault="005A13AE" w:rsidP="005A13AE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30C2002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2334A73F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3600F068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5D139B6C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66E19C" wp14:editId="51E9E60D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6FAD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7A4F19D5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479F065A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3AC37BD8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7872DC71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697FC61F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65E082D4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7107EA9C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57C05C94" w14:textId="77777777" w:rsidR="005A13AE" w:rsidRDefault="005A13AE" w:rsidP="005A13AE">
      <w:pPr>
        <w:jc w:val="center"/>
        <w:rPr>
          <w:rFonts w:ascii="Book Antiqua" w:hAnsi="Book Antiqua"/>
          <w:lang w:eastAsia="zh-CN"/>
        </w:rPr>
      </w:pPr>
    </w:p>
    <w:p w14:paraId="09AC87FD" w14:textId="77777777" w:rsidR="005A13AE" w:rsidRPr="00763D22" w:rsidRDefault="005A13AE" w:rsidP="005A13A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AE9AFCE" w14:textId="77777777" w:rsidR="005A13AE" w:rsidRPr="00763D22" w:rsidRDefault="005A13AE" w:rsidP="005A13A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440B6B4" w14:textId="77777777" w:rsidR="00CF411A" w:rsidRPr="005A13AE" w:rsidRDefault="00CF411A" w:rsidP="001D08D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F411A" w:rsidRPr="005A13AE" w:rsidSect="00CF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ascaline Fru" w:date="2021-11-15T14:40:00Z" w:initials="PF">
    <w:p w14:paraId="405D5D1D" w14:textId="77777777" w:rsidR="008937FF" w:rsidRDefault="00D2694A" w:rsidP="00BD75FB">
      <w:pPr>
        <w:pStyle w:val="a4"/>
      </w:pPr>
      <w:r>
        <w:rPr>
          <w:rStyle w:val="a3"/>
        </w:rPr>
        <w:annotationRef/>
      </w:r>
      <w:r w:rsidR="008937FF">
        <w:t>This is edited to reflect the figures presented</w:t>
      </w:r>
    </w:p>
  </w:comment>
  <w:comment w:id="5" w:author="Pascaline Fru" w:date="2021-11-15T14:39:00Z" w:initials="PF">
    <w:p w14:paraId="7ADD37B3" w14:textId="58C9E7BE" w:rsidR="007161AF" w:rsidRDefault="007161AF" w:rsidP="008937FF">
      <w:pPr>
        <w:pStyle w:val="a4"/>
      </w:pPr>
      <w:r>
        <w:rPr>
          <w:rStyle w:val="a3"/>
        </w:rPr>
        <w:annotationRef/>
      </w:r>
      <w:r>
        <w:t>This was a repetition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5D5D1D" w15:done="0"/>
  <w15:commentEx w15:paraId="7ADD37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9B66" w16cex:dateUtc="2021-11-15T06:40:00Z"/>
  <w16cex:commentExtensible w16cex:durableId="253C9B39" w16cex:dateUtc="2021-11-15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D5D1D" w16cid:durableId="253C9B66"/>
  <w16cid:commentId w16cid:paraId="7ADD37B3" w16cid:durableId="253C9B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FB7B" w14:textId="77777777" w:rsidR="00E62D5B" w:rsidRDefault="00E62D5B" w:rsidP="007E00A0">
      <w:r>
        <w:separator/>
      </w:r>
    </w:p>
  </w:endnote>
  <w:endnote w:type="continuationSeparator" w:id="0">
    <w:p w14:paraId="797CA73F" w14:textId="77777777" w:rsidR="00E62D5B" w:rsidRDefault="00E62D5B" w:rsidP="007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615" w14:textId="285D097D" w:rsidR="007F496A" w:rsidRPr="001D08D6" w:rsidRDefault="007F496A" w:rsidP="001D08D6">
    <w:pPr>
      <w:pStyle w:val="ac"/>
      <w:jc w:val="right"/>
      <w:rPr>
        <w:rFonts w:ascii="Book Antiqua" w:hAnsi="Book Antiqua"/>
        <w:color w:val="000000" w:themeColor="text1"/>
      </w:rPr>
    </w:pPr>
    <w:r w:rsidRPr="001D08D6">
      <w:rPr>
        <w:rFonts w:ascii="Book Antiqua" w:hAnsi="Book Antiqua"/>
        <w:caps/>
        <w:noProof/>
        <w:color w:val="000000" w:themeColor="text1"/>
      </w:rPr>
      <w:fldChar w:fldCharType="begin"/>
    </w:r>
    <w:r w:rsidRPr="001D08D6">
      <w:rPr>
        <w:rFonts w:ascii="Book Antiqua" w:hAnsi="Book Antiqua"/>
        <w:caps/>
        <w:noProof/>
        <w:color w:val="000000" w:themeColor="text1"/>
      </w:rPr>
      <w:instrText xml:space="preserve"> PAGE  \* Arabic  \* MERGEFORMAT </w:instrText>
    </w:r>
    <w:r w:rsidRPr="001D08D6">
      <w:rPr>
        <w:rFonts w:ascii="Book Antiqua" w:hAnsi="Book Antiqua"/>
        <w:caps/>
        <w:noProof/>
        <w:color w:val="000000" w:themeColor="text1"/>
      </w:rPr>
      <w:fldChar w:fldCharType="separate"/>
    </w:r>
    <w:r w:rsidR="004B1395">
      <w:rPr>
        <w:rFonts w:ascii="Book Antiqua" w:hAnsi="Book Antiqua"/>
        <w:caps/>
        <w:noProof/>
        <w:color w:val="000000" w:themeColor="text1"/>
      </w:rPr>
      <w:t>43</w:t>
    </w:r>
    <w:r w:rsidRPr="001D08D6">
      <w:rPr>
        <w:rFonts w:ascii="Book Antiqua" w:hAnsi="Book Antiqua"/>
        <w:caps/>
        <w:noProof/>
        <w:color w:val="000000" w:themeColor="text1"/>
      </w:rPr>
      <w:fldChar w:fldCharType="end"/>
    </w:r>
    <w:r w:rsidRPr="001D08D6">
      <w:rPr>
        <w:rFonts w:ascii="Book Antiqua" w:hAnsi="Book Antiqua"/>
        <w:caps/>
        <w:noProof/>
        <w:color w:val="000000" w:themeColor="text1"/>
      </w:rPr>
      <w:t>/</w:t>
    </w:r>
    <w:r w:rsidRPr="001D08D6">
      <w:rPr>
        <w:rFonts w:ascii="Book Antiqua" w:hAnsi="Book Antiqua"/>
        <w:caps/>
        <w:noProof/>
        <w:color w:val="000000" w:themeColor="text1"/>
      </w:rPr>
      <w:fldChar w:fldCharType="begin"/>
    </w:r>
    <w:r w:rsidRPr="001D08D6">
      <w:rPr>
        <w:rFonts w:ascii="Book Antiqua" w:hAnsi="Book Antiqua"/>
        <w:caps/>
        <w:noProof/>
        <w:color w:val="000000" w:themeColor="text1"/>
      </w:rPr>
      <w:instrText xml:space="preserve"> NUMPAGES   \* MERGEFORMAT </w:instrText>
    </w:r>
    <w:r w:rsidRPr="001D08D6">
      <w:rPr>
        <w:rFonts w:ascii="Book Antiqua" w:hAnsi="Book Antiqua"/>
        <w:caps/>
        <w:noProof/>
        <w:color w:val="000000" w:themeColor="text1"/>
      </w:rPr>
      <w:fldChar w:fldCharType="separate"/>
    </w:r>
    <w:r w:rsidR="004B1395">
      <w:rPr>
        <w:rFonts w:ascii="Book Antiqua" w:hAnsi="Book Antiqua"/>
        <w:caps/>
        <w:noProof/>
        <w:color w:val="000000" w:themeColor="text1"/>
      </w:rPr>
      <w:t>43</w:t>
    </w:r>
    <w:r w:rsidRPr="001D08D6">
      <w:rPr>
        <w:rFonts w:ascii="Book Antiqua" w:hAnsi="Book Antiqua"/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BCED" w14:textId="77777777" w:rsidR="00E62D5B" w:rsidRDefault="00E62D5B" w:rsidP="007E00A0">
      <w:r>
        <w:separator/>
      </w:r>
    </w:p>
  </w:footnote>
  <w:footnote w:type="continuationSeparator" w:id="0">
    <w:p w14:paraId="74460DAC" w14:textId="77777777" w:rsidR="00E62D5B" w:rsidRDefault="00E62D5B" w:rsidP="007E00A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caline Fru">
    <w15:presenceInfo w15:providerId="AD" w15:userId="S::A0046051@wits.ac.za::6d6c21c3-8d44-425a-8900-6cffbdeda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TA2MTewtDA0MjFT0lEKTi0uzszPAykwqwUAqSilaSwAAAA="/>
  </w:docVars>
  <w:rsids>
    <w:rsidRoot w:val="00A77B3E"/>
    <w:rsid w:val="0001228C"/>
    <w:rsid w:val="00024B8B"/>
    <w:rsid w:val="00030388"/>
    <w:rsid w:val="00052840"/>
    <w:rsid w:val="000617A7"/>
    <w:rsid w:val="00083FEA"/>
    <w:rsid w:val="000A2F59"/>
    <w:rsid w:val="000A6953"/>
    <w:rsid w:val="000C7DD3"/>
    <w:rsid w:val="00102A18"/>
    <w:rsid w:val="001446DE"/>
    <w:rsid w:val="00160560"/>
    <w:rsid w:val="00165683"/>
    <w:rsid w:val="0017068B"/>
    <w:rsid w:val="001C74A1"/>
    <w:rsid w:val="001D08D6"/>
    <w:rsid w:val="001F29A5"/>
    <w:rsid w:val="00216172"/>
    <w:rsid w:val="00234242"/>
    <w:rsid w:val="00280543"/>
    <w:rsid w:val="00282A96"/>
    <w:rsid w:val="00286C34"/>
    <w:rsid w:val="002927F8"/>
    <w:rsid w:val="00297BFB"/>
    <w:rsid w:val="002A6B53"/>
    <w:rsid w:val="002B2476"/>
    <w:rsid w:val="002C7048"/>
    <w:rsid w:val="002D4DBA"/>
    <w:rsid w:val="002D70AA"/>
    <w:rsid w:val="0032334A"/>
    <w:rsid w:val="003436EA"/>
    <w:rsid w:val="00364C94"/>
    <w:rsid w:val="0037698B"/>
    <w:rsid w:val="00377609"/>
    <w:rsid w:val="003A3BE1"/>
    <w:rsid w:val="003A7147"/>
    <w:rsid w:val="003E1557"/>
    <w:rsid w:val="003F7D82"/>
    <w:rsid w:val="00404084"/>
    <w:rsid w:val="00407E2F"/>
    <w:rsid w:val="00412D65"/>
    <w:rsid w:val="00423423"/>
    <w:rsid w:val="00453523"/>
    <w:rsid w:val="00467037"/>
    <w:rsid w:val="004846F5"/>
    <w:rsid w:val="004A7D4F"/>
    <w:rsid w:val="004A7EBD"/>
    <w:rsid w:val="004B1395"/>
    <w:rsid w:val="004C0F8E"/>
    <w:rsid w:val="004C1EA6"/>
    <w:rsid w:val="004F691A"/>
    <w:rsid w:val="00502167"/>
    <w:rsid w:val="005056B9"/>
    <w:rsid w:val="00505DBB"/>
    <w:rsid w:val="005617E4"/>
    <w:rsid w:val="00595F51"/>
    <w:rsid w:val="005A13AE"/>
    <w:rsid w:val="005B339E"/>
    <w:rsid w:val="005B493B"/>
    <w:rsid w:val="006038B0"/>
    <w:rsid w:val="00644D9B"/>
    <w:rsid w:val="00674154"/>
    <w:rsid w:val="00696896"/>
    <w:rsid w:val="006B614E"/>
    <w:rsid w:val="006E7EA4"/>
    <w:rsid w:val="007161AF"/>
    <w:rsid w:val="007C6ECE"/>
    <w:rsid w:val="007E00A0"/>
    <w:rsid w:val="007F496A"/>
    <w:rsid w:val="00826283"/>
    <w:rsid w:val="008937FF"/>
    <w:rsid w:val="0089453D"/>
    <w:rsid w:val="008D2219"/>
    <w:rsid w:val="008F408A"/>
    <w:rsid w:val="00914451"/>
    <w:rsid w:val="00921466"/>
    <w:rsid w:val="0093254F"/>
    <w:rsid w:val="00971274"/>
    <w:rsid w:val="00983601"/>
    <w:rsid w:val="00995B0E"/>
    <w:rsid w:val="009A2A93"/>
    <w:rsid w:val="009E0FAC"/>
    <w:rsid w:val="00A01C30"/>
    <w:rsid w:val="00A02262"/>
    <w:rsid w:val="00A30928"/>
    <w:rsid w:val="00A32392"/>
    <w:rsid w:val="00A33B90"/>
    <w:rsid w:val="00A557A4"/>
    <w:rsid w:val="00A63FFB"/>
    <w:rsid w:val="00A77B3E"/>
    <w:rsid w:val="00AA0535"/>
    <w:rsid w:val="00AB3720"/>
    <w:rsid w:val="00AF13D1"/>
    <w:rsid w:val="00B47CCC"/>
    <w:rsid w:val="00B50E00"/>
    <w:rsid w:val="00B551BF"/>
    <w:rsid w:val="00B73692"/>
    <w:rsid w:val="00B87A6C"/>
    <w:rsid w:val="00B96A22"/>
    <w:rsid w:val="00BA4C25"/>
    <w:rsid w:val="00BA5B0B"/>
    <w:rsid w:val="00BD50FA"/>
    <w:rsid w:val="00BD704D"/>
    <w:rsid w:val="00BD7369"/>
    <w:rsid w:val="00BF6322"/>
    <w:rsid w:val="00C01EDD"/>
    <w:rsid w:val="00C20388"/>
    <w:rsid w:val="00C23256"/>
    <w:rsid w:val="00C2429A"/>
    <w:rsid w:val="00C34468"/>
    <w:rsid w:val="00C5252A"/>
    <w:rsid w:val="00C85F2E"/>
    <w:rsid w:val="00C949A2"/>
    <w:rsid w:val="00CA2A55"/>
    <w:rsid w:val="00CB0EA3"/>
    <w:rsid w:val="00CB6465"/>
    <w:rsid w:val="00CB6CF5"/>
    <w:rsid w:val="00CC17CA"/>
    <w:rsid w:val="00CD7A2B"/>
    <w:rsid w:val="00CE735A"/>
    <w:rsid w:val="00CF411A"/>
    <w:rsid w:val="00D2228A"/>
    <w:rsid w:val="00D2694A"/>
    <w:rsid w:val="00D32E69"/>
    <w:rsid w:val="00DC1505"/>
    <w:rsid w:val="00DE1F48"/>
    <w:rsid w:val="00E075E1"/>
    <w:rsid w:val="00E33A85"/>
    <w:rsid w:val="00E33CE2"/>
    <w:rsid w:val="00E62D5B"/>
    <w:rsid w:val="00E7222B"/>
    <w:rsid w:val="00E93B35"/>
    <w:rsid w:val="00E94F8E"/>
    <w:rsid w:val="00EC3CD5"/>
    <w:rsid w:val="00ED6820"/>
    <w:rsid w:val="00F2445F"/>
    <w:rsid w:val="00F3259E"/>
    <w:rsid w:val="00F536CE"/>
    <w:rsid w:val="00F63179"/>
    <w:rsid w:val="00F65433"/>
    <w:rsid w:val="00F8696A"/>
    <w:rsid w:val="00F97F99"/>
    <w:rsid w:val="00FB41B8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2BE5A"/>
  <w15:docId w15:val="{E41784CE-938F-444C-A641-23F62B5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AF13D1"/>
    <w:rPr>
      <w:sz w:val="16"/>
      <w:szCs w:val="16"/>
    </w:rPr>
  </w:style>
  <w:style w:type="paragraph" w:styleId="a4">
    <w:name w:val="annotation text"/>
    <w:basedOn w:val="a"/>
    <w:link w:val="a5"/>
    <w:unhideWhenUsed/>
    <w:rsid w:val="00AF13D1"/>
    <w:rPr>
      <w:sz w:val="20"/>
      <w:szCs w:val="20"/>
    </w:rPr>
  </w:style>
  <w:style w:type="character" w:customStyle="1" w:styleId="a5">
    <w:name w:val="批注文字 字符"/>
    <w:basedOn w:val="a0"/>
    <w:link w:val="a4"/>
    <w:rsid w:val="00AF13D1"/>
  </w:style>
  <w:style w:type="paragraph" w:styleId="a6">
    <w:name w:val="annotation subject"/>
    <w:basedOn w:val="a4"/>
    <w:next w:val="a4"/>
    <w:link w:val="a7"/>
    <w:semiHidden/>
    <w:unhideWhenUsed/>
    <w:rsid w:val="00AF13D1"/>
    <w:rPr>
      <w:b/>
      <w:bCs/>
    </w:rPr>
  </w:style>
  <w:style w:type="character" w:customStyle="1" w:styleId="a7">
    <w:name w:val="批注主题 字符"/>
    <w:basedOn w:val="a5"/>
    <w:link w:val="a6"/>
    <w:semiHidden/>
    <w:rsid w:val="00AF13D1"/>
    <w:rPr>
      <w:b/>
      <w:bCs/>
    </w:rPr>
  </w:style>
  <w:style w:type="paragraph" w:styleId="a8">
    <w:name w:val="Balloon Text"/>
    <w:basedOn w:val="a"/>
    <w:link w:val="a9"/>
    <w:semiHidden/>
    <w:unhideWhenUsed/>
    <w:rsid w:val="00AF13D1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F13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7E00A0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rsid w:val="007E00A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00A0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7E00A0"/>
    <w:rPr>
      <w:sz w:val="24"/>
      <w:szCs w:val="24"/>
    </w:rPr>
  </w:style>
  <w:style w:type="table" w:customStyle="1" w:styleId="ListTable21">
    <w:name w:val="List Table 21"/>
    <w:basedOn w:val="a1"/>
    <w:uiPriority w:val="47"/>
    <w:rsid w:val="001D08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a1"/>
    <w:uiPriority w:val="42"/>
    <w:rsid w:val="001D08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e">
    <w:name w:val="Revision"/>
    <w:hidden/>
    <w:uiPriority w:val="99"/>
    <w:semiHidden/>
    <w:rsid w:val="00561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image" Target="media/image4.tm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tmp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image" Target="media/image3.tmp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tmp"/><Relationship Id="rId20" Type="http://schemas.openxmlformats.org/officeDocument/2006/relationships/image" Target="media/image6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tmp"/><Relationship Id="rId23" Type="http://schemas.openxmlformats.org/officeDocument/2006/relationships/image" Target="media/image9.png"/><Relationship Id="rId10" Type="http://schemas.openxmlformats.org/officeDocument/2006/relationships/comments" Target="comments.xml"/><Relationship Id="rId19" Type="http://schemas.openxmlformats.org/officeDocument/2006/relationships/image" Target="media/image5.tmp"/><Relationship Id="rId4" Type="http://schemas.openxmlformats.org/officeDocument/2006/relationships/styles" Target="styles.xml"/><Relationship Id="rId9" Type="http://schemas.openxmlformats.org/officeDocument/2006/relationships/hyperlink" Target="https://geneglobe.qiagen.com/za/analyze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45902AAE25140BF4B4A9FA8878AFB" ma:contentTypeVersion="14" ma:contentTypeDescription="Create a new document." ma:contentTypeScope="" ma:versionID="0837e2fe315ff25a6ae69b8fd2ba729e">
  <xsd:schema xmlns:xsd="http://www.w3.org/2001/XMLSchema" xmlns:xs="http://www.w3.org/2001/XMLSchema" xmlns:p="http://schemas.microsoft.com/office/2006/metadata/properties" xmlns:ns3="2c912624-c43d-4abb-9dc1-5f9502cbe565" xmlns:ns4="507103f3-567b-4db8-a4ba-2ebb0e9e9c4d" targetNamespace="http://schemas.microsoft.com/office/2006/metadata/properties" ma:root="true" ma:fieldsID="c7bbbb675cca1d112f525ed95e4b35bf" ns3:_="" ns4:_="">
    <xsd:import namespace="2c912624-c43d-4abb-9dc1-5f9502cbe565"/>
    <xsd:import namespace="507103f3-567b-4db8-a4ba-2ebb0e9e9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2624-c43d-4abb-9dc1-5f9502cbe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03f3-567b-4db8-a4ba-2ebb0e9e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2F44F-B006-413F-9AB9-FF0554A16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E3337-7FBC-4235-A63C-2615376BD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CF97-8D47-4328-A74F-D5B4DF3ED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2624-c43d-4abb-9dc1-5f9502cbe565"/>
    <ds:schemaRef ds:uri="507103f3-567b-4db8-a4ba-2ebb0e9e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44</Pages>
  <Words>10285</Words>
  <Characters>58625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Pascaline Fru</dc:creator>
  <cp:lastModifiedBy>Li Jia-Hui</cp:lastModifiedBy>
  <cp:revision>31</cp:revision>
  <cp:lastPrinted>2021-09-02T07:44:00Z</cp:lastPrinted>
  <dcterms:created xsi:type="dcterms:W3CDTF">2021-11-15T08:18:00Z</dcterms:created>
  <dcterms:modified xsi:type="dcterms:W3CDTF">2021-11-17T10:02:00Z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0x010100ADB45902AAE25140BF4B4A9FA8878AFB</vt:lpwstr>
  </property>
</Properties>
</file>