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7D848"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0912C2E"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66416</w:t>
      </w:r>
    </w:p>
    <w:p w14:paraId="4C58BB60"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319237A" w14:textId="77777777" w:rsidR="00E8667C" w:rsidRDefault="00E8667C">
      <w:pPr>
        <w:spacing w:line="360" w:lineRule="auto"/>
        <w:jc w:val="both"/>
        <w:rPr>
          <w:rFonts w:ascii="Book Antiqua" w:hAnsi="Book Antiqua"/>
        </w:rPr>
      </w:pPr>
    </w:p>
    <w:p w14:paraId="7672AB60"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t>Retrospective Study</w:t>
      </w:r>
    </w:p>
    <w:p w14:paraId="28257A97"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Hepatic perivascular epithelioid cell tumor: Clinicopathological analysis of 26 cases with emphasis on disease management and prognosis</w:t>
      </w:r>
    </w:p>
    <w:p w14:paraId="40DCAEE0" w14:textId="77777777" w:rsidR="00E8667C" w:rsidRDefault="00E8667C">
      <w:pPr>
        <w:spacing w:line="360" w:lineRule="auto"/>
        <w:jc w:val="both"/>
        <w:rPr>
          <w:rFonts w:ascii="Book Antiqua" w:hAnsi="Book Antiqua"/>
        </w:rPr>
      </w:pPr>
    </w:p>
    <w:p w14:paraId="6D2D8DCE"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Zhang S</w:t>
      </w:r>
      <w:r>
        <w:rPr>
          <w:rFonts w:ascii="Book Antiqua" w:eastAsia="Book Antiqua" w:hAnsi="Book Antiqua" w:cs="Book Antiqua"/>
          <w:i/>
          <w:iCs/>
          <w:color w:val="000000"/>
        </w:rPr>
        <w:t xml:space="preserve"> et al</w:t>
      </w:r>
      <w:r>
        <w:rPr>
          <w:rFonts w:ascii="Book Antiqua" w:eastAsia="Book Antiqua" w:hAnsi="Book Antiqua" w:cs="Book Antiqua"/>
          <w:color w:val="000000"/>
        </w:rPr>
        <w:t>. C</w:t>
      </w:r>
      <w:r>
        <w:rPr>
          <w:rFonts w:ascii="Book Antiqua" w:eastAsia="Book Antiqua" w:hAnsi="Book Antiqua" w:cs="Book Antiqua" w:hint="eastAsia"/>
          <w:color w:val="000000"/>
        </w:rPr>
        <w:t xml:space="preserve">linicopathological features and </w:t>
      </w:r>
      <w:bookmarkStart w:id="0" w:name="OLE_LINK1"/>
      <w:r>
        <w:rPr>
          <w:rFonts w:ascii="Book Antiqua" w:eastAsia="Book Antiqua" w:hAnsi="Book Antiqua" w:cs="Book Antiqua" w:hint="eastAsia"/>
          <w:color w:val="000000"/>
        </w:rPr>
        <w:t>prognos</w:t>
      </w:r>
      <w:r>
        <w:rPr>
          <w:rFonts w:ascii="Book Antiqua" w:eastAsia="Book Antiqua" w:hAnsi="Book Antiqua" w:cs="Book Antiqua"/>
          <w:color w:val="000000"/>
        </w:rPr>
        <w:t>is</w:t>
      </w:r>
      <w:bookmarkEnd w:id="0"/>
      <w:r>
        <w:rPr>
          <w:rFonts w:ascii="Book Antiqua" w:eastAsia="Book Antiqua" w:hAnsi="Book Antiqua" w:cs="Book Antiqua" w:hint="eastAsia"/>
          <w:color w:val="000000"/>
        </w:rPr>
        <w:t xml:space="preserve"> </w:t>
      </w:r>
      <w:r>
        <w:rPr>
          <w:rFonts w:ascii="Book Antiqua" w:eastAsia="Book Antiqua" w:hAnsi="Book Antiqua" w:cs="Book Antiqua"/>
          <w:color w:val="000000"/>
        </w:rPr>
        <w:t>of h</w:t>
      </w:r>
      <w:r>
        <w:rPr>
          <w:rFonts w:ascii="Book Antiqua" w:eastAsia="Book Antiqua" w:hAnsi="Book Antiqua" w:cs="Book Antiqua" w:hint="eastAsia"/>
          <w:color w:val="000000"/>
        </w:rPr>
        <w:t>epatic</w:t>
      </w:r>
      <w:r>
        <w:rPr>
          <w:rFonts w:ascii="Book Antiqua" w:eastAsia="Book Antiqua" w:hAnsi="Book Antiqua" w:cs="Book Antiqua"/>
          <w:color w:val="000000"/>
        </w:rPr>
        <w:t xml:space="preserve"> </w:t>
      </w:r>
      <w:r>
        <w:rPr>
          <w:rFonts w:ascii="Book Antiqua" w:eastAsia="Book Antiqua" w:hAnsi="Book Antiqua" w:cs="Book Antiqua" w:hint="eastAsia"/>
          <w:color w:val="000000"/>
        </w:rPr>
        <w:t>PEComa</w:t>
      </w:r>
    </w:p>
    <w:p w14:paraId="07A60E27" w14:textId="77777777" w:rsidR="00E8667C" w:rsidRDefault="00E8667C">
      <w:pPr>
        <w:spacing w:line="360" w:lineRule="auto"/>
        <w:jc w:val="both"/>
        <w:rPr>
          <w:rFonts w:ascii="Book Antiqua" w:hAnsi="Book Antiqua"/>
        </w:rPr>
      </w:pPr>
    </w:p>
    <w:p w14:paraId="08799A74"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Shan Zhang, Pan-Pan Yang, Yu-Chen Huang, Hong-Chun Chen, De-Li Chen, Wen-Tian Yan, Ning-Ning Yang, Yuan Li, Nan Li, Zhen-Zhong Feng</w:t>
      </w:r>
    </w:p>
    <w:p w14:paraId="3C271507" w14:textId="77777777" w:rsidR="00E8667C" w:rsidRDefault="00E8667C">
      <w:pPr>
        <w:spacing w:line="360" w:lineRule="auto"/>
        <w:jc w:val="both"/>
        <w:rPr>
          <w:rFonts w:ascii="Book Antiqua" w:hAnsi="Book Antiqua"/>
        </w:rPr>
      </w:pPr>
    </w:p>
    <w:p w14:paraId="425E92EC"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Shan Zhang, </w:t>
      </w:r>
      <w:r>
        <w:rPr>
          <w:rFonts w:ascii="Book Antiqua" w:eastAsia="Book Antiqua" w:hAnsi="Book Antiqua" w:cs="Book Antiqua"/>
          <w:color w:val="000000"/>
        </w:rPr>
        <w:t>Department of Pathology, The Second People’s Hospital of Hefei, Hefei 230011, Anhui Province, China</w:t>
      </w:r>
    </w:p>
    <w:p w14:paraId="4137385C" w14:textId="77777777" w:rsidR="00E8667C" w:rsidRDefault="00E8667C">
      <w:pPr>
        <w:spacing w:line="360" w:lineRule="auto"/>
        <w:jc w:val="both"/>
        <w:rPr>
          <w:rFonts w:ascii="Book Antiqua" w:hAnsi="Book Antiqua"/>
        </w:rPr>
      </w:pPr>
    </w:p>
    <w:p w14:paraId="7E79E5FA"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Pan-Pan Yang, Zhen-Zhong Feng, </w:t>
      </w:r>
      <w:r>
        <w:rPr>
          <w:rFonts w:ascii="Book Antiqua" w:eastAsia="Book Antiqua" w:hAnsi="Book Antiqua" w:cs="Book Antiqua"/>
          <w:color w:val="000000"/>
        </w:rPr>
        <w:t>Department of Pathology, The Second Affiliated Hospital of Anhui Medical University, Hefei 230601, Anhui Province, China</w:t>
      </w:r>
    </w:p>
    <w:p w14:paraId="2578AFBE" w14:textId="77777777" w:rsidR="00E8667C" w:rsidRDefault="00E8667C">
      <w:pPr>
        <w:spacing w:line="360" w:lineRule="auto"/>
        <w:jc w:val="both"/>
        <w:rPr>
          <w:rFonts w:ascii="Book Antiqua" w:hAnsi="Book Antiqua"/>
        </w:rPr>
      </w:pPr>
    </w:p>
    <w:p w14:paraId="21FAD2AF"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Yu-Chen Huang, Hong-Chun Chen, Wen-Tian Yan, Ning-Ning Yang, Nan Li, </w:t>
      </w:r>
      <w:r>
        <w:rPr>
          <w:rFonts w:ascii="Book Antiqua" w:eastAsia="Book Antiqua" w:hAnsi="Book Antiqua" w:cs="Book Antiqua"/>
          <w:color w:val="000000"/>
        </w:rPr>
        <w:t>Department of Pathology, The First Affiliated Hospital of Bengbu Medical College, Bengbu 233000, Anhui Province, China</w:t>
      </w:r>
    </w:p>
    <w:p w14:paraId="2E714211" w14:textId="77777777" w:rsidR="00E8667C" w:rsidRDefault="00E8667C">
      <w:pPr>
        <w:spacing w:line="360" w:lineRule="auto"/>
        <w:jc w:val="both"/>
        <w:rPr>
          <w:rFonts w:ascii="Book Antiqua" w:hAnsi="Book Antiqua"/>
        </w:rPr>
      </w:pPr>
    </w:p>
    <w:p w14:paraId="4A004C62"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De-Li Chen, </w:t>
      </w:r>
      <w:r>
        <w:rPr>
          <w:rFonts w:ascii="Book Antiqua" w:eastAsia="Book Antiqua" w:hAnsi="Book Antiqua" w:cs="Book Antiqua"/>
          <w:color w:val="000000"/>
        </w:rPr>
        <w:t>Department of Gastrointestinal Surgery, The First Affiliated Hospital of Bengbu Medical College, Bengbu 233000, Anhui Province, China</w:t>
      </w:r>
    </w:p>
    <w:p w14:paraId="087F2D03" w14:textId="77777777" w:rsidR="00E8667C" w:rsidRDefault="00E8667C">
      <w:pPr>
        <w:spacing w:line="360" w:lineRule="auto"/>
        <w:jc w:val="both"/>
        <w:rPr>
          <w:rFonts w:ascii="Book Antiqua" w:hAnsi="Book Antiqua"/>
        </w:rPr>
      </w:pPr>
    </w:p>
    <w:p w14:paraId="11EE84AA"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Yuan Li, </w:t>
      </w:r>
      <w:r>
        <w:rPr>
          <w:rFonts w:ascii="Book Antiqua" w:eastAsia="Book Antiqua" w:hAnsi="Book Antiqua" w:cs="Book Antiqua"/>
          <w:color w:val="000000"/>
        </w:rPr>
        <w:t>Department of Pathology, The First Affiliated Hospital of University of Science and Technology of China, Anhui Provincial Hospital, Hefei 230001, Anhui Province, China</w:t>
      </w:r>
    </w:p>
    <w:p w14:paraId="0664268F" w14:textId="77777777" w:rsidR="00E8667C" w:rsidRDefault="00E8667C">
      <w:pPr>
        <w:spacing w:line="360" w:lineRule="auto"/>
        <w:jc w:val="both"/>
        <w:rPr>
          <w:rFonts w:ascii="Book Antiqua" w:eastAsia="Book Antiqua" w:hAnsi="Book Antiqua" w:cs="Book Antiqua"/>
          <w:b/>
          <w:bCs/>
          <w:color w:val="000000"/>
        </w:rPr>
      </w:pPr>
    </w:p>
    <w:p w14:paraId="4B27E349"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S and Feng ZZ designed the study; Zhang S and Yang PP performed the experiments; Li Y prepared the slices; Zhang S, Huang YC, Chen HC, Yan WT, and Yang NN collected and analyzed the data; Feng ZZ and Li N reviewed the histopathology and IHC results; Chen DL provided critical comments on the manuscript; Zhang S, Yang PP, and Feng ZZ wrote the manuscript; all authors read and approved the final manuscript.</w:t>
      </w:r>
    </w:p>
    <w:p w14:paraId="54474F38" w14:textId="77777777" w:rsidR="00E8667C" w:rsidRDefault="00E8667C">
      <w:pPr>
        <w:spacing w:line="360" w:lineRule="auto"/>
        <w:jc w:val="both"/>
        <w:rPr>
          <w:rFonts w:ascii="Book Antiqua" w:hAnsi="Book Antiqua"/>
        </w:rPr>
      </w:pPr>
    </w:p>
    <w:p w14:paraId="4EB7002B"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the Anhui Provincial Natural Science Foundation, No. 1908085MH275; Bengbu Medical College Key projects of Natural Science Foundation, No. BYKF1710; and </w:t>
      </w:r>
      <w:bookmarkStart w:id="1" w:name="OLE_LINK44"/>
      <w:r>
        <w:rPr>
          <w:rFonts w:ascii="Book Antiqua" w:eastAsia="Book Antiqua" w:hAnsi="Book Antiqua" w:cs="Book Antiqua"/>
          <w:color w:val="000000"/>
        </w:rPr>
        <w:t>Bengbu City-Bengbu Medical College Joint Science and Technology Project</w:t>
      </w:r>
      <w:bookmarkEnd w:id="1"/>
      <w:r>
        <w:rPr>
          <w:rFonts w:ascii="Book Antiqua" w:eastAsia="Book Antiqua" w:hAnsi="Book Antiqua" w:cs="Book Antiqua"/>
          <w:color w:val="000000"/>
        </w:rPr>
        <w:t>, No. BYLK201812.</w:t>
      </w:r>
    </w:p>
    <w:p w14:paraId="5D8E4FE1" w14:textId="77777777" w:rsidR="00E8667C" w:rsidRDefault="00E8667C">
      <w:pPr>
        <w:spacing w:line="360" w:lineRule="auto"/>
        <w:jc w:val="both"/>
        <w:rPr>
          <w:rFonts w:ascii="Book Antiqua" w:hAnsi="Book Antiqua"/>
          <w:lang w:eastAsia="zh-CN"/>
        </w:rPr>
      </w:pPr>
    </w:p>
    <w:p w14:paraId="379B57E9"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Corresponding author: Zhen-Zhong Feng, PhD, Professor, </w:t>
      </w:r>
      <w:r>
        <w:rPr>
          <w:rFonts w:ascii="Book Antiqua" w:eastAsia="Book Antiqua" w:hAnsi="Book Antiqua" w:cs="Book Antiqua"/>
          <w:color w:val="000000"/>
        </w:rPr>
        <w:t>Department of Pathology, The Second Affiliated Hospital of Anhui Medical University, No. 678 Furong Road, Hefei 230601, Anhui Province, China. fzz18297301626@163.com</w:t>
      </w:r>
    </w:p>
    <w:p w14:paraId="5D885212" w14:textId="77777777" w:rsidR="00E8667C" w:rsidRDefault="00E8667C">
      <w:pPr>
        <w:spacing w:line="360" w:lineRule="auto"/>
        <w:jc w:val="both"/>
        <w:rPr>
          <w:rFonts w:ascii="Book Antiqua" w:hAnsi="Book Antiqua"/>
        </w:rPr>
      </w:pPr>
    </w:p>
    <w:p w14:paraId="51C160DE"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29, 2021</w:t>
      </w:r>
    </w:p>
    <w:p w14:paraId="02AE06CF"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29, 2021</w:t>
      </w:r>
    </w:p>
    <w:p w14:paraId="6947E4BA"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2" w:name="OLE_LINK48"/>
      <w:bookmarkStart w:id="3" w:name="OLE_LINK33"/>
      <w:bookmarkStart w:id="4" w:name="OLE_LINK15"/>
      <w:r>
        <w:rPr>
          <w:rFonts w:ascii="Book Antiqua" w:eastAsia="宋体" w:hAnsi="Book Antiqua" w:hint="eastAsia"/>
          <w:color w:val="000000" w:themeColor="text1"/>
        </w:rPr>
        <w:t>Au</w:t>
      </w:r>
      <w:r>
        <w:rPr>
          <w:rFonts w:ascii="Book Antiqua" w:eastAsia="宋体" w:hAnsi="Book Antiqua"/>
          <w:color w:val="000000" w:themeColor="text1"/>
        </w:rPr>
        <w:t>gust 13, 2021</w:t>
      </w:r>
      <w:bookmarkEnd w:id="2"/>
      <w:bookmarkEnd w:id="3"/>
      <w:bookmarkEnd w:id="4"/>
    </w:p>
    <w:p w14:paraId="061E8FE3"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47A4C6D8" w14:textId="77777777" w:rsidR="00E8667C" w:rsidRDefault="00E8667C">
      <w:pPr>
        <w:spacing w:line="360" w:lineRule="auto"/>
        <w:jc w:val="both"/>
        <w:rPr>
          <w:rFonts w:ascii="Book Antiqua" w:hAnsi="Book Antiqua"/>
        </w:rPr>
        <w:sectPr w:rsidR="00E8667C">
          <w:footerReference w:type="default" r:id="rId7"/>
          <w:pgSz w:w="12240" w:h="15840"/>
          <w:pgMar w:top="1440" w:right="1440" w:bottom="1440" w:left="1440" w:header="720" w:footer="720" w:gutter="0"/>
          <w:cols w:space="720"/>
          <w:docGrid w:linePitch="360"/>
        </w:sectPr>
      </w:pPr>
    </w:p>
    <w:p w14:paraId="176D2436"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112F9FE"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BACKGROUND</w:t>
      </w:r>
    </w:p>
    <w:p w14:paraId="600D5EF6"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Perivascular epithelioid cell tumor (PEComa) is an uncommon tumor of mesenchymal origin. Cases of PEComa in the liver are extremely rare.</w:t>
      </w:r>
    </w:p>
    <w:p w14:paraId="7C00ED76" w14:textId="77777777" w:rsidR="00E8667C" w:rsidRDefault="00E8667C">
      <w:pPr>
        <w:spacing w:line="360" w:lineRule="auto"/>
        <w:jc w:val="both"/>
        <w:rPr>
          <w:rFonts w:ascii="Book Antiqua" w:hAnsi="Book Antiqua"/>
        </w:rPr>
      </w:pPr>
    </w:p>
    <w:p w14:paraId="4AA2CFD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AIM</w:t>
      </w:r>
    </w:p>
    <w:p w14:paraId="630D1ED6"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To analyze the clinicopathological features and treatment of hepatic PEComa and to evaluate the prognosis after different treatments.</w:t>
      </w:r>
    </w:p>
    <w:p w14:paraId="0964D183" w14:textId="77777777" w:rsidR="00E8667C" w:rsidRDefault="00E8667C">
      <w:pPr>
        <w:spacing w:line="360" w:lineRule="auto"/>
        <w:jc w:val="both"/>
        <w:rPr>
          <w:rFonts w:ascii="Book Antiqua" w:hAnsi="Book Antiqua"/>
        </w:rPr>
      </w:pPr>
    </w:p>
    <w:p w14:paraId="7BC632E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METHODS</w:t>
      </w:r>
    </w:p>
    <w:p w14:paraId="7D9CB1F8"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Clinical and pathological data of 26 patients with hepatic PEComa were collected. All cases were analyzed by immunohistochemistry and clinical follow-up.</w:t>
      </w:r>
    </w:p>
    <w:p w14:paraId="7F646B4E" w14:textId="77777777" w:rsidR="00E8667C" w:rsidRDefault="00E8667C">
      <w:pPr>
        <w:spacing w:line="360" w:lineRule="auto"/>
        <w:jc w:val="both"/>
        <w:rPr>
          <w:rFonts w:ascii="Book Antiqua" w:hAnsi="Book Antiqua"/>
        </w:rPr>
      </w:pPr>
    </w:p>
    <w:p w14:paraId="4A75850C"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RESULTS</w:t>
      </w:r>
    </w:p>
    <w:p w14:paraId="197E04F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This study included 17 females and 9 males, with a median age of 50 years. Lesions were located in the left hepatic lobe in 13 cases, in the right lobe in 11, and in the caudate lobe in 2. The median tumor diameter was 6.5 cm. Light microscopy revealed that the tumor cells were mainly composed of epithelioid cells. The cytoplasm contained heterogeneous eosinophilic granules. There were thick-walled blood vessels, around which tumor cells were radially arranged. Immunohistochemical analysis of pigment-derived and myogenic markers in PEComas revealed that 25 cases were HMB45 (+), 23 were Melan-A (+), and 22 SMA (+). TFE3 and Desmin were negative in all cases. All the fluorescence </w:t>
      </w:r>
      <w:r>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samples were negative for </w:t>
      </w:r>
      <w:r>
        <w:rPr>
          <w:rFonts w:ascii="Book Antiqua" w:eastAsia="Book Antiqua" w:hAnsi="Book Antiqua" w:cs="Book Antiqua"/>
          <w:i/>
          <w:color w:val="000000"/>
        </w:rPr>
        <w:t>TFE3</w:t>
      </w:r>
      <w:r>
        <w:rPr>
          <w:rFonts w:ascii="Book Antiqua" w:eastAsia="Book Antiqua" w:hAnsi="Book Antiqua" w:cs="Book Antiqua"/>
          <w:color w:val="000000"/>
        </w:rPr>
        <w:t xml:space="preserve"> gene break-apart probe. Tumor tissues were collected by extended hepatic lobe resection or simple hepatic tumor resection as the main treatments. Median follow-up was 62.5 mo. None of the patients had metastasis or recurrence, and there were no deaths due to the disease.</w:t>
      </w:r>
    </w:p>
    <w:p w14:paraId="12921968" w14:textId="77777777" w:rsidR="00E8667C" w:rsidRDefault="00E8667C">
      <w:pPr>
        <w:spacing w:line="360" w:lineRule="auto"/>
        <w:jc w:val="both"/>
        <w:rPr>
          <w:rFonts w:ascii="Book Antiqua" w:hAnsi="Book Antiqua"/>
        </w:rPr>
      </w:pPr>
    </w:p>
    <w:p w14:paraId="09E566C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CONCLUSION</w:t>
      </w:r>
    </w:p>
    <w:p w14:paraId="40A58CE8"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Hepatic PEComa highly expresses melanin and smooth muscle markers, and generally exhibits an inert biological behavior. The prognosis after extended hepatic lobe resection and simple hepatic tumor resection is semblable.</w:t>
      </w:r>
    </w:p>
    <w:p w14:paraId="2A1B703B" w14:textId="77777777" w:rsidR="00E8667C" w:rsidRDefault="00E8667C">
      <w:pPr>
        <w:spacing w:line="360" w:lineRule="auto"/>
        <w:jc w:val="both"/>
        <w:rPr>
          <w:rFonts w:ascii="Book Antiqua" w:hAnsi="Book Antiqua"/>
        </w:rPr>
      </w:pPr>
    </w:p>
    <w:p w14:paraId="79AD5A00"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tumor; Perivascular epithelioid cells; PEComa; Immunohistochemistry; Treatment; Prognosis</w:t>
      </w:r>
    </w:p>
    <w:p w14:paraId="0A62B8A6" w14:textId="77777777" w:rsidR="00E8667C" w:rsidRDefault="00E8667C">
      <w:pPr>
        <w:spacing w:line="360" w:lineRule="auto"/>
        <w:jc w:val="both"/>
        <w:rPr>
          <w:rFonts w:ascii="Book Antiqua" w:hAnsi="Book Antiqua"/>
        </w:rPr>
      </w:pPr>
    </w:p>
    <w:p w14:paraId="08527B85"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Zhang S, Yang PP, Huang YC, Chen HC, Chen DL, Yan WT, Yang NN, Li Y, Li N, Feng ZZ. Hepatic perivascular epithelioid cell tumor: Clinicopathological analysis of 26 cases with emphasis on disease management and prognosis.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5F594E2B" w14:textId="77777777" w:rsidR="00E8667C" w:rsidRDefault="00E8667C">
      <w:pPr>
        <w:spacing w:line="360" w:lineRule="auto"/>
        <w:jc w:val="both"/>
        <w:rPr>
          <w:rFonts w:ascii="Book Antiqua" w:hAnsi="Book Antiqua"/>
        </w:rPr>
      </w:pPr>
    </w:p>
    <w:p w14:paraId="0018B1F3"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Hepatic perivascular epithelioid cell tumor (PEComa) exhibits an inert biological behavior, and its diagnosis, treatment, and follow-up are challenging. Our study revealed that there was no difference in the prognosis between simple resection of liver tumor and extended resection of liver lobe. Optimal surgical resection currently is the best treatment option, and radiotherapy, chemotherapy, and immunotherapy may become more effective in future. The number of cases in the current retrospective study was limited by the rarity of hepatic PEComa. Therefore, further multicenter, larger-cohort studies are warranted to investigate the clinicopathological features and biological behavior of hepatic PEComa.</w:t>
      </w:r>
    </w:p>
    <w:p w14:paraId="4E6F6116" w14:textId="77777777" w:rsidR="00E8667C" w:rsidRDefault="00E8667C">
      <w:pPr>
        <w:spacing w:line="360" w:lineRule="auto"/>
        <w:jc w:val="both"/>
        <w:rPr>
          <w:rFonts w:ascii="Book Antiqua" w:hAnsi="Book Antiqua"/>
        </w:rPr>
      </w:pPr>
    </w:p>
    <w:p w14:paraId="21EC7079" w14:textId="77777777" w:rsidR="00E8667C" w:rsidRDefault="00E8667C">
      <w:pPr>
        <w:spacing w:line="360" w:lineRule="auto"/>
        <w:jc w:val="both"/>
        <w:rPr>
          <w:rFonts w:ascii="Book Antiqua" w:eastAsia="Book Antiqua" w:hAnsi="Book Antiqua" w:cs="Book Antiqua"/>
          <w:b/>
          <w:caps/>
          <w:color w:val="000000"/>
          <w:u w:val="single"/>
        </w:rPr>
        <w:sectPr w:rsidR="00E8667C">
          <w:pgSz w:w="12240" w:h="15840"/>
          <w:pgMar w:top="1440" w:right="1440" w:bottom="1440" w:left="1440" w:header="720" w:footer="720" w:gutter="0"/>
          <w:cols w:space="720"/>
          <w:docGrid w:linePitch="360"/>
        </w:sectPr>
      </w:pPr>
    </w:p>
    <w:p w14:paraId="06A38D27" w14:textId="77777777"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4B6AD7A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Perivascular epithelioid cells were first described in 1992 by Bonetti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In 2013, the World Health Organization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defined perivascular epithelioid cell tumor (PEComa) as “a mesenchymal tumor, which shows a local association with the vessel wall and usually expresses melanocyte markers and smooth muscle markers.” Bonetti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were the first to propose the concept of a PEComa family, which includes angiomyolipoma, clear cell sugar tumor of the lung, lymphangioleiomyomatosis, and a group of histologically and immunophenotypically similar tumors that include primary extrapulmonary sugar tumor, clear cell myomelanocytic tumor, and abdominopelvic sarcoma of perivascular epithelioid cells. PEComas are mainly composed of eosinophilic and clear epithelioid cells, which are usually arranged in nests of different sizes associated with blood vessels</w:t>
      </w:r>
      <w:r>
        <w:rPr>
          <w:rFonts w:ascii="Book Antiqua" w:eastAsia="Book Antiqua" w:hAnsi="Book Antiqua" w:cs="Book Antiqua"/>
          <w:color w:val="000000"/>
          <w:vertAlign w:val="superscript"/>
        </w:rPr>
        <w:t>[3,4]</w:t>
      </w:r>
      <w:r>
        <w:rPr>
          <w:rFonts w:ascii="Book Antiqua" w:eastAsia="Book Antiqua" w:hAnsi="Book Antiqua" w:cs="Book Antiqua"/>
          <w:color w:val="000000"/>
        </w:rPr>
        <w:t>. The diagnosis of PEComa relies on its pathological features, including epithelioid cellular shapes with ample clear to eosinophilic cytoplasm, and in some cases, arrangement around thick-walled blood vessels and immunohistochemical phenotypes, including melanocyte and smooth muscle markers</w:t>
      </w:r>
      <w:r>
        <w:rPr>
          <w:rFonts w:ascii="Book Antiqua" w:eastAsia="Book Antiqua" w:hAnsi="Book Antiqua" w:cs="Book Antiqua"/>
          <w:color w:val="000000"/>
          <w:vertAlign w:val="superscript"/>
        </w:rPr>
        <w:t>[1,4,5]</w:t>
      </w:r>
      <w:r>
        <w:rPr>
          <w:rFonts w:ascii="Book Antiqua" w:eastAsia="Book Antiqua" w:hAnsi="Book Antiqua" w:cs="Book Antiqua"/>
          <w:color w:val="000000"/>
        </w:rPr>
        <w:t>. Cases of PEComa in the liver are extremely rare</w:t>
      </w:r>
      <w:r>
        <w:rPr>
          <w:rFonts w:ascii="Book Antiqua" w:eastAsia="Book Antiqua" w:hAnsi="Book Antiqua" w:cs="Book Antiqua"/>
          <w:color w:val="000000"/>
          <w:vertAlign w:val="superscript"/>
        </w:rPr>
        <w:t>[6]</w:t>
      </w:r>
      <w:r>
        <w:rPr>
          <w:rFonts w:ascii="Book Antiqua" w:eastAsia="Book Antiqua" w:hAnsi="Book Antiqua" w:cs="Book Antiqua"/>
          <w:color w:val="000000"/>
        </w:rPr>
        <w:t>, and surgical resection currently is the most effective therapeutic strategy to cure patients or prolong the survival period. In this study, the clinical and pathological features, immunohistochemical phenotypes, and information on treatment modalities of 26 cases of hepatic PEComa were collected, and the effects of different surgical methods on prognosis were evaluated to provide information for the guidance of clinical treatment.</w:t>
      </w:r>
    </w:p>
    <w:p w14:paraId="5CE0DEC3" w14:textId="77777777" w:rsidR="00E8667C" w:rsidRDefault="00E8667C">
      <w:pPr>
        <w:spacing w:line="360" w:lineRule="auto"/>
        <w:jc w:val="both"/>
        <w:rPr>
          <w:rFonts w:ascii="Book Antiqua" w:hAnsi="Book Antiqua"/>
        </w:rPr>
      </w:pPr>
    </w:p>
    <w:p w14:paraId="39CED3A7" w14:textId="77777777"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E9A8E53"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Patient selection</w:t>
      </w:r>
    </w:p>
    <w:p w14:paraId="1A52EC22"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 included 17 women and 9 men who were diagnosed with hepatic PEComa for the first time. Tumor tissue samples were collected at the time of diagnosis between January 2010 and December 2018 at the First Affiliated Hospital of Bengbu Medical College (Anhui Province, China). None of the patients received preoperative radio- or chemo-therapy. Sixteen patients underwent extended hepatic lobe resection, eight </w:t>
      </w:r>
      <w:r>
        <w:rPr>
          <w:rFonts w:ascii="Book Antiqua" w:eastAsia="Book Antiqua" w:hAnsi="Book Antiqua" w:cs="Book Antiqua"/>
          <w:color w:val="000000"/>
        </w:rPr>
        <w:lastRenderedPageBreak/>
        <w:t>underwent simple hepatic tumor resection, and two received the oral mTOR inhibitor sirolimus. None of the 26 patients had metastasis or recurrence, and there were no deaths due to the disease. Only two patients with extended liver lobectomy had a poor prognosis (one had postoperative pain in the liver area, and the other was diagnosed with liver cancer 2 years after surgery). Informed consent was obtained from all patients. The study protocol was approved by the ethics committees of the hospitals partaking in this study.</w:t>
      </w:r>
    </w:p>
    <w:p w14:paraId="7A398FFE" w14:textId="77777777" w:rsidR="00E8667C" w:rsidRDefault="00E8667C">
      <w:pPr>
        <w:spacing w:line="360" w:lineRule="auto"/>
        <w:jc w:val="both"/>
        <w:rPr>
          <w:rFonts w:ascii="Book Antiqua" w:hAnsi="Book Antiqua"/>
        </w:rPr>
      </w:pPr>
    </w:p>
    <w:p w14:paraId="0D55F398"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Imageological examination</w:t>
      </w:r>
    </w:p>
    <w:p w14:paraId="356ECC7C"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Imaging data of all patients were collected and reviewed by two experienced physicians who analyzed the imaging characteristics of the patients.</w:t>
      </w:r>
    </w:p>
    <w:p w14:paraId="76A788B6" w14:textId="77777777" w:rsidR="00E8667C" w:rsidRDefault="00E8667C">
      <w:pPr>
        <w:spacing w:line="360" w:lineRule="auto"/>
        <w:jc w:val="both"/>
        <w:rPr>
          <w:rFonts w:ascii="Book Antiqua" w:hAnsi="Book Antiqua"/>
          <w:b/>
          <w:bCs/>
          <w:i/>
          <w:iCs/>
        </w:rPr>
      </w:pPr>
    </w:p>
    <w:p w14:paraId="14349BE4"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Histological observation and immunohistochemical analysis</w:t>
      </w:r>
    </w:p>
    <w:p w14:paraId="414D315A"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Two experienced pathologists reviewed hematoxylin and eosin-stained sections of each tissue sample, marked the representative regions of tissue blocks, and assessed the following histological features: Tumor boundary (infiltration), tumor cell structure (trabecular and nested), tumor cell type (epithelial and fusiform), cytological features (cytoplasm and nucleus), nuclear features (atypical and pleomorphic), presence of pleomorphic tumor cells, and tumor necrosis.</w:t>
      </w:r>
    </w:p>
    <w:p w14:paraId="496B1406" w14:textId="63216CEA"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Immunohistochemical staining was conducted on 4-μm-thick serial PEComa tissue sections using the standard ElivisionTM Plus/HRP detection system (Fuzhou Maixin Biotechnology, Fuzhou, China) and DAB substrate, generating a brown color. The antibodies, clones, dilutions, and pretreatment conditions used, as well as the positively stained sites, are listed in Table 1. Serial sections were incubated in parallel with rabbit IgG instead of the primary antibody as a negative control. Immunoreactivity was graded according to the percentage of positive tumor cells (0, negative; 1+, 1%-5%; 2+, 6%-25%; 3+, 26%-50%; 4+, 51%-100%), and tumor cell immunoreactivity was also semi-qualitatively graded: Weak, heterogeneous, or strong</w:t>
      </w:r>
      <w:r>
        <w:rPr>
          <w:rFonts w:ascii="Book Antiqua" w:eastAsia="Book Antiqua" w:hAnsi="Book Antiqua" w:cs="Book Antiqua"/>
          <w:color w:val="000000"/>
          <w:vertAlign w:val="superscript"/>
        </w:rPr>
        <w:t>[7,8]</w:t>
      </w:r>
      <w:r>
        <w:rPr>
          <w:rFonts w:ascii="Book Antiqua" w:eastAsia="Book Antiqua" w:hAnsi="Book Antiqua" w:cs="Book Antiqua"/>
          <w:color w:val="000000"/>
        </w:rPr>
        <w:t>. For calculation of IHC totals, a score of 1+ with weak, heterogeneous, or strong staining was considered positive for all antibodies except TFE3. A minimum of 3+ was required for TFE3 immunopositivity</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2BEC0B37" w14:textId="77777777" w:rsidR="00E8667C" w:rsidRDefault="00E8667C">
      <w:pPr>
        <w:spacing w:line="360" w:lineRule="auto"/>
        <w:jc w:val="both"/>
        <w:rPr>
          <w:rFonts w:ascii="Book Antiqua" w:hAnsi="Book Antiqua"/>
        </w:rPr>
      </w:pPr>
    </w:p>
    <w:p w14:paraId="1976F913"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Fluorescence in situ hybridization</w:t>
      </w:r>
    </w:p>
    <w:p w14:paraId="043E1B4F" w14:textId="360982C8"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FISH was performed on paraffin-embedded tissue sections with a thickness of 4 μm and labeled with a </w:t>
      </w:r>
      <w:r>
        <w:rPr>
          <w:rFonts w:ascii="Book Antiqua" w:eastAsia="Book Antiqua" w:hAnsi="Book Antiqua" w:cs="Book Antiqua"/>
          <w:i/>
          <w:color w:val="000000"/>
        </w:rPr>
        <w:t>TFE3</w:t>
      </w:r>
      <w:r>
        <w:rPr>
          <w:rFonts w:ascii="Book Antiqua" w:eastAsia="Book Antiqua" w:hAnsi="Book Antiqua" w:cs="Book Antiqua"/>
          <w:color w:val="000000"/>
        </w:rPr>
        <w:t xml:space="preserve"> gene break-apart probe (Guangzhou Anbiping Medical, Guangzhou, Guangdong Province, China). For probe preparation, </w:t>
      </w:r>
      <w:r>
        <w:rPr>
          <w:rFonts w:ascii="Book Antiqua" w:eastAsia="Book Antiqua" w:hAnsi="Book Antiqua" w:cs="Book Antiqua"/>
          <w:i/>
          <w:color w:val="000000"/>
        </w:rPr>
        <w:t>TFE3</w:t>
      </w:r>
      <w:r>
        <w:rPr>
          <w:rFonts w:ascii="Book Antiqua" w:eastAsia="Book Antiqua" w:hAnsi="Book Antiqua" w:cs="Book Antiqua"/>
          <w:color w:val="000000"/>
        </w:rPr>
        <w:t xml:space="preserve"> gene was labeled with green fluorescence on the centromere side and red fluorescence on the telomere side. FISH interpretation criteria are as follows: </w:t>
      </w:r>
      <w:r w:rsidR="006221E7">
        <w:rPr>
          <w:rFonts w:ascii="Book Antiqua" w:eastAsia="Book Antiqua" w:hAnsi="Book Antiqua" w:cs="Book Antiqua"/>
          <w:color w:val="000000"/>
        </w:rPr>
        <w:t xml:space="preserve">The positive pattern for </w:t>
      </w:r>
      <w:r w:rsidRPr="006221E7">
        <w:rPr>
          <w:rFonts w:ascii="Book Antiqua" w:eastAsia="Book Antiqua" w:hAnsi="Book Antiqua" w:cs="Book Antiqua"/>
          <w:i/>
          <w:color w:val="000000"/>
        </w:rPr>
        <w:t>TFE3</w:t>
      </w:r>
      <w:r>
        <w:rPr>
          <w:rFonts w:ascii="Book Antiqua" w:eastAsia="Book Antiqua" w:hAnsi="Book Antiqua" w:cs="Book Antiqua"/>
          <w:color w:val="000000"/>
        </w:rPr>
        <w:t xml:space="preserve"> translocation</w:t>
      </w:r>
      <w:r w:rsidR="006221E7">
        <w:rPr>
          <w:rFonts w:ascii="Book Antiqua" w:eastAsia="Book Antiqua" w:hAnsi="Book Antiqua" w:cs="Book Antiqua"/>
          <w:color w:val="000000"/>
        </w:rPr>
        <w:t xml:space="preserve"> </w:t>
      </w:r>
      <w:r>
        <w:rPr>
          <w:rFonts w:ascii="Book Antiqua" w:eastAsia="Book Antiqua" w:hAnsi="Book Antiqua" w:cs="Book Antiqua"/>
          <w:color w:val="000000"/>
        </w:rPr>
        <w:t>should be 1 red, 1 green</w:t>
      </w:r>
      <w:r w:rsidR="006221E7">
        <w:rPr>
          <w:rFonts w:ascii="Book Antiqua" w:eastAsia="Book Antiqua" w:hAnsi="Book Antiqua" w:cs="Book Antiqua"/>
          <w:color w:val="000000"/>
        </w:rPr>
        <w:t>,</w:t>
      </w:r>
      <w:r>
        <w:rPr>
          <w:rFonts w:ascii="Book Antiqua" w:eastAsia="Book Antiqua" w:hAnsi="Book Antiqua" w:cs="Book Antiqua"/>
          <w:color w:val="000000"/>
        </w:rPr>
        <w:t xml:space="preserve"> and 1 fusion (yellow) signal</w:t>
      </w:r>
      <w:r w:rsidR="006221E7">
        <w:rPr>
          <w:rFonts w:ascii="Book Antiqua" w:eastAsia="Book Antiqua" w:hAnsi="Book Antiqua" w:cs="Book Antiqua"/>
          <w:color w:val="000000"/>
        </w:rPr>
        <w:t xml:space="preserve"> in females</w:t>
      </w:r>
      <w:r>
        <w:rPr>
          <w:rFonts w:ascii="Book Antiqua" w:eastAsia="Book Antiqua" w:hAnsi="Book Antiqua" w:cs="Book Antiqua"/>
          <w:color w:val="000000"/>
        </w:rPr>
        <w:t xml:space="preserve">, </w:t>
      </w:r>
      <w:r w:rsidR="006221E7">
        <w:rPr>
          <w:rFonts w:ascii="Book Antiqua" w:eastAsia="Book Antiqua" w:hAnsi="Book Antiqua" w:cs="Book Antiqua"/>
          <w:color w:val="000000"/>
        </w:rPr>
        <w:t xml:space="preserve">and </w:t>
      </w:r>
      <w:r>
        <w:rPr>
          <w:rFonts w:ascii="Book Antiqua" w:eastAsia="Book Antiqua" w:hAnsi="Book Antiqua" w:cs="Book Antiqua"/>
          <w:color w:val="000000"/>
        </w:rPr>
        <w:t>1 red</w:t>
      </w:r>
      <w:r w:rsidR="006221E7">
        <w:rPr>
          <w:rFonts w:ascii="Book Antiqua" w:eastAsia="Book Antiqua" w:hAnsi="Book Antiqua" w:cs="Book Antiqua"/>
          <w:color w:val="000000"/>
        </w:rPr>
        <w:t xml:space="preserve">, </w:t>
      </w:r>
      <w:r>
        <w:rPr>
          <w:rFonts w:ascii="Book Antiqua" w:eastAsia="Book Antiqua" w:hAnsi="Book Antiqua" w:cs="Book Antiqua"/>
          <w:color w:val="000000"/>
        </w:rPr>
        <w:t>1 green</w:t>
      </w:r>
      <w:r w:rsidR="006221E7">
        <w:rPr>
          <w:rFonts w:ascii="Book Antiqua" w:eastAsia="Book Antiqua" w:hAnsi="Book Antiqua" w:cs="Book Antiqua"/>
          <w:color w:val="000000"/>
        </w:rPr>
        <w:t xml:space="preserve">, </w:t>
      </w:r>
      <w:r>
        <w:rPr>
          <w:rFonts w:ascii="Book Antiqua" w:eastAsia="Book Antiqua" w:hAnsi="Book Antiqua" w:cs="Book Antiqua"/>
          <w:color w:val="000000"/>
        </w:rPr>
        <w:t xml:space="preserve">and 1 negative signal </w:t>
      </w:r>
      <w:r w:rsidR="006221E7">
        <w:rPr>
          <w:rFonts w:ascii="Book Antiqua" w:eastAsia="Book Antiqua" w:hAnsi="Book Antiqua" w:cs="Book Antiqua"/>
          <w:color w:val="000000"/>
        </w:rPr>
        <w:t>in males;</w:t>
      </w:r>
      <w:r>
        <w:rPr>
          <w:rFonts w:ascii="Book Antiqua" w:eastAsia="Book Antiqua" w:hAnsi="Book Antiqua" w:cs="Book Antiqua"/>
          <w:color w:val="000000"/>
        </w:rPr>
        <w:t xml:space="preserve"> </w:t>
      </w:r>
      <w:r w:rsidR="006221E7">
        <w:rPr>
          <w:rFonts w:ascii="Book Antiqua" w:eastAsia="Book Antiqua" w:hAnsi="Book Antiqua" w:cs="Book Antiqua"/>
          <w:color w:val="000000"/>
        </w:rPr>
        <w:t>the pattern for intact</w:t>
      </w:r>
      <w:r>
        <w:rPr>
          <w:rFonts w:ascii="Book Antiqua" w:eastAsia="Book Antiqua" w:hAnsi="Book Antiqua" w:cs="Book Antiqua"/>
          <w:color w:val="000000"/>
        </w:rPr>
        <w:t xml:space="preserve"> </w:t>
      </w:r>
      <w:bookmarkStart w:id="5" w:name="_GoBack"/>
      <w:r w:rsidRPr="002B4A6B">
        <w:rPr>
          <w:rFonts w:ascii="Book Antiqua" w:eastAsia="Book Antiqua" w:hAnsi="Book Antiqua" w:cs="Book Antiqua"/>
          <w:i/>
          <w:color w:val="000000"/>
        </w:rPr>
        <w:t>TFE3</w:t>
      </w:r>
      <w:bookmarkEnd w:id="5"/>
      <w:r>
        <w:rPr>
          <w:rFonts w:ascii="Book Antiqua" w:eastAsia="Book Antiqua" w:hAnsi="Book Antiqua" w:cs="Book Antiqua"/>
          <w:color w:val="000000"/>
        </w:rPr>
        <w:t xml:space="preserve"> </w:t>
      </w:r>
      <w:r w:rsidR="006221E7">
        <w:rPr>
          <w:rFonts w:ascii="Book Antiqua" w:eastAsia="Book Antiqua" w:hAnsi="Book Antiqua" w:cs="Book Antiqua"/>
          <w:color w:val="000000"/>
        </w:rPr>
        <w:t>alleles</w:t>
      </w:r>
      <w:r>
        <w:rPr>
          <w:rFonts w:ascii="Book Antiqua" w:eastAsia="Book Antiqua" w:hAnsi="Book Antiqua" w:cs="Book Antiqua"/>
          <w:color w:val="000000"/>
        </w:rPr>
        <w:t xml:space="preserve"> should be 2 fusion (yellow) signal</w:t>
      </w:r>
      <w:r w:rsidR="006221E7">
        <w:rPr>
          <w:rFonts w:ascii="Book Antiqua" w:eastAsia="Book Antiqua" w:hAnsi="Book Antiqua" w:cs="Book Antiqua"/>
          <w:color w:val="000000"/>
        </w:rPr>
        <w:t>s in females</w:t>
      </w:r>
      <w:r>
        <w:rPr>
          <w:rFonts w:ascii="Book Antiqua" w:eastAsia="Book Antiqua" w:hAnsi="Book Antiqua" w:cs="Book Antiqua"/>
          <w:color w:val="000000"/>
        </w:rPr>
        <w:t xml:space="preserve"> and 1 fusion (yellow) signal</w:t>
      </w:r>
      <w:r w:rsidR="006221E7">
        <w:rPr>
          <w:rFonts w:ascii="Book Antiqua" w:eastAsia="Book Antiqua" w:hAnsi="Book Antiqua" w:cs="Book Antiqua"/>
          <w:color w:val="000000"/>
        </w:rPr>
        <w:t xml:space="preserve"> in males</w:t>
      </w:r>
      <w:r>
        <w:rPr>
          <w:rFonts w:ascii="Book Antiqua" w:eastAsia="Book Antiqua" w:hAnsi="Book Antiqua" w:cs="Book Antiqua"/>
          <w:color w:val="000000"/>
        </w:rPr>
        <w:t>. When the distance between the red and green signals exceeds 1 fusion signal size, it is interpreted as a red-green signal separation. A case was scored as positive if at least 10% of 100 scored nuclei showed a split signal pattern.</w:t>
      </w:r>
    </w:p>
    <w:p w14:paraId="73848B8F" w14:textId="77777777" w:rsidR="00E8667C" w:rsidRDefault="00E8667C">
      <w:pPr>
        <w:spacing w:line="360" w:lineRule="auto"/>
        <w:jc w:val="both"/>
        <w:rPr>
          <w:rFonts w:ascii="Book Antiqua" w:hAnsi="Book Antiqua"/>
        </w:rPr>
      </w:pPr>
    </w:p>
    <w:p w14:paraId="3EEAE56F" w14:textId="77777777"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470BBB3"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Clinical features</w:t>
      </w:r>
    </w:p>
    <w:p w14:paraId="03DD9CD8"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clinical and pathological data for all 26 cases are summarized in Table 2. We enrolled 26 patients, including 17 females and 9 males. The median patient age was 50 years (range, 26–77 years). Of the 26 patients, 23 had liver-occupying lesions, 2 had hepatic hemangioma, and 1 had hepatic hamartoma. Six patients had a history of liver disease (cysts, hamartoma, or hemangioma). The most common site of tumors was the left hepatic lobe. Sixteen patients underwent extended hepatic lobe resection, eight underwent simple hepatic tumor resection, and two were treated only with the mTOR inhibitor sirolimus (both patients were treated for 8 mo). The clinical symptoms of hepatic PEComa were non-specific. Most patients were admitted to one of our hospitals because of space-occupying lesions in the liver during medical examination, nausea, vomiting, loss of appetite, or weight loss. During physical examination, the abdomen was soft, with no tenderness or rebound tenderness, occasional contact with the ribs at the liver margin, and no pain in the liver area. Some patients experienced compression pain under the ribs </w:t>
      </w:r>
      <w:r>
        <w:rPr>
          <w:rFonts w:ascii="Book Antiqua" w:eastAsia="Book Antiqua" w:hAnsi="Book Antiqua" w:cs="Book Antiqua"/>
          <w:color w:val="000000"/>
        </w:rPr>
        <w:lastRenderedPageBreak/>
        <w:t>and xiphoid, or in the right abdomen when the tumor involved the caudate lobe, or in the right kidney.</w:t>
      </w:r>
    </w:p>
    <w:p w14:paraId="67D6C3A3" w14:textId="77777777" w:rsidR="00E8667C" w:rsidRDefault="00E8667C">
      <w:pPr>
        <w:spacing w:line="360" w:lineRule="auto"/>
        <w:jc w:val="both"/>
        <w:rPr>
          <w:rFonts w:ascii="Book Antiqua" w:hAnsi="Book Antiqua"/>
        </w:rPr>
      </w:pPr>
    </w:p>
    <w:p w14:paraId="351C34C2"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Imaging findings</w:t>
      </w:r>
    </w:p>
    <w:p w14:paraId="1620C993"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B-ultrasound usually revealed strong echoes in the liver, the boundary was clear, and the internal echo was uneven, suggesting that the liver had substantial space-occupying lesions (data not shown). Plain computed tomography (CT) scans commonly revealed an irregular soft tissue density (Figure 1A). Enhanced scanning in the arterial phase revealed obvious enhancement of the mass edge and of central heterogeneity (Figure 1B). Portal vein scanning revealed a low mass density (Figure 1C). Magnetic resonance imaging (MRI) revealed a solid cystic space in the liver, and tumors had clear boundaries and uneven internal signal (data not shown).</w:t>
      </w:r>
    </w:p>
    <w:p w14:paraId="02E1D0BE" w14:textId="77777777" w:rsidR="00E8667C" w:rsidRDefault="00E8667C">
      <w:pPr>
        <w:spacing w:line="360" w:lineRule="auto"/>
        <w:jc w:val="both"/>
        <w:rPr>
          <w:rFonts w:ascii="Book Antiqua" w:eastAsia="Book Antiqua" w:hAnsi="Book Antiqua" w:cs="Book Antiqua"/>
          <w:color w:val="000000"/>
        </w:rPr>
      </w:pPr>
    </w:p>
    <w:p w14:paraId="2C11AF50"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Macroscopic features</w:t>
      </w:r>
    </w:p>
    <w:p w14:paraId="3D7F62F0"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median tumor diameter was 6.5 cm (range, 0.5-13.0 cm). PEComa tumors were located in the liver parenchyma and were round or oval. The surface was smooth and occasionally highlighted the surface of the liver. The boundary was clear and appeared to be enveloped. Tumors did not invade the surrounding tissue. The cut surface was solid and grayish yellow, had a slightly hard texture, and showed loose necrotic tissue in the center. The liver tissue surrounding the tumor was normal, and the lymph nodes in the hilar region were not swollen. Focal hemorrhage and necrosis were seen in two cases.</w:t>
      </w:r>
    </w:p>
    <w:p w14:paraId="5B03579E" w14:textId="77777777" w:rsidR="00E8667C" w:rsidRDefault="00E8667C">
      <w:pPr>
        <w:spacing w:line="360" w:lineRule="auto"/>
        <w:jc w:val="both"/>
        <w:rPr>
          <w:rFonts w:ascii="Book Antiqua" w:hAnsi="Book Antiqua"/>
        </w:rPr>
      </w:pPr>
    </w:p>
    <w:p w14:paraId="2A453EB6"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Microscopic features</w:t>
      </w:r>
    </w:p>
    <w:p w14:paraId="3D839EB0"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Microscopically, the tumor cells were clearly distinct from normal liver cells, and were largely composed of proliferating epithelioid cells and spindle cells, nested in trabeculae or lamellae. In most cases, the tumor cell nest was surrounded by capillaries. Tumor cells were arranged radially around the thick-walled blood vessels (Figure 2A). Tumor cells were polygonal and cytoplasm was translucent, with heterogeneous eosinophilic particles; tumor nuclei were round or oval, nucleoli were obvious, chromatin was sparse, </w:t>
      </w:r>
      <w:r>
        <w:rPr>
          <w:rFonts w:ascii="Book Antiqua" w:eastAsia="Book Antiqua" w:hAnsi="Book Antiqua" w:cs="Book Antiqua"/>
          <w:color w:val="000000"/>
        </w:rPr>
        <w:lastRenderedPageBreak/>
        <w:t>part of the cells were heteromorphic, and mitotic figures were not common. Collagen fibers were observed in the interstitium and were generally feathery, and a few fibers were accompanied by hemorrhage and necrosis (Figure 2B).</w:t>
      </w:r>
    </w:p>
    <w:p w14:paraId="7D6BA638" w14:textId="77777777"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Immunohistochemistry findings are summarized in Table 3. Of the 26 cases, 25 were HMB45 (+), usually with multifocal or diffuse distribution and occasionally, with scattered distribution (Figure 2C), 23 were Melan-A (+) (Figure 2D), 22 were SMA (+) (Figure 2E), 20  were VIM (+), and 12 were S-100 (+). Only three cases showed focal staining (1%-5%) for TFE3. All tumors were desmin (–) (Figure 2F). The positive rate for Ki-67 was &lt; 10%. All cases expressed at least one smooth muscle or melanocyte marker.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FISH showed that no abnormal </w:t>
      </w:r>
      <w:r>
        <w:rPr>
          <w:rFonts w:ascii="Book Antiqua" w:eastAsia="Book Antiqua" w:hAnsi="Book Antiqua" w:cs="Book Antiqua"/>
          <w:i/>
          <w:color w:val="000000"/>
        </w:rPr>
        <w:t>TFE3</w:t>
      </w:r>
      <w:r>
        <w:rPr>
          <w:rFonts w:ascii="Book Antiqua" w:eastAsia="Book Antiqua" w:hAnsi="Book Antiqua" w:cs="Book Antiqua"/>
          <w:color w:val="000000"/>
        </w:rPr>
        <w:t xml:space="preserve"> separation signal was found in 26 cases of hepatic PEComa (Figure 3).</w:t>
      </w:r>
    </w:p>
    <w:p w14:paraId="25D49BD8" w14:textId="77777777" w:rsidR="00E8667C" w:rsidRDefault="00E8667C">
      <w:pPr>
        <w:spacing w:line="360" w:lineRule="auto"/>
        <w:jc w:val="both"/>
        <w:rPr>
          <w:rFonts w:ascii="Book Antiqua" w:hAnsi="Book Antiqua"/>
        </w:rPr>
      </w:pPr>
    </w:p>
    <w:p w14:paraId="686B7DB7" w14:textId="77777777"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Treatment and follow-up</w:t>
      </w:r>
    </w:p>
    <w:p w14:paraId="7EC2C3EC"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Sixteen patients underwent extended hepatic lobe resection, eight underwent simple hepatic tumor resection, and two were treated with the mTOR inhibitor sirolimus. During a follow-up period of 25 mo to 99 mo, none of the 26 patients had metastasis or recurrence, and there were no deaths due to the disease. Only two patients with extended liver lobectomy had a poor prognosis (one had postoperative pain in the liver area, and the other was diagnosed with liver cancer 2 years after surgery). There was no difference in patient prognosis between the two surgical treatment methods, and long-term follow-up indicated that the patients went into remission.</w:t>
      </w:r>
    </w:p>
    <w:p w14:paraId="10E32AE6" w14:textId="77777777" w:rsidR="00E8667C" w:rsidRDefault="00E8667C">
      <w:pPr>
        <w:spacing w:line="360" w:lineRule="auto"/>
        <w:jc w:val="both"/>
        <w:rPr>
          <w:rFonts w:ascii="Book Antiqua" w:hAnsi="Book Antiqua"/>
        </w:rPr>
      </w:pPr>
    </w:p>
    <w:p w14:paraId="75F17E43" w14:textId="77777777"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C85BFD5"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Hepatic PEComa is a rare mesenchymal tumor derived from pericytes. Ultrasound, CT, and MRI are commonly used for preoperative diagnosis of PEComa. On contrast-enhanced CT, PEComa is characterized by vascular proliferation and arteriovenous connections</w:t>
      </w:r>
      <w:r>
        <w:rPr>
          <w:rFonts w:ascii="Book Antiqua" w:eastAsia="Book Antiqua" w:hAnsi="Book Antiqua" w:cs="Book Antiqua"/>
          <w:color w:val="000000"/>
          <w:vertAlign w:val="superscript"/>
        </w:rPr>
        <w:t>[5,9,10]</w:t>
      </w:r>
      <w:r>
        <w:rPr>
          <w:rFonts w:ascii="Book Antiqua" w:eastAsia="Book Antiqua" w:hAnsi="Book Antiqua" w:cs="Book Antiqua"/>
          <w:color w:val="000000"/>
        </w:rPr>
        <w:t>. MRI scans have revealed significant enhancement in PEComa in the arterial phase, but not in the portal venous and delayed phases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Contrast-enhanced ultrasonography is another commonly used diagnostic method, in which the contrast </w:t>
      </w:r>
      <w:r>
        <w:rPr>
          <w:rFonts w:ascii="Book Antiqua" w:eastAsia="Book Antiqua" w:hAnsi="Book Antiqua" w:cs="Book Antiqua"/>
          <w:color w:val="000000"/>
        </w:rPr>
        <w:lastRenderedPageBreak/>
        <w:t>agent characteristically reaches the tumor rapidly and drains the arterial blood rapidly to the vein</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due to the different proportions of smooth muscle cells, adipose tissue, blood vessels, and rare tumors, the accuracy of preoperative diagnosis is currently low. In our study, only one patient was diagnosed with hepatic PEComa before undergoing surgery.</w:t>
      </w:r>
    </w:p>
    <w:p w14:paraId="421D3302" w14:textId="77777777"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Martignoni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defined PEComa as a tumor that is composed mainly of epithelioid cells and is closely associated with dilated blood vessels and contains eosinophils, but not fat cells or disordered blood vessels. The final diagnosis of PEComa currently depends on pathological features and immunohistochemical analysis. Hepatic PEComa is mainly composed of proliferating epithelioid cells and spindle cells. The tumor cells are polygonal, have translucent cytoplasm, and contain eosinophilic particles, and thick-walled blood vessels are visible in the tumors. Epithelioid cells are arranged radially around thick-walled blood vessels. Feather-like collagen fibers are visible. Nearly all PEComas have specific immunological characteristics, with melanocyte markers (</w:t>
      </w:r>
      <w:r>
        <w:rPr>
          <w:rFonts w:ascii="Book Antiqua" w:eastAsia="Book Antiqua" w:hAnsi="Book Antiqua" w:cs="Book Antiqua"/>
          <w:i/>
          <w:iCs/>
          <w:color w:val="000000"/>
        </w:rPr>
        <w:t>e.g</w:t>
      </w:r>
      <w:r>
        <w:rPr>
          <w:rFonts w:ascii="Book Antiqua" w:eastAsia="Book Antiqua" w:hAnsi="Book Antiqua" w:cs="Book Antiqua"/>
          <w:color w:val="000000"/>
        </w:rPr>
        <w:t>., HMB-45 and/or melan-A) and smooth muscle markers (</w:t>
      </w:r>
      <w:r>
        <w:rPr>
          <w:rFonts w:ascii="Book Antiqua" w:eastAsia="Book Antiqua" w:hAnsi="Book Antiqua" w:cs="Book Antiqua"/>
          <w:i/>
          <w:iCs/>
          <w:color w:val="000000"/>
        </w:rPr>
        <w:t>e.g.</w:t>
      </w:r>
      <w:r>
        <w:rPr>
          <w:rFonts w:ascii="Book Antiqua" w:eastAsia="Book Antiqua" w:hAnsi="Book Antiqua" w:cs="Book Antiqua"/>
          <w:color w:val="000000"/>
        </w:rPr>
        <w:t>, SMA) being strongly expressed</w:t>
      </w:r>
      <w:r>
        <w:rPr>
          <w:rFonts w:ascii="Book Antiqua" w:eastAsia="Book Antiqua" w:hAnsi="Book Antiqua" w:cs="Book Antiqua"/>
          <w:color w:val="000000"/>
          <w:vertAlign w:val="superscript"/>
        </w:rPr>
        <w:t>[11,13]</w:t>
      </w:r>
      <w:r>
        <w:rPr>
          <w:rFonts w:ascii="Book Antiqua" w:eastAsia="Book Antiqua" w:hAnsi="Book Antiqua" w:cs="Book Antiqua"/>
          <w:color w:val="000000"/>
        </w:rPr>
        <w:t>, whereas desmin, hepatocyte-specific antigen, and TFE3 are generally negative. In this study, 25 cases were HMB-45 (+), 17 were SMA (+), and only 3 showed focal staining (1%-5%) for TFE3.</w:t>
      </w:r>
    </w:p>
    <w:p w14:paraId="753AAB64" w14:textId="77777777"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TFE3 is a member of the MiTF family of transcription factors. A recent study</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showed that </w:t>
      </w:r>
      <w:r>
        <w:rPr>
          <w:rFonts w:ascii="Book Antiqua" w:eastAsia="Book Antiqua" w:hAnsi="Book Antiqua" w:cs="Book Antiqua"/>
          <w:i/>
          <w:color w:val="000000"/>
        </w:rPr>
        <w:t>TFE3</w:t>
      </w:r>
      <w:r>
        <w:rPr>
          <w:rFonts w:ascii="Book Antiqua" w:eastAsia="Book Antiqua" w:hAnsi="Book Antiqua" w:cs="Book Antiqua"/>
          <w:color w:val="000000"/>
        </w:rPr>
        <w:t xml:space="preserve"> gene rearrangements occur in approximately 14% of PEComas. Similar to other </w:t>
      </w:r>
      <w:r>
        <w:rPr>
          <w:rFonts w:ascii="Book Antiqua" w:eastAsia="Book Antiqua" w:hAnsi="Book Antiqua" w:cs="Book Antiqua"/>
          <w:i/>
          <w:color w:val="000000"/>
        </w:rPr>
        <w:t>TFE3</w:t>
      </w:r>
      <w:r>
        <w:rPr>
          <w:rFonts w:ascii="Book Antiqua" w:eastAsia="Book Antiqua" w:hAnsi="Book Antiqua" w:cs="Book Antiqua"/>
          <w:color w:val="000000"/>
        </w:rPr>
        <w:t xml:space="preserve"> translocation-associated tumors, TFE3 (+) PEComa usually exhibits an acinar structure and epithelioid cell morphology, shows aggressive biological behavior, and has a poor prognosis. </w:t>
      </w:r>
      <w:r>
        <w:rPr>
          <w:rFonts w:ascii="Book Antiqua" w:eastAsia="Book Antiqua" w:hAnsi="Book Antiqua" w:cs="Book Antiqua"/>
          <w:i/>
          <w:color w:val="000000"/>
        </w:rPr>
        <w:t>PSF-TFE3</w:t>
      </w:r>
      <w:r>
        <w:rPr>
          <w:rFonts w:ascii="Book Antiqua" w:eastAsia="Book Antiqua" w:hAnsi="Book Antiqua" w:cs="Book Antiqua"/>
          <w:color w:val="000000"/>
        </w:rPr>
        <w:t xml:space="preserve"> gene fusion has been detected in gastrointestinal tract PEComa, but fusion partners in other cases remain unknown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study, TFE3 expression was weak and detected in only three patients with small tumors and typical morphological PEComa images, and was associated with a low malignancy and good prognosis. Moreover, no break-apart of the </w:t>
      </w:r>
      <w:r>
        <w:rPr>
          <w:rFonts w:ascii="Book Antiqua" w:eastAsia="Book Antiqua" w:hAnsi="Book Antiqua" w:cs="Book Antiqua"/>
          <w:i/>
          <w:color w:val="000000"/>
        </w:rPr>
        <w:t>TFE3</w:t>
      </w:r>
      <w:r>
        <w:rPr>
          <w:rFonts w:ascii="Book Antiqua" w:eastAsia="Book Antiqua" w:hAnsi="Book Antiqua" w:cs="Book Antiqua"/>
          <w:color w:val="000000"/>
        </w:rPr>
        <w:t xml:space="preserve"> gene was detected by FISH method. Whether there is a </w:t>
      </w:r>
      <w:r>
        <w:rPr>
          <w:rFonts w:ascii="Book Antiqua" w:eastAsia="Book Antiqua" w:hAnsi="Book Antiqua" w:cs="Book Antiqua"/>
          <w:i/>
          <w:color w:val="000000"/>
        </w:rPr>
        <w:t>TFE3</w:t>
      </w:r>
      <w:r>
        <w:rPr>
          <w:rFonts w:ascii="Book Antiqua" w:eastAsia="Book Antiqua" w:hAnsi="Book Antiqua" w:cs="Book Antiqua"/>
          <w:color w:val="000000"/>
        </w:rPr>
        <w:t xml:space="preserve"> fusion gene still needs to be confirmed by subsequent studies. This suggests that liver PEComa may be less malignant than PEComas in other organs.</w:t>
      </w:r>
    </w:p>
    <w:p w14:paraId="66CE0919" w14:textId="77777777"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PEComas are mainly benign tumors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that usually do not recur after surgical resection; however, some are malignant, and their biological behavior has not been fully elucidated. In 2005, Folpe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reviewed 26 cases of PEComa of soft tissue and gynecological origin, and suggested to classify PEComa into benign, uncertain malignant potential, and malignant. Further, the authors proposed seven evaluation criteria for PEComa malignancies: (1) Tumor size &gt; 5 cm; (2) infiltration and growth into surrounding normal tissue; (3) high nuclear grade; (4) excessive cells; (5) mitotic figures in &gt; 1/50 high-power fields; (6) coagulative necrosis of tumor; and (7) vascular invasion. PEComas with two or more of these features are considered to be malignant, and tumors with only nuclear polymorphism, multinucleated giant cells, or tumors &gt; 5 cm in size are considered to have malignant potential</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093FE1F9" w14:textId="15B8B750"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Because of the rare disease types and the scarcity of cases, treatment plans for hepatic PEComa can only be developed based on statistical analysis of a small number of cases. Surgical resection currently is the main means of treating hepatic PEComa. In clinical practice, surgical methods are usually selected based on the tumor size and on whether the tumor is benign or malignant. Larger and malignant tumors are removed by extended hepatic lobe resection, whereas simple hepatic tumor resection is used for smaller or benign tumors. In this study, the 26 cases showed clinical and biological manifestations of inertness, and no morphological criteria for malignant PEComa. Sixteen patients underwent extended hepatic lobe resection, eight underwent simple hepatic tumor resection, and two received sirolimus. The survival rate of the patients treated with the three different modalities was good, and there was no significant difference among the treatments. Hepatic pain complications were reported only in a few cases with extended lobe resection. It has been reported that when the tumor diameter is less 5 cm, resection can be suspended or regular follow-up suffices</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72CCB16B" w14:textId="77777777" w:rsidR="00E8667C" w:rsidRDefault="00A71EF6">
      <w:pPr>
        <w:spacing w:line="360" w:lineRule="auto"/>
        <w:ind w:firstLineChars="100" w:firstLine="240"/>
        <w:jc w:val="both"/>
        <w:rPr>
          <w:rFonts w:ascii="Book Antiqua" w:hAnsi="Book Antiqua"/>
        </w:rPr>
      </w:pPr>
      <w:r>
        <w:rPr>
          <w:rFonts w:ascii="Book Antiqua" w:eastAsia="Book Antiqua" w:hAnsi="Book Antiqua" w:cs="Book Antiqua"/>
          <w:color w:val="000000"/>
        </w:rPr>
        <w:t>Current data do not support that chemo- or radio-therapy improves the survival time in patients with PEComa</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sirolimus is expected to improve outcomes either when used alone or in combination with other treatments</w:t>
      </w:r>
      <w:r>
        <w:rPr>
          <w:rFonts w:ascii="Book Antiqua" w:eastAsia="Book Antiqua" w:hAnsi="Book Antiqua" w:cs="Book Antiqua"/>
          <w:color w:val="000000"/>
          <w:vertAlign w:val="superscript"/>
        </w:rPr>
        <w:t>[4,10,19,20]</w:t>
      </w:r>
      <w:r>
        <w:rPr>
          <w:rFonts w:ascii="Book Antiqua" w:eastAsia="Book Antiqua" w:hAnsi="Book Antiqua" w:cs="Book Antiqua"/>
          <w:color w:val="000000"/>
        </w:rPr>
        <w:t xml:space="preserve">. A 31-year-old woman with hepatic PEComa showed a significant reduction in tumor volume after 8 mo of </w:t>
      </w:r>
      <w:r>
        <w:rPr>
          <w:rFonts w:ascii="Book Antiqua" w:eastAsia="Book Antiqua" w:hAnsi="Book Antiqua" w:cs="Book Antiqua"/>
          <w:color w:val="000000"/>
        </w:rPr>
        <w:lastRenderedPageBreak/>
        <w:t>treatment with sirolimus</w:t>
      </w:r>
      <w:r>
        <w:rPr>
          <w:rFonts w:ascii="Book Antiqua" w:eastAsia="Book Antiqua" w:hAnsi="Book Antiqua" w:cs="Book Antiqua"/>
          <w:color w:val="000000"/>
          <w:vertAlign w:val="superscript"/>
        </w:rPr>
        <w:t>[19]</w:t>
      </w:r>
      <w:r>
        <w:rPr>
          <w:rFonts w:ascii="Book Antiqua" w:eastAsia="Book Antiqua" w:hAnsi="Book Antiqua" w:cs="Book Antiqua"/>
          <w:color w:val="000000"/>
        </w:rPr>
        <w:t>. After subsequent surgical resection, there were no complications and the prognosis was favorable. This suggests that hepatic PEComa has a better prognosis when surgery is combined with chemotherapy</w:t>
      </w:r>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In addition, Wagner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treated three patients with PEComa with sirolimus and found that the tumors responded to the drug, suggesting that sirolimus can be used alone or in combination to treat PEComa. Italiano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reported similar efficacy in a number of cases. However, large-scale clinical trials are needed. Numerous previous studies and this study showed that hepatic PEComa displays an inert biological behavior. However, due to the heterogeneous nature of PEComa, the existing diagnostic criteria cannot accurately determine the nature of this tumor, which has led to overtreatment in some cases. In addition, because the nature of hepatic PEComa is not entirely clear, there is no standard treatment, and it is difficult to develop an optimal treatment plan. Therefore, clinical observation and follow-up of more cases, and the establishment of a clinical online registration system for hepatic PEComa are needed to provide clinical data for future exploration of the differentiation and distribution of the disease and the development of more accurate diagnostic criteria.</w:t>
      </w:r>
    </w:p>
    <w:p w14:paraId="31BF5D45" w14:textId="77777777" w:rsidR="00E8667C" w:rsidRDefault="00E8667C">
      <w:pPr>
        <w:spacing w:line="360" w:lineRule="auto"/>
        <w:jc w:val="both"/>
        <w:rPr>
          <w:rFonts w:ascii="Book Antiqua" w:hAnsi="Book Antiqua"/>
        </w:rPr>
      </w:pPr>
    </w:p>
    <w:p w14:paraId="1569DC3D" w14:textId="77777777"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932BE2B"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Hepatic PEComa is a rare mesenchymal tumor that exhibits an inert biological behavior, and its diagnosis, treatment, and follow-up are challenging. Our study of 26 cases of hepatic PEComa revealed that there was no difference in the prognosis between simple resection of liver tumor and extended resection of liver lobe. Optimal surgical resection currently is the best treatment option, and radiotherapy, chemotherapy, and immunotherapy may become more effective in future</w:t>
      </w:r>
      <w:r>
        <w:rPr>
          <w:rFonts w:ascii="Book Antiqua" w:eastAsia="Book Antiqua" w:hAnsi="Book Antiqua" w:cs="Book Antiqua"/>
          <w:color w:val="000000"/>
          <w:vertAlign w:val="superscript"/>
        </w:rPr>
        <w:t>[4,9]</w:t>
      </w:r>
      <w:r>
        <w:rPr>
          <w:rFonts w:ascii="Book Antiqua" w:eastAsia="Book Antiqua" w:hAnsi="Book Antiqua" w:cs="Book Antiqua"/>
          <w:color w:val="000000"/>
        </w:rPr>
        <w:t>. The number of cases in the current retrospective study was limited by the rarity of hepatic PEComa. Therefore, further multicenter, larger-cohort studies are warranted to investigate the clinicopathological features and biological behavior of hepatic PEComa.</w:t>
      </w:r>
    </w:p>
    <w:p w14:paraId="4AB63F54" w14:textId="77777777" w:rsidR="00E8667C" w:rsidRDefault="00E8667C">
      <w:pPr>
        <w:spacing w:line="360" w:lineRule="auto"/>
        <w:jc w:val="both"/>
        <w:rPr>
          <w:rFonts w:ascii="Book Antiqua" w:hAnsi="Book Antiqua"/>
        </w:rPr>
      </w:pPr>
    </w:p>
    <w:p w14:paraId="4CA84CD6" w14:textId="77777777"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F9886FB"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497F31D6" w14:textId="6A5D38B9" w:rsidR="00E8667C" w:rsidRDefault="00A71EF6">
      <w:pPr>
        <w:spacing w:line="360" w:lineRule="auto"/>
        <w:jc w:val="both"/>
        <w:rPr>
          <w:rFonts w:ascii="Book Antiqua" w:hAnsi="Book Antiqua"/>
        </w:rPr>
      </w:pPr>
      <w:r>
        <w:rPr>
          <w:rFonts w:ascii="Book Antiqua" w:eastAsia="Book Antiqua" w:hAnsi="Book Antiqua" w:cs="Book Antiqua"/>
          <w:color w:val="000000"/>
        </w:rPr>
        <w:t>Perivascular epithelioid cell tumor (PEComa) is an uncommon tumor of mesenchymal origin. Cases of PEComa in the liver are extremely rare.</w:t>
      </w:r>
    </w:p>
    <w:p w14:paraId="2FA7B2E3" w14:textId="77777777" w:rsidR="00E8667C" w:rsidRDefault="00E8667C">
      <w:pPr>
        <w:spacing w:line="360" w:lineRule="auto"/>
        <w:jc w:val="both"/>
        <w:rPr>
          <w:rFonts w:ascii="Book Antiqua" w:hAnsi="Book Antiqua"/>
        </w:rPr>
      </w:pPr>
    </w:p>
    <w:p w14:paraId="4F8687A1"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motivation</w:t>
      </w:r>
    </w:p>
    <w:p w14:paraId="770E0B2B"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Cases of PEComa in the liver are extremely rare, and surgical resection currently is the most effective therapeutic strategy to cure patients or prolong the survival period. In this study, the clinical and pathological features, immunohistochemical phenotypes, and information on treatment modalities of 26 cases of hepatic PEComa were collected, and the effects of different surgical methods on prognosis were evaluated to provide information for the guidance of clinical treatment.</w:t>
      </w:r>
    </w:p>
    <w:p w14:paraId="70CF6F19" w14:textId="77777777" w:rsidR="00E8667C" w:rsidRDefault="00E8667C">
      <w:pPr>
        <w:spacing w:line="360" w:lineRule="auto"/>
        <w:jc w:val="both"/>
        <w:rPr>
          <w:rFonts w:ascii="Book Antiqua" w:hAnsi="Book Antiqua"/>
        </w:rPr>
      </w:pPr>
    </w:p>
    <w:p w14:paraId="60E6034C"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objectives</w:t>
      </w:r>
    </w:p>
    <w:p w14:paraId="73196621"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We aimed to analyze the clinicopathological features and treatment of hepatic PEComa and to evaluate the prognosis after different treatments.</w:t>
      </w:r>
    </w:p>
    <w:p w14:paraId="306FF2EE" w14:textId="77777777" w:rsidR="00E8667C" w:rsidRDefault="00E8667C">
      <w:pPr>
        <w:spacing w:line="360" w:lineRule="auto"/>
        <w:jc w:val="both"/>
        <w:rPr>
          <w:rFonts w:ascii="Book Antiqua" w:hAnsi="Book Antiqua"/>
        </w:rPr>
      </w:pPr>
    </w:p>
    <w:p w14:paraId="51C76083"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methods</w:t>
      </w:r>
    </w:p>
    <w:p w14:paraId="68CE6970"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Clinical and pathological data of 26 patients with hepatic PEComa were collected. All cases were analyzed by immunohistochemistry and clinical follow-up. </w:t>
      </w:r>
    </w:p>
    <w:p w14:paraId="51AFE473" w14:textId="77777777" w:rsidR="00E8667C" w:rsidRDefault="00E8667C">
      <w:pPr>
        <w:spacing w:line="360" w:lineRule="auto"/>
        <w:jc w:val="both"/>
        <w:rPr>
          <w:rFonts w:ascii="Book Antiqua" w:hAnsi="Book Antiqua"/>
        </w:rPr>
      </w:pPr>
    </w:p>
    <w:p w14:paraId="63DBE5CB"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results</w:t>
      </w:r>
    </w:p>
    <w:p w14:paraId="060B8AAB" w14:textId="207F6AFC"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This study included 17 females and 9 males, with a median age of 50 years. Lesions were located in the left hepatic lobe in 13 cases, in the right lobe in 11, and in the caudate lobe in 2. The median tumor diameter was 6.5 cm. Light microscopy revealed that the tumor cells were mainly composed of epithelioid cells. The cytoplasm contained heterogeneous eosinophilic granules. There were thick-walled blood vessels, around which tumor cells were radially arranged. Immunohistochemical analysis of pigment-derived and myogenic markers in PEComa tumors revealed that 25 cases were HMB45 (+), 23 were Melan-A (+), and 22 SMA (+). TFE3 and Desmin were negative in all cases. All the FISH </w:t>
      </w:r>
      <w:r>
        <w:rPr>
          <w:rFonts w:ascii="Book Antiqua" w:eastAsia="Book Antiqua" w:hAnsi="Book Antiqua" w:cs="Book Antiqua"/>
          <w:color w:val="000000"/>
        </w:rPr>
        <w:lastRenderedPageBreak/>
        <w:t xml:space="preserve">samples were negative for </w:t>
      </w:r>
      <w:r>
        <w:rPr>
          <w:rFonts w:ascii="Book Antiqua" w:eastAsia="Book Antiqua" w:hAnsi="Book Antiqua" w:cs="Book Antiqua"/>
          <w:i/>
          <w:color w:val="000000"/>
        </w:rPr>
        <w:t>TFE3</w:t>
      </w:r>
      <w:r>
        <w:rPr>
          <w:rFonts w:ascii="Book Antiqua" w:eastAsia="Book Antiqua" w:hAnsi="Book Antiqua" w:cs="Book Antiqua"/>
          <w:color w:val="000000"/>
        </w:rPr>
        <w:t xml:space="preserve"> gene break-apart probe. Tumor tissues were collected by extended hepatic lobe resection or simple hepatic tumor resection as the main treatments. Median follow-up was 62.5 mo. None of the patients had metastasis or recurrence, and there were no deaths due to the disease.</w:t>
      </w:r>
    </w:p>
    <w:p w14:paraId="03D38782" w14:textId="77777777" w:rsidR="00E8667C" w:rsidRDefault="00E8667C">
      <w:pPr>
        <w:spacing w:line="360" w:lineRule="auto"/>
        <w:jc w:val="both"/>
        <w:rPr>
          <w:rFonts w:ascii="Book Antiqua" w:hAnsi="Book Antiqua"/>
        </w:rPr>
      </w:pPr>
    </w:p>
    <w:p w14:paraId="65024158"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conclusions</w:t>
      </w:r>
    </w:p>
    <w:p w14:paraId="2291B2E0"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Hepatic PEComa is a rare mesenchymal tumor that exhibits an inert biological behavior, and its diagnosis, treatment, and follow-up are challenging. Our study of 26 cases of hepatic PEComa revealed that there was no difference in the prognosis between simple resection of liver tumor and extended resection of liver lobe. Optimal surgical resection currently is the best treatment option, and radiotherapy, chemotherapy, and immunotherapy may become more effective in future. </w:t>
      </w:r>
    </w:p>
    <w:p w14:paraId="4A87F00D" w14:textId="77777777" w:rsidR="00E8667C" w:rsidRDefault="00E8667C">
      <w:pPr>
        <w:spacing w:line="360" w:lineRule="auto"/>
        <w:jc w:val="both"/>
        <w:rPr>
          <w:rFonts w:ascii="Book Antiqua" w:hAnsi="Book Antiqua"/>
        </w:rPr>
      </w:pPr>
    </w:p>
    <w:p w14:paraId="5C10F0CC" w14:textId="77777777"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perspectives</w:t>
      </w:r>
    </w:p>
    <w:p w14:paraId="10F2A64B"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The number of cases in the current retrospective study was limited by the rarity of hepatic PEComa. Therefore, further multicenter, larger-cohort studies are warranted to investigate the clinicopathological features and biological behavior of hepatic PEComa.</w:t>
      </w:r>
    </w:p>
    <w:p w14:paraId="47E2391A" w14:textId="77777777" w:rsidR="00E8667C" w:rsidRDefault="00E8667C">
      <w:pPr>
        <w:spacing w:line="360" w:lineRule="auto"/>
        <w:jc w:val="both"/>
        <w:rPr>
          <w:rFonts w:ascii="Book Antiqua" w:hAnsi="Book Antiqua"/>
        </w:rPr>
      </w:pPr>
    </w:p>
    <w:p w14:paraId="4CB57A94"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REFERENCES</w:t>
      </w:r>
    </w:p>
    <w:p w14:paraId="692C5B53" w14:textId="77777777" w:rsidR="00E8667C" w:rsidRDefault="00A71EF6">
      <w:pPr>
        <w:spacing w:line="360" w:lineRule="auto"/>
        <w:jc w:val="both"/>
        <w:rPr>
          <w:rFonts w:ascii="Book Antiqua" w:hAnsi="Book Antiqua"/>
        </w:rPr>
      </w:pPr>
      <w:bookmarkStart w:id="6" w:name="OLE_LINK43"/>
      <w:r>
        <w:rPr>
          <w:rFonts w:ascii="Book Antiqua" w:eastAsia="Book Antiqua" w:hAnsi="Book Antiqua" w:cs="Book Antiqua"/>
          <w:color w:val="000000"/>
        </w:rPr>
        <w:t xml:space="preserve">1 </w:t>
      </w:r>
      <w:r>
        <w:rPr>
          <w:rFonts w:ascii="Book Antiqua" w:eastAsia="Book Antiqua" w:hAnsi="Book Antiqua" w:cs="Book Antiqua"/>
          <w:b/>
          <w:bCs/>
          <w:color w:val="000000"/>
        </w:rPr>
        <w:t>Bonetti F</w:t>
      </w:r>
      <w:r>
        <w:rPr>
          <w:rFonts w:ascii="Book Antiqua" w:eastAsia="Book Antiqua" w:hAnsi="Book Antiqua" w:cs="Book Antiqua"/>
          <w:color w:val="000000"/>
        </w:rPr>
        <w:t xml:space="preserve">, Pea M, Martignoni G, Zamboni G. PEC and sugar.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307-308 [PMID: 1599021 DOI: 10.1097/00000478-199203000-00013]</w:t>
      </w:r>
    </w:p>
    <w:p w14:paraId="65B87E01"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Abhirup B</w:t>
      </w:r>
      <w:r>
        <w:rPr>
          <w:rFonts w:ascii="Book Antiqua" w:eastAsia="Book Antiqua" w:hAnsi="Book Antiqua" w:cs="Book Antiqua"/>
          <w:color w:val="000000"/>
        </w:rPr>
        <w:t xml:space="preserve">, Kaushal K, Sanket M, Ganesh N. Malignant hepatic perivascular epithelioid cell tumor (PEComa) - Case report and a brief review. </w:t>
      </w:r>
      <w:r>
        <w:rPr>
          <w:rFonts w:ascii="Book Antiqua" w:eastAsia="Book Antiqua" w:hAnsi="Book Antiqua" w:cs="Book Antiqua"/>
          <w:i/>
          <w:iCs/>
          <w:color w:val="000000"/>
        </w:rPr>
        <w:t>J Egypt Natl Canc Inst</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239-242 [PMID: 26071321 DOI: 10.1016/j.jnci.2015.05.004]</w:t>
      </w:r>
    </w:p>
    <w:p w14:paraId="71C6DA0E"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Hornick JL</w:t>
      </w:r>
      <w:r>
        <w:rPr>
          <w:rFonts w:ascii="Book Antiqua" w:eastAsia="Book Antiqua" w:hAnsi="Book Antiqua" w:cs="Book Antiqua"/>
          <w:color w:val="000000"/>
        </w:rPr>
        <w:t xml:space="preserve">, Fletcher CD. PEComa: what do we know so far?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48</w:t>
      </w:r>
      <w:r>
        <w:rPr>
          <w:rFonts w:ascii="Book Antiqua" w:eastAsia="Book Antiqua" w:hAnsi="Book Antiqua" w:cs="Book Antiqua"/>
          <w:color w:val="000000"/>
        </w:rPr>
        <w:t>: 75-82 [PMID: 16359539 DOI: 10.1111/j.1365-2559.2005.02316.x]</w:t>
      </w:r>
    </w:p>
    <w:p w14:paraId="74A8484A"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Parfitt JR</w:t>
      </w:r>
      <w:r>
        <w:rPr>
          <w:rFonts w:ascii="Book Antiqua" w:eastAsia="Book Antiqua" w:hAnsi="Book Antiqua" w:cs="Book Antiqua"/>
          <w:color w:val="000000"/>
        </w:rPr>
        <w:t xml:space="preserve">, Bella AJ, Izawa JI, Wehrli BM. Malignant neoplasm of perivascular epithelioid cells of the liver.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1219-1222 [PMID: 16879028 DOI: 10.5858/2006-130-1219-MNOPEC]</w:t>
      </w:r>
    </w:p>
    <w:p w14:paraId="76EA2CC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Fang SH</w:t>
      </w:r>
      <w:r>
        <w:rPr>
          <w:rFonts w:ascii="Book Antiqua" w:eastAsia="Book Antiqua" w:hAnsi="Book Antiqua" w:cs="Book Antiqua"/>
          <w:color w:val="000000"/>
        </w:rPr>
        <w:t xml:space="preserve">, Zhou LN, Jin M, Hu JB. Perivascular epithelioid cell tumor of the liver: a report of two cases and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5537-5539 [PMID: 17907305 DOI: 10.3748/wjg.v13.i41.5537]</w:t>
      </w:r>
    </w:p>
    <w:p w14:paraId="10C5A04C"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Strzelczyk JM</w:t>
      </w:r>
      <w:r>
        <w:rPr>
          <w:rFonts w:ascii="Book Antiqua" w:eastAsia="Book Antiqua" w:hAnsi="Book Antiqua" w:cs="Book Antiqua"/>
          <w:color w:val="000000"/>
        </w:rPr>
        <w:t xml:space="preserve">, Durczynski A, Szymanski D, Jablkowski M, Dworniak D, Sporny S. Primary perivascular epithelioid cell tumor (PEComa) of the liver: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916-921 [PMID: 19784736 DOI: 10.1007/s00595-009-3945-5]</w:t>
      </w:r>
    </w:p>
    <w:p w14:paraId="08A345C6"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Schoolmeester JK</w:t>
      </w:r>
      <w:r>
        <w:rPr>
          <w:rFonts w:ascii="Book Antiqua" w:eastAsia="Book Antiqua" w:hAnsi="Book Antiqua" w:cs="Book Antiqua"/>
          <w:color w:val="000000"/>
        </w:rPr>
        <w:t xml:space="preserve">, Dao LN, Sukov WR, Wang L, Park KJ, Murali R, Hameed MR, Soslow RA. TFE3 translocation-associated perivascular epithelioid cell neoplasm (PEComa) of the gynecologic tract: morphology, immunophenotype, differential diagnosis.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394-404 [PMID: 25517951 DOI: 10.1097/PAS.0000000000000349]</w:t>
      </w:r>
    </w:p>
    <w:p w14:paraId="7AB87F50"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Schoolmeester JK</w:t>
      </w:r>
      <w:r>
        <w:rPr>
          <w:rFonts w:ascii="Book Antiqua" w:eastAsia="Book Antiqua" w:hAnsi="Book Antiqua" w:cs="Book Antiqua"/>
          <w:color w:val="000000"/>
        </w:rPr>
        <w:t xml:space="preserve">, Howitt BE, Hirsch MS, Dal Cin P, Quade BJ, Nucci MR. Perivascular epithelioid cell neoplasm (PEComa) of the gynecologic tract: clinicopathologic and immunohistochemical characterization of 16 cases.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176-188 [PMID: 24418852 DOI: 10.1097/PAS.0000000000000133]</w:t>
      </w:r>
    </w:p>
    <w:p w14:paraId="12F91DB8"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Högemann D</w:t>
      </w:r>
      <w:r>
        <w:rPr>
          <w:rFonts w:ascii="Book Antiqua" w:eastAsia="Book Antiqua" w:hAnsi="Book Antiqua" w:cs="Book Antiqua"/>
          <w:color w:val="000000"/>
        </w:rPr>
        <w:t xml:space="preserve">, Flemming P, Kreipe H, Galanski M. Correlation of MRI and CT findings with histopathology in hepatic angiomyolipoma.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1389-1395 [PMID: 11519547 DOI: 10.1007/s003300000750]</w:t>
      </w:r>
    </w:p>
    <w:p w14:paraId="79F5E6D8"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Tan Y</w:t>
      </w:r>
      <w:r>
        <w:rPr>
          <w:rFonts w:ascii="Book Antiqua" w:eastAsia="Book Antiqua" w:hAnsi="Book Antiqua" w:cs="Book Antiqua"/>
          <w:color w:val="000000"/>
        </w:rPr>
        <w:t xml:space="preserve">, Xiao EH. Hepatic perivascular epithelioid cell tumor (PEComa): dynamic CT, MRI, ultrasonography, and pathologic features--analysis of 7 cases and review of the literature.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781-787 [PMID: 22278345 DOI: 10.1007/s00261-012-9850-1]</w:t>
      </w:r>
    </w:p>
    <w:p w14:paraId="69A5E5DA"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Akitake R</w:t>
      </w:r>
      <w:r>
        <w:rPr>
          <w:rFonts w:ascii="Book Antiqua" w:eastAsia="Book Antiqua" w:hAnsi="Book Antiqua" w:cs="Book Antiqua"/>
          <w:color w:val="000000"/>
        </w:rPr>
        <w:t xml:space="preserve">, Kimura H, Sekoguchi S, Nakamura H, Seno H, Chiba T, Fujimoto S. Perivascular epithelioid cell tumor (PEComa) of the liver diagnosed by contrast-enhanced ultrasonography.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2083-2086 [PMID: 20009396 DOI: 10.2169/internalmedicine.48.2133]</w:t>
      </w:r>
    </w:p>
    <w:p w14:paraId="1C6FBFE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Martignoni G</w:t>
      </w:r>
      <w:r>
        <w:rPr>
          <w:rFonts w:ascii="Book Antiqua" w:eastAsia="Book Antiqua" w:hAnsi="Book Antiqua" w:cs="Book Antiqua"/>
          <w:color w:val="000000"/>
        </w:rPr>
        <w:t xml:space="preserve">, Pea M, Reghellin D, Zamboni G, Bonetti F. PEComas: the past, the present and the future.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2008; </w:t>
      </w:r>
      <w:r>
        <w:rPr>
          <w:rFonts w:ascii="Book Antiqua" w:eastAsia="Book Antiqua" w:hAnsi="Book Antiqua" w:cs="Book Antiqua"/>
          <w:b/>
          <w:bCs/>
          <w:color w:val="000000"/>
        </w:rPr>
        <w:t>452</w:t>
      </w:r>
      <w:r>
        <w:rPr>
          <w:rFonts w:ascii="Book Antiqua" w:eastAsia="Book Antiqua" w:hAnsi="Book Antiqua" w:cs="Book Antiqua"/>
          <w:color w:val="000000"/>
        </w:rPr>
        <w:t>: 119-132 [PMID: 18080139 DOI: 10.1007/s00428-007-0509-1]</w:t>
      </w:r>
    </w:p>
    <w:p w14:paraId="0622B7E0"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Bergamo F</w:t>
      </w:r>
      <w:r>
        <w:rPr>
          <w:rFonts w:ascii="Book Antiqua" w:eastAsia="Book Antiqua" w:hAnsi="Book Antiqua" w:cs="Book Antiqua"/>
          <w:color w:val="000000"/>
        </w:rPr>
        <w:t xml:space="preserve">, Maruzzo M, Basso U, Montesco MC, Zagonel V, Gringeri E, Cillo U. Neoadjuvant sirolimus for a large hepatic perivascular epithelioid cell tumor (PEComa).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46 [PMID: 24575738 DOI: 10.1186/1477-7819-12-46]</w:t>
      </w:r>
    </w:p>
    <w:p w14:paraId="7CF4B881"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Argani P</w:t>
      </w:r>
      <w:r>
        <w:rPr>
          <w:rFonts w:ascii="Book Antiqua" w:eastAsia="Book Antiqua" w:hAnsi="Book Antiqua" w:cs="Book Antiqua"/>
          <w:color w:val="000000"/>
        </w:rPr>
        <w:t xml:space="preserve">, Aulmann S, Illei PB, Netto GJ, Ro J, Cho HY, Dogan S, Ladanyi M, Martignoni G, Goldblum JR, Weiss SW. A distinctive subset of PEComas harbors TFE3 gene fusions.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1395-1406 [PMID: 20871214 DOI: 10.1097/PAS.0b013e3181f17ac0]</w:t>
      </w:r>
    </w:p>
    <w:p w14:paraId="53572C8A"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Kato K, Gomi K, Matsumoto M, Kudo H, Shinkai M, Ohama Y, Kigasawa H, Tanaka Y. Perivascular epithelioid cell tumor with SFPQ/PSF-TFE3 gene fusion in a patient with advanced neuroblastoma.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1416-1420 [PMID: 19606011 DOI: 10.1097/PAS.0b013e3181a9cd6c]</w:t>
      </w:r>
    </w:p>
    <w:p w14:paraId="525497C1"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Selvaggi F</w:t>
      </w:r>
      <w:r>
        <w:rPr>
          <w:rFonts w:ascii="Book Antiqua" w:eastAsia="Book Antiqua" w:hAnsi="Book Antiqua" w:cs="Book Antiqua"/>
          <w:color w:val="000000"/>
        </w:rPr>
        <w:t xml:space="preserve">, Risio D, Claudi R, Cianci R, Angelucci D, Pulcini D, D'Aulerio A, Legnini M, Cotellese R, Innocenti P. Malignant PEComa: a case report with emphasis on clinical and morphological criteria.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3 [PMID: 21272348 DOI: 10.1186/1471-2482-11-3]</w:t>
      </w:r>
    </w:p>
    <w:p w14:paraId="124E96FD"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Folpe AL</w:t>
      </w:r>
      <w:r>
        <w:rPr>
          <w:rFonts w:ascii="Book Antiqua" w:eastAsia="Book Antiqua" w:hAnsi="Book Antiqua" w:cs="Book Antiqua"/>
          <w:color w:val="000000"/>
        </w:rPr>
        <w:t xml:space="preserve">, Mentzel T, Lehr HA, Fisher C, Balzer BL, Weiss SW. Perivascular epithelioid cell neoplasms of soft tissue and gynecologic origin: a clinicopathologic study of 26 cases and review of the literature.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1558-1575 [PMID: 16327428 DOI: 10.1097/01.pas.0000173232.22117.37]</w:t>
      </w:r>
    </w:p>
    <w:p w14:paraId="6C033383"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Tang D</w:t>
      </w:r>
      <w:r>
        <w:rPr>
          <w:rFonts w:ascii="Book Antiqua" w:eastAsia="Book Antiqua" w:hAnsi="Book Antiqua" w:cs="Book Antiqua"/>
          <w:color w:val="000000"/>
        </w:rPr>
        <w:t xml:space="preserve">, Wang J, Tian Y, Li Q, Yan H, Wang B, Xiong L, Li Q. Hepatic perivascular epithelioid cell tumor: Case report and brief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e5572 [PMID: 28002331 DOI: 10.1097/MD.0000000000005572]</w:t>
      </w:r>
    </w:p>
    <w:p w14:paraId="51DC0CFE"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Khaja F</w:t>
      </w:r>
      <w:r>
        <w:rPr>
          <w:rFonts w:ascii="Book Antiqua" w:eastAsia="Book Antiqua" w:hAnsi="Book Antiqua" w:cs="Book Antiqua"/>
          <w:color w:val="000000"/>
        </w:rPr>
        <w:t xml:space="preserve">, Carilli A, Baidas S, Sriharan A, Norford S. PEComa: A Perivascular Epithelioid Cell Tumor in the Liver-A Case Report and Review of the Literature.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904126 [PMID: 24489554 DOI: 10.1155/2013/904126]</w:t>
      </w:r>
    </w:p>
    <w:p w14:paraId="01EB5567"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Bleeker JS</w:t>
      </w:r>
      <w:r>
        <w:rPr>
          <w:rFonts w:ascii="Book Antiqua" w:eastAsia="Book Antiqua" w:hAnsi="Book Antiqua" w:cs="Book Antiqua"/>
          <w:color w:val="000000"/>
        </w:rPr>
        <w:t xml:space="preserve">, Quevedo JF, Folpe AL. "Malignant" perivascular epithelioid cell neoplasm: risk stratification and treatment strategies. </w:t>
      </w:r>
      <w:r>
        <w:rPr>
          <w:rFonts w:ascii="Book Antiqua" w:eastAsia="Book Antiqua" w:hAnsi="Book Antiqua" w:cs="Book Antiqua"/>
          <w:i/>
          <w:iCs/>
          <w:color w:val="000000"/>
        </w:rPr>
        <w:t>Sarcoma</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541626 [PMID: 22619565 DOI: 10.1155/2012/541626]</w:t>
      </w:r>
    </w:p>
    <w:p w14:paraId="3C37FDD3"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Wagner AJ</w:t>
      </w:r>
      <w:r>
        <w:rPr>
          <w:rFonts w:ascii="Book Antiqua" w:eastAsia="Book Antiqua" w:hAnsi="Book Antiqua" w:cs="Book Antiqua"/>
          <w:color w:val="000000"/>
        </w:rPr>
        <w:t xml:space="preserve">, Malinowska-Kolodziej I, Morgan JA, Qin W, Fletcher CD, Vena N, Ligon AH, Antonescu CR, Ramaiya NH, Demetri GD, Kwiatkowski DJ, Maki RG. Clinical activity of mTOR inhibition with sirolimus in malignant perivascular epithelioid cell tumors: targeting the pathogenic activation of mTORC1 in tumors.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835-840 [PMID: 20048174 DOI: 10.1200/JCO.2009.25.2981]</w:t>
      </w:r>
    </w:p>
    <w:p w14:paraId="4B116457"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Italiano A</w:t>
      </w:r>
      <w:r>
        <w:rPr>
          <w:rFonts w:ascii="Book Antiqua" w:eastAsia="Book Antiqua" w:hAnsi="Book Antiqua" w:cs="Book Antiqua"/>
          <w:color w:val="000000"/>
        </w:rPr>
        <w:t xml:space="preserve">, Delcambre C, Hostein I, Cazeau AL, Marty M, Avril A, Coindre JM, Bui B. Treatment with the mTOR inhibitor temsirolimus in patients with malignant PEComa.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1135-1137 [PMID: 20215136 DOI: 10.1093/annonc/mdq044]</w:t>
      </w:r>
    </w:p>
    <w:bookmarkEnd w:id="6"/>
    <w:p w14:paraId="75434288" w14:textId="77777777" w:rsidR="00E8667C" w:rsidRDefault="00E8667C">
      <w:pPr>
        <w:spacing w:line="360" w:lineRule="auto"/>
        <w:jc w:val="both"/>
        <w:rPr>
          <w:rFonts w:ascii="Book Antiqua" w:hAnsi="Book Antiqua"/>
        </w:rPr>
        <w:sectPr w:rsidR="00E8667C">
          <w:pgSz w:w="12240" w:h="15840"/>
          <w:pgMar w:top="1440" w:right="1440" w:bottom="1440" w:left="1440" w:header="720" w:footer="720" w:gutter="0"/>
          <w:cols w:space="720"/>
          <w:docGrid w:linePitch="360"/>
        </w:sectPr>
      </w:pPr>
    </w:p>
    <w:p w14:paraId="305C4EF2"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04D7759"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and Research Committees of the First Affiliated Hospital of Bengbu Medical College (Anhui Province, China).</w:t>
      </w:r>
    </w:p>
    <w:p w14:paraId="16E87E95" w14:textId="77777777" w:rsidR="00E8667C" w:rsidRDefault="00E8667C">
      <w:pPr>
        <w:spacing w:line="360" w:lineRule="auto"/>
        <w:jc w:val="both"/>
        <w:rPr>
          <w:rFonts w:ascii="Book Antiqua" w:hAnsi="Book Antiqua"/>
        </w:rPr>
      </w:pPr>
    </w:p>
    <w:p w14:paraId="704CC728" w14:textId="77777777" w:rsidR="00E8667C" w:rsidRDefault="00A71EF6">
      <w:pPr>
        <w:adjustRightInd w:val="0"/>
        <w:snapToGrid w:val="0"/>
        <w:spacing w:line="360" w:lineRule="auto"/>
        <w:rPr>
          <w:rFonts w:ascii="Book Antiqua" w:hAnsi="Book Antiqua"/>
          <w:b/>
        </w:rPr>
      </w:pPr>
      <w:r>
        <w:rPr>
          <w:rFonts w:ascii="Book Antiqua" w:hAnsi="Book Antiqua"/>
          <w:b/>
        </w:rPr>
        <w:t>Informed consent statement</w:t>
      </w:r>
      <w:r>
        <w:rPr>
          <w:rFonts w:ascii="Book Antiqua" w:hAnsi="Book Antiqua"/>
          <w:b/>
          <w:iCs/>
          <w:color w:val="000000"/>
        </w:rPr>
        <w:t xml:space="preserve">: </w:t>
      </w:r>
      <w:r>
        <w:rPr>
          <w:rFonts w:ascii="Book Antiqua" w:eastAsia="Book Antiqua" w:hAnsi="Book Antiqua" w:cs="Book Antiqua"/>
          <w:color w:val="000000"/>
        </w:rPr>
        <w:t>Informed written consent was obtained from all the patients.</w:t>
      </w:r>
    </w:p>
    <w:p w14:paraId="4C81501A" w14:textId="77777777" w:rsidR="00E8667C" w:rsidRDefault="00E8667C">
      <w:pPr>
        <w:spacing w:line="360" w:lineRule="auto"/>
        <w:jc w:val="both"/>
        <w:rPr>
          <w:rFonts w:ascii="Book Antiqua" w:hAnsi="Book Antiqua"/>
        </w:rPr>
      </w:pPr>
    </w:p>
    <w:p w14:paraId="17EAD7FB"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 for this manuscript.</w:t>
      </w:r>
    </w:p>
    <w:p w14:paraId="276C6631" w14:textId="77777777" w:rsidR="00E8667C" w:rsidRDefault="00E8667C">
      <w:pPr>
        <w:spacing w:line="360" w:lineRule="auto"/>
        <w:jc w:val="both"/>
        <w:rPr>
          <w:rFonts w:ascii="Book Antiqua" w:hAnsi="Book Antiqua"/>
        </w:rPr>
      </w:pPr>
    </w:p>
    <w:p w14:paraId="04992D83"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373A78D" w14:textId="77777777" w:rsidR="00E8667C" w:rsidRDefault="00E8667C">
      <w:pPr>
        <w:spacing w:line="360" w:lineRule="auto"/>
        <w:jc w:val="both"/>
        <w:rPr>
          <w:rFonts w:ascii="Book Antiqua" w:hAnsi="Book Antiqua"/>
        </w:rPr>
      </w:pPr>
    </w:p>
    <w:p w14:paraId="06EF7F1A" w14:textId="77777777"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EBC8BC" w14:textId="77777777" w:rsidR="00E8667C" w:rsidRDefault="00E8667C">
      <w:pPr>
        <w:spacing w:line="360" w:lineRule="auto"/>
        <w:jc w:val="both"/>
        <w:rPr>
          <w:rFonts w:ascii="Book Antiqua" w:hAnsi="Book Antiqua"/>
        </w:rPr>
      </w:pPr>
    </w:p>
    <w:p w14:paraId="6C80A84A"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EC5107A" w14:textId="77777777" w:rsidR="00E8667C" w:rsidRDefault="00E8667C">
      <w:pPr>
        <w:spacing w:line="360" w:lineRule="auto"/>
        <w:jc w:val="both"/>
        <w:rPr>
          <w:rFonts w:ascii="Book Antiqua" w:hAnsi="Book Antiqua"/>
        </w:rPr>
      </w:pPr>
    </w:p>
    <w:p w14:paraId="0915D9E3"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29, 2021</w:t>
      </w:r>
    </w:p>
    <w:p w14:paraId="26548A78"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28, 2021</w:t>
      </w:r>
    </w:p>
    <w:p w14:paraId="1450EF7E"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0007CB5" w14:textId="77777777" w:rsidR="00E8667C" w:rsidRDefault="00E8667C">
      <w:pPr>
        <w:spacing w:line="360" w:lineRule="auto"/>
        <w:jc w:val="both"/>
        <w:rPr>
          <w:rFonts w:ascii="Book Antiqua" w:hAnsi="Book Antiqua"/>
        </w:rPr>
      </w:pPr>
    </w:p>
    <w:p w14:paraId="2DBCED9E"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3F49347"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8C2D9FF" w14:textId="77777777" w:rsidR="00E8667C" w:rsidRDefault="00A71EF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631BEE4"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Grade A (Excellent): A</w:t>
      </w:r>
    </w:p>
    <w:p w14:paraId="3D74ED98"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Grade B (Very good): B</w:t>
      </w:r>
    </w:p>
    <w:p w14:paraId="49CBC5F9"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Grade C (Good): 0</w:t>
      </w:r>
    </w:p>
    <w:p w14:paraId="2976AE8F"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Grade D (Fair): 0</w:t>
      </w:r>
    </w:p>
    <w:p w14:paraId="49137A44" w14:textId="77777777" w:rsidR="00E8667C" w:rsidRDefault="00A71EF6">
      <w:pPr>
        <w:spacing w:line="360" w:lineRule="auto"/>
        <w:jc w:val="both"/>
        <w:rPr>
          <w:rFonts w:ascii="Book Antiqua" w:hAnsi="Book Antiqua"/>
        </w:rPr>
      </w:pPr>
      <w:r>
        <w:rPr>
          <w:rFonts w:ascii="Book Antiqua" w:eastAsia="Book Antiqua" w:hAnsi="Book Antiqua" w:cs="Book Antiqua"/>
          <w:color w:val="000000"/>
        </w:rPr>
        <w:t>Grade E (Poor): 0</w:t>
      </w:r>
    </w:p>
    <w:p w14:paraId="0B466623" w14:textId="77777777" w:rsidR="00E8667C" w:rsidRDefault="00E8667C">
      <w:pPr>
        <w:spacing w:line="360" w:lineRule="auto"/>
        <w:jc w:val="both"/>
        <w:rPr>
          <w:rFonts w:ascii="Book Antiqua" w:hAnsi="Book Antiqua"/>
        </w:rPr>
      </w:pPr>
    </w:p>
    <w:p w14:paraId="26C9019E" w14:textId="77777777" w:rsidR="00E8667C" w:rsidRDefault="00A71E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Yasukawa K</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84FC705" w14:textId="77777777" w:rsidR="00E8667C" w:rsidRDefault="00E8667C">
      <w:pPr>
        <w:spacing w:line="360" w:lineRule="auto"/>
        <w:jc w:val="both"/>
        <w:rPr>
          <w:rFonts w:ascii="Book Antiqua" w:eastAsia="Book Antiqua" w:hAnsi="Book Antiqua" w:cs="Book Antiqua"/>
          <w:b/>
          <w:color w:val="000000"/>
        </w:rPr>
      </w:pPr>
    </w:p>
    <w:p w14:paraId="7792BC44" w14:textId="77777777"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14:paraId="534D7869" w14:textId="77777777" w:rsidR="00E8667C" w:rsidRDefault="00A71EF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extent cx="5943600" cy="1540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1540510"/>
                    </a:xfrm>
                    <a:prstGeom prst="rect">
                      <a:avLst/>
                    </a:prstGeom>
                  </pic:spPr>
                </pic:pic>
              </a:graphicData>
            </a:graphic>
          </wp:inline>
        </w:drawing>
      </w:r>
    </w:p>
    <w:p w14:paraId="5E1129C9" w14:textId="77777777" w:rsidR="00E8667C" w:rsidRDefault="00A71EF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 xml:space="preserve">Computed tomography scans of the right hepatic lobe of a 72-year-old male patient with PEComa (patient 10). </w:t>
      </w:r>
      <w:r>
        <w:rPr>
          <w:rFonts w:ascii="Book Antiqua" w:eastAsia="Book Antiqua" w:hAnsi="Book Antiqua" w:cs="Book Antiqua"/>
          <w:bCs/>
          <w:color w:val="000000"/>
        </w:rPr>
        <w:t>A: Plain computed tomography scan showing an irregular soft tissue density shadow; B: Enhanced scan showing obvious enhancement of the mass margin and of central heterogeneity in the arterial phase; C: Portal vein scan showing a low mass density.</w:t>
      </w:r>
    </w:p>
    <w:p w14:paraId="537CF576" w14:textId="77777777"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14:paraId="7BE189DA" w14:textId="77777777" w:rsidR="00E8667C" w:rsidRDefault="00A71EF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extent cx="3696335" cy="4135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696850" cy="4135582"/>
                    </a:xfrm>
                    <a:prstGeom prst="rect">
                      <a:avLst/>
                    </a:prstGeom>
                  </pic:spPr>
                </pic:pic>
              </a:graphicData>
            </a:graphic>
          </wp:inline>
        </w:drawing>
      </w:r>
    </w:p>
    <w:p w14:paraId="1672762C" w14:textId="77777777" w:rsidR="00E8667C" w:rsidRDefault="00A71EF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2 Morphologic appearance of hepatic PEComa. </w:t>
      </w:r>
      <w:r>
        <w:rPr>
          <w:rFonts w:ascii="Book Antiqua" w:eastAsia="Book Antiqua" w:hAnsi="Book Antiqua" w:cs="Book Antiqua"/>
          <w:bCs/>
          <w:color w:val="000000"/>
        </w:rPr>
        <w:t>A: Tumor cells consists of proliferating epithelioid cells nested in trabeculae or lamellae and radially arranged around thick-walled vessels (HE, magnification: 100 ×); B: Tumor cells are polygonal, have translucent cytoplasm, and contain uneven eosinophilic granules. Nuclei are round or oval, with a clear nucleolus and sparse chromatin. Interstitial collagen fibers are feathery (HE, magnification, 400 ×); C: Immunoreactivity for HMB45 was detected in the cytoplasm of tumor cells in contrast to normal liver cells, which were negative for this marker (magnification, 100 ×); D: Increased expression of Melan-A was observed in both the cytoplasm and nuclei of carcinoma cells, whereas normal cells displayed lower expression of this marker (magnification, 100 ×); E: Vimentin was detected in the cytoplasm of tumor cells (magnification, 100 ×), whereas normal tissues were negative for this marker (magnification, 100 ×); F: Desmin immunoreactivity was not detected in tumor cells and normal tissues (magnification, 400 ×). Elivision</w:t>
      </w:r>
      <w:r>
        <w:rPr>
          <w:rFonts w:ascii="Book Antiqua" w:eastAsia="Book Antiqua" w:hAnsi="Book Antiqua" w:cs="Book Antiqua"/>
          <w:bCs/>
          <w:color w:val="000000"/>
          <w:vertAlign w:val="superscript"/>
        </w:rPr>
        <w:t>TM</w:t>
      </w:r>
      <w:r>
        <w:rPr>
          <w:rFonts w:ascii="Book Antiqua" w:eastAsia="Book Antiqua" w:hAnsi="Book Antiqua" w:cs="Book Antiqua"/>
          <w:bCs/>
          <w:color w:val="000000"/>
        </w:rPr>
        <w:t xml:space="preserve"> Plus/HRP was used.</w:t>
      </w:r>
    </w:p>
    <w:p w14:paraId="402C20C5" w14:textId="77777777"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14:paraId="77F1F48A" w14:textId="77777777" w:rsidR="00E8667C" w:rsidRDefault="00A71EF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extent cx="5920740" cy="33451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21253" cy="3345470"/>
                    </a:xfrm>
                    <a:prstGeom prst="rect">
                      <a:avLst/>
                    </a:prstGeom>
                  </pic:spPr>
                </pic:pic>
              </a:graphicData>
            </a:graphic>
          </wp:inline>
        </w:drawing>
      </w:r>
    </w:p>
    <w:p w14:paraId="183F3D35" w14:textId="77777777"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FISH detection of </w:t>
      </w:r>
      <w:r>
        <w:rPr>
          <w:rFonts w:ascii="Book Antiqua" w:eastAsia="Book Antiqua" w:hAnsi="Book Antiqua" w:cs="Book Antiqua"/>
          <w:b/>
          <w:bCs/>
          <w:i/>
          <w:color w:val="000000"/>
        </w:rPr>
        <w:t>TFE3</w:t>
      </w:r>
      <w:r>
        <w:rPr>
          <w:rFonts w:ascii="Book Antiqua" w:eastAsia="Book Antiqua" w:hAnsi="Book Antiqua" w:cs="Book Antiqua"/>
          <w:b/>
          <w:bCs/>
          <w:color w:val="000000"/>
        </w:rPr>
        <w:t xml:space="preserve"> gene break-apart in hepatic PEComa.</w:t>
      </w:r>
      <w:r>
        <w:rPr>
          <w:rFonts w:ascii="Book Antiqua" w:eastAsia="Book Antiqua" w:hAnsi="Book Antiqua" w:cs="Book Antiqua"/>
          <w:color w:val="000000"/>
        </w:rPr>
        <w:t xml:space="preserve"> Most of the tumor cells show fused (yellow) signals, and the distance between the red and green signals is less than 1 fusion signal. For each sample, 100 cells were counted. Only less than 10% of tumor cells showed break-apart signals (magnification, 1000 ×). </w:t>
      </w:r>
    </w:p>
    <w:p w14:paraId="4D1BE375" w14:textId="77777777"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14:paraId="41F1EB1A" w14:textId="77777777" w:rsidR="00E8667C" w:rsidRDefault="00A71EF6">
      <w:pPr>
        <w:spacing w:line="360" w:lineRule="auto"/>
        <w:rPr>
          <w:rFonts w:ascii="Book Antiqua" w:eastAsia="宋体" w:hAnsi="Book Antiqua" w:cs="Arial"/>
        </w:rPr>
      </w:pPr>
      <w:r>
        <w:rPr>
          <w:rFonts w:ascii="Book Antiqua" w:eastAsia="宋体" w:hAnsi="Book Antiqua" w:cs="Arial"/>
          <w:b/>
          <w:bCs/>
        </w:rPr>
        <w:lastRenderedPageBreak/>
        <w:t>Table 1 Antibodies used in this study</w:t>
      </w: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309"/>
        <w:gridCol w:w="1218"/>
        <w:gridCol w:w="2753"/>
        <w:gridCol w:w="2160"/>
      </w:tblGrid>
      <w:tr w:rsidR="00E8667C" w14:paraId="208F46EE" w14:textId="77777777">
        <w:tc>
          <w:tcPr>
            <w:tcW w:w="1550" w:type="dxa"/>
            <w:tcBorders>
              <w:left w:val="nil"/>
              <w:bottom w:val="single" w:sz="4" w:space="0" w:color="auto"/>
              <w:right w:val="nil"/>
            </w:tcBorders>
          </w:tcPr>
          <w:p w14:paraId="78D517FD" w14:textId="77777777" w:rsidR="00E8667C" w:rsidRDefault="00A71EF6">
            <w:pPr>
              <w:spacing w:line="360" w:lineRule="auto"/>
              <w:rPr>
                <w:rFonts w:ascii="Book Antiqua" w:eastAsia="Times New Roman" w:hAnsi="Book Antiqua" w:cs="Arial"/>
                <w:b/>
                <w:bCs/>
              </w:rPr>
            </w:pPr>
            <w:r>
              <w:rPr>
                <w:rFonts w:ascii="Book Antiqua" w:eastAsia="Times New Roman" w:hAnsi="Book Antiqua" w:cs="Arial"/>
                <w:b/>
                <w:bCs/>
                <w:color w:val="000000"/>
              </w:rPr>
              <w:t>Antigen</w:t>
            </w:r>
          </w:p>
        </w:tc>
        <w:tc>
          <w:tcPr>
            <w:tcW w:w="1309" w:type="dxa"/>
            <w:tcBorders>
              <w:left w:val="nil"/>
              <w:bottom w:val="single" w:sz="4" w:space="0" w:color="auto"/>
              <w:right w:val="nil"/>
            </w:tcBorders>
          </w:tcPr>
          <w:p w14:paraId="2206330F"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Clone</w:t>
            </w:r>
          </w:p>
        </w:tc>
        <w:tc>
          <w:tcPr>
            <w:tcW w:w="1218" w:type="dxa"/>
            <w:tcBorders>
              <w:left w:val="nil"/>
              <w:bottom w:val="single" w:sz="4" w:space="0" w:color="auto"/>
              <w:right w:val="nil"/>
            </w:tcBorders>
          </w:tcPr>
          <w:p w14:paraId="62E17A86"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Dilution</w:t>
            </w:r>
          </w:p>
        </w:tc>
        <w:tc>
          <w:tcPr>
            <w:tcW w:w="2753" w:type="dxa"/>
            <w:tcBorders>
              <w:left w:val="nil"/>
              <w:bottom w:val="single" w:sz="4" w:space="0" w:color="auto"/>
              <w:right w:val="nil"/>
            </w:tcBorders>
          </w:tcPr>
          <w:p w14:paraId="7F2649BB"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Antigen retrieval</w:t>
            </w:r>
          </w:p>
        </w:tc>
        <w:tc>
          <w:tcPr>
            <w:tcW w:w="2160" w:type="dxa"/>
            <w:tcBorders>
              <w:left w:val="nil"/>
              <w:bottom w:val="single" w:sz="4" w:space="0" w:color="auto"/>
              <w:right w:val="nil"/>
            </w:tcBorders>
          </w:tcPr>
          <w:p w14:paraId="7AE79014"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Localization</w:t>
            </w:r>
          </w:p>
        </w:tc>
      </w:tr>
      <w:tr w:rsidR="00E8667C" w14:paraId="2CE3FC44" w14:textId="77777777">
        <w:tc>
          <w:tcPr>
            <w:tcW w:w="1550" w:type="dxa"/>
            <w:tcBorders>
              <w:top w:val="single" w:sz="4" w:space="0" w:color="auto"/>
              <w:left w:val="nil"/>
              <w:bottom w:val="nil"/>
              <w:right w:val="nil"/>
            </w:tcBorders>
          </w:tcPr>
          <w:p w14:paraId="33A0CF16" w14:textId="77777777" w:rsidR="00E8667C" w:rsidRDefault="00A71EF6">
            <w:pPr>
              <w:spacing w:line="360" w:lineRule="auto"/>
              <w:rPr>
                <w:rFonts w:ascii="Book Antiqua" w:eastAsia="宋体" w:hAnsi="Book Antiqua" w:cs="Arial"/>
              </w:rPr>
            </w:pPr>
            <w:r>
              <w:rPr>
                <w:rFonts w:ascii="Book Antiqua" w:eastAsia="宋体" w:hAnsi="Book Antiqua" w:cs="Arial"/>
              </w:rPr>
              <w:t>HMB-45</w:t>
            </w:r>
          </w:p>
        </w:tc>
        <w:tc>
          <w:tcPr>
            <w:tcW w:w="1309" w:type="dxa"/>
            <w:tcBorders>
              <w:top w:val="single" w:sz="4" w:space="0" w:color="auto"/>
              <w:left w:val="nil"/>
              <w:bottom w:val="nil"/>
              <w:right w:val="nil"/>
            </w:tcBorders>
          </w:tcPr>
          <w:p w14:paraId="3B35426E" w14:textId="77777777" w:rsidR="00E8667C" w:rsidRDefault="00A71EF6">
            <w:pPr>
              <w:spacing w:line="360" w:lineRule="auto"/>
              <w:rPr>
                <w:rFonts w:ascii="Book Antiqua" w:eastAsia="宋体" w:hAnsi="Book Antiqua" w:cs="Arial"/>
              </w:rPr>
            </w:pPr>
            <w:r>
              <w:rPr>
                <w:rFonts w:ascii="Book Antiqua" w:eastAsia="宋体" w:hAnsi="Book Antiqua" w:cs="Arial"/>
              </w:rPr>
              <w:t>HMB-45</w:t>
            </w:r>
          </w:p>
        </w:tc>
        <w:tc>
          <w:tcPr>
            <w:tcW w:w="1218" w:type="dxa"/>
            <w:tcBorders>
              <w:top w:val="single" w:sz="4" w:space="0" w:color="auto"/>
              <w:left w:val="nil"/>
              <w:bottom w:val="nil"/>
              <w:right w:val="nil"/>
            </w:tcBorders>
          </w:tcPr>
          <w:p w14:paraId="05423BB9" w14:textId="77777777" w:rsidR="00E8667C" w:rsidRDefault="00A71EF6">
            <w:pPr>
              <w:spacing w:line="360" w:lineRule="auto"/>
              <w:rPr>
                <w:rFonts w:ascii="Book Antiqua" w:eastAsia="宋体" w:hAnsi="Book Antiqua" w:cs="Arial"/>
              </w:rPr>
            </w:pPr>
            <w:r>
              <w:rPr>
                <w:rFonts w:ascii="Book Antiqua" w:eastAsia="宋体" w:hAnsi="Book Antiqua" w:cs="Arial"/>
              </w:rPr>
              <w:t>1:400</w:t>
            </w:r>
          </w:p>
        </w:tc>
        <w:tc>
          <w:tcPr>
            <w:tcW w:w="2753" w:type="dxa"/>
            <w:tcBorders>
              <w:top w:val="single" w:sz="4" w:space="0" w:color="auto"/>
              <w:left w:val="nil"/>
              <w:bottom w:val="nil"/>
              <w:right w:val="nil"/>
            </w:tcBorders>
          </w:tcPr>
          <w:p w14:paraId="58F9DFCD" w14:textId="77777777" w:rsidR="00E8667C" w:rsidRDefault="00A71EF6">
            <w:pPr>
              <w:spacing w:line="360" w:lineRule="auto"/>
              <w:rPr>
                <w:rFonts w:ascii="Book Antiqua" w:eastAsia="宋体" w:hAnsi="Book Antiqua" w:cs="Arial"/>
              </w:rPr>
            </w:pPr>
            <w:r>
              <w:rPr>
                <w:rFonts w:ascii="Book Antiqua" w:eastAsia="宋体" w:hAnsi="Book Antiqua" w:cs="Arial"/>
              </w:rPr>
              <w:t>None</w:t>
            </w:r>
          </w:p>
        </w:tc>
        <w:tc>
          <w:tcPr>
            <w:tcW w:w="2160" w:type="dxa"/>
            <w:tcBorders>
              <w:top w:val="single" w:sz="4" w:space="0" w:color="auto"/>
              <w:left w:val="nil"/>
              <w:bottom w:val="nil"/>
              <w:right w:val="nil"/>
            </w:tcBorders>
          </w:tcPr>
          <w:p w14:paraId="050BB323" w14:textId="77777777"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14:paraId="6F9C5E40" w14:textId="77777777">
        <w:tc>
          <w:tcPr>
            <w:tcW w:w="1550" w:type="dxa"/>
            <w:tcBorders>
              <w:top w:val="nil"/>
              <w:left w:val="nil"/>
              <w:bottom w:val="nil"/>
              <w:right w:val="nil"/>
            </w:tcBorders>
          </w:tcPr>
          <w:p w14:paraId="4151792C" w14:textId="77777777" w:rsidR="00E8667C" w:rsidRDefault="00A71EF6">
            <w:pPr>
              <w:spacing w:line="360" w:lineRule="auto"/>
              <w:rPr>
                <w:rFonts w:ascii="Book Antiqua" w:eastAsia="宋体" w:hAnsi="Book Antiqua" w:cs="Arial"/>
              </w:rPr>
            </w:pPr>
            <w:r>
              <w:rPr>
                <w:rFonts w:ascii="Book Antiqua" w:eastAsia="宋体" w:hAnsi="Book Antiqua" w:cs="Arial"/>
              </w:rPr>
              <w:t>Melan-A</w:t>
            </w:r>
          </w:p>
        </w:tc>
        <w:tc>
          <w:tcPr>
            <w:tcW w:w="1309" w:type="dxa"/>
            <w:tcBorders>
              <w:top w:val="nil"/>
              <w:left w:val="nil"/>
              <w:bottom w:val="nil"/>
              <w:right w:val="nil"/>
            </w:tcBorders>
          </w:tcPr>
          <w:p w14:paraId="6DA256DC" w14:textId="77777777" w:rsidR="00E8667C" w:rsidRDefault="00A71EF6">
            <w:pPr>
              <w:spacing w:line="360" w:lineRule="auto"/>
              <w:rPr>
                <w:rFonts w:ascii="Book Antiqua" w:eastAsia="宋体" w:hAnsi="Book Antiqua" w:cs="Arial"/>
              </w:rPr>
            </w:pPr>
            <w:r>
              <w:rPr>
                <w:rFonts w:ascii="Book Antiqua" w:eastAsia="宋体" w:hAnsi="Book Antiqua" w:cs="Arial"/>
              </w:rPr>
              <w:t>A103</w:t>
            </w:r>
          </w:p>
        </w:tc>
        <w:tc>
          <w:tcPr>
            <w:tcW w:w="1218" w:type="dxa"/>
            <w:tcBorders>
              <w:top w:val="nil"/>
              <w:left w:val="nil"/>
              <w:bottom w:val="nil"/>
              <w:right w:val="nil"/>
            </w:tcBorders>
          </w:tcPr>
          <w:p w14:paraId="07EB39E0" w14:textId="77777777" w:rsidR="00E8667C" w:rsidRDefault="00A71EF6">
            <w:pPr>
              <w:spacing w:line="360" w:lineRule="auto"/>
              <w:rPr>
                <w:rFonts w:ascii="Book Antiqua" w:eastAsia="宋体" w:hAnsi="Book Antiqua" w:cs="Arial"/>
              </w:rPr>
            </w:pPr>
            <w:r>
              <w:rPr>
                <w:rFonts w:ascii="Book Antiqua" w:eastAsia="宋体" w:hAnsi="Book Antiqua" w:cs="Arial"/>
              </w:rPr>
              <w:t>1:200</w:t>
            </w:r>
          </w:p>
        </w:tc>
        <w:tc>
          <w:tcPr>
            <w:tcW w:w="2753" w:type="dxa"/>
            <w:tcBorders>
              <w:top w:val="nil"/>
              <w:left w:val="nil"/>
              <w:bottom w:val="nil"/>
              <w:right w:val="nil"/>
            </w:tcBorders>
          </w:tcPr>
          <w:p w14:paraId="6617F4E7" w14:textId="77777777"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14:paraId="401B3A67" w14:textId="77777777"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14:paraId="6979BEE7" w14:textId="77777777">
        <w:tc>
          <w:tcPr>
            <w:tcW w:w="1550" w:type="dxa"/>
            <w:tcBorders>
              <w:top w:val="nil"/>
              <w:left w:val="nil"/>
              <w:bottom w:val="nil"/>
              <w:right w:val="nil"/>
            </w:tcBorders>
          </w:tcPr>
          <w:p w14:paraId="5CD8BF79" w14:textId="77777777" w:rsidR="00E8667C" w:rsidRDefault="00A71EF6">
            <w:pPr>
              <w:spacing w:line="360" w:lineRule="auto"/>
              <w:rPr>
                <w:rFonts w:ascii="Book Antiqua" w:eastAsia="宋体" w:hAnsi="Book Antiqua" w:cs="Arial"/>
              </w:rPr>
            </w:pPr>
            <w:r>
              <w:rPr>
                <w:rFonts w:ascii="Book Antiqua" w:eastAsia="宋体" w:hAnsi="Book Antiqua" w:cs="Arial"/>
              </w:rPr>
              <w:t>SMA</w:t>
            </w:r>
          </w:p>
        </w:tc>
        <w:tc>
          <w:tcPr>
            <w:tcW w:w="1309" w:type="dxa"/>
            <w:tcBorders>
              <w:top w:val="nil"/>
              <w:left w:val="nil"/>
              <w:bottom w:val="nil"/>
              <w:right w:val="nil"/>
            </w:tcBorders>
          </w:tcPr>
          <w:p w14:paraId="0236797A" w14:textId="77777777" w:rsidR="00E8667C" w:rsidRDefault="00A71EF6">
            <w:pPr>
              <w:spacing w:line="360" w:lineRule="auto"/>
              <w:rPr>
                <w:rFonts w:ascii="Book Antiqua" w:eastAsia="宋体" w:hAnsi="Book Antiqua" w:cs="Arial"/>
              </w:rPr>
            </w:pPr>
            <w:r>
              <w:rPr>
                <w:rFonts w:ascii="Book Antiqua" w:eastAsia="宋体" w:hAnsi="Book Antiqua" w:cs="Arial"/>
              </w:rPr>
              <w:t>1A4</w:t>
            </w:r>
          </w:p>
        </w:tc>
        <w:tc>
          <w:tcPr>
            <w:tcW w:w="1218" w:type="dxa"/>
            <w:tcBorders>
              <w:top w:val="nil"/>
              <w:left w:val="nil"/>
              <w:bottom w:val="nil"/>
              <w:right w:val="nil"/>
            </w:tcBorders>
          </w:tcPr>
          <w:p w14:paraId="7EDEDBBD" w14:textId="77777777" w:rsidR="00E8667C" w:rsidRDefault="00A71EF6">
            <w:pPr>
              <w:spacing w:line="360" w:lineRule="auto"/>
              <w:rPr>
                <w:rFonts w:ascii="Book Antiqua" w:eastAsia="宋体" w:hAnsi="Book Antiqua" w:cs="Arial"/>
              </w:rPr>
            </w:pPr>
            <w:r>
              <w:rPr>
                <w:rFonts w:ascii="Book Antiqua" w:eastAsia="宋体" w:hAnsi="Book Antiqua" w:cs="Arial"/>
              </w:rPr>
              <w:t>1:20000</w:t>
            </w:r>
          </w:p>
        </w:tc>
        <w:tc>
          <w:tcPr>
            <w:tcW w:w="2753" w:type="dxa"/>
            <w:tcBorders>
              <w:top w:val="nil"/>
              <w:left w:val="nil"/>
              <w:bottom w:val="nil"/>
              <w:right w:val="nil"/>
            </w:tcBorders>
          </w:tcPr>
          <w:p w14:paraId="46A0D820" w14:textId="77777777" w:rsidR="00E8667C" w:rsidRDefault="00A71EF6">
            <w:pPr>
              <w:spacing w:line="360" w:lineRule="auto"/>
              <w:rPr>
                <w:rFonts w:ascii="Book Antiqua" w:eastAsia="宋体" w:hAnsi="Book Antiqua" w:cs="Arial"/>
              </w:rPr>
            </w:pPr>
            <w:r>
              <w:rPr>
                <w:rFonts w:ascii="Book Antiqua" w:eastAsia="宋体" w:hAnsi="Book Antiqua" w:cs="Arial"/>
              </w:rPr>
              <w:t>None</w:t>
            </w:r>
          </w:p>
        </w:tc>
        <w:tc>
          <w:tcPr>
            <w:tcW w:w="2160" w:type="dxa"/>
            <w:tcBorders>
              <w:top w:val="nil"/>
              <w:left w:val="nil"/>
              <w:bottom w:val="nil"/>
              <w:right w:val="nil"/>
            </w:tcBorders>
          </w:tcPr>
          <w:p w14:paraId="239014C6" w14:textId="77777777"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14:paraId="73865FFA" w14:textId="77777777">
        <w:tc>
          <w:tcPr>
            <w:tcW w:w="1550" w:type="dxa"/>
            <w:tcBorders>
              <w:top w:val="nil"/>
              <w:left w:val="nil"/>
              <w:bottom w:val="nil"/>
              <w:right w:val="nil"/>
            </w:tcBorders>
          </w:tcPr>
          <w:p w14:paraId="7E9D8EFD" w14:textId="77777777" w:rsidR="00E8667C" w:rsidRDefault="00A71EF6">
            <w:pPr>
              <w:spacing w:line="360" w:lineRule="auto"/>
              <w:rPr>
                <w:rFonts w:ascii="Book Antiqua" w:eastAsia="宋体" w:hAnsi="Book Antiqua" w:cs="Arial"/>
              </w:rPr>
            </w:pPr>
            <w:r>
              <w:rPr>
                <w:rFonts w:ascii="Book Antiqua" w:eastAsia="宋体" w:hAnsi="Book Antiqua" w:cs="Arial"/>
              </w:rPr>
              <w:t>Desmin</w:t>
            </w:r>
          </w:p>
        </w:tc>
        <w:tc>
          <w:tcPr>
            <w:tcW w:w="1309" w:type="dxa"/>
            <w:tcBorders>
              <w:top w:val="nil"/>
              <w:left w:val="nil"/>
              <w:bottom w:val="nil"/>
              <w:right w:val="nil"/>
            </w:tcBorders>
          </w:tcPr>
          <w:p w14:paraId="7D836F66" w14:textId="77777777" w:rsidR="00E8667C" w:rsidRDefault="00A71EF6">
            <w:pPr>
              <w:spacing w:line="360" w:lineRule="auto"/>
              <w:rPr>
                <w:rFonts w:ascii="Book Antiqua" w:eastAsia="宋体" w:hAnsi="Book Antiqua" w:cs="Arial"/>
              </w:rPr>
            </w:pPr>
            <w:r>
              <w:rPr>
                <w:rFonts w:ascii="Book Antiqua" w:eastAsia="宋体" w:hAnsi="Book Antiqua" w:cs="Arial"/>
              </w:rPr>
              <w:t>D33</w:t>
            </w:r>
          </w:p>
        </w:tc>
        <w:tc>
          <w:tcPr>
            <w:tcW w:w="1218" w:type="dxa"/>
            <w:tcBorders>
              <w:top w:val="nil"/>
              <w:left w:val="nil"/>
              <w:bottom w:val="nil"/>
              <w:right w:val="nil"/>
            </w:tcBorders>
          </w:tcPr>
          <w:p w14:paraId="3655A70C" w14:textId="77777777" w:rsidR="00E8667C" w:rsidRDefault="00A71EF6">
            <w:pPr>
              <w:spacing w:line="360" w:lineRule="auto"/>
              <w:rPr>
                <w:rFonts w:ascii="Book Antiqua" w:eastAsia="宋体" w:hAnsi="Book Antiqua" w:cs="Arial"/>
              </w:rPr>
            </w:pPr>
            <w:r>
              <w:rPr>
                <w:rFonts w:ascii="Book Antiqua" w:eastAsia="宋体" w:hAnsi="Book Antiqua" w:cs="Arial"/>
              </w:rPr>
              <w:t>1:500</w:t>
            </w:r>
          </w:p>
        </w:tc>
        <w:tc>
          <w:tcPr>
            <w:tcW w:w="2753" w:type="dxa"/>
            <w:tcBorders>
              <w:top w:val="nil"/>
              <w:left w:val="nil"/>
              <w:bottom w:val="nil"/>
              <w:right w:val="nil"/>
            </w:tcBorders>
          </w:tcPr>
          <w:p w14:paraId="0EF64F1B" w14:textId="77777777" w:rsidR="00E8667C" w:rsidRDefault="00A71EF6">
            <w:pPr>
              <w:spacing w:line="360" w:lineRule="auto"/>
              <w:rPr>
                <w:rFonts w:ascii="Book Antiqua" w:eastAsia="宋体" w:hAnsi="Book Antiqua" w:cs="Arial"/>
              </w:rPr>
            </w:pPr>
            <w:r>
              <w:rPr>
                <w:rFonts w:ascii="Book Antiqua" w:eastAsia="宋体" w:hAnsi="Book Antiqua" w:cs="Arial"/>
              </w:rPr>
              <w:t>None</w:t>
            </w:r>
          </w:p>
        </w:tc>
        <w:tc>
          <w:tcPr>
            <w:tcW w:w="2160" w:type="dxa"/>
            <w:tcBorders>
              <w:top w:val="nil"/>
              <w:left w:val="nil"/>
              <w:bottom w:val="nil"/>
              <w:right w:val="nil"/>
            </w:tcBorders>
          </w:tcPr>
          <w:p w14:paraId="1A4566D3" w14:textId="77777777"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14:paraId="6908BB28" w14:textId="77777777">
        <w:tc>
          <w:tcPr>
            <w:tcW w:w="1550" w:type="dxa"/>
            <w:tcBorders>
              <w:top w:val="nil"/>
              <w:left w:val="nil"/>
              <w:bottom w:val="nil"/>
              <w:right w:val="nil"/>
            </w:tcBorders>
          </w:tcPr>
          <w:p w14:paraId="051CE3EC" w14:textId="77777777" w:rsidR="00E8667C" w:rsidRDefault="00A71EF6">
            <w:pPr>
              <w:spacing w:line="360" w:lineRule="auto"/>
              <w:rPr>
                <w:rFonts w:ascii="Book Antiqua" w:eastAsia="Times New Roman" w:hAnsi="Book Antiqua" w:cs="Arial"/>
              </w:rPr>
            </w:pPr>
            <w:r>
              <w:rPr>
                <w:rFonts w:ascii="Book Antiqua" w:eastAsia="Times New Roman" w:hAnsi="Book Antiqua" w:cs="Arial"/>
                <w:color w:val="000000"/>
              </w:rPr>
              <w:t>S100 protein</w:t>
            </w:r>
          </w:p>
        </w:tc>
        <w:tc>
          <w:tcPr>
            <w:tcW w:w="1309" w:type="dxa"/>
            <w:tcBorders>
              <w:top w:val="nil"/>
              <w:left w:val="nil"/>
              <w:bottom w:val="nil"/>
              <w:right w:val="nil"/>
            </w:tcBorders>
          </w:tcPr>
          <w:p w14:paraId="40609001" w14:textId="77777777" w:rsidR="00E8667C" w:rsidRDefault="00A71EF6">
            <w:pPr>
              <w:spacing w:line="360" w:lineRule="auto"/>
              <w:rPr>
                <w:rFonts w:ascii="Book Antiqua" w:eastAsia="宋体" w:hAnsi="Book Antiqua" w:cs="Arial"/>
              </w:rPr>
            </w:pPr>
            <w:r>
              <w:rPr>
                <w:rFonts w:ascii="Book Antiqua" w:eastAsia="宋体" w:hAnsi="Book Antiqua" w:cs="Arial"/>
              </w:rPr>
              <w:t>Polyclonal</w:t>
            </w:r>
          </w:p>
        </w:tc>
        <w:tc>
          <w:tcPr>
            <w:tcW w:w="1218" w:type="dxa"/>
            <w:tcBorders>
              <w:top w:val="nil"/>
              <w:left w:val="nil"/>
              <w:bottom w:val="nil"/>
              <w:right w:val="nil"/>
            </w:tcBorders>
          </w:tcPr>
          <w:p w14:paraId="538143D7" w14:textId="77777777" w:rsidR="00E8667C" w:rsidRDefault="00A71EF6">
            <w:pPr>
              <w:spacing w:line="360" w:lineRule="auto"/>
              <w:rPr>
                <w:rFonts w:ascii="Book Antiqua" w:eastAsia="宋体" w:hAnsi="Book Antiqua" w:cs="Arial"/>
              </w:rPr>
            </w:pPr>
            <w:r>
              <w:rPr>
                <w:rFonts w:ascii="Book Antiqua" w:eastAsia="宋体" w:hAnsi="Book Antiqua" w:cs="Arial"/>
              </w:rPr>
              <w:t>1:4000</w:t>
            </w:r>
          </w:p>
        </w:tc>
        <w:tc>
          <w:tcPr>
            <w:tcW w:w="2753" w:type="dxa"/>
            <w:tcBorders>
              <w:top w:val="nil"/>
              <w:left w:val="nil"/>
              <w:bottom w:val="nil"/>
              <w:right w:val="nil"/>
            </w:tcBorders>
          </w:tcPr>
          <w:p w14:paraId="211461E7" w14:textId="77777777"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14:paraId="25FCA9BF" w14:textId="77777777" w:rsidR="00E8667C" w:rsidRDefault="00A71EF6">
            <w:pPr>
              <w:spacing w:line="360" w:lineRule="auto"/>
              <w:rPr>
                <w:rFonts w:ascii="Book Antiqua" w:eastAsia="宋体" w:hAnsi="Book Antiqua" w:cs="Arial"/>
              </w:rPr>
            </w:pPr>
            <w:r>
              <w:rPr>
                <w:rFonts w:ascii="Book Antiqua" w:eastAsia="宋体" w:hAnsi="Book Antiqua" w:cs="Arial"/>
              </w:rPr>
              <w:t>Cytoplasm/nucleus</w:t>
            </w:r>
          </w:p>
        </w:tc>
      </w:tr>
      <w:tr w:rsidR="00E8667C" w14:paraId="4C7293A0" w14:textId="77777777">
        <w:tc>
          <w:tcPr>
            <w:tcW w:w="1550" w:type="dxa"/>
            <w:tcBorders>
              <w:top w:val="nil"/>
              <w:left w:val="nil"/>
              <w:bottom w:val="nil"/>
              <w:right w:val="nil"/>
            </w:tcBorders>
          </w:tcPr>
          <w:p w14:paraId="0F00E545" w14:textId="77777777" w:rsidR="00E8667C" w:rsidRDefault="00A71EF6">
            <w:pPr>
              <w:spacing w:line="360" w:lineRule="auto"/>
              <w:rPr>
                <w:rFonts w:ascii="Book Antiqua" w:eastAsia="宋体" w:hAnsi="Book Antiqua" w:cs="Arial"/>
              </w:rPr>
            </w:pPr>
            <w:r>
              <w:rPr>
                <w:rFonts w:ascii="Book Antiqua" w:eastAsia="宋体" w:hAnsi="Book Antiqua" w:cs="Arial"/>
              </w:rPr>
              <w:t>Hepatocyte</w:t>
            </w:r>
          </w:p>
        </w:tc>
        <w:tc>
          <w:tcPr>
            <w:tcW w:w="1309" w:type="dxa"/>
            <w:tcBorders>
              <w:top w:val="nil"/>
              <w:left w:val="nil"/>
              <w:bottom w:val="nil"/>
              <w:right w:val="nil"/>
            </w:tcBorders>
          </w:tcPr>
          <w:p w14:paraId="30684595" w14:textId="77777777" w:rsidR="00E8667C" w:rsidRDefault="00A71EF6">
            <w:pPr>
              <w:spacing w:line="360" w:lineRule="auto"/>
              <w:rPr>
                <w:rFonts w:ascii="Book Antiqua" w:eastAsia="宋体" w:hAnsi="Book Antiqua" w:cs="Arial"/>
              </w:rPr>
            </w:pPr>
            <w:r>
              <w:rPr>
                <w:rFonts w:ascii="Book Antiqua" w:eastAsia="宋体" w:hAnsi="Book Antiqua" w:cs="Arial"/>
              </w:rPr>
              <w:t>OCH1E5</w:t>
            </w:r>
          </w:p>
        </w:tc>
        <w:tc>
          <w:tcPr>
            <w:tcW w:w="1218" w:type="dxa"/>
            <w:tcBorders>
              <w:top w:val="nil"/>
              <w:left w:val="nil"/>
              <w:bottom w:val="nil"/>
              <w:right w:val="nil"/>
            </w:tcBorders>
          </w:tcPr>
          <w:p w14:paraId="2B4243D7" w14:textId="77777777" w:rsidR="00E8667C" w:rsidRDefault="00A71EF6">
            <w:pPr>
              <w:spacing w:line="360" w:lineRule="auto"/>
              <w:rPr>
                <w:rFonts w:ascii="Book Antiqua" w:eastAsia="宋体" w:hAnsi="Book Antiqua" w:cs="Arial"/>
              </w:rPr>
            </w:pPr>
            <w:r>
              <w:rPr>
                <w:rFonts w:ascii="Book Antiqua" w:eastAsia="宋体" w:hAnsi="Book Antiqua" w:cs="Arial"/>
              </w:rPr>
              <w:t>1:1000</w:t>
            </w:r>
          </w:p>
        </w:tc>
        <w:tc>
          <w:tcPr>
            <w:tcW w:w="2753" w:type="dxa"/>
            <w:tcBorders>
              <w:top w:val="nil"/>
              <w:left w:val="nil"/>
              <w:bottom w:val="nil"/>
              <w:right w:val="nil"/>
            </w:tcBorders>
          </w:tcPr>
          <w:p w14:paraId="2831595C" w14:textId="77777777"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14:paraId="083DF87D" w14:textId="77777777"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14:paraId="64513EAB" w14:textId="77777777">
        <w:tc>
          <w:tcPr>
            <w:tcW w:w="1550" w:type="dxa"/>
            <w:tcBorders>
              <w:top w:val="nil"/>
              <w:left w:val="nil"/>
              <w:bottom w:val="nil"/>
              <w:right w:val="nil"/>
            </w:tcBorders>
          </w:tcPr>
          <w:p w14:paraId="62962E26" w14:textId="77777777" w:rsidR="00E8667C" w:rsidRDefault="00A71EF6">
            <w:pPr>
              <w:spacing w:line="360" w:lineRule="auto"/>
              <w:rPr>
                <w:rFonts w:ascii="Book Antiqua" w:eastAsia="宋体" w:hAnsi="Book Antiqua" w:cs="Arial"/>
              </w:rPr>
            </w:pPr>
            <w:r>
              <w:rPr>
                <w:rFonts w:ascii="Book Antiqua" w:eastAsia="宋体" w:hAnsi="Book Antiqua" w:cs="Arial"/>
              </w:rPr>
              <w:t>Vimentin</w:t>
            </w:r>
          </w:p>
        </w:tc>
        <w:tc>
          <w:tcPr>
            <w:tcW w:w="1309" w:type="dxa"/>
            <w:tcBorders>
              <w:top w:val="nil"/>
              <w:left w:val="nil"/>
              <w:bottom w:val="nil"/>
              <w:right w:val="nil"/>
            </w:tcBorders>
          </w:tcPr>
          <w:p w14:paraId="36755D85" w14:textId="77777777" w:rsidR="00E8667C" w:rsidRDefault="00A71EF6">
            <w:pPr>
              <w:spacing w:line="360" w:lineRule="auto"/>
              <w:rPr>
                <w:rFonts w:ascii="Book Antiqua" w:eastAsia="宋体" w:hAnsi="Book Antiqua" w:cs="Arial"/>
              </w:rPr>
            </w:pPr>
            <w:r>
              <w:rPr>
                <w:rFonts w:ascii="Book Antiqua" w:eastAsia="宋体" w:hAnsi="Book Antiqua" w:cs="Arial"/>
              </w:rPr>
              <w:t>V9</w:t>
            </w:r>
          </w:p>
        </w:tc>
        <w:tc>
          <w:tcPr>
            <w:tcW w:w="1218" w:type="dxa"/>
            <w:tcBorders>
              <w:top w:val="nil"/>
              <w:left w:val="nil"/>
              <w:bottom w:val="nil"/>
              <w:right w:val="nil"/>
            </w:tcBorders>
          </w:tcPr>
          <w:p w14:paraId="4F917881" w14:textId="77777777" w:rsidR="00E8667C" w:rsidRDefault="00A71EF6">
            <w:pPr>
              <w:spacing w:line="360" w:lineRule="auto"/>
              <w:rPr>
                <w:rFonts w:ascii="Book Antiqua" w:eastAsia="宋体" w:hAnsi="Book Antiqua" w:cs="Arial"/>
              </w:rPr>
            </w:pPr>
            <w:r>
              <w:rPr>
                <w:rFonts w:ascii="Book Antiqua" w:eastAsia="宋体" w:hAnsi="Book Antiqua" w:cs="Arial"/>
              </w:rPr>
              <w:t>1:200</w:t>
            </w:r>
          </w:p>
        </w:tc>
        <w:tc>
          <w:tcPr>
            <w:tcW w:w="2753" w:type="dxa"/>
            <w:tcBorders>
              <w:top w:val="nil"/>
              <w:left w:val="nil"/>
              <w:bottom w:val="nil"/>
              <w:right w:val="nil"/>
            </w:tcBorders>
          </w:tcPr>
          <w:p w14:paraId="1AC8C7C1" w14:textId="77777777"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14:paraId="23A3F741" w14:textId="77777777"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14:paraId="63A02CCC" w14:textId="77777777">
        <w:tc>
          <w:tcPr>
            <w:tcW w:w="1550" w:type="dxa"/>
            <w:tcBorders>
              <w:top w:val="nil"/>
              <w:left w:val="nil"/>
              <w:bottom w:val="nil"/>
              <w:right w:val="nil"/>
            </w:tcBorders>
          </w:tcPr>
          <w:p w14:paraId="1BDE1FF5" w14:textId="77777777" w:rsidR="00E8667C" w:rsidRDefault="00A71EF6">
            <w:pPr>
              <w:spacing w:line="360" w:lineRule="auto"/>
              <w:rPr>
                <w:rFonts w:ascii="Book Antiqua" w:eastAsia="宋体" w:hAnsi="Book Antiqua" w:cs="Arial"/>
              </w:rPr>
            </w:pPr>
            <w:r>
              <w:rPr>
                <w:rFonts w:ascii="Book Antiqua" w:eastAsia="宋体" w:hAnsi="Book Antiqua" w:cs="Arial"/>
              </w:rPr>
              <w:t>CD34</w:t>
            </w:r>
          </w:p>
        </w:tc>
        <w:tc>
          <w:tcPr>
            <w:tcW w:w="1309" w:type="dxa"/>
            <w:tcBorders>
              <w:top w:val="nil"/>
              <w:left w:val="nil"/>
              <w:bottom w:val="nil"/>
              <w:right w:val="nil"/>
            </w:tcBorders>
          </w:tcPr>
          <w:p w14:paraId="337CBAD1" w14:textId="77777777" w:rsidR="00E8667C" w:rsidRDefault="00A71EF6">
            <w:pPr>
              <w:spacing w:line="360" w:lineRule="auto"/>
              <w:rPr>
                <w:rFonts w:ascii="Book Antiqua" w:eastAsia="宋体" w:hAnsi="Book Antiqua" w:cs="Arial"/>
              </w:rPr>
            </w:pPr>
            <w:r>
              <w:rPr>
                <w:rFonts w:ascii="Book Antiqua" w:eastAsia="宋体" w:hAnsi="Book Antiqua" w:cs="Arial"/>
              </w:rPr>
              <w:t>QBEnd/10</w:t>
            </w:r>
          </w:p>
        </w:tc>
        <w:tc>
          <w:tcPr>
            <w:tcW w:w="1218" w:type="dxa"/>
            <w:tcBorders>
              <w:top w:val="nil"/>
              <w:left w:val="nil"/>
              <w:bottom w:val="nil"/>
              <w:right w:val="nil"/>
            </w:tcBorders>
          </w:tcPr>
          <w:p w14:paraId="5317C256" w14:textId="77777777" w:rsidR="00E8667C" w:rsidRDefault="00A71EF6">
            <w:pPr>
              <w:spacing w:line="360" w:lineRule="auto"/>
              <w:rPr>
                <w:rFonts w:ascii="Book Antiqua" w:eastAsia="宋体" w:hAnsi="Book Antiqua" w:cs="Arial"/>
              </w:rPr>
            </w:pPr>
            <w:r>
              <w:rPr>
                <w:rFonts w:ascii="Book Antiqua" w:eastAsia="宋体" w:hAnsi="Book Antiqua" w:cs="Arial"/>
              </w:rPr>
              <w:t>1:500</w:t>
            </w:r>
          </w:p>
        </w:tc>
        <w:tc>
          <w:tcPr>
            <w:tcW w:w="2753" w:type="dxa"/>
            <w:tcBorders>
              <w:top w:val="nil"/>
              <w:left w:val="nil"/>
              <w:bottom w:val="nil"/>
              <w:right w:val="nil"/>
            </w:tcBorders>
          </w:tcPr>
          <w:p w14:paraId="518731FC" w14:textId="77777777"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14:paraId="4A957B18" w14:textId="77777777" w:rsidR="00E8667C" w:rsidRDefault="00A71EF6">
            <w:pPr>
              <w:spacing w:line="360" w:lineRule="auto"/>
              <w:rPr>
                <w:rFonts w:ascii="Book Antiqua" w:eastAsia="宋体" w:hAnsi="Book Antiqua" w:cs="Arial"/>
              </w:rPr>
            </w:pPr>
            <w:r>
              <w:rPr>
                <w:rFonts w:ascii="Book Antiqua" w:eastAsia="宋体" w:hAnsi="Book Antiqua" w:cs="Arial"/>
              </w:rPr>
              <w:t>Cell membrane</w:t>
            </w:r>
          </w:p>
        </w:tc>
      </w:tr>
      <w:tr w:rsidR="00E8667C" w14:paraId="032E1662" w14:textId="77777777">
        <w:tc>
          <w:tcPr>
            <w:tcW w:w="1550" w:type="dxa"/>
            <w:tcBorders>
              <w:top w:val="nil"/>
              <w:left w:val="nil"/>
              <w:bottom w:val="nil"/>
              <w:right w:val="nil"/>
            </w:tcBorders>
          </w:tcPr>
          <w:p w14:paraId="12E3693A" w14:textId="77777777" w:rsidR="00E8667C" w:rsidRDefault="00A71EF6">
            <w:pPr>
              <w:spacing w:line="360" w:lineRule="auto"/>
              <w:rPr>
                <w:rFonts w:ascii="Book Antiqua" w:eastAsia="宋体" w:hAnsi="Book Antiqua" w:cs="Arial"/>
              </w:rPr>
            </w:pPr>
            <w:r>
              <w:rPr>
                <w:rFonts w:ascii="Book Antiqua" w:eastAsia="宋体" w:hAnsi="Book Antiqua" w:cs="Arial"/>
              </w:rPr>
              <w:t>TFE-3</w:t>
            </w:r>
          </w:p>
        </w:tc>
        <w:tc>
          <w:tcPr>
            <w:tcW w:w="1309" w:type="dxa"/>
            <w:tcBorders>
              <w:top w:val="nil"/>
              <w:left w:val="nil"/>
              <w:bottom w:val="nil"/>
              <w:right w:val="nil"/>
            </w:tcBorders>
          </w:tcPr>
          <w:p w14:paraId="394884C0" w14:textId="77777777" w:rsidR="00E8667C" w:rsidRDefault="00A71EF6">
            <w:pPr>
              <w:spacing w:line="360" w:lineRule="auto"/>
              <w:rPr>
                <w:rFonts w:ascii="Book Antiqua" w:eastAsia="宋体" w:hAnsi="Book Antiqua" w:cs="Arial"/>
              </w:rPr>
            </w:pPr>
            <w:r>
              <w:rPr>
                <w:rFonts w:ascii="Book Antiqua" w:eastAsia="宋体" w:hAnsi="Book Antiqua" w:cs="Arial"/>
              </w:rPr>
              <w:t>MRQ-0663</w:t>
            </w:r>
          </w:p>
        </w:tc>
        <w:tc>
          <w:tcPr>
            <w:tcW w:w="1218" w:type="dxa"/>
            <w:tcBorders>
              <w:top w:val="nil"/>
              <w:left w:val="nil"/>
              <w:bottom w:val="nil"/>
              <w:right w:val="nil"/>
            </w:tcBorders>
          </w:tcPr>
          <w:p w14:paraId="2E1999CF" w14:textId="77777777" w:rsidR="00E8667C" w:rsidRDefault="00A71EF6">
            <w:pPr>
              <w:spacing w:line="360" w:lineRule="auto"/>
              <w:rPr>
                <w:rFonts w:ascii="Book Antiqua" w:eastAsia="宋体" w:hAnsi="Book Antiqua" w:cs="Arial"/>
              </w:rPr>
            </w:pPr>
            <w:r>
              <w:rPr>
                <w:rFonts w:ascii="Book Antiqua" w:eastAsia="宋体" w:hAnsi="Book Antiqua" w:cs="Arial"/>
              </w:rPr>
              <w:t>1:500</w:t>
            </w:r>
          </w:p>
        </w:tc>
        <w:tc>
          <w:tcPr>
            <w:tcW w:w="2753" w:type="dxa"/>
            <w:tcBorders>
              <w:top w:val="nil"/>
              <w:left w:val="nil"/>
              <w:bottom w:val="nil"/>
              <w:right w:val="nil"/>
            </w:tcBorders>
          </w:tcPr>
          <w:p w14:paraId="272E6ECC" w14:textId="77777777" w:rsidR="00E8667C" w:rsidRDefault="00A71EF6">
            <w:pPr>
              <w:spacing w:line="360" w:lineRule="auto"/>
              <w:rPr>
                <w:rFonts w:ascii="Book Antiqua" w:eastAsia="宋体" w:hAnsi="Book Antiqua" w:cs="Arial"/>
              </w:rPr>
            </w:pPr>
            <w:r>
              <w:rPr>
                <w:rFonts w:ascii="Book Antiqua" w:eastAsia="宋体" w:hAnsi="Book Antiqua" w:cs="Arial"/>
              </w:rPr>
              <w:t>ETDA buffer pressure cook</w:t>
            </w:r>
          </w:p>
        </w:tc>
        <w:tc>
          <w:tcPr>
            <w:tcW w:w="2160" w:type="dxa"/>
            <w:tcBorders>
              <w:top w:val="nil"/>
              <w:left w:val="nil"/>
              <w:bottom w:val="nil"/>
              <w:right w:val="nil"/>
            </w:tcBorders>
          </w:tcPr>
          <w:p w14:paraId="3B5D3E5C" w14:textId="77777777" w:rsidR="00E8667C" w:rsidRDefault="00A71EF6">
            <w:pPr>
              <w:spacing w:line="360" w:lineRule="auto"/>
              <w:rPr>
                <w:rFonts w:ascii="Book Antiqua" w:eastAsia="宋体" w:hAnsi="Book Antiqua" w:cs="Arial"/>
              </w:rPr>
            </w:pPr>
            <w:r>
              <w:rPr>
                <w:rFonts w:ascii="Book Antiqua" w:eastAsia="宋体" w:hAnsi="Book Antiqua" w:cs="Arial"/>
              </w:rPr>
              <w:t>Nucleus</w:t>
            </w:r>
          </w:p>
        </w:tc>
      </w:tr>
      <w:tr w:rsidR="00E8667C" w14:paraId="0B07F102" w14:textId="77777777">
        <w:tc>
          <w:tcPr>
            <w:tcW w:w="1550" w:type="dxa"/>
            <w:tcBorders>
              <w:top w:val="nil"/>
              <w:left w:val="nil"/>
              <w:right w:val="nil"/>
            </w:tcBorders>
          </w:tcPr>
          <w:p w14:paraId="1A1D619B" w14:textId="77777777" w:rsidR="00E8667C" w:rsidRDefault="00A71EF6">
            <w:pPr>
              <w:spacing w:line="360" w:lineRule="auto"/>
              <w:rPr>
                <w:rFonts w:ascii="Book Antiqua" w:eastAsia="宋体" w:hAnsi="Book Antiqua" w:cs="Arial"/>
              </w:rPr>
            </w:pPr>
            <w:r>
              <w:rPr>
                <w:rFonts w:ascii="Book Antiqua" w:eastAsia="宋体" w:hAnsi="Book Antiqua" w:cs="Arial"/>
              </w:rPr>
              <w:t>Ki-67</w:t>
            </w:r>
          </w:p>
        </w:tc>
        <w:tc>
          <w:tcPr>
            <w:tcW w:w="1309" w:type="dxa"/>
            <w:tcBorders>
              <w:top w:val="nil"/>
              <w:left w:val="nil"/>
              <w:right w:val="nil"/>
            </w:tcBorders>
          </w:tcPr>
          <w:p w14:paraId="74362D08" w14:textId="77777777" w:rsidR="00E8667C" w:rsidRDefault="00A71EF6">
            <w:pPr>
              <w:spacing w:line="360" w:lineRule="auto"/>
              <w:rPr>
                <w:rFonts w:ascii="Book Antiqua" w:eastAsia="宋体" w:hAnsi="Book Antiqua" w:cs="Arial"/>
              </w:rPr>
            </w:pPr>
            <w:r>
              <w:rPr>
                <w:rFonts w:ascii="Book Antiqua" w:eastAsia="宋体" w:hAnsi="Book Antiqua" w:cs="Arial"/>
              </w:rPr>
              <w:t>MX006</w:t>
            </w:r>
          </w:p>
        </w:tc>
        <w:tc>
          <w:tcPr>
            <w:tcW w:w="1218" w:type="dxa"/>
            <w:tcBorders>
              <w:top w:val="nil"/>
              <w:left w:val="nil"/>
              <w:right w:val="nil"/>
            </w:tcBorders>
          </w:tcPr>
          <w:p w14:paraId="5D6A85D0" w14:textId="77777777" w:rsidR="00E8667C" w:rsidRDefault="00A71EF6">
            <w:pPr>
              <w:spacing w:line="360" w:lineRule="auto"/>
              <w:rPr>
                <w:rFonts w:ascii="Book Antiqua" w:eastAsia="宋体" w:hAnsi="Book Antiqua" w:cs="Arial"/>
              </w:rPr>
            </w:pPr>
            <w:r>
              <w:rPr>
                <w:rFonts w:ascii="Book Antiqua" w:eastAsia="宋体" w:hAnsi="Book Antiqua" w:cs="Arial"/>
              </w:rPr>
              <w:t>1:200</w:t>
            </w:r>
          </w:p>
        </w:tc>
        <w:tc>
          <w:tcPr>
            <w:tcW w:w="2753" w:type="dxa"/>
            <w:tcBorders>
              <w:top w:val="nil"/>
              <w:left w:val="nil"/>
              <w:right w:val="nil"/>
            </w:tcBorders>
          </w:tcPr>
          <w:p w14:paraId="5A9C6AC8" w14:textId="77777777"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right w:val="nil"/>
            </w:tcBorders>
          </w:tcPr>
          <w:p w14:paraId="3DB95BEA" w14:textId="77777777" w:rsidR="00E8667C" w:rsidRDefault="00A71EF6">
            <w:pPr>
              <w:spacing w:line="360" w:lineRule="auto"/>
              <w:rPr>
                <w:rFonts w:ascii="Book Antiqua" w:eastAsia="宋体" w:hAnsi="Book Antiqua" w:cs="Arial"/>
              </w:rPr>
            </w:pPr>
            <w:r>
              <w:rPr>
                <w:rFonts w:ascii="Book Antiqua" w:eastAsia="宋体" w:hAnsi="Book Antiqua" w:cs="Arial"/>
              </w:rPr>
              <w:t>Nucleus</w:t>
            </w:r>
          </w:p>
        </w:tc>
      </w:tr>
    </w:tbl>
    <w:p w14:paraId="4AB59AC4" w14:textId="77777777" w:rsidR="00E8667C" w:rsidRDefault="00E8667C">
      <w:pPr>
        <w:spacing w:line="360" w:lineRule="auto"/>
        <w:rPr>
          <w:rFonts w:ascii="Book Antiqua" w:eastAsia="宋体" w:hAnsi="Book Antiqua"/>
          <w:b/>
          <w:bCs/>
        </w:rPr>
      </w:pPr>
    </w:p>
    <w:p w14:paraId="33FF1E28" w14:textId="77777777" w:rsidR="00E8667C" w:rsidRDefault="00E8667C">
      <w:pPr>
        <w:spacing w:line="360" w:lineRule="auto"/>
        <w:rPr>
          <w:rFonts w:ascii="Book Antiqua" w:eastAsia="宋体" w:hAnsi="Book Antiqua" w:cs="Arial"/>
          <w:b/>
          <w:bCs/>
        </w:rPr>
        <w:sectPr w:rsidR="00E8667C">
          <w:pgSz w:w="12240" w:h="15840"/>
          <w:pgMar w:top="1440" w:right="1440" w:bottom="1440" w:left="1440" w:header="720" w:footer="720" w:gutter="0"/>
          <w:cols w:space="720"/>
          <w:docGrid w:linePitch="360"/>
        </w:sectPr>
      </w:pPr>
    </w:p>
    <w:p w14:paraId="5D34ACE9"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lastRenderedPageBreak/>
        <w:t>Table 2 Clinicopathological features of the 26 cases of hepatic PEComa</w:t>
      </w:r>
    </w:p>
    <w:tbl>
      <w:tblPr>
        <w:tblW w:w="5000" w:type="pct"/>
        <w:tblLook w:val="04A0" w:firstRow="1" w:lastRow="0" w:firstColumn="1" w:lastColumn="0" w:noHBand="0" w:noVBand="1"/>
      </w:tblPr>
      <w:tblGrid>
        <w:gridCol w:w="687"/>
        <w:gridCol w:w="1229"/>
        <w:gridCol w:w="1350"/>
        <w:gridCol w:w="1327"/>
        <w:gridCol w:w="2436"/>
        <w:gridCol w:w="3199"/>
        <w:gridCol w:w="2732"/>
      </w:tblGrid>
      <w:tr w:rsidR="00E8667C" w14:paraId="16F16226" w14:textId="77777777">
        <w:trPr>
          <w:trHeight w:val="324"/>
        </w:trPr>
        <w:tc>
          <w:tcPr>
            <w:tcW w:w="265" w:type="pct"/>
            <w:tcBorders>
              <w:top w:val="single" w:sz="4" w:space="0" w:color="auto"/>
              <w:right w:val="nil"/>
            </w:tcBorders>
          </w:tcPr>
          <w:p w14:paraId="48DA5251"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No.</w:t>
            </w:r>
          </w:p>
        </w:tc>
        <w:tc>
          <w:tcPr>
            <w:tcW w:w="474" w:type="pct"/>
            <w:tcBorders>
              <w:top w:val="single" w:sz="4" w:space="0" w:color="auto"/>
              <w:left w:val="nil"/>
              <w:right w:val="nil"/>
            </w:tcBorders>
          </w:tcPr>
          <w:p w14:paraId="7A94C7F0"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Sex/age (yr)</w:t>
            </w:r>
          </w:p>
        </w:tc>
        <w:tc>
          <w:tcPr>
            <w:tcW w:w="521" w:type="pct"/>
            <w:tcBorders>
              <w:top w:val="single" w:sz="4" w:space="0" w:color="auto"/>
              <w:left w:val="nil"/>
              <w:right w:val="nil"/>
            </w:tcBorders>
          </w:tcPr>
          <w:p w14:paraId="38C72C36"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Tumor location</w:t>
            </w:r>
          </w:p>
        </w:tc>
        <w:tc>
          <w:tcPr>
            <w:tcW w:w="512" w:type="pct"/>
            <w:tcBorders>
              <w:top w:val="single" w:sz="4" w:space="0" w:color="auto"/>
              <w:left w:val="nil"/>
              <w:right w:val="nil"/>
            </w:tcBorders>
          </w:tcPr>
          <w:p w14:paraId="4BF7EE5B"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Tumor size (cm)</w:t>
            </w:r>
          </w:p>
        </w:tc>
        <w:tc>
          <w:tcPr>
            <w:tcW w:w="940" w:type="pct"/>
            <w:tcBorders>
              <w:top w:val="single" w:sz="4" w:space="0" w:color="auto"/>
              <w:left w:val="nil"/>
              <w:right w:val="nil"/>
            </w:tcBorders>
          </w:tcPr>
          <w:p w14:paraId="017FF1A1"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First diagnosis</w:t>
            </w:r>
          </w:p>
        </w:tc>
        <w:tc>
          <w:tcPr>
            <w:tcW w:w="1234" w:type="pct"/>
            <w:tcBorders>
              <w:top w:val="single" w:sz="4" w:space="0" w:color="auto"/>
              <w:left w:val="nil"/>
              <w:right w:val="nil"/>
            </w:tcBorders>
          </w:tcPr>
          <w:p w14:paraId="2465556D"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Treatment</w:t>
            </w:r>
          </w:p>
        </w:tc>
        <w:tc>
          <w:tcPr>
            <w:tcW w:w="1054" w:type="pct"/>
            <w:tcBorders>
              <w:top w:val="single" w:sz="4" w:space="0" w:color="auto"/>
              <w:left w:val="nil"/>
            </w:tcBorders>
          </w:tcPr>
          <w:p w14:paraId="5E8B0951" w14:textId="77777777" w:rsidR="00E8667C" w:rsidRDefault="00A71EF6">
            <w:pPr>
              <w:spacing w:line="360" w:lineRule="auto"/>
              <w:rPr>
                <w:rFonts w:ascii="Book Antiqua" w:eastAsia="宋体" w:hAnsi="Book Antiqua" w:cs="Arial"/>
                <w:b/>
                <w:bCs/>
              </w:rPr>
            </w:pPr>
            <w:r>
              <w:rPr>
                <w:rFonts w:ascii="Book Antiqua" w:eastAsia="宋体" w:hAnsi="Book Antiqua" w:cs="Arial"/>
                <w:b/>
                <w:bCs/>
              </w:rPr>
              <w:t>Follow-up (mo) and prognosis</w:t>
            </w:r>
          </w:p>
        </w:tc>
      </w:tr>
      <w:tr w:rsidR="00E8667C" w14:paraId="71D24E47" w14:textId="77777777">
        <w:tc>
          <w:tcPr>
            <w:tcW w:w="265" w:type="pct"/>
            <w:tcBorders>
              <w:top w:val="single" w:sz="4" w:space="0" w:color="auto"/>
              <w:right w:val="nil"/>
            </w:tcBorders>
          </w:tcPr>
          <w:p w14:paraId="454F1562" w14:textId="77777777" w:rsidR="00E8667C" w:rsidRDefault="00A71EF6">
            <w:pPr>
              <w:spacing w:line="360" w:lineRule="auto"/>
              <w:rPr>
                <w:rFonts w:ascii="Book Antiqua" w:eastAsia="宋体" w:hAnsi="Book Antiqua" w:cs="Arial"/>
              </w:rPr>
            </w:pPr>
            <w:r>
              <w:rPr>
                <w:rFonts w:ascii="Book Antiqua" w:eastAsia="宋体" w:hAnsi="Book Antiqua" w:cs="Arial"/>
              </w:rPr>
              <w:t>1</w:t>
            </w:r>
          </w:p>
        </w:tc>
        <w:tc>
          <w:tcPr>
            <w:tcW w:w="474" w:type="pct"/>
            <w:tcBorders>
              <w:top w:val="single" w:sz="4" w:space="0" w:color="auto"/>
              <w:left w:val="nil"/>
              <w:right w:val="nil"/>
            </w:tcBorders>
          </w:tcPr>
          <w:p w14:paraId="05F438AE" w14:textId="77777777" w:rsidR="00E8667C" w:rsidRDefault="00A71EF6">
            <w:pPr>
              <w:spacing w:line="360" w:lineRule="auto"/>
              <w:rPr>
                <w:rFonts w:ascii="Book Antiqua" w:eastAsia="宋体" w:hAnsi="Book Antiqua" w:cs="Arial"/>
              </w:rPr>
            </w:pPr>
            <w:r>
              <w:rPr>
                <w:rFonts w:ascii="Book Antiqua" w:eastAsia="宋体" w:hAnsi="Book Antiqua" w:cs="Arial"/>
              </w:rPr>
              <w:t>F/40</w:t>
            </w:r>
          </w:p>
        </w:tc>
        <w:tc>
          <w:tcPr>
            <w:tcW w:w="521" w:type="pct"/>
            <w:tcBorders>
              <w:top w:val="single" w:sz="4" w:space="0" w:color="auto"/>
              <w:left w:val="nil"/>
              <w:right w:val="nil"/>
            </w:tcBorders>
          </w:tcPr>
          <w:p w14:paraId="052F2A28"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single" w:sz="4" w:space="0" w:color="auto"/>
              <w:left w:val="nil"/>
              <w:right w:val="nil"/>
            </w:tcBorders>
          </w:tcPr>
          <w:p w14:paraId="7D70E3D2" w14:textId="77777777" w:rsidR="00E8667C" w:rsidRDefault="00A71EF6">
            <w:pPr>
              <w:spacing w:line="360" w:lineRule="auto"/>
              <w:rPr>
                <w:rFonts w:ascii="Book Antiqua" w:eastAsia="宋体" w:hAnsi="Book Antiqua" w:cs="Arial"/>
              </w:rPr>
            </w:pPr>
            <w:r>
              <w:rPr>
                <w:rFonts w:ascii="Book Antiqua" w:eastAsia="宋体" w:hAnsi="Book Antiqua" w:cs="Arial"/>
              </w:rPr>
              <w:t>2.5</w:t>
            </w:r>
          </w:p>
        </w:tc>
        <w:tc>
          <w:tcPr>
            <w:tcW w:w="940" w:type="pct"/>
            <w:tcBorders>
              <w:top w:val="single" w:sz="4" w:space="0" w:color="auto"/>
              <w:left w:val="nil"/>
              <w:right w:val="nil"/>
            </w:tcBorders>
          </w:tcPr>
          <w:p w14:paraId="6EE0DE55"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single" w:sz="4" w:space="0" w:color="auto"/>
              <w:left w:val="nil"/>
              <w:right w:val="nil"/>
            </w:tcBorders>
          </w:tcPr>
          <w:p w14:paraId="43BE4436" w14:textId="77777777"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Borders>
              <w:top w:val="single" w:sz="4" w:space="0" w:color="auto"/>
              <w:left w:val="nil"/>
            </w:tcBorders>
          </w:tcPr>
          <w:p w14:paraId="754BA3A8" w14:textId="77777777" w:rsidR="00E8667C" w:rsidRDefault="00A71EF6">
            <w:pPr>
              <w:spacing w:line="360" w:lineRule="auto"/>
              <w:rPr>
                <w:rFonts w:ascii="Book Antiqua" w:eastAsia="宋体" w:hAnsi="Book Antiqua" w:cs="Arial"/>
              </w:rPr>
            </w:pPr>
            <w:r>
              <w:rPr>
                <w:rFonts w:ascii="Book Antiqua" w:eastAsia="宋体" w:hAnsi="Book Antiqua" w:cs="Arial"/>
              </w:rPr>
              <w:t>91, favorable prognosis</w:t>
            </w:r>
          </w:p>
        </w:tc>
      </w:tr>
      <w:tr w:rsidR="00E8667C" w14:paraId="56F7D599" w14:textId="77777777">
        <w:tc>
          <w:tcPr>
            <w:tcW w:w="265" w:type="pct"/>
          </w:tcPr>
          <w:p w14:paraId="2C11E983" w14:textId="77777777" w:rsidR="00E8667C" w:rsidRDefault="00A71EF6">
            <w:pPr>
              <w:spacing w:line="360" w:lineRule="auto"/>
              <w:rPr>
                <w:rFonts w:ascii="Book Antiqua" w:eastAsia="宋体" w:hAnsi="Book Antiqua" w:cs="Arial"/>
              </w:rPr>
            </w:pPr>
            <w:r>
              <w:rPr>
                <w:rFonts w:ascii="Book Antiqua" w:eastAsia="宋体" w:hAnsi="Book Antiqua" w:cs="Arial"/>
              </w:rPr>
              <w:t>2</w:t>
            </w:r>
          </w:p>
        </w:tc>
        <w:tc>
          <w:tcPr>
            <w:tcW w:w="474" w:type="pct"/>
          </w:tcPr>
          <w:p w14:paraId="463819D6" w14:textId="77777777" w:rsidR="00E8667C" w:rsidRDefault="00A71EF6">
            <w:pPr>
              <w:spacing w:line="360" w:lineRule="auto"/>
              <w:rPr>
                <w:rFonts w:ascii="Book Antiqua" w:eastAsia="宋体" w:hAnsi="Book Antiqua" w:cs="Arial"/>
              </w:rPr>
            </w:pPr>
            <w:r>
              <w:rPr>
                <w:rFonts w:ascii="Book Antiqua" w:eastAsia="宋体" w:hAnsi="Book Antiqua" w:cs="Arial"/>
              </w:rPr>
              <w:t>M/57</w:t>
            </w:r>
          </w:p>
        </w:tc>
        <w:tc>
          <w:tcPr>
            <w:tcW w:w="521" w:type="pct"/>
          </w:tcPr>
          <w:p w14:paraId="7143F903"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14:paraId="57B4D2DD" w14:textId="77777777" w:rsidR="00E8667C" w:rsidRDefault="00A71EF6">
            <w:pPr>
              <w:spacing w:line="360" w:lineRule="auto"/>
              <w:rPr>
                <w:rFonts w:ascii="Book Antiqua" w:eastAsia="宋体" w:hAnsi="Book Antiqua" w:cs="Arial"/>
              </w:rPr>
            </w:pPr>
            <w:r>
              <w:rPr>
                <w:rFonts w:ascii="Book Antiqua" w:eastAsia="宋体" w:hAnsi="Book Antiqua" w:cs="Arial"/>
              </w:rPr>
              <w:t>7.5</w:t>
            </w:r>
          </w:p>
        </w:tc>
        <w:tc>
          <w:tcPr>
            <w:tcW w:w="940" w:type="pct"/>
          </w:tcPr>
          <w:p w14:paraId="4F0A3BFB"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14:paraId="56ABE1E7" w14:textId="77777777"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Pr>
          <w:p w14:paraId="1B062CF8" w14:textId="77777777" w:rsidR="00E8667C" w:rsidRDefault="00A71EF6">
            <w:pPr>
              <w:spacing w:line="360" w:lineRule="auto"/>
              <w:rPr>
                <w:rFonts w:ascii="Book Antiqua" w:eastAsia="宋体" w:hAnsi="Book Antiqua" w:cs="Arial"/>
              </w:rPr>
            </w:pPr>
            <w:r>
              <w:rPr>
                <w:rFonts w:ascii="Book Antiqua" w:eastAsia="宋体" w:hAnsi="Book Antiqua" w:cs="Arial"/>
              </w:rPr>
              <w:t>80, favorable prognosis</w:t>
            </w:r>
          </w:p>
        </w:tc>
      </w:tr>
      <w:tr w:rsidR="00E8667C" w14:paraId="0CA50D55" w14:textId="77777777">
        <w:tc>
          <w:tcPr>
            <w:tcW w:w="265" w:type="pct"/>
          </w:tcPr>
          <w:p w14:paraId="7CCA2E90" w14:textId="77777777" w:rsidR="00E8667C" w:rsidRDefault="00A71EF6">
            <w:pPr>
              <w:spacing w:line="360" w:lineRule="auto"/>
              <w:rPr>
                <w:rFonts w:ascii="Book Antiqua" w:eastAsia="宋体" w:hAnsi="Book Antiqua" w:cs="Arial"/>
              </w:rPr>
            </w:pPr>
            <w:r>
              <w:rPr>
                <w:rFonts w:ascii="Book Antiqua" w:eastAsia="宋体" w:hAnsi="Book Antiqua" w:cs="Arial"/>
              </w:rPr>
              <w:t>3</w:t>
            </w:r>
          </w:p>
        </w:tc>
        <w:tc>
          <w:tcPr>
            <w:tcW w:w="474" w:type="pct"/>
          </w:tcPr>
          <w:p w14:paraId="73693E4C" w14:textId="77777777" w:rsidR="00E8667C" w:rsidRDefault="00A71EF6">
            <w:pPr>
              <w:spacing w:line="360" w:lineRule="auto"/>
              <w:rPr>
                <w:rFonts w:ascii="Book Antiqua" w:eastAsia="宋体" w:hAnsi="Book Antiqua" w:cs="Arial"/>
              </w:rPr>
            </w:pPr>
            <w:r>
              <w:rPr>
                <w:rFonts w:ascii="Book Antiqua" w:eastAsia="宋体" w:hAnsi="Book Antiqua" w:cs="Arial"/>
              </w:rPr>
              <w:t>F/58</w:t>
            </w:r>
          </w:p>
        </w:tc>
        <w:tc>
          <w:tcPr>
            <w:tcW w:w="521" w:type="pct"/>
          </w:tcPr>
          <w:p w14:paraId="2787F0B5"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14:paraId="252A166A" w14:textId="77777777" w:rsidR="00E8667C" w:rsidRDefault="00A71EF6">
            <w:pPr>
              <w:spacing w:line="360" w:lineRule="auto"/>
              <w:rPr>
                <w:rFonts w:ascii="Book Antiqua" w:eastAsia="宋体" w:hAnsi="Book Antiqua" w:cs="Arial"/>
              </w:rPr>
            </w:pPr>
            <w:r>
              <w:rPr>
                <w:rFonts w:ascii="Book Antiqua" w:eastAsia="宋体" w:hAnsi="Book Antiqua" w:cs="Arial"/>
              </w:rPr>
              <w:t>8.5</w:t>
            </w:r>
          </w:p>
        </w:tc>
        <w:tc>
          <w:tcPr>
            <w:tcW w:w="940" w:type="pct"/>
          </w:tcPr>
          <w:p w14:paraId="5AAA9EFF"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14:paraId="5EA28935" w14:textId="77777777"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Pr>
          <w:p w14:paraId="1C7697AA" w14:textId="77777777" w:rsidR="00E8667C" w:rsidRDefault="00A71EF6">
            <w:pPr>
              <w:spacing w:line="360" w:lineRule="auto"/>
              <w:rPr>
                <w:rFonts w:ascii="Book Antiqua" w:eastAsia="宋体" w:hAnsi="Book Antiqua" w:cs="Arial"/>
              </w:rPr>
            </w:pPr>
            <w:r>
              <w:rPr>
                <w:rFonts w:ascii="Book Antiqua" w:eastAsia="宋体" w:hAnsi="Book Antiqua" w:cs="Arial"/>
              </w:rPr>
              <w:t>79, favorable prognosis</w:t>
            </w:r>
          </w:p>
        </w:tc>
      </w:tr>
      <w:tr w:rsidR="00E8667C" w14:paraId="3D9CEC9D" w14:textId="77777777">
        <w:tc>
          <w:tcPr>
            <w:tcW w:w="265" w:type="pct"/>
          </w:tcPr>
          <w:p w14:paraId="32FD2EAD" w14:textId="77777777" w:rsidR="00E8667C" w:rsidRDefault="00A71EF6">
            <w:pPr>
              <w:spacing w:line="360" w:lineRule="auto"/>
              <w:rPr>
                <w:rFonts w:ascii="Book Antiqua" w:eastAsia="宋体" w:hAnsi="Book Antiqua" w:cs="Arial"/>
              </w:rPr>
            </w:pPr>
            <w:r>
              <w:rPr>
                <w:rFonts w:ascii="Book Antiqua" w:eastAsia="宋体" w:hAnsi="Book Antiqua" w:cs="Arial"/>
              </w:rPr>
              <w:t>4</w:t>
            </w:r>
          </w:p>
        </w:tc>
        <w:tc>
          <w:tcPr>
            <w:tcW w:w="474" w:type="pct"/>
          </w:tcPr>
          <w:p w14:paraId="35F4708D" w14:textId="77777777" w:rsidR="00E8667C" w:rsidRDefault="00A71EF6">
            <w:pPr>
              <w:spacing w:line="360" w:lineRule="auto"/>
              <w:rPr>
                <w:rFonts w:ascii="Book Antiqua" w:eastAsia="宋体" w:hAnsi="Book Antiqua" w:cs="Arial"/>
              </w:rPr>
            </w:pPr>
            <w:r>
              <w:rPr>
                <w:rFonts w:ascii="Book Antiqua" w:eastAsia="宋体" w:hAnsi="Book Antiqua" w:cs="Arial"/>
              </w:rPr>
              <w:t>F/48</w:t>
            </w:r>
          </w:p>
        </w:tc>
        <w:tc>
          <w:tcPr>
            <w:tcW w:w="521" w:type="pct"/>
          </w:tcPr>
          <w:p w14:paraId="7D8E928F"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619960C6" w14:textId="77777777"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14:paraId="54226A43"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4753807B" w14:textId="77777777" w:rsidR="00E8667C" w:rsidRDefault="00A71EF6">
            <w:pPr>
              <w:spacing w:line="360" w:lineRule="auto"/>
              <w:rPr>
                <w:rFonts w:ascii="Book Antiqua" w:eastAsia="宋体" w:hAnsi="Book Antiqua" w:cs="Arial"/>
              </w:rPr>
            </w:pPr>
            <w:r>
              <w:rPr>
                <w:rFonts w:ascii="Book Antiqua" w:eastAsia="宋体" w:hAnsi="Book Antiqua" w:cs="Arial"/>
              </w:rPr>
              <w:t>Right hepatic tumor simple resection</w:t>
            </w:r>
          </w:p>
        </w:tc>
        <w:tc>
          <w:tcPr>
            <w:tcW w:w="1054" w:type="pct"/>
          </w:tcPr>
          <w:p w14:paraId="6974B6FD" w14:textId="77777777" w:rsidR="00E8667C" w:rsidRDefault="00A71EF6">
            <w:pPr>
              <w:spacing w:line="360" w:lineRule="auto"/>
              <w:rPr>
                <w:rFonts w:ascii="Book Antiqua" w:eastAsia="宋体" w:hAnsi="Book Antiqua" w:cs="Arial"/>
              </w:rPr>
            </w:pPr>
            <w:r>
              <w:rPr>
                <w:rFonts w:ascii="Book Antiqua" w:eastAsia="宋体" w:hAnsi="Book Antiqua" w:cs="Arial"/>
              </w:rPr>
              <w:t>69, favorable prognosis</w:t>
            </w:r>
          </w:p>
        </w:tc>
      </w:tr>
      <w:tr w:rsidR="00E8667C" w14:paraId="148CE6DD" w14:textId="77777777">
        <w:tc>
          <w:tcPr>
            <w:tcW w:w="265" w:type="pct"/>
          </w:tcPr>
          <w:p w14:paraId="482E21AB" w14:textId="77777777" w:rsidR="00E8667C" w:rsidRDefault="00A71EF6">
            <w:pPr>
              <w:spacing w:line="360" w:lineRule="auto"/>
              <w:rPr>
                <w:rFonts w:ascii="Book Antiqua" w:eastAsia="宋体" w:hAnsi="Book Antiqua" w:cs="Arial"/>
              </w:rPr>
            </w:pPr>
            <w:r>
              <w:rPr>
                <w:rFonts w:ascii="Book Antiqua" w:eastAsia="宋体" w:hAnsi="Book Antiqua" w:cs="Arial"/>
              </w:rPr>
              <w:t>5</w:t>
            </w:r>
          </w:p>
        </w:tc>
        <w:tc>
          <w:tcPr>
            <w:tcW w:w="474" w:type="pct"/>
          </w:tcPr>
          <w:p w14:paraId="2CCE86C5" w14:textId="77777777" w:rsidR="00E8667C" w:rsidRDefault="00A71EF6">
            <w:pPr>
              <w:spacing w:line="360" w:lineRule="auto"/>
              <w:rPr>
                <w:rFonts w:ascii="Book Antiqua" w:eastAsia="宋体" w:hAnsi="Book Antiqua" w:cs="Arial"/>
              </w:rPr>
            </w:pPr>
            <w:r>
              <w:rPr>
                <w:rFonts w:ascii="Book Antiqua" w:eastAsia="宋体" w:hAnsi="Book Antiqua" w:cs="Arial"/>
              </w:rPr>
              <w:t>F/64</w:t>
            </w:r>
          </w:p>
        </w:tc>
        <w:tc>
          <w:tcPr>
            <w:tcW w:w="521" w:type="pct"/>
          </w:tcPr>
          <w:p w14:paraId="0A1511C1"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6556D8F3" w14:textId="77777777" w:rsidR="00E8667C" w:rsidRDefault="00A71EF6">
            <w:pPr>
              <w:spacing w:line="360" w:lineRule="auto"/>
              <w:rPr>
                <w:rFonts w:ascii="Book Antiqua" w:eastAsia="宋体" w:hAnsi="Book Antiqua" w:cs="Arial"/>
              </w:rPr>
            </w:pPr>
            <w:r>
              <w:rPr>
                <w:rFonts w:ascii="Book Antiqua" w:eastAsia="宋体" w:hAnsi="Book Antiqua" w:cs="Arial"/>
              </w:rPr>
              <w:t>7.0</w:t>
            </w:r>
          </w:p>
        </w:tc>
        <w:tc>
          <w:tcPr>
            <w:tcW w:w="940" w:type="pct"/>
          </w:tcPr>
          <w:p w14:paraId="4FCDD930"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2711EA65" w14:textId="77777777" w:rsidR="00E8667C" w:rsidRDefault="00A71EF6">
            <w:pPr>
              <w:spacing w:line="360" w:lineRule="auto"/>
              <w:rPr>
                <w:rFonts w:ascii="Book Antiqua" w:eastAsia="宋体" w:hAnsi="Book Antiqua" w:cs="Arial"/>
              </w:rPr>
            </w:pPr>
            <w:r>
              <w:rPr>
                <w:rFonts w:ascii="Book Antiqua" w:eastAsia="宋体" w:hAnsi="Book Antiqua" w:cs="Arial"/>
              </w:rPr>
              <w:t>Right hepatic tumor simple resection</w:t>
            </w:r>
          </w:p>
        </w:tc>
        <w:tc>
          <w:tcPr>
            <w:tcW w:w="1054" w:type="pct"/>
          </w:tcPr>
          <w:p w14:paraId="7559E401" w14:textId="77777777" w:rsidR="00E8667C" w:rsidRDefault="00A71EF6">
            <w:pPr>
              <w:spacing w:line="360" w:lineRule="auto"/>
              <w:rPr>
                <w:rFonts w:ascii="Book Antiqua" w:eastAsia="宋体" w:hAnsi="Book Antiqua" w:cs="Arial"/>
              </w:rPr>
            </w:pPr>
            <w:r>
              <w:rPr>
                <w:rFonts w:ascii="Book Antiqua" w:eastAsia="宋体" w:hAnsi="Book Antiqua" w:cs="Arial"/>
              </w:rPr>
              <w:t>66, favorable prognosis</w:t>
            </w:r>
          </w:p>
        </w:tc>
      </w:tr>
      <w:tr w:rsidR="00E8667C" w14:paraId="02E4229B" w14:textId="77777777">
        <w:tc>
          <w:tcPr>
            <w:tcW w:w="265" w:type="pct"/>
          </w:tcPr>
          <w:p w14:paraId="7C81605B" w14:textId="77777777" w:rsidR="00E8667C" w:rsidRDefault="00A71EF6">
            <w:pPr>
              <w:spacing w:line="360" w:lineRule="auto"/>
              <w:rPr>
                <w:rFonts w:ascii="Book Antiqua" w:eastAsia="宋体" w:hAnsi="Book Antiqua" w:cs="Arial"/>
              </w:rPr>
            </w:pPr>
            <w:r>
              <w:rPr>
                <w:rFonts w:ascii="Book Antiqua" w:eastAsia="宋体" w:hAnsi="Book Antiqua" w:cs="Arial"/>
              </w:rPr>
              <w:t>6</w:t>
            </w:r>
          </w:p>
        </w:tc>
        <w:tc>
          <w:tcPr>
            <w:tcW w:w="474" w:type="pct"/>
          </w:tcPr>
          <w:p w14:paraId="0A5A8C7B" w14:textId="77777777" w:rsidR="00E8667C" w:rsidRDefault="00A71EF6">
            <w:pPr>
              <w:spacing w:line="360" w:lineRule="auto"/>
              <w:rPr>
                <w:rFonts w:ascii="Book Antiqua" w:eastAsia="宋体" w:hAnsi="Book Antiqua" w:cs="Arial"/>
              </w:rPr>
            </w:pPr>
            <w:r>
              <w:rPr>
                <w:rFonts w:ascii="Book Antiqua" w:eastAsia="宋体" w:hAnsi="Book Antiqua" w:cs="Arial"/>
              </w:rPr>
              <w:t>M/72</w:t>
            </w:r>
          </w:p>
        </w:tc>
        <w:tc>
          <w:tcPr>
            <w:tcW w:w="521" w:type="pct"/>
          </w:tcPr>
          <w:p w14:paraId="4ECC0341"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03A5B3C7" w14:textId="77777777"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14:paraId="06EE80A2"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06C98831" w14:textId="77777777" w:rsidR="00E8667C" w:rsidRDefault="00A71EF6">
            <w:pPr>
              <w:spacing w:line="360" w:lineRule="auto"/>
              <w:rPr>
                <w:rFonts w:ascii="Book Antiqua" w:eastAsia="宋体" w:hAnsi="Book Antiqua" w:cs="Arial"/>
              </w:rPr>
            </w:pPr>
            <w:r>
              <w:rPr>
                <w:rFonts w:ascii="Book Antiqua" w:eastAsia="宋体" w:hAnsi="Book Antiqua" w:cs="Arial"/>
              </w:rPr>
              <w:t>Right hepatic tumor simple resection</w:t>
            </w:r>
          </w:p>
        </w:tc>
        <w:tc>
          <w:tcPr>
            <w:tcW w:w="1054" w:type="pct"/>
          </w:tcPr>
          <w:p w14:paraId="7C7A8242" w14:textId="77777777" w:rsidR="00E8667C" w:rsidRDefault="00A71EF6">
            <w:pPr>
              <w:spacing w:line="360" w:lineRule="auto"/>
              <w:rPr>
                <w:rFonts w:ascii="Book Antiqua" w:eastAsia="宋体" w:hAnsi="Book Antiqua" w:cs="Arial"/>
              </w:rPr>
            </w:pPr>
            <w:r>
              <w:rPr>
                <w:rFonts w:ascii="Book Antiqua" w:eastAsia="宋体" w:hAnsi="Book Antiqua" w:cs="Arial"/>
              </w:rPr>
              <w:t>59, favorable prognosis</w:t>
            </w:r>
          </w:p>
        </w:tc>
      </w:tr>
      <w:tr w:rsidR="00E8667C" w14:paraId="070A7AB9" w14:textId="77777777">
        <w:tc>
          <w:tcPr>
            <w:tcW w:w="265" w:type="pct"/>
          </w:tcPr>
          <w:p w14:paraId="051034E8" w14:textId="77777777" w:rsidR="00E8667C" w:rsidRDefault="00A71EF6">
            <w:pPr>
              <w:spacing w:line="360" w:lineRule="auto"/>
              <w:rPr>
                <w:rFonts w:ascii="Book Antiqua" w:eastAsia="宋体" w:hAnsi="Book Antiqua" w:cs="Arial"/>
              </w:rPr>
            </w:pPr>
            <w:r>
              <w:rPr>
                <w:rFonts w:ascii="Book Antiqua" w:eastAsia="宋体" w:hAnsi="Book Antiqua" w:cs="Arial"/>
              </w:rPr>
              <w:t>7</w:t>
            </w:r>
          </w:p>
        </w:tc>
        <w:tc>
          <w:tcPr>
            <w:tcW w:w="474" w:type="pct"/>
          </w:tcPr>
          <w:p w14:paraId="59CA5C48" w14:textId="77777777" w:rsidR="00E8667C" w:rsidRDefault="00A71EF6">
            <w:pPr>
              <w:spacing w:line="360" w:lineRule="auto"/>
              <w:rPr>
                <w:rFonts w:ascii="Book Antiqua" w:eastAsia="宋体" w:hAnsi="Book Antiqua" w:cs="Arial"/>
              </w:rPr>
            </w:pPr>
            <w:r>
              <w:rPr>
                <w:rFonts w:ascii="Book Antiqua" w:eastAsia="宋体" w:hAnsi="Book Antiqua" w:cs="Arial"/>
              </w:rPr>
              <w:t>F/26</w:t>
            </w:r>
          </w:p>
        </w:tc>
        <w:tc>
          <w:tcPr>
            <w:tcW w:w="521" w:type="pct"/>
          </w:tcPr>
          <w:p w14:paraId="4343293D"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0291D3B8" w14:textId="77777777" w:rsidR="00E8667C" w:rsidRDefault="00A71EF6">
            <w:pPr>
              <w:spacing w:line="360" w:lineRule="auto"/>
              <w:rPr>
                <w:rFonts w:ascii="Book Antiqua" w:eastAsia="宋体" w:hAnsi="Book Antiqua" w:cs="Arial"/>
              </w:rPr>
            </w:pPr>
            <w:r>
              <w:rPr>
                <w:rFonts w:ascii="Book Antiqua" w:eastAsia="宋体" w:hAnsi="Book Antiqua" w:cs="Arial"/>
              </w:rPr>
              <w:t>3.0</w:t>
            </w:r>
          </w:p>
        </w:tc>
        <w:tc>
          <w:tcPr>
            <w:tcW w:w="940" w:type="pct"/>
          </w:tcPr>
          <w:p w14:paraId="2F73E30E" w14:textId="77777777" w:rsidR="00E8667C" w:rsidRDefault="00A71EF6">
            <w:pPr>
              <w:spacing w:line="360" w:lineRule="auto"/>
              <w:rPr>
                <w:rFonts w:ascii="Book Antiqua" w:eastAsia="宋体" w:hAnsi="Book Antiqua" w:cs="Arial"/>
              </w:rPr>
            </w:pPr>
            <w:r>
              <w:rPr>
                <w:rFonts w:ascii="Book Antiqua" w:eastAsia="宋体" w:hAnsi="Book Antiqua" w:cs="Arial"/>
              </w:rPr>
              <w:t>Right hepatic hamartoma</w:t>
            </w:r>
          </w:p>
        </w:tc>
        <w:tc>
          <w:tcPr>
            <w:tcW w:w="1234" w:type="pct"/>
          </w:tcPr>
          <w:p w14:paraId="0BDA662F" w14:textId="77777777"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Pr>
          <w:p w14:paraId="548ED83D" w14:textId="77777777" w:rsidR="00E8667C" w:rsidRDefault="00A71EF6">
            <w:pPr>
              <w:spacing w:line="360" w:lineRule="auto"/>
              <w:rPr>
                <w:rFonts w:ascii="Book Antiqua" w:eastAsia="宋体" w:hAnsi="Book Antiqua" w:cs="Arial"/>
              </w:rPr>
            </w:pPr>
            <w:r>
              <w:rPr>
                <w:rFonts w:ascii="Book Antiqua" w:eastAsia="宋体" w:hAnsi="Book Antiqua" w:cs="Arial"/>
              </w:rPr>
              <w:t>55, favorable prognosis</w:t>
            </w:r>
          </w:p>
        </w:tc>
      </w:tr>
      <w:tr w:rsidR="00E8667C" w14:paraId="2251F195" w14:textId="77777777">
        <w:tc>
          <w:tcPr>
            <w:tcW w:w="265" w:type="pct"/>
          </w:tcPr>
          <w:p w14:paraId="3812C786" w14:textId="77777777" w:rsidR="00E8667C" w:rsidRDefault="00A71EF6">
            <w:pPr>
              <w:spacing w:line="360" w:lineRule="auto"/>
              <w:rPr>
                <w:rFonts w:ascii="Book Antiqua" w:eastAsia="宋体" w:hAnsi="Book Antiqua" w:cs="Arial"/>
              </w:rPr>
            </w:pPr>
            <w:r>
              <w:rPr>
                <w:rFonts w:ascii="Book Antiqua" w:eastAsia="宋体" w:hAnsi="Book Antiqua" w:cs="Arial"/>
              </w:rPr>
              <w:t>8</w:t>
            </w:r>
          </w:p>
        </w:tc>
        <w:tc>
          <w:tcPr>
            <w:tcW w:w="474" w:type="pct"/>
          </w:tcPr>
          <w:p w14:paraId="437D41FC" w14:textId="77777777" w:rsidR="00E8667C" w:rsidRDefault="00A71EF6">
            <w:pPr>
              <w:spacing w:line="360" w:lineRule="auto"/>
              <w:rPr>
                <w:rFonts w:ascii="Book Antiqua" w:eastAsia="宋体" w:hAnsi="Book Antiqua" w:cs="Arial"/>
              </w:rPr>
            </w:pPr>
            <w:r>
              <w:rPr>
                <w:rFonts w:ascii="Book Antiqua" w:eastAsia="宋体" w:hAnsi="Book Antiqua" w:cs="Arial"/>
              </w:rPr>
              <w:t>M/47</w:t>
            </w:r>
          </w:p>
        </w:tc>
        <w:tc>
          <w:tcPr>
            <w:tcW w:w="521" w:type="pct"/>
          </w:tcPr>
          <w:p w14:paraId="37594660"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76EDA4F1" w14:textId="77777777" w:rsidR="00E8667C" w:rsidRDefault="00A71EF6">
            <w:pPr>
              <w:spacing w:line="360" w:lineRule="auto"/>
              <w:rPr>
                <w:rFonts w:ascii="Book Antiqua" w:eastAsia="宋体" w:hAnsi="Book Antiqua" w:cs="Arial"/>
              </w:rPr>
            </w:pPr>
            <w:r>
              <w:rPr>
                <w:rFonts w:ascii="Book Antiqua" w:eastAsia="宋体" w:hAnsi="Book Antiqua" w:cs="Arial"/>
              </w:rPr>
              <w:t>6.5</w:t>
            </w:r>
          </w:p>
        </w:tc>
        <w:tc>
          <w:tcPr>
            <w:tcW w:w="940" w:type="pct"/>
          </w:tcPr>
          <w:p w14:paraId="15DDAA1D"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73D3D80C" w14:textId="77777777" w:rsidR="00E8667C" w:rsidRDefault="00A71EF6">
            <w:pPr>
              <w:spacing w:line="360" w:lineRule="auto"/>
              <w:rPr>
                <w:rFonts w:ascii="Book Antiqua" w:eastAsia="宋体" w:hAnsi="Book Antiqua" w:cs="Arial"/>
              </w:rPr>
            </w:pPr>
            <w:r>
              <w:rPr>
                <w:rFonts w:ascii="Book Antiqua" w:eastAsia="宋体" w:hAnsi="Book Antiqua" w:cs="Arial"/>
              </w:rPr>
              <w:t>mTOR inhibitor-sirolimus</w:t>
            </w:r>
          </w:p>
        </w:tc>
        <w:tc>
          <w:tcPr>
            <w:tcW w:w="1054" w:type="pct"/>
          </w:tcPr>
          <w:p w14:paraId="2114496F" w14:textId="77777777" w:rsidR="00E8667C" w:rsidRDefault="00A71EF6">
            <w:pPr>
              <w:spacing w:line="360" w:lineRule="auto"/>
              <w:rPr>
                <w:rFonts w:ascii="Book Antiqua" w:eastAsia="宋体" w:hAnsi="Book Antiqua" w:cs="Arial"/>
              </w:rPr>
            </w:pPr>
            <w:r>
              <w:rPr>
                <w:rFonts w:ascii="Book Antiqua" w:eastAsia="宋体" w:hAnsi="Book Antiqua" w:cs="Arial"/>
              </w:rPr>
              <w:t>51, favorable prognosis</w:t>
            </w:r>
          </w:p>
        </w:tc>
      </w:tr>
      <w:tr w:rsidR="00E8667C" w14:paraId="4347ED8B" w14:textId="77777777">
        <w:tc>
          <w:tcPr>
            <w:tcW w:w="265" w:type="pct"/>
          </w:tcPr>
          <w:p w14:paraId="3CAD94D4" w14:textId="77777777" w:rsidR="00E8667C" w:rsidRDefault="00A71EF6">
            <w:pPr>
              <w:spacing w:line="360" w:lineRule="auto"/>
              <w:rPr>
                <w:rFonts w:ascii="Book Antiqua" w:eastAsia="宋体" w:hAnsi="Book Antiqua" w:cs="Arial"/>
              </w:rPr>
            </w:pPr>
            <w:r>
              <w:rPr>
                <w:rFonts w:ascii="Book Antiqua" w:eastAsia="宋体" w:hAnsi="Book Antiqua" w:cs="Arial"/>
              </w:rPr>
              <w:lastRenderedPageBreak/>
              <w:t>9</w:t>
            </w:r>
          </w:p>
        </w:tc>
        <w:tc>
          <w:tcPr>
            <w:tcW w:w="474" w:type="pct"/>
          </w:tcPr>
          <w:p w14:paraId="6A336F97" w14:textId="77777777" w:rsidR="00E8667C" w:rsidRDefault="00A71EF6">
            <w:pPr>
              <w:spacing w:line="360" w:lineRule="auto"/>
              <w:rPr>
                <w:rFonts w:ascii="Book Antiqua" w:eastAsia="宋体" w:hAnsi="Book Antiqua" w:cs="Arial"/>
              </w:rPr>
            </w:pPr>
            <w:r>
              <w:rPr>
                <w:rFonts w:ascii="Book Antiqua" w:eastAsia="宋体" w:hAnsi="Book Antiqua" w:cs="Arial"/>
              </w:rPr>
              <w:t>F/47</w:t>
            </w:r>
          </w:p>
        </w:tc>
        <w:tc>
          <w:tcPr>
            <w:tcW w:w="521" w:type="pct"/>
          </w:tcPr>
          <w:p w14:paraId="524CE73F"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14:paraId="6B502B3C" w14:textId="77777777" w:rsidR="00E8667C" w:rsidRDefault="00A71EF6">
            <w:pPr>
              <w:spacing w:line="360" w:lineRule="auto"/>
              <w:rPr>
                <w:rFonts w:ascii="Book Antiqua" w:eastAsia="宋体" w:hAnsi="Book Antiqua" w:cs="Arial"/>
              </w:rPr>
            </w:pPr>
            <w:r>
              <w:rPr>
                <w:rFonts w:ascii="Book Antiqua" w:eastAsia="宋体" w:hAnsi="Book Antiqua" w:cs="Arial"/>
              </w:rPr>
              <w:t>5.5</w:t>
            </w:r>
          </w:p>
        </w:tc>
        <w:tc>
          <w:tcPr>
            <w:tcW w:w="940" w:type="pct"/>
          </w:tcPr>
          <w:p w14:paraId="7D978458"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w:t>
            </w:r>
            <w:r>
              <w:t xml:space="preserve"> </w:t>
            </w:r>
            <w:r>
              <w:rPr>
                <w:rFonts w:ascii="Book Antiqua" w:eastAsia="宋体" w:hAnsi="Book Antiqua" w:cs="Arial"/>
              </w:rPr>
              <w:t>lesion</w:t>
            </w:r>
          </w:p>
        </w:tc>
        <w:tc>
          <w:tcPr>
            <w:tcW w:w="1234" w:type="pct"/>
          </w:tcPr>
          <w:p w14:paraId="38BD255F" w14:textId="77777777" w:rsidR="00E8667C" w:rsidRDefault="00A71EF6">
            <w:pPr>
              <w:spacing w:line="360" w:lineRule="auto"/>
              <w:rPr>
                <w:rFonts w:ascii="Book Antiqua" w:eastAsia="宋体" w:hAnsi="Book Antiqua" w:cs="Arial"/>
              </w:rPr>
            </w:pPr>
            <w:r>
              <w:rPr>
                <w:rFonts w:ascii="Book Antiqua" w:eastAsia="宋体" w:hAnsi="Book Antiqua" w:cs="Arial"/>
              </w:rPr>
              <w:t xml:space="preserve"> Extended hepatic lobe resection</w:t>
            </w:r>
          </w:p>
        </w:tc>
        <w:tc>
          <w:tcPr>
            <w:tcW w:w="1054" w:type="pct"/>
          </w:tcPr>
          <w:p w14:paraId="4B4F7BA9" w14:textId="77777777" w:rsidR="00E8667C" w:rsidRDefault="00A71EF6">
            <w:pPr>
              <w:spacing w:line="360" w:lineRule="auto"/>
              <w:rPr>
                <w:rFonts w:ascii="Book Antiqua" w:eastAsia="宋体" w:hAnsi="Book Antiqua" w:cs="Arial"/>
              </w:rPr>
            </w:pPr>
            <w:r>
              <w:rPr>
                <w:rFonts w:ascii="Book Antiqua" w:eastAsia="宋体" w:hAnsi="Book Antiqua" w:cs="Arial"/>
              </w:rPr>
              <w:t>25, favorable prognosis</w:t>
            </w:r>
          </w:p>
        </w:tc>
      </w:tr>
      <w:tr w:rsidR="00E8667C" w14:paraId="30BE4189" w14:textId="77777777">
        <w:tc>
          <w:tcPr>
            <w:tcW w:w="265" w:type="pct"/>
          </w:tcPr>
          <w:p w14:paraId="3970BD98" w14:textId="77777777" w:rsidR="00E8667C" w:rsidRDefault="00A71EF6">
            <w:pPr>
              <w:spacing w:line="360" w:lineRule="auto"/>
              <w:rPr>
                <w:rFonts w:ascii="Book Antiqua" w:eastAsia="宋体" w:hAnsi="Book Antiqua" w:cs="Arial"/>
              </w:rPr>
            </w:pPr>
            <w:r>
              <w:rPr>
                <w:rFonts w:ascii="Book Antiqua" w:eastAsia="宋体" w:hAnsi="Book Antiqua" w:cs="Arial"/>
              </w:rPr>
              <w:t>10</w:t>
            </w:r>
          </w:p>
        </w:tc>
        <w:tc>
          <w:tcPr>
            <w:tcW w:w="474" w:type="pct"/>
          </w:tcPr>
          <w:p w14:paraId="352650BA" w14:textId="77777777" w:rsidR="00E8667C" w:rsidRDefault="00A71EF6">
            <w:pPr>
              <w:spacing w:line="360" w:lineRule="auto"/>
              <w:rPr>
                <w:rFonts w:ascii="Book Antiqua" w:eastAsia="宋体" w:hAnsi="Book Antiqua" w:cs="Arial"/>
              </w:rPr>
            </w:pPr>
            <w:r>
              <w:rPr>
                <w:rFonts w:ascii="Book Antiqua" w:eastAsia="宋体" w:hAnsi="Book Antiqua" w:cs="Arial"/>
              </w:rPr>
              <w:t>M/72</w:t>
            </w:r>
          </w:p>
        </w:tc>
        <w:tc>
          <w:tcPr>
            <w:tcW w:w="521" w:type="pct"/>
          </w:tcPr>
          <w:p w14:paraId="19F3C79D"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383D95EC" w14:textId="77777777"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14:paraId="2DAD47F1"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6BADADC8" w14:textId="77777777" w:rsidR="00E8667C" w:rsidRDefault="00A71EF6">
            <w:pPr>
              <w:spacing w:line="360" w:lineRule="auto"/>
              <w:rPr>
                <w:rFonts w:ascii="Book Antiqua" w:eastAsia="宋体" w:hAnsi="Book Antiqua" w:cs="Arial"/>
              </w:rPr>
            </w:pPr>
            <w:r>
              <w:rPr>
                <w:rFonts w:ascii="Book Antiqua" w:eastAsia="宋体" w:hAnsi="Book Antiqua" w:cs="Arial"/>
              </w:rPr>
              <w:t>Extended right hepatic lobe resection</w:t>
            </w:r>
          </w:p>
        </w:tc>
        <w:tc>
          <w:tcPr>
            <w:tcW w:w="1054" w:type="pct"/>
          </w:tcPr>
          <w:p w14:paraId="00F0CB92" w14:textId="77777777" w:rsidR="00E8667C" w:rsidRDefault="00A71EF6">
            <w:pPr>
              <w:spacing w:line="360" w:lineRule="auto"/>
              <w:rPr>
                <w:rFonts w:ascii="Book Antiqua" w:eastAsia="宋体" w:hAnsi="Book Antiqua" w:cs="Arial"/>
              </w:rPr>
            </w:pPr>
            <w:r>
              <w:rPr>
                <w:rFonts w:ascii="Book Antiqua" w:eastAsia="宋体" w:hAnsi="Book Antiqua" w:cs="Arial"/>
              </w:rPr>
              <w:t>57, favorable prognosis</w:t>
            </w:r>
          </w:p>
        </w:tc>
      </w:tr>
      <w:tr w:rsidR="00E8667C" w14:paraId="5A2B54DD" w14:textId="77777777">
        <w:tc>
          <w:tcPr>
            <w:tcW w:w="265" w:type="pct"/>
          </w:tcPr>
          <w:p w14:paraId="0DE4DFAB" w14:textId="77777777" w:rsidR="00E8667C" w:rsidRDefault="00A71EF6">
            <w:pPr>
              <w:spacing w:line="360" w:lineRule="auto"/>
              <w:rPr>
                <w:rFonts w:ascii="Book Antiqua" w:eastAsia="宋体" w:hAnsi="Book Antiqua" w:cs="Arial"/>
              </w:rPr>
            </w:pPr>
            <w:r>
              <w:rPr>
                <w:rFonts w:ascii="Book Antiqua" w:eastAsia="宋体" w:hAnsi="Book Antiqua" w:cs="Arial"/>
              </w:rPr>
              <w:t>11</w:t>
            </w:r>
          </w:p>
        </w:tc>
        <w:tc>
          <w:tcPr>
            <w:tcW w:w="474" w:type="pct"/>
          </w:tcPr>
          <w:p w14:paraId="20655942" w14:textId="77777777" w:rsidR="00E8667C" w:rsidRDefault="00A71EF6">
            <w:pPr>
              <w:spacing w:line="360" w:lineRule="auto"/>
              <w:rPr>
                <w:rFonts w:ascii="Book Antiqua" w:eastAsia="宋体" w:hAnsi="Book Antiqua" w:cs="Arial"/>
              </w:rPr>
            </w:pPr>
            <w:r>
              <w:rPr>
                <w:rFonts w:ascii="Book Antiqua" w:eastAsia="宋体" w:hAnsi="Book Antiqua" w:cs="Arial"/>
              </w:rPr>
              <w:t>F/56</w:t>
            </w:r>
          </w:p>
        </w:tc>
        <w:tc>
          <w:tcPr>
            <w:tcW w:w="521" w:type="pct"/>
          </w:tcPr>
          <w:p w14:paraId="6B1E08A9"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7A3F2F1E" w14:textId="77777777"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14:paraId="64FF93E6"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3BD9BE17" w14:textId="77777777" w:rsidR="00E8667C" w:rsidRDefault="00A71EF6">
            <w:pPr>
              <w:spacing w:line="360" w:lineRule="auto"/>
              <w:rPr>
                <w:rFonts w:ascii="Book Antiqua" w:eastAsia="宋体" w:hAnsi="Book Antiqua" w:cs="Arial"/>
              </w:rPr>
            </w:pPr>
            <w:r>
              <w:rPr>
                <w:rFonts w:ascii="Book Antiqua" w:eastAsia="宋体" w:hAnsi="Book Antiqua" w:cs="Arial"/>
              </w:rPr>
              <w:t>mTOR inhibitor-sirolimus</w:t>
            </w:r>
          </w:p>
        </w:tc>
        <w:tc>
          <w:tcPr>
            <w:tcW w:w="1054" w:type="pct"/>
          </w:tcPr>
          <w:p w14:paraId="2B5E4289" w14:textId="77777777" w:rsidR="00E8667C" w:rsidRDefault="00A71EF6">
            <w:pPr>
              <w:spacing w:line="360" w:lineRule="auto"/>
              <w:rPr>
                <w:rFonts w:ascii="Book Antiqua" w:eastAsia="宋体" w:hAnsi="Book Antiqua" w:cs="Arial"/>
              </w:rPr>
            </w:pPr>
            <w:r>
              <w:rPr>
                <w:rFonts w:ascii="Book Antiqua" w:eastAsia="宋体" w:hAnsi="Book Antiqua" w:cs="Arial"/>
              </w:rPr>
              <w:t>32, favorable prognosis</w:t>
            </w:r>
          </w:p>
        </w:tc>
      </w:tr>
      <w:tr w:rsidR="00E8667C" w14:paraId="652E37BA" w14:textId="77777777">
        <w:tc>
          <w:tcPr>
            <w:tcW w:w="265" w:type="pct"/>
          </w:tcPr>
          <w:p w14:paraId="4B638CFC" w14:textId="77777777" w:rsidR="00E8667C" w:rsidRDefault="00A71EF6">
            <w:pPr>
              <w:spacing w:line="360" w:lineRule="auto"/>
              <w:rPr>
                <w:rFonts w:ascii="Book Antiqua" w:eastAsia="宋体" w:hAnsi="Book Antiqua" w:cs="Arial"/>
              </w:rPr>
            </w:pPr>
            <w:r>
              <w:rPr>
                <w:rFonts w:ascii="Book Antiqua" w:eastAsia="宋体" w:hAnsi="Book Antiqua" w:cs="Arial"/>
              </w:rPr>
              <w:t>12</w:t>
            </w:r>
          </w:p>
        </w:tc>
        <w:tc>
          <w:tcPr>
            <w:tcW w:w="474" w:type="pct"/>
          </w:tcPr>
          <w:p w14:paraId="45246C33" w14:textId="77777777" w:rsidR="00E8667C" w:rsidRDefault="00A71EF6">
            <w:pPr>
              <w:spacing w:line="360" w:lineRule="auto"/>
              <w:rPr>
                <w:rFonts w:ascii="Book Antiqua" w:eastAsia="宋体" w:hAnsi="Book Antiqua" w:cs="Arial"/>
              </w:rPr>
            </w:pPr>
            <w:r>
              <w:rPr>
                <w:rFonts w:ascii="Book Antiqua" w:eastAsia="宋体" w:hAnsi="Book Antiqua" w:cs="Arial"/>
              </w:rPr>
              <w:t>F/54</w:t>
            </w:r>
          </w:p>
        </w:tc>
        <w:tc>
          <w:tcPr>
            <w:tcW w:w="521" w:type="pct"/>
          </w:tcPr>
          <w:p w14:paraId="2157B366"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3C8A25D9" w14:textId="77777777" w:rsidR="00E8667C" w:rsidRDefault="00A71EF6">
            <w:pPr>
              <w:spacing w:line="360" w:lineRule="auto"/>
              <w:rPr>
                <w:rFonts w:ascii="Book Antiqua" w:eastAsia="宋体" w:hAnsi="Book Antiqua" w:cs="Arial"/>
              </w:rPr>
            </w:pPr>
            <w:r>
              <w:rPr>
                <w:rFonts w:ascii="Book Antiqua" w:eastAsia="宋体" w:hAnsi="Book Antiqua" w:cs="Arial"/>
              </w:rPr>
              <w:t>13.0</w:t>
            </w:r>
          </w:p>
        </w:tc>
        <w:tc>
          <w:tcPr>
            <w:tcW w:w="940" w:type="pct"/>
          </w:tcPr>
          <w:p w14:paraId="1ADACED9"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14:paraId="573E2C94" w14:textId="77777777"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Pr>
          <w:p w14:paraId="07410A21" w14:textId="77777777" w:rsidR="00E8667C" w:rsidRDefault="00A71EF6">
            <w:pPr>
              <w:spacing w:line="360" w:lineRule="auto"/>
              <w:rPr>
                <w:rFonts w:ascii="Book Antiqua" w:eastAsia="宋体" w:hAnsi="Book Antiqua" w:cs="Arial"/>
              </w:rPr>
            </w:pPr>
            <w:r>
              <w:rPr>
                <w:rFonts w:ascii="Book Antiqua" w:eastAsia="宋体" w:hAnsi="Book Antiqua" w:cs="Arial"/>
              </w:rPr>
              <w:t>99, favorable prognosis</w:t>
            </w:r>
          </w:p>
        </w:tc>
      </w:tr>
      <w:tr w:rsidR="00E8667C" w14:paraId="619F7C97" w14:textId="77777777">
        <w:tc>
          <w:tcPr>
            <w:tcW w:w="265" w:type="pct"/>
          </w:tcPr>
          <w:p w14:paraId="391CCD10" w14:textId="77777777" w:rsidR="00E8667C" w:rsidRDefault="00A71EF6">
            <w:pPr>
              <w:spacing w:line="360" w:lineRule="auto"/>
              <w:rPr>
                <w:rFonts w:ascii="Book Antiqua" w:eastAsia="宋体" w:hAnsi="Book Antiqua" w:cs="Arial"/>
              </w:rPr>
            </w:pPr>
            <w:r>
              <w:rPr>
                <w:rFonts w:ascii="Book Antiqua" w:eastAsia="宋体" w:hAnsi="Book Antiqua" w:cs="Arial"/>
              </w:rPr>
              <w:t>13</w:t>
            </w:r>
          </w:p>
        </w:tc>
        <w:tc>
          <w:tcPr>
            <w:tcW w:w="474" w:type="pct"/>
          </w:tcPr>
          <w:p w14:paraId="20F3A745" w14:textId="77777777" w:rsidR="00E8667C" w:rsidRDefault="00A71EF6">
            <w:pPr>
              <w:spacing w:line="360" w:lineRule="auto"/>
              <w:rPr>
                <w:rFonts w:ascii="Book Antiqua" w:eastAsia="宋体" w:hAnsi="Book Antiqua" w:cs="Arial"/>
              </w:rPr>
            </w:pPr>
            <w:r>
              <w:rPr>
                <w:rFonts w:ascii="Book Antiqua" w:eastAsia="宋体" w:hAnsi="Book Antiqua" w:cs="Arial"/>
              </w:rPr>
              <w:t>F/41</w:t>
            </w:r>
          </w:p>
        </w:tc>
        <w:tc>
          <w:tcPr>
            <w:tcW w:w="521" w:type="pct"/>
          </w:tcPr>
          <w:p w14:paraId="3E64CE58" w14:textId="77777777" w:rsidR="00E8667C" w:rsidRDefault="00A71EF6">
            <w:pPr>
              <w:spacing w:line="360" w:lineRule="auto"/>
              <w:rPr>
                <w:rFonts w:ascii="Book Antiqua" w:eastAsia="宋体" w:hAnsi="Book Antiqua" w:cs="Arial"/>
              </w:rPr>
            </w:pPr>
            <w:r>
              <w:rPr>
                <w:rFonts w:ascii="Book Antiqua" w:eastAsia="宋体" w:hAnsi="Book Antiqua" w:cs="Arial"/>
              </w:rPr>
              <w:t>Caudate lobe</w:t>
            </w:r>
          </w:p>
        </w:tc>
        <w:tc>
          <w:tcPr>
            <w:tcW w:w="512" w:type="pct"/>
          </w:tcPr>
          <w:p w14:paraId="3C4CDC5D" w14:textId="77777777"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14:paraId="6BAE9FD1" w14:textId="77777777" w:rsidR="00E8667C" w:rsidRDefault="00A71EF6">
            <w:pPr>
              <w:spacing w:line="360" w:lineRule="auto"/>
              <w:rPr>
                <w:rFonts w:ascii="Book Antiqua" w:eastAsia="宋体" w:hAnsi="Book Antiqua" w:cs="Arial"/>
              </w:rPr>
            </w:pPr>
            <w:r>
              <w:rPr>
                <w:rFonts w:ascii="Book Antiqua" w:eastAsia="宋体" w:hAnsi="Book Antiqua" w:cs="Arial"/>
              </w:rPr>
              <w:t>Caudate lobe occupying lesion</w:t>
            </w:r>
          </w:p>
        </w:tc>
        <w:tc>
          <w:tcPr>
            <w:tcW w:w="1234" w:type="pct"/>
          </w:tcPr>
          <w:p w14:paraId="2536126F" w14:textId="77777777" w:rsidR="00E8667C" w:rsidRDefault="00A71EF6">
            <w:pPr>
              <w:spacing w:line="360" w:lineRule="auto"/>
              <w:rPr>
                <w:rFonts w:ascii="Book Antiqua" w:eastAsia="宋体" w:hAnsi="Book Antiqua" w:cs="Arial"/>
              </w:rPr>
            </w:pPr>
            <w:r>
              <w:rPr>
                <w:rFonts w:ascii="Book Antiqua" w:eastAsia="宋体" w:hAnsi="Book Antiqua" w:cs="Arial"/>
              </w:rPr>
              <w:t>Caudate hepatic tumor simple resection</w:t>
            </w:r>
          </w:p>
        </w:tc>
        <w:tc>
          <w:tcPr>
            <w:tcW w:w="1054" w:type="pct"/>
          </w:tcPr>
          <w:p w14:paraId="266DE965" w14:textId="77777777" w:rsidR="00E8667C" w:rsidRDefault="00A71EF6">
            <w:pPr>
              <w:spacing w:line="360" w:lineRule="auto"/>
              <w:rPr>
                <w:rFonts w:ascii="Book Antiqua" w:eastAsia="宋体" w:hAnsi="Book Antiqua" w:cs="Arial"/>
              </w:rPr>
            </w:pPr>
            <w:r>
              <w:rPr>
                <w:rFonts w:ascii="Book Antiqua" w:eastAsia="宋体" w:hAnsi="Book Antiqua" w:cs="Arial"/>
              </w:rPr>
              <w:t>98, favorable prognosis</w:t>
            </w:r>
          </w:p>
        </w:tc>
      </w:tr>
      <w:tr w:rsidR="00E8667C" w14:paraId="2761FA85" w14:textId="77777777">
        <w:tc>
          <w:tcPr>
            <w:tcW w:w="265" w:type="pct"/>
          </w:tcPr>
          <w:p w14:paraId="3E7B8FD6" w14:textId="77777777" w:rsidR="00E8667C" w:rsidRDefault="00A71EF6">
            <w:pPr>
              <w:spacing w:line="360" w:lineRule="auto"/>
              <w:rPr>
                <w:rFonts w:ascii="Book Antiqua" w:eastAsia="宋体" w:hAnsi="Book Antiqua" w:cs="Arial"/>
              </w:rPr>
            </w:pPr>
            <w:r>
              <w:rPr>
                <w:rFonts w:ascii="Book Antiqua" w:eastAsia="宋体" w:hAnsi="Book Antiqua" w:cs="Arial"/>
              </w:rPr>
              <w:t>14</w:t>
            </w:r>
          </w:p>
        </w:tc>
        <w:tc>
          <w:tcPr>
            <w:tcW w:w="474" w:type="pct"/>
          </w:tcPr>
          <w:p w14:paraId="2549DC8F" w14:textId="77777777" w:rsidR="00E8667C" w:rsidRDefault="00A71EF6">
            <w:pPr>
              <w:spacing w:line="360" w:lineRule="auto"/>
              <w:rPr>
                <w:rFonts w:ascii="Book Antiqua" w:eastAsia="宋体" w:hAnsi="Book Antiqua" w:cs="Arial"/>
              </w:rPr>
            </w:pPr>
            <w:r>
              <w:rPr>
                <w:rFonts w:ascii="Book Antiqua" w:eastAsia="宋体" w:hAnsi="Book Antiqua" w:cs="Arial"/>
              </w:rPr>
              <w:t>F/46</w:t>
            </w:r>
          </w:p>
        </w:tc>
        <w:tc>
          <w:tcPr>
            <w:tcW w:w="521" w:type="pct"/>
          </w:tcPr>
          <w:p w14:paraId="1D9F2F4C"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14:paraId="7EE625D0" w14:textId="77777777" w:rsidR="00E8667C" w:rsidRDefault="00A71EF6">
            <w:pPr>
              <w:spacing w:line="360" w:lineRule="auto"/>
              <w:rPr>
                <w:rFonts w:ascii="Book Antiqua" w:eastAsia="宋体" w:hAnsi="Book Antiqua" w:cs="Arial"/>
              </w:rPr>
            </w:pPr>
            <w:r>
              <w:rPr>
                <w:rFonts w:ascii="Book Antiqua" w:eastAsia="宋体" w:hAnsi="Book Antiqua" w:cs="Arial"/>
              </w:rPr>
              <w:t>2.0</w:t>
            </w:r>
          </w:p>
        </w:tc>
        <w:tc>
          <w:tcPr>
            <w:tcW w:w="940" w:type="pct"/>
          </w:tcPr>
          <w:p w14:paraId="5E458709"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14:paraId="2C5A4275" w14:textId="77777777"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Pr>
          <w:p w14:paraId="1DB44258" w14:textId="77777777" w:rsidR="00E8667C" w:rsidRDefault="00A71EF6">
            <w:pPr>
              <w:spacing w:line="360" w:lineRule="auto"/>
              <w:rPr>
                <w:rFonts w:ascii="Book Antiqua" w:eastAsia="宋体" w:hAnsi="Book Antiqua" w:cs="Arial"/>
              </w:rPr>
            </w:pPr>
            <w:r>
              <w:rPr>
                <w:rFonts w:ascii="Book Antiqua" w:eastAsia="宋体" w:hAnsi="Book Antiqua" w:cs="Arial"/>
              </w:rPr>
              <w:t>99, favorable prognosis</w:t>
            </w:r>
          </w:p>
        </w:tc>
      </w:tr>
      <w:tr w:rsidR="00E8667C" w14:paraId="4543C5A9" w14:textId="77777777">
        <w:tc>
          <w:tcPr>
            <w:tcW w:w="265" w:type="pct"/>
          </w:tcPr>
          <w:p w14:paraId="74D47DE8" w14:textId="77777777" w:rsidR="00E8667C" w:rsidRDefault="00A71EF6">
            <w:pPr>
              <w:spacing w:line="360" w:lineRule="auto"/>
              <w:rPr>
                <w:rFonts w:ascii="Book Antiqua" w:eastAsia="宋体" w:hAnsi="Book Antiqua" w:cs="Arial"/>
              </w:rPr>
            </w:pPr>
            <w:r>
              <w:rPr>
                <w:rFonts w:ascii="Book Antiqua" w:eastAsia="宋体" w:hAnsi="Book Antiqua" w:cs="Arial"/>
              </w:rPr>
              <w:t>15</w:t>
            </w:r>
          </w:p>
        </w:tc>
        <w:tc>
          <w:tcPr>
            <w:tcW w:w="474" w:type="pct"/>
          </w:tcPr>
          <w:p w14:paraId="16EF12F6" w14:textId="77777777" w:rsidR="00E8667C" w:rsidRDefault="00A71EF6">
            <w:pPr>
              <w:spacing w:line="360" w:lineRule="auto"/>
              <w:rPr>
                <w:rFonts w:ascii="Book Antiqua" w:eastAsia="宋体" w:hAnsi="Book Antiqua" w:cs="Arial"/>
              </w:rPr>
            </w:pPr>
            <w:r>
              <w:rPr>
                <w:rFonts w:ascii="Book Antiqua" w:eastAsia="宋体" w:hAnsi="Book Antiqua" w:cs="Arial"/>
              </w:rPr>
              <w:t>F/54</w:t>
            </w:r>
          </w:p>
        </w:tc>
        <w:tc>
          <w:tcPr>
            <w:tcW w:w="521" w:type="pct"/>
          </w:tcPr>
          <w:p w14:paraId="6CB72D93"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4A5C41CF" w14:textId="77777777"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14:paraId="50558122" w14:textId="77777777" w:rsidR="00E8667C" w:rsidRDefault="00A71EF6">
            <w:pPr>
              <w:spacing w:line="360" w:lineRule="auto"/>
              <w:rPr>
                <w:rFonts w:ascii="Book Antiqua" w:eastAsia="宋体" w:hAnsi="Book Antiqua" w:cs="Arial"/>
              </w:rPr>
            </w:pPr>
            <w:r>
              <w:rPr>
                <w:rFonts w:ascii="Book Antiqua" w:eastAsia="宋体" w:hAnsi="Book Antiqua" w:cs="Arial"/>
              </w:rPr>
              <w:t>Right hepatic hemangioma</w:t>
            </w:r>
          </w:p>
        </w:tc>
        <w:tc>
          <w:tcPr>
            <w:tcW w:w="1234" w:type="pct"/>
          </w:tcPr>
          <w:p w14:paraId="7B47D482" w14:textId="77777777" w:rsidR="00E8667C" w:rsidRDefault="00A71EF6">
            <w:pPr>
              <w:spacing w:line="360" w:lineRule="auto"/>
              <w:rPr>
                <w:rFonts w:ascii="Book Antiqua" w:eastAsia="宋体" w:hAnsi="Book Antiqua" w:cs="Arial"/>
              </w:rPr>
            </w:pPr>
            <w:r>
              <w:rPr>
                <w:rFonts w:ascii="Book Antiqua" w:eastAsia="宋体" w:hAnsi="Book Antiqua" w:cs="Arial"/>
              </w:rPr>
              <w:t>Extended Rright hepatic lobe resection</w:t>
            </w:r>
          </w:p>
        </w:tc>
        <w:tc>
          <w:tcPr>
            <w:tcW w:w="1054" w:type="pct"/>
          </w:tcPr>
          <w:p w14:paraId="0DB0734B" w14:textId="77777777" w:rsidR="00E8667C" w:rsidRDefault="00A71EF6">
            <w:pPr>
              <w:spacing w:line="360" w:lineRule="auto"/>
              <w:rPr>
                <w:rFonts w:ascii="Book Antiqua" w:eastAsia="宋体" w:hAnsi="Book Antiqua" w:cs="Arial"/>
              </w:rPr>
            </w:pPr>
            <w:r>
              <w:rPr>
                <w:rFonts w:ascii="Book Antiqua" w:eastAsia="宋体" w:hAnsi="Book Antiqua" w:cs="Arial"/>
              </w:rPr>
              <w:t>84, favorable prognosis</w:t>
            </w:r>
          </w:p>
        </w:tc>
      </w:tr>
      <w:tr w:rsidR="00E8667C" w14:paraId="1A755E2C" w14:textId="77777777">
        <w:tc>
          <w:tcPr>
            <w:tcW w:w="265" w:type="pct"/>
          </w:tcPr>
          <w:p w14:paraId="5402ADD3" w14:textId="77777777" w:rsidR="00E8667C" w:rsidRDefault="00A71EF6">
            <w:pPr>
              <w:spacing w:line="360" w:lineRule="auto"/>
              <w:rPr>
                <w:rFonts w:ascii="Book Antiqua" w:eastAsia="宋体" w:hAnsi="Book Antiqua" w:cs="Arial"/>
              </w:rPr>
            </w:pPr>
            <w:r>
              <w:rPr>
                <w:rFonts w:ascii="Book Antiqua" w:eastAsia="宋体" w:hAnsi="Book Antiqua" w:cs="Arial"/>
              </w:rPr>
              <w:t>16</w:t>
            </w:r>
          </w:p>
        </w:tc>
        <w:tc>
          <w:tcPr>
            <w:tcW w:w="474" w:type="pct"/>
          </w:tcPr>
          <w:p w14:paraId="05D351CC" w14:textId="77777777" w:rsidR="00E8667C" w:rsidRDefault="00A71EF6">
            <w:pPr>
              <w:spacing w:line="360" w:lineRule="auto"/>
              <w:rPr>
                <w:rFonts w:ascii="Book Antiqua" w:eastAsia="宋体" w:hAnsi="Book Antiqua" w:cs="Arial"/>
              </w:rPr>
            </w:pPr>
            <w:r>
              <w:rPr>
                <w:rFonts w:ascii="Book Antiqua" w:eastAsia="宋体" w:hAnsi="Book Antiqua" w:cs="Arial"/>
              </w:rPr>
              <w:t>F/41</w:t>
            </w:r>
          </w:p>
        </w:tc>
        <w:tc>
          <w:tcPr>
            <w:tcW w:w="521" w:type="pct"/>
          </w:tcPr>
          <w:p w14:paraId="16F59FEE" w14:textId="77777777" w:rsidR="00E8667C" w:rsidRDefault="00A71EF6">
            <w:pPr>
              <w:spacing w:line="360" w:lineRule="auto"/>
              <w:rPr>
                <w:rFonts w:ascii="Book Antiqua" w:eastAsia="宋体" w:hAnsi="Book Antiqua" w:cs="Arial"/>
              </w:rPr>
            </w:pPr>
            <w:r>
              <w:rPr>
                <w:rFonts w:ascii="Book Antiqua" w:eastAsia="宋体" w:hAnsi="Book Antiqua" w:cs="Arial"/>
              </w:rPr>
              <w:t>Caudate lobe</w:t>
            </w:r>
          </w:p>
        </w:tc>
        <w:tc>
          <w:tcPr>
            <w:tcW w:w="512" w:type="pct"/>
          </w:tcPr>
          <w:p w14:paraId="6805365D" w14:textId="77777777" w:rsidR="00E8667C" w:rsidRDefault="00A71EF6">
            <w:pPr>
              <w:spacing w:line="360" w:lineRule="auto"/>
              <w:rPr>
                <w:rFonts w:ascii="Book Antiqua" w:eastAsia="宋体" w:hAnsi="Book Antiqua" w:cs="Arial"/>
              </w:rPr>
            </w:pPr>
            <w:r>
              <w:rPr>
                <w:rFonts w:ascii="Book Antiqua" w:eastAsia="宋体" w:hAnsi="Book Antiqua" w:cs="Arial"/>
              </w:rPr>
              <w:t>6.0</w:t>
            </w:r>
          </w:p>
        </w:tc>
        <w:tc>
          <w:tcPr>
            <w:tcW w:w="940" w:type="pct"/>
          </w:tcPr>
          <w:p w14:paraId="2B0383E0" w14:textId="77777777" w:rsidR="00E8667C" w:rsidRDefault="00A71EF6">
            <w:pPr>
              <w:spacing w:line="360" w:lineRule="auto"/>
              <w:rPr>
                <w:rFonts w:ascii="Book Antiqua" w:eastAsia="宋体" w:hAnsi="Book Antiqua" w:cs="Arial"/>
              </w:rPr>
            </w:pPr>
            <w:r>
              <w:rPr>
                <w:rFonts w:ascii="Book Antiqua" w:eastAsia="宋体" w:hAnsi="Book Antiqua" w:cs="Arial"/>
              </w:rPr>
              <w:t>Caudate lobe occupying lesion</w:t>
            </w:r>
          </w:p>
        </w:tc>
        <w:tc>
          <w:tcPr>
            <w:tcW w:w="1234" w:type="pct"/>
          </w:tcPr>
          <w:p w14:paraId="40E6E60B" w14:textId="77777777" w:rsidR="00E8667C" w:rsidRDefault="00A71EF6">
            <w:pPr>
              <w:spacing w:line="360" w:lineRule="auto"/>
              <w:rPr>
                <w:rFonts w:ascii="Book Antiqua" w:eastAsia="宋体" w:hAnsi="Book Antiqua" w:cs="Arial"/>
              </w:rPr>
            </w:pPr>
            <w:r>
              <w:rPr>
                <w:rFonts w:ascii="Book Antiqua" w:eastAsia="宋体" w:hAnsi="Book Antiqua" w:cs="Arial"/>
              </w:rPr>
              <w:t>Extended caudate hepatic lobe resection</w:t>
            </w:r>
          </w:p>
        </w:tc>
        <w:tc>
          <w:tcPr>
            <w:tcW w:w="1054" w:type="pct"/>
          </w:tcPr>
          <w:p w14:paraId="7513FA47" w14:textId="77777777" w:rsidR="00E8667C" w:rsidRDefault="00A71EF6">
            <w:pPr>
              <w:spacing w:line="360" w:lineRule="auto"/>
              <w:rPr>
                <w:rFonts w:ascii="Book Antiqua" w:eastAsia="宋体" w:hAnsi="Book Antiqua" w:cs="Arial"/>
              </w:rPr>
            </w:pPr>
            <w:r>
              <w:rPr>
                <w:rFonts w:ascii="Book Antiqua" w:eastAsia="宋体" w:hAnsi="Book Antiqua" w:cs="Arial"/>
              </w:rPr>
              <w:t>87,</w:t>
            </w:r>
            <w:r>
              <w:rPr>
                <w:rFonts w:ascii="Book Antiqua" w:eastAsia="宋体" w:hAnsi="Book Antiqua" w:cs="Arial" w:hint="eastAsia"/>
                <w:lang w:eastAsia="zh-CN"/>
              </w:rPr>
              <w:t xml:space="preserve"> </w:t>
            </w:r>
            <w:r>
              <w:rPr>
                <w:rFonts w:ascii="Book Antiqua" w:eastAsia="宋体" w:hAnsi="Book Antiqua" w:cs="Arial"/>
              </w:rPr>
              <w:t>hepatic pain often occurs after discharge</w:t>
            </w:r>
          </w:p>
        </w:tc>
      </w:tr>
      <w:tr w:rsidR="00E8667C" w14:paraId="0A10C4E7" w14:textId="77777777">
        <w:tc>
          <w:tcPr>
            <w:tcW w:w="265" w:type="pct"/>
          </w:tcPr>
          <w:p w14:paraId="23AA7283" w14:textId="77777777" w:rsidR="00E8667C" w:rsidRDefault="00A71EF6">
            <w:pPr>
              <w:spacing w:line="360" w:lineRule="auto"/>
              <w:rPr>
                <w:rFonts w:ascii="Book Antiqua" w:eastAsia="宋体" w:hAnsi="Book Antiqua" w:cs="Arial"/>
              </w:rPr>
            </w:pPr>
            <w:r>
              <w:rPr>
                <w:rFonts w:ascii="Book Antiqua" w:eastAsia="宋体" w:hAnsi="Book Antiqua" w:cs="Arial"/>
              </w:rPr>
              <w:t>17</w:t>
            </w:r>
          </w:p>
        </w:tc>
        <w:tc>
          <w:tcPr>
            <w:tcW w:w="474" w:type="pct"/>
          </w:tcPr>
          <w:p w14:paraId="5CF7CBBA" w14:textId="77777777" w:rsidR="00E8667C" w:rsidRDefault="00A71EF6">
            <w:pPr>
              <w:spacing w:line="360" w:lineRule="auto"/>
              <w:rPr>
                <w:rFonts w:ascii="Book Antiqua" w:eastAsia="宋体" w:hAnsi="Book Antiqua" w:cs="Arial"/>
              </w:rPr>
            </w:pPr>
            <w:r>
              <w:rPr>
                <w:rFonts w:ascii="Book Antiqua" w:eastAsia="宋体" w:hAnsi="Book Antiqua" w:cs="Arial"/>
              </w:rPr>
              <w:t>M/45</w:t>
            </w:r>
          </w:p>
        </w:tc>
        <w:tc>
          <w:tcPr>
            <w:tcW w:w="521" w:type="pct"/>
          </w:tcPr>
          <w:p w14:paraId="294F8AFE"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6B9405BE" w14:textId="77777777" w:rsidR="00E8667C" w:rsidRDefault="00A71EF6">
            <w:pPr>
              <w:spacing w:line="360" w:lineRule="auto"/>
              <w:rPr>
                <w:rFonts w:ascii="Book Antiqua" w:eastAsia="宋体" w:hAnsi="Book Antiqua" w:cs="Arial"/>
              </w:rPr>
            </w:pPr>
            <w:r>
              <w:rPr>
                <w:rFonts w:ascii="Book Antiqua" w:eastAsia="宋体" w:hAnsi="Book Antiqua" w:cs="Arial"/>
              </w:rPr>
              <w:t>0.5</w:t>
            </w:r>
          </w:p>
        </w:tc>
        <w:tc>
          <w:tcPr>
            <w:tcW w:w="940" w:type="pct"/>
          </w:tcPr>
          <w:p w14:paraId="28AD3134" w14:textId="77777777" w:rsidR="00E8667C" w:rsidRDefault="00A71EF6">
            <w:pPr>
              <w:spacing w:line="360" w:lineRule="auto"/>
              <w:rPr>
                <w:rFonts w:ascii="Book Antiqua" w:eastAsia="宋体" w:hAnsi="Book Antiqua" w:cs="Arial"/>
              </w:rPr>
            </w:pPr>
            <w:r>
              <w:rPr>
                <w:rFonts w:ascii="Book Antiqua" w:eastAsia="宋体" w:hAnsi="Book Antiqua" w:cs="Arial"/>
              </w:rPr>
              <w:t>Right hepatic hemangioma</w:t>
            </w:r>
          </w:p>
        </w:tc>
        <w:tc>
          <w:tcPr>
            <w:tcW w:w="1234" w:type="pct"/>
          </w:tcPr>
          <w:p w14:paraId="17455004" w14:textId="77777777"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Pr>
          <w:p w14:paraId="591B5ECD" w14:textId="77777777" w:rsidR="00E8667C" w:rsidRDefault="00A71EF6">
            <w:pPr>
              <w:spacing w:line="360" w:lineRule="auto"/>
              <w:rPr>
                <w:rFonts w:ascii="Book Antiqua" w:eastAsia="宋体" w:hAnsi="Book Antiqua" w:cs="Arial"/>
              </w:rPr>
            </w:pPr>
            <w:r>
              <w:rPr>
                <w:rFonts w:ascii="Book Antiqua" w:eastAsia="宋体" w:hAnsi="Book Antiqua" w:cs="Arial"/>
              </w:rPr>
              <w:t>85, favorable prognosis</w:t>
            </w:r>
          </w:p>
        </w:tc>
      </w:tr>
      <w:tr w:rsidR="00E8667C" w14:paraId="22254CFA" w14:textId="77777777">
        <w:tc>
          <w:tcPr>
            <w:tcW w:w="265" w:type="pct"/>
          </w:tcPr>
          <w:p w14:paraId="405E9102" w14:textId="77777777" w:rsidR="00E8667C" w:rsidRDefault="00A71EF6">
            <w:pPr>
              <w:spacing w:line="360" w:lineRule="auto"/>
              <w:rPr>
                <w:rFonts w:ascii="Book Antiqua" w:eastAsia="宋体" w:hAnsi="Book Antiqua" w:cs="Arial"/>
              </w:rPr>
            </w:pPr>
            <w:r>
              <w:rPr>
                <w:rFonts w:ascii="Book Antiqua" w:eastAsia="宋体" w:hAnsi="Book Antiqua" w:cs="Arial"/>
              </w:rPr>
              <w:t>18</w:t>
            </w:r>
          </w:p>
        </w:tc>
        <w:tc>
          <w:tcPr>
            <w:tcW w:w="474" w:type="pct"/>
          </w:tcPr>
          <w:p w14:paraId="06EDD152" w14:textId="77777777" w:rsidR="00E8667C" w:rsidRDefault="00A71EF6">
            <w:pPr>
              <w:spacing w:line="360" w:lineRule="auto"/>
              <w:rPr>
                <w:rFonts w:ascii="Book Antiqua" w:eastAsia="宋体" w:hAnsi="Book Antiqua" w:cs="Arial"/>
              </w:rPr>
            </w:pPr>
            <w:r>
              <w:rPr>
                <w:rFonts w:ascii="Book Antiqua" w:eastAsia="宋体" w:hAnsi="Book Antiqua" w:cs="Arial"/>
              </w:rPr>
              <w:t>F/66</w:t>
            </w:r>
          </w:p>
        </w:tc>
        <w:tc>
          <w:tcPr>
            <w:tcW w:w="521" w:type="pct"/>
          </w:tcPr>
          <w:p w14:paraId="6C83F73A"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1DB04E01" w14:textId="77777777" w:rsidR="00E8667C" w:rsidRDefault="00A71EF6">
            <w:pPr>
              <w:spacing w:line="360" w:lineRule="auto"/>
              <w:rPr>
                <w:rFonts w:ascii="Book Antiqua" w:eastAsia="宋体" w:hAnsi="Book Antiqua" w:cs="Arial"/>
              </w:rPr>
            </w:pPr>
            <w:r>
              <w:rPr>
                <w:rFonts w:ascii="Book Antiqua" w:eastAsia="宋体" w:hAnsi="Book Antiqua" w:cs="Arial"/>
              </w:rPr>
              <w:t>5.5</w:t>
            </w:r>
          </w:p>
        </w:tc>
        <w:tc>
          <w:tcPr>
            <w:tcW w:w="940" w:type="pct"/>
          </w:tcPr>
          <w:p w14:paraId="0FAD3F6D"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046701E2" w14:textId="77777777"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Pr>
          <w:p w14:paraId="7EBFE0F0" w14:textId="77777777" w:rsidR="00E8667C" w:rsidRDefault="00A71EF6">
            <w:pPr>
              <w:spacing w:line="360" w:lineRule="auto"/>
              <w:rPr>
                <w:rFonts w:ascii="Book Antiqua" w:eastAsia="宋体" w:hAnsi="Book Antiqua" w:cs="Arial"/>
              </w:rPr>
            </w:pPr>
            <w:r>
              <w:rPr>
                <w:rFonts w:ascii="Book Antiqua" w:eastAsia="宋体" w:hAnsi="Book Antiqua" w:cs="Arial"/>
              </w:rPr>
              <w:t>59, favorable prognosis</w:t>
            </w:r>
          </w:p>
        </w:tc>
      </w:tr>
      <w:tr w:rsidR="00E8667C" w14:paraId="33372BC9" w14:textId="77777777">
        <w:tc>
          <w:tcPr>
            <w:tcW w:w="265" w:type="pct"/>
          </w:tcPr>
          <w:p w14:paraId="0C06DAFB" w14:textId="77777777" w:rsidR="00E8667C" w:rsidRDefault="00A71EF6">
            <w:pPr>
              <w:spacing w:line="360" w:lineRule="auto"/>
              <w:rPr>
                <w:rFonts w:ascii="Book Antiqua" w:eastAsia="宋体" w:hAnsi="Book Antiqua" w:cs="Arial"/>
              </w:rPr>
            </w:pPr>
            <w:r>
              <w:rPr>
                <w:rFonts w:ascii="Book Antiqua" w:eastAsia="宋体" w:hAnsi="Book Antiqua" w:cs="Arial"/>
              </w:rPr>
              <w:lastRenderedPageBreak/>
              <w:t>19</w:t>
            </w:r>
          </w:p>
        </w:tc>
        <w:tc>
          <w:tcPr>
            <w:tcW w:w="474" w:type="pct"/>
          </w:tcPr>
          <w:p w14:paraId="7E0B7F95" w14:textId="77777777" w:rsidR="00E8667C" w:rsidRDefault="00A71EF6">
            <w:pPr>
              <w:spacing w:line="360" w:lineRule="auto"/>
              <w:rPr>
                <w:rFonts w:ascii="Book Antiqua" w:eastAsia="宋体" w:hAnsi="Book Antiqua" w:cs="Arial"/>
              </w:rPr>
            </w:pPr>
            <w:r>
              <w:rPr>
                <w:rFonts w:ascii="Book Antiqua" w:eastAsia="宋体" w:hAnsi="Book Antiqua" w:cs="Arial"/>
              </w:rPr>
              <w:t>F/43</w:t>
            </w:r>
          </w:p>
        </w:tc>
        <w:tc>
          <w:tcPr>
            <w:tcW w:w="521" w:type="pct"/>
          </w:tcPr>
          <w:p w14:paraId="1A2A845F"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14:paraId="6C24F31F" w14:textId="77777777" w:rsidR="00E8667C" w:rsidRDefault="00A71EF6">
            <w:pPr>
              <w:spacing w:line="360" w:lineRule="auto"/>
              <w:rPr>
                <w:rFonts w:ascii="Book Antiqua" w:eastAsia="宋体" w:hAnsi="Book Antiqua" w:cs="Arial"/>
              </w:rPr>
            </w:pPr>
            <w:r>
              <w:rPr>
                <w:rFonts w:ascii="Book Antiqua" w:eastAsia="宋体" w:hAnsi="Book Antiqua" w:cs="Arial"/>
              </w:rPr>
              <w:t>2.8</w:t>
            </w:r>
          </w:p>
        </w:tc>
        <w:tc>
          <w:tcPr>
            <w:tcW w:w="940" w:type="pct"/>
          </w:tcPr>
          <w:p w14:paraId="608FD875"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14:paraId="096FE570" w14:textId="77777777"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Pr>
          <w:p w14:paraId="24C1A081" w14:textId="77777777" w:rsidR="00E8667C" w:rsidRDefault="00A71EF6">
            <w:pPr>
              <w:spacing w:line="360" w:lineRule="auto"/>
              <w:rPr>
                <w:rFonts w:ascii="Book Antiqua" w:eastAsia="宋体" w:hAnsi="Book Antiqua" w:cs="Arial"/>
              </w:rPr>
            </w:pPr>
            <w:r>
              <w:rPr>
                <w:rFonts w:ascii="Book Antiqua" w:eastAsia="宋体" w:hAnsi="Book Antiqua" w:cs="Arial"/>
              </w:rPr>
              <w:t>47, favorable prognosis</w:t>
            </w:r>
          </w:p>
        </w:tc>
      </w:tr>
      <w:tr w:rsidR="00E8667C" w14:paraId="1DB4D5D7" w14:textId="77777777">
        <w:tc>
          <w:tcPr>
            <w:tcW w:w="265" w:type="pct"/>
            <w:tcBorders>
              <w:top w:val="nil"/>
              <w:bottom w:val="nil"/>
            </w:tcBorders>
          </w:tcPr>
          <w:p w14:paraId="66979D54" w14:textId="77777777" w:rsidR="00E8667C" w:rsidRDefault="00A71EF6">
            <w:pPr>
              <w:spacing w:line="360" w:lineRule="auto"/>
              <w:rPr>
                <w:rFonts w:ascii="Book Antiqua" w:eastAsia="宋体" w:hAnsi="Book Antiqua" w:cs="Arial"/>
              </w:rPr>
            </w:pPr>
            <w:r>
              <w:rPr>
                <w:rFonts w:ascii="Book Antiqua" w:eastAsia="宋体" w:hAnsi="Book Antiqua" w:cs="Arial"/>
              </w:rPr>
              <w:t>20</w:t>
            </w:r>
          </w:p>
        </w:tc>
        <w:tc>
          <w:tcPr>
            <w:tcW w:w="474" w:type="pct"/>
            <w:tcBorders>
              <w:top w:val="nil"/>
              <w:bottom w:val="nil"/>
            </w:tcBorders>
          </w:tcPr>
          <w:p w14:paraId="617B7B27" w14:textId="77777777" w:rsidR="00E8667C" w:rsidRDefault="00A71EF6">
            <w:pPr>
              <w:spacing w:line="360" w:lineRule="auto"/>
              <w:rPr>
                <w:rFonts w:ascii="Book Antiqua" w:eastAsia="宋体" w:hAnsi="Book Antiqua" w:cs="Arial"/>
              </w:rPr>
            </w:pPr>
            <w:r>
              <w:rPr>
                <w:rFonts w:ascii="Book Antiqua" w:eastAsia="宋体" w:hAnsi="Book Antiqua" w:cs="Arial"/>
              </w:rPr>
              <w:t>F/41</w:t>
            </w:r>
          </w:p>
        </w:tc>
        <w:tc>
          <w:tcPr>
            <w:tcW w:w="521" w:type="pct"/>
            <w:tcBorders>
              <w:top w:val="nil"/>
              <w:bottom w:val="nil"/>
            </w:tcBorders>
          </w:tcPr>
          <w:p w14:paraId="593066A0"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14:paraId="30DDF1B3" w14:textId="77777777" w:rsidR="00E8667C" w:rsidRDefault="00A71EF6">
            <w:pPr>
              <w:spacing w:line="360" w:lineRule="auto"/>
              <w:rPr>
                <w:rFonts w:ascii="Book Antiqua" w:eastAsia="宋体" w:hAnsi="Book Antiqua" w:cs="Arial"/>
              </w:rPr>
            </w:pPr>
            <w:r>
              <w:rPr>
                <w:rFonts w:ascii="Book Antiqua" w:eastAsia="宋体" w:hAnsi="Book Antiqua" w:cs="Arial"/>
              </w:rPr>
              <w:t>5.0</w:t>
            </w:r>
          </w:p>
        </w:tc>
        <w:tc>
          <w:tcPr>
            <w:tcW w:w="940" w:type="pct"/>
            <w:tcBorders>
              <w:top w:val="nil"/>
              <w:bottom w:val="nil"/>
            </w:tcBorders>
          </w:tcPr>
          <w:p w14:paraId="4D8E373E"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14:paraId="63EA2FD8" w14:textId="77777777"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Borders>
              <w:top w:val="nil"/>
              <w:bottom w:val="nil"/>
            </w:tcBorders>
          </w:tcPr>
          <w:p w14:paraId="2A3A6802" w14:textId="77777777" w:rsidR="00E8667C" w:rsidRDefault="00A71EF6">
            <w:pPr>
              <w:spacing w:line="360" w:lineRule="auto"/>
              <w:rPr>
                <w:rFonts w:ascii="Book Antiqua" w:eastAsia="宋体" w:hAnsi="Book Antiqua" w:cs="Arial"/>
              </w:rPr>
            </w:pPr>
            <w:r>
              <w:rPr>
                <w:rFonts w:ascii="Book Antiqua" w:eastAsia="宋体" w:hAnsi="Book Antiqua" w:cs="Arial"/>
              </w:rPr>
              <w:t>49,</w:t>
            </w:r>
            <w:r>
              <w:rPr>
                <w:rFonts w:ascii="Book Antiqua" w:eastAsia="宋体" w:hAnsi="Book Antiqua" w:cs="Arial" w:hint="eastAsia"/>
                <w:lang w:eastAsia="zh-CN"/>
              </w:rPr>
              <w:t xml:space="preserve"> </w:t>
            </w:r>
            <w:r>
              <w:rPr>
                <w:rFonts w:ascii="Book Antiqua" w:eastAsia="宋体" w:hAnsi="Book Antiqua" w:cs="Arial"/>
              </w:rPr>
              <w:t>reoperation for liver cancer in 2017</w:t>
            </w:r>
          </w:p>
        </w:tc>
      </w:tr>
      <w:tr w:rsidR="00E8667C" w14:paraId="61143C89" w14:textId="77777777">
        <w:tc>
          <w:tcPr>
            <w:tcW w:w="265" w:type="pct"/>
            <w:tcBorders>
              <w:top w:val="nil"/>
              <w:bottom w:val="nil"/>
            </w:tcBorders>
          </w:tcPr>
          <w:p w14:paraId="3D7C6D07" w14:textId="77777777" w:rsidR="00E8667C" w:rsidRDefault="00A71EF6">
            <w:pPr>
              <w:spacing w:line="360" w:lineRule="auto"/>
              <w:rPr>
                <w:rFonts w:ascii="Book Antiqua" w:eastAsia="宋体" w:hAnsi="Book Antiqua" w:cs="Arial"/>
              </w:rPr>
            </w:pPr>
            <w:r>
              <w:rPr>
                <w:rFonts w:ascii="Book Antiqua" w:eastAsia="宋体" w:hAnsi="Book Antiqua" w:cs="Arial"/>
              </w:rPr>
              <w:t>21</w:t>
            </w:r>
          </w:p>
        </w:tc>
        <w:tc>
          <w:tcPr>
            <w:tcW w:w="474" w:type="pct"/>
            <w:tcBorders>
              <w:top w:val="nil"/>
              <w:bottom w:val="nil"/>
            </w:tcBorders>
          </w:tcPr>
          <w:p w14:paraId="696F69CD" w14:textId="77777777" w:rsidR="00E8667C" w:rsidRDefault="00A71EF6">
            <w:pPr>
              <w:spacing w:line="360" w:lineRule="auto"/>
              <w:rPr>
                <w:rFonts w:ascii="Book Antiqua" w:eastAsia="宋体" w:hAnsi="Book Antiqua" w:cs="Arial"/>
              </w:rPr>
            </w:pPr>
            <w:r>
              <w:rPr>
                <w:rFonts w:ascii="Book Antiqua" w:eastAsia="宋体" w:hAnsi="Book Antiqua" w:cs="Arial"/>
              </w:rPr>
              <w:t>M/52</w:t>
            </w:r>
          </w:p>
        </w:tc>
        <w:tc>
          <w:tcPr>
            <w:tcW w:w="521" w:type="pct"/>
            <w:tcBorders>
              <w:top w:val="nil"/>
              <w:bottom w:val="nil"/>
            </w:tcBorders>
          </w:tcPr>
          <w:p w14:paraId="723AC984"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14:paraId="5451CA4F" w14:textId="77777777" w:rsidR="00E8667C" w:rsidRDefault="00A71EF6">
            <w:pPr>
              <w:spacing w:line="360" w:lineRule="auto"/>
              <w:rPr>
                <w:rFonts w:ascii="Book Antiqua" w:eastAsia="宋体" w:hAnsi="Book Antiqua" w:cs="Arial"/>
              </w:rPr>
            </w:pPr>
            <w:r>
              <w:rPr>
                <w:rFonts w:ascii="Book Antiqua" w:eastAsia="宋体" w:hAnsi="Book Antiqua" w:cs="Arial"/>
              </w:rPr>
              <w:t>7.5</w:t>
            </w:r>
          </w:p>
        </w:tc>
        <w:tc>
          <w:tcPr>
            <w:tcW w:w="940" w:type="pct"/>
            <w:tcBorders>
              <w:top w:val="nil"/>
              <w:bottom w:val="nil"/>
            </w:tcBorders>
          </w:tcPr>
          <w:p w14:paraId="60CB0E31"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14:paraId="68EC514E" w14:textId="77777777"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Borders>
              <w:top w:val="nil"/>
              <w:bottom w:val="nil"/>
            </w:tcBorders>
          </w:tcPr>
          <w:p w14:paraId="4CF7FF91" w14:textId="77777777" w:rsidR="00E8667C" w:rsidRDefault="00A71EF6">
            <w:pPr>
              <w:spacing w:line="360" w:lineRule="auto"/>
              <w:rPr>
                <w:rFonts w:ascii="Book Antiqua" w:eastAsia="宋体" w:hAnsi="Book Antiqua" w:cs="Arial"/>
              </w:rPr>
            </w:pPr>
            <w:r>
              <w:rPr>
                <w:rFonts w:ascii="Book Antiqua" w:eastAsia="宋体" w:hAnsi="Book Antiqua" w:cs="Arial"/>
              </w:rPr>
              <w:t>48, favorable prognosis</w:t>
            </w:r>
          </w:p>
        </w:tc>
      </w:tr>
      <w:tr w:rsidR="00E8667C" w14:paraId="33CD32E5" w14:textId="77777777">
        <w:tc>
          <w:tcPr>
            <w:tcW w:w="265" w:type="pct"/>
            <w:tcBorders>
              <w:top w:val="nil"/>
              <w:bottom w:val="nil"/>
            </w:tcBorders>
          </w:tcPr>
          <w:p w14:paraId="60632BF5" w14:textId="77777777" w:rsidR="00E8667C" w:rsidRDefault="00A71EF6">
            <w:pPr>
              <w:spacing w:line="360" w:lineRule="auto"/>
              <w:rPr>
                <w:rFonts w:ascii="Book Antiqua" w:eastAsia="宋体" w:hAnsi="Book Antiqua" w:cs="Arial"/>
              </w:rPr>
            </w:pPr>
            <w:r>
              <w:rPr>
                <w:rFonts w:ascii="Book Antiqua" w:eastAsia="宋体" w:hAnsi="Book Antiqua" w:cs="Arial"/>
              </w:rPr>
              <w:t>22</w:t>
            </w:r>
          </w:p>
        </w:tc>
        <w:tc>
          <w:tcPr>
            <w:tcW w:w="474" w:type="pct"/>
            <w:tcBorders>
              <w:top w:val="nil"/>
              <w:bottom w:val="nil"/>
            </w:tcBorders>
          </w:tcPr>
          <w:p w14:paraId="579A4E30" w14:textId="77777777" w:rsidR="00E8667C" w:rsidRDefault="00A71EF6">
            <w:pPr>
              <w:spacing w:line="360" w:lineRule="auto"/>
              <w:rPr>
                <w:rFonts w:ascii="Book Antiqua" w:eastAsia="宋体" w:hAnsi="Book Antiqua" w:cs="Arial"/>
              </w:rPr>
            </w:pPr>
            <w:r>
              <w:rPr>
                <w:rFonts w:ascii="Book Antiqua" w:eastAsia="宋体" w:hAnsi="Book Antiqua" w:cs="Arial"/>
              </w:rPr>
              <w:t>F/48</w:t>
            </w:r>
          </w:p>
        </w:tc>
        <w:tc>
          <w:tcPr>
            <w:tcW w:w="521" w:type="pct"/>
            <w:tcBorders>
              <w:top w:val="nil"/>
              <w:bottom w:val="nil"/>
            </w:tcBorders>
          </w:tcPr>
          <w:p w14:paraId="55B66EC3" w14:textId="77777777"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Borders>
              <w:top w:val="nil"/>
              <w:bottom w:val="nil"/>
            </w:tcBorders>
          </w:tcPr>
          <w:p w14:paraId="52C41B2F" w14:textId="77777777" w:rsidR="00E8667C" w:rsidRDefault="00A71EF6">
            <w:pPr>
              <w:spacing w:line="360" w:lineRule="auto"/>
              <w:rPr>
                <w:rFonts w:ascii="Book Antiqua" w:eastAsia="宋体" w:hAnsi="Book Antiqua" w:cs="Arial"/>
              </w:rPr>
            </w:pPr>
            <w:r>
              <w:rPr>
                <w:rFonts w:ascii="Book Antiqua" w:eastAsia="宋体" w:hAnsi="Book Antiqua" w:cs="Arial"/>
              </w:rPr>
              <w:t>9.5</w:t>
            </w:r>
          </w:p>
        </w:tc>
        <w:tc>
          <w:tcPr>
            <w:tcW w:w="940" w:type="pct"/>
            <w:tcBorders>
              <w:top w:val="nil"/>
              <w:bottom w:val="nil"/>
            </w:tcBorders>
          </w:tcPr>
          <w:p w14:paraId="4853CCF0" w14:textId="77777777"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Borders>
              <w:top w:val="nil"/>
              <w:bottom w:val="nil"/>
            </w:tcBorders>
          </w:tcPr>
          <w:p w14:paraId="51E9FE7C" w14:textId="77777777" w:rsidR="00E8667C" w:rsidRDefault="00A71EF6">
            <w:pPr>
              <w:spacing w:line="360" w:lineRule="auto"/>
              <w:rPr>
                <w:rFonts w:ascii="Book Antiqua" w:eastAsia="宋体" w:hAnsi="Book Antiqua" w:cs="Arial"/>
              </w:rPr>
            </w:pPr>
            <w:r>
              <w:rPr>
                <w:rFonts w:ascii="Book Antiqua" w:eastAsia="宋体" w:hAnsi="Book Antiqua" w:cs="Arial"/>
              </w:rPr>
              <w:t>Extended right hepatic lobe resection</w:t>
            </w:r>
          </w:p>
        </w:tc>
        <w:tc>
          <w:tcPr>
            <w:tcW w:w="1054" w:type="pct"/>
            <w:tcBorders>
              <w:top w:val="nil"/>
              <w:bottom w:val="nil"/>
            </w:tcBorders>
          </w:tcPr>
          <w:p w14:paraId="18D4B916" w14:textId="77777777" w:rsidR="00E8667C" w:rsidRDefault="00A71EF6">
            <w:pPr>
              <w:spacing w:line="360" w:lineRule="auto"/>
              <w:rPr>
                <w:rFonts w:ascii="Book Antiqua" w:eastAsia="宋体" w:hAnsi="Book Antiqua" w:cs="Arial"/>
              </w:rPr>
            </w:pPr>
            <w:r>
              <w:rPr>
                <w:rFonts w:ascii="Book Antiqua" w:eastAsia="宋体" w:hAnsi="Book Antiqua" w:cs="Arial"/>
              </w:rPr>
              <w:t>71, favorable prognosis</w:t>
            </w:r>
          </w:p>
        </w:tc>
      </w:tr>
      <w:tr w:rsidR="00E8667C" w14:paraId="4FA4D54A" w14:textId="77777777">
        <w:tc>
          <w:tcPr>
            <w:tcW w:w="265" w:type="pct"/>
            <w:tcBorders>
              <w:top w:val="nil"/>
              <w:bottom w:val="nil"/>
            </w:tcBorders>
          </w:tcPr>
          <w:p w14:paraId="622653FB" w14:textId="77777777" w:rsidR="00E8667C" w:rsidRDefault="00A71EF6">
            <w:pPr>
              <w:spacing w:line="360" w:lineRule="auto"/>
              <w:rPr>
                <w:rFonts w:ascii="Book Antiqua" w:eastAsia="宋体" w:hAnsi="Book Antiqua" w:cs="Arial"/>
              </w:rPr>
            </w:pPr>
            <w:r>
              <w:rPr>
                <w:rFonts w:ascii="Book Antiqua" w:eastAsia="宋体" w:hAnsi="Book Antiqua" w:cs="Arial"/>
              </w:rPr>
              <w:t>23</w:t>
            </w:r>
          </w:p>
        </w:tc>
        <w:tc>
          <w:tcPr>
            <w:tcW w:w="474" w:type="pct"/>
            <w:tcBorders>
              <w:top w:val="nil"/>
              <w:bottom w:val="nil"/>
            </w:tcBorders>
          </w:tcPr>
          <w:p w14:paraId="7370A763" w14:textId="77777777" w:rsidR="00E8667C" w:rsidRDefault="00A71EF6">
            <w:pPr>
              <w:spacing w:line="360" w:lineRule="auto"/>
              <w:rPr>
                <w:rFonts w:ascii="Book Antiqua" w:eastAsia="宋体" w:hAnsi="Book Antiqua" w:cs="Arial"/>
              </w:rPr>
            </w:pPr>
            <w:r>
              <w:rPr>
                <w:rFonts w:ascii="Book Antiqua" w:eastAsia="宋体" w:hAnsi="Book Antiqua" w:cs="Arial"/>
              </w:rPr>
              <w:t>M/58</w:t>
            </w:r>
          </w:p>
        </w:tc>
        <w:tc>
          <w:tcPr>
            <w:tcW w:w="521" w:type="pct"/>
            <w:tcBorders>
              <w:top w:val="nil"/>
              <w:bottom w:val="nil"/>
            </w:tcBorders>
          </w:tcPr>
          <w:p w14:paraId="43D26DB0"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14:paraId="7AC6C1FD" w14:textId="77777777" w:rsidR="00E8667C" w:rsidRDefault="00A71EF6">
            <w:pPr>
              <w:spacing w:line="360" w:lineRule="auto"/>
              <w:rPr>
                <w:rFonts w:ascii="Book Antiqua" w:eastAsia="宋体" w:hAnsi="Book Antiqua" w:cs="Arial"/>
              </w:rPr>
            </w:pPr>
            <w:r>
              <w:rPr>
                <w:rFonts w:ascii="Book Antiqua" w:eastAsia="宋体" w:hAnsi="Book Antiqua" w:cs="Arial"/>
              </w:rPr>
              <w:t>4.0</w:t>
            </w:r>
          </w:p>
        </w:tc>
        <w:tc>
          <w:tcPr>
            <w:tcW w:w="940" w:type="pct"/>
            <w:tcBorders>
              <w:top w:val="nil"/>
              <w:bottom w:val="nil"/>
            </w:tcBorders>
          </w:tcPr>
          <w:p w14:paraId="360D0AEF"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14:paraId="2D694EC3" w14:textId="77777777"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Borders>
              <w:top w:val="nil"/>
              <w:bottom w:val="nil"/>
            </w:tcBorders>
          </w:tcPr>
          <w:p w14:paraId="3BFF63CF" w14:textId="77777777" w:rsidR="00E8667C" w:rsidRDefault="00A71EF6">
            <w:pPr>
              <w:spacing w:line="360" w:lineRule="auto"/>
              <w:rPr>
                <w:rFonts w:ascii="Book Antiqua" w:eastAsia="宋体" w:hAnsi="Book Antiqua" w:cs="Arial"/>
              </w:rPr>
            </w:pPr>
            <w:r>
              <w:rPr>
                <w:rFonts w:ascii="Book Antiqua" w:eastAsia="宋体" w:hAnsi="Book Antiqua" w:cs="Arial"/>
              </w:rPr>
              <w:t>70, favorable prognosis</w:t>
            </w:r>
          </w:p>
        </w:tc>
      </w:tr>
      <w:tr w:rsidR="00E8667C" w14:paraId="71D0DC11" w14:textId="77777777">
        <w:tc>
          <w:tcPr>
            <w:tcW w:w="265" w:type="pct"/>
            <w:tcBorders>
              <w:top w:val="nil"/>
              <w:bottom w:val="nil"/>
            </w:tcBorders>
          </w:tcPr>
          <w:p w14:paraId="0197509A" w14:textId="77777777" w:rsidR="00E8667C" w:rsidRDefault="00A71EF6">
            <w:pPr>
              <w:spacing w:line="360" w:lineRule="auto"/>
              <w:rPr>
                <w:rFonts w:ascii="Book Antiqua" w:eastAsia="宋体" w:hAnsi="Book Antiqua" w:cs="Arial"/>
              </w:rPr>
            </w:pPr>
            <w:r>
              <w:rPr>
                <w:rFonts w:ascii="Book Antiqua" w:eastAsia="宋体" w:hAnsi="Book Antiqua" w:cs="Arial"/>
              </w:rPr>
              <w:t>24</w:t>
            </w:r>
          </w:p>
        </w:tc>
        <w:tc>
          <w:tcPr>
            <w:tcW w:w="474" w:type="pct"/>
            <w:tcBorders>
              <w:top w:val="nil"/>
              <w:bottom w:val="nil"/>
            </w:tcBorders>
          </w:tcPr>
          <w:p w14:paraId="24FBD9D2" w14:textId="77777777" w:rsidR="00E8667C" w:rsidRDefault="00A71EF6">
            <w:pPr>
              <w:spacing w:line="360" w:lineRule="auto"/>
              <w:rPr>
                <w:rFonts w:ascii="Book Antiqua" w:eastAsia="宋体" w:hAnsi="Book Antiqua" w:cs="Arial"/>
              </w:rPr>
            </w:pPr>
            <w:r>
              <w:rPr>
                <w:rFonts w:ascii="Book Antiqua" w:eastAsia="宋体" w:hAnsi="Book Antiqua" w:cs="Arial"/>
              </w:rPr>
              <w:t>M/77</w:t>
            </w:r>
          </w:p>
        </w:tc>
        <w:tc>
          <w:tcPr>
            <w:tcW w:w="521" w:type="pct"/>
            <w:tcBorders>
              <w:top w:val="nil"/>
              <w:bottom w:val="nil"/>
            </w:tcBorders>
          </w:tcPr>
          <w:p w14:paraId="6CE017C4"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14:paraId="6BFCB4AC" w14:textId="77777777" w:rsidR="00E8667C" w:rsidRDefault="00A71EF6">
            <w:pPr>
              <w:spacing w:line="360" w:lineRule="auto"/>
              <w:rPr>
                <w:rFonts w:ascii="Book Antiqua" w:eastAsia="宋体" w:hAnsi="Book Antiqua" w:cs="Arial"/>
              </w:rPr>
            </w:pPr>
            <w:r>
              <w:rPr>
                <w:rFonts w:ascii="Book Antiqua" w:eastAsia="宋体" w:hAnsi="Book Antiqua" w:cs="Arial"/>
              </w:rPr>
              <w:t>4.0</w:t>
            </w:r>
          </w:p>
        </w:tc>
        <w:tc>
          <w:tcPr>
            <w:tcW w:w="940" w:type="pct"/>
            <w:tcBorders>
              <w:top w:val="nil"/>
              <w:bottom w:val="nil"/>
            </w:tcBorders>
          </w:tcPr>
          <w:p w14:paraId="58AC1375"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14:paraId="5C735BC6" w14:textId="77777777"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Borders>
              <w:top w:val="nil"/>
              <w:bottom w:val="nil"/>
            </w:tcBorders>
          </w:tcPr>
          <w:p w14:paraId="5094A6D3" w14:textId="77777777" w:rsidR="00E8667C" w:rsidRDefault="00A71EF6">
            <w:pPr>
              <w:spacing w:line="360" w:lineRule="auto"/>
              <w:rPr>
                <w:rFonts w:ascii="Book Antiqua" w:eastAsia="宋体" w:hAnsi="Book Antiqua" w:cs="Arial"/>
              </w:rPr>
            </w:pPr>
            <w:r>
              <w:rPr>
                <w:rFonts w:ascii="Book Antiqua" w:eastAsia="宋体" w:hAnsi="Book Antiqua" w:cs="Arial"/>
              </w:rPr>
              <w:t>47, favorable prognosis</w:t>
            </w:r>
          </w:p>
        </w:tc>
      </w:tr>
      <w:tr w:rsidR="00E8667C" w14:paraId="1B530A07" w14:textId="77777777">
        <w:tc>
          <w:tcPr>
            <w:tcW w:w="265" w:type="pct"/>
            <w:tcBorders>
              <w:top w:val="nil"/>
              <w:bottom w:val="nil"/>
            </w:tcBorders>
          </w:tcPr>
          <w:p w14:paraId="74977C32" w14:textId="77777777" w:rsidR="00E8667C" w:rsidRDefault="00A71EF6">
            <w:pPr>
              <w:spacing w:line="360" w:lineRule="auto"/>
              <w:rPr>
                <w:rFonts w:ascii="Book Antiqua" w:eastAsia="宋体" w:hAnsi="Book Antiqua" w:cs="Arial"/>
              </w:rPr>
            </w:pPr>
            <w:r>
              <w:rPr>
                <w:rFonts w:ascii="Book Antiqua" w:eastAsia="宋体" w:hAnsi="Book Antiqua" w:cs="Arial"/>
              </w:rPr>
              <w:t>25</w:t>
            </w:r>
          </w:p>
        </w:tc>
        <w:tc>
          <w:tcPr>
            <w:tcW w:w="474" w:type="pct"/>
            <w:tcBorders>
              <w:top w:val="nil"/>
              <w:bottom w:val="nil"/>
            </w:tcBorders>
          </w:tcPr>
          <w:p w14:paraId="72848C76" w14:textId="77777777" w:rsidR="00E8667C" w:rsidRDefault="00A71EF6">
            <w:pPr>
              <w:spacing w:line="360" w:lineRule="auto"/>
              <w:rPr>
                <w:rFonts w:ascii="Book Antiqua" w:eastAsia="宋体" w:hAnsi="Book Antiqua" w:cs="Arial"/>
              </w:rPr>
            </w:pPr>
            <w:r>
              <w:rPr>
                <w:rFonts w:ascii="Book Antiqua" w:eastAsia="宋体" w:hAnsi="Book Antiqua" w:cs="Arial"/>
              </w:rPr>
              <w:t>M/62</w:t>
            </w:r>
          </w:p>
        </w:tc>
        <w:tc>
          <w:tcPr>
            <w:tcW w:w="521" w:type="pct"/>
            <w:tcBorders>
              <w:top w:val="nil"/>
              <w:bottom w:val="nil"/>
            </w:tcBorders>
          </w:tcPr>
          <w:p w14:paraId="620D8646"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14:paraId="3BE50B90" w14:textId="77777777" w:rsidR="00E8667C" w:rsidRDefault="00A71EF6">
            <w:pPr>
              <w:spacing w:line="360" w:lineRule="auto"/>
              <w:rPr>
                <w:rFonts w:ascii="Book Antiqua" w:eastAsia="宋体" w:hAnsi="Book Antiqua" w:cs="Arial"/>
              </w:rPr>
            </w:pPr>
            <w:r>
              <w:rPr>
                <w:rFonts w:ascii="Book Antiqua" w:eastAsia="宋体" w:hAnsi="Book Antiqua" w:cs="Arial"/>
              </w:rPr>
              <w:t>6.5</w:t>
            </w:r>
          </w:p>
        </w:tc>
        <w:tc>
          <w:tcPr>
            <w:tcW w:w="940" w:type="pct"/>
            <w:tcBorders>
              <w:top w:val="nil"/>
              <w:bottom w:val="nil"/>
            </w:tcBorders>
          </w:tcPr>
          <w:p w14:paraId="5CF96EE0"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14:paraId="681F5FDD" w14:textId="77777777"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Borders>
              <w:top w:val="nil"/>
              <w:bottom w:val="nil"/>
            </w:tcBorders>
          </w:tcPr>
          <w:p w14:paraId="16AD8EFC" w14:textId="77777777" w:rsidR="00E8667C" w:rsidRDefault="00A71EF6">
            <w:pPr>
              <w:spacing w:line="360" w:lineRule="auto"/>
              <w:rPr>
                <w:rFonts w:ascii="Book Antiqua" w:eastAsia="宋体" w:hAnsi="Book Antiqua" w:cs="Arial"/>
              </w:rPr>
            </w:pPr>
            <w:r>
              <w:rPr>
                <w:rFonts w:ascii="Book Antiqua" w:eastAsia="宋体" w:hAnsi="Book Antiqua" w:cs="Arial"/>
              </w:rPr>
              <w:t>36, favorable prognosis</w:t>
            </w:r>
          </w:p>
        </w:tc>
      </w:tr>
      <w:tr w:rsidR="00E8667C" w14:paraId="22D51D49" w14:textId="77777777">
        <w:tc>
          <w:tcPr>
            <w:tcW w:w="265" w:type="pct"/>
            <w:tcBorders>
              <w:top w:val="nil"/>
              <w:bottom w:val="single" w:sz="4" w:space="0" w:color="auto"/>
            </w:tcBorders>
          </w:tcPr>
          <w:p w14:paraId="5BB47606" w14:textId="77777777" w:rsidR="00E8667C" w:rsidRDefault="00A71EF6">
            <w:pPr>
              <w:spacing w:line="360" w:lineRule="auto"/>
              <w:rPr>
                <w:rFonts w:ascii="Book Antiqua" w:eastAsia="宋体" w:hAnsi="Book Antiqua" w:cs="Arial"/>
              </w:rPr>
            </w:pPr>
            <w:r>
              <w:rPr>
                <w:rFonts w:ascii="Book Antiqua" w:eastAsia="宋体" w:hAnsi="Book Antiqua" w:cs="Arial"/>
              </w:rPr>
              <w:t>26</w:t>
            </w:r>
          </w:p>
        </w:tc>
        <w:tc>
          <w:tcPr>
            <w:tcW w:w="474" w:type="pct"/>
            <w:tcBorders>
              <w:top w:val="nil"/>
              <w:bottom w:val="single" w:sz="4" w:space="0" w:color="auto"/>
            </w:tcBorders>
          </w:tcPr>
          <w:p w14:paraId="3520A8F6" w14:textId="77777777" w:rsidR="00E8667C" w:rsidRDefault="00A71EF6">
            <w:pPr>
              <w:spacing w:line="360" w:lineRule="auto"/>
              <w:rPr>
                <w:rFonts w:ascii="Book Antiqua" w:eastAsia="宋体" w:hAnsi="Book Antiqua" w:cs="Arial"/>
              </w:rPr>
            </w:pPr>
            <w:r>
              <w:rPr>
                <w:rFonts w:ascii="Book Antiqua" w:eastAsia="宋体" w:hAnsi="Book Antiqua" w:cs="Arial"/>
              </w:rPr>
              <w:t>F/45</w:t>
            </w:r>
          </w:p>
        </w:tc>
        <w:tc>
          <w:tcPr>
            <w:tcW w:w="521" w:type="pct"/>
            <w:tcBorders>
              <w:top w:val="nil"/>
              <w:bottom w:val="single" w:sz="4" w:space="0" w:color="auto"/>
            </w:tcBorders>
          </w:tcPr>
          <w:p w14:paraId="40FEA49B" w14:textId="77777777"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single" w:sz="4" w:space="0" w:color="auto"/>
            </w:tcBorders>
          </w:tcPr>
          <w:p w14:paraId="03FDB3D7" w14:textId="77777777" w:rsidR="00E8667C" w:rsidRDefault="00A71EF6">
            <w:pPr>
              <w:spacing w:line="360" w:lineRule="auto"/>
              <w:rPr>
                <w:rFonts w:ascii="Book Antiqua" w:eastAsia="宋体" w:hAnsi="Book Antiqua" w:cs="Arial"/>
              </w:rPr>
            </w:pPr>
            <w:r>
              <w:rPr>
                <w:rFonts w:ascii="Book Antiqua" w:eastAsia="宋体" w:hAnsi="Book Antiqua" w:cs="Arial"/>
              </w:rPr>
              <w:t>3.0</w:t>
            </w:r>
          </w:p>
        </w:tc>
        <w:tc>
          <w:tcPr>
            <w:tcW w:w="940" w:type="pct"/>
            <w:tcBorders>
              <w:top w:val="nil"/>
              <w:bottom w:val="single" w:sz="4" w:space="0" w:color="auto"/>
            </w:tcBorders>
          </w:tcPr>
          <w:p w14:paraId="36E8F74D" w14:textId="77777777"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single" w:sz="4" w:space="0" w:color="auto"/>
            </w:tcBorders>
          </w:tcPr>
          <w:p w14:paraId="226427A8" w14:textId="77777777"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Borders>
              <w:top w:val="nil"/>
              <w:bottom w:val="single" w:sz="4" w:space="0" w:color="auto"/>
            </w:tcBorders>
          </w:tcPr>
          <w:p w14:paraId="775213F9" w14:textId="77777777" w:rsidR="00E8667C" w:rsidRDefault="00A71EF6">
            <w:pPr>
              <w:spacing w:line="360" w:lineRule="auto"/>
              <w:rPr>
                <w:rFonts w:ascii="Book Antiqua" w:eastAsia="宋体" w:hAnsi="Book Antiqua" w:cs="Arial"/>
              </w:rPr>
            </w:pPr>
            <w:r>
              <w:rPr>
                <w:rFonts w:ascii="Book Antiqua" w:eastAsia="宋体" w:hAnsi="Book Antiqua" w:cs="Arial"/>
              </w:rPr>
              <w:t>35, favorable prognosis</w:t>
            </w:r>
          </w:p>
        </w:tc>
      </w:tr>
    </w:tbl>
    <w:p w14:paraId="64D14DA9" w14:textId="77777777" w:rsidR="00E8667C" w:rsidRDefault="00E8667C">
      <w:pPr>
        <w:spacing w:line="360" w:lineRule="auto"/>
        <w:rPr>
          <w:rFonts w:ascii="Book Antiqua" w:eastAsia="宋体" w:hAnsi="Book Antiqua" w:cs="Arial"/>
          <w:b/>
          <w:bCs/>
        </w:rPr>
      </w:pPr>
    </w:p>
    <w:p w14:paraId="4C9D4BEC" w14:textId="77777777" w:rsidR="00E8667C" w:rsidRDefault="00E8667C">
      <w:pPr>
        <w:spacing w:line="360" w:lineRule="auto"/>
        <w:rPr>
          <w:rFonts w:ascii="Book Antiqua" w:eastAsia="宋体" w:hAnsi="Book Antiqua" w:cs="Arial"/>
          <w:b/>
          <w:bCs/>
        </w:rPr>
      </w:pPr>
    </w:p>
    <w:p w14:paraId="49767C6B" w14:textId="77777777" w:rsidR="00E8667C" w:rsidRDefault="00E8667C">
      <w:pPr>
        <w:spacing w:line="360" w:lineRule="auto"/>
        <w:rPr>
          <w:rFonts w:ascii="Book Antiqua" w:eastAsia="宋体" w:hAnsi="Book Antiqua" w:cs="Arial"/>
          <w:b/>
          <w:bCs/>
        </w:rPr>
        <w:sectPr w:rsidR="00E8667C">
          <w:pgSz w:w="15840" w:h="12240" w:orient="landscape"/>
          <w:pgMar w:top="1440" w:right="1440" w:bottom="1440" w:left="1440" w:header="720" w:footer="720" w:gutter="0"/>
          <w:cols w:space="720"/>
          <w:docGrid w:linePitch="360"/>
        </w:sectPr>
      </w:pPr>
    </w:p>
    <w:p w14:paraId="618FECFC" w14:textId="77777777" w:rsidR="00E8667C" w:rsidRDefault="00A71EF6">
      <w:pPr>
        <w:spacing w:line="360" w:lineRule="auto"/>
        <w:rPr>
          <w:rFonts w:ascii="Book Antiqua" w:eastAsia="宋体" w:hAnsi="Book Antiqua" w:cs="Arial"/>
        </w:rPr>
      </w:pPr>
      <w:r>
        <w:rPr>
          <w:rFonts w:ascii="Book Antiqua" w:eastAsia="宋体" w:hAnsi="Book Antiqua" w:cs="Arial"/>
          <w:b/>
          <w:bCs/>
        </w:rPr>
        <w:lastRenderedPageBreak/>
        <w:t>Table 3 Immunohistochemical features of the 26 cases of hepatic PEComa</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989"/>
        <w:gridCol w:w="2346"/>
      </w:tblGrid>
      <w:tr w:rsidR="00E8667C" w14:paraId="592E11DF" w14:textId="77777777">
        <w:tc>
          <w:tcPr>
            <w:tcW w:w="1543" w:type="dxa"/>
            <w:tcBorders>
              <w:left w:val="nil"/>
              <w:right w:val="nil"/>
            </w:tcBorders>
          </w:tcPr>
          <w:p w14:paraId="698370C3" w14:textId="77777777" w:rsidR="00E8667C" w:rsidRDefault="00A71EF6">
            <w:pPr>
              <w:spacing w:line="360" w:lineRule="auto"/>
              <w:rPr>
                <w:rFonts w:ascii="Book Antiqua" w:eastAsia="Times New Roman" w:hAnsi="Book Antiqua" w:cs="Arial"/>
                <w:b/>
                <w:bCs/>
                <w:color w:val="000000"/>
              </w:rPr>
            </w:pPr>
            <w:r>
              <w:rPr>
                <w:rFonts w:ascii="Book Antiqua" w:eastAsia="Times New Roman" w:hAnsi="Book Antiqua" w:cs="Arial"/>
                <w:b/>
                <w:bCs/>
                <w:color w:val="000000"/>
              </w:rPr>
              <w:t>Target protein</w:t>
            </w:r>
          </w:p>
        </w:tc>
        <w:tc>
          <w:tcPr>
            <w:tcW w:w="2989" w:type="dxa"/>
            <w:tcBorders>
              <w:left w:val="nil"/>
              <w:right w:val="nil"/>
            </w:tcBorders>
          </w:tcPr>
          <w:p w14:paraId="7289D449" w14:textId="77777777" w:rsidR="00E8667C" w:rsidRDefault="00A71EF6">
            <w:pPr>
              <w:spacing w:line="360" w:lineRule="auto"/>
              <w:rPr>
                <w:rFonts w:ascii="Book Antiqua" w:eastAsia="Times New Roman" w:hAnsi="Book Antiqua" w:cs="Arial"/>
                <w:b/>
                <w:bCs/>
                <w:color w:val="000000"/>
              </w:rPr>
            </w:pPr>
            <w:r>
              <w:rPr>
                <w:rFonts w:ascii="Book Antiqua" w:eastAsia="Times New Roman" w:hAnsi="Book Antiqua" w:cs="Arial"/>
                <w:b/>
                <w:bCs/>
                <w:color w:val="000000"/>
              </w:rPr>
              <w:t>Positive cases (</w:t>
            </w:r>
            <w:r>
              <w:rPr>
                <w:rFonts w:ascii="Book Antiqua" w:eastAsia="Times New Roman" w:hAnsi="Book Antiqua" w:cs="Arial"/>
                <w:b/>
                <w:bCs/>
                <w:i/>
                <w:iCs/>
                <w:color w:val="000000"/>
              </w:rPr>
              <w:t>n</w:t>
            </w:r>
            <w:r>
              <w:rPr>
                <w:rFonts w:ascii="Book Antiqua" w:eastAsia="Times New Roman" w:hAnsi="Book Antiqua" w:cs="Arial"/>
                <w:b/>
                <w:bCs/>
                <w:color w:val="000000"/>
              </w:rPr>
              <w:t>)/total</w:t>
            </w:r>
          </w:p>
        </w:tc>
        <w:tc>
          <w:tcPr>
            <w:tcW w:w="2346" w:type="dxa"/>
            <w:tcBorders>
              <w:left w:val="nil"/>
              <w:right w:val="nil"/>
            </w:tcBorders>
          </w:tcPr>
          <w:p w14:paraId="2CA1E07E" w14:textId="77777777" w:rsidR="00E8667C" w:rsidRDefault="00A71EF6">
            <w:pPr>
              <w:spacing w:line="360" w:lineRule="auto"/>
              <w:rPr>
                <w:rFonts w:ascii="Book Antiqua" w:eastAsia="Times New Roman" w:hAnsi="Book Antiqua" w:cs="Arial"/>
                <w:b/>
                <w:bCs/>
                <w:color w:val="000000"/>
              </w:rPr>
            </w:pPr>
            <w:r>
              <w:rPr>
                <w:rFonts w:ascii="Book Antiqua" w:eastAsia="Times New Roman" w:hAnsi="Book Antiqua" w:cs="Arial"/>
                <w:b/>
                <w:bCs/>
                <w:color w:val="000000"/>
              </w:rPr>
              <w:t>% Positive</w:t>
            </w:r>
          </w:p>
        </w:tc>
      </w:tr>
      <w:tr w:rsidR="00E8667C" w14:paraId="1887A6E8" w14:textId="77777777">
        <w:tc>
          <w:tcPr>
            <w:tcW w:w="1543" w:type="dxa"/>
            <w:tcBorders>
              <w:left w:val="nil"/>
              <w:bottom w:val="nil"/>
              <w:right w:val="nil"/>
            </w:tcBorders>
          </w:tcPr>
          <w:p w14:paraId="57707885" w14:textId="77777777" w:rsidR="00E8667C" w:rsidRDefault="00A71EF6">
            <w:pPr>
              <w:spacing w:line="360" w:lineRule="auto"/>
              <w:rPr>
                <w:rFonts w:ascii="Book Antiqua" w:eastAsia="宋体" w:hAnsi="Book Antiqua" w:cs="Arial"/>
              </w:rPr>
            </w:pPr>
            <w:r>
              <w:rPr>
                <w:rFonts w:ascii="Book Antiqua" w:eastAsia="宋体" w:hAnsi="Book Antiqua" w:cs="Arial"/>
              </w:rPr>
              <w:t>HMB45</w:t>
            </w:r>
          </w:p>
        </w:tc>
        <w:tc>
          <w:tcPr>
            <w:tcW w:w="2989" w:type="dxa"/>
            <w:tcBorders>
              <w:left w:val="nil"/>
              <w:bottom w:val="nil"/>
              <w:right w:val="nil"/>
            </w:tcBorders>
          </w:tcPr>
          <w:p w14:paraId="10CC5E5C" w14:textId="77777777" w:rsidR="00E8667C" w:rsidRDefault="00A71EF6">
            <w:pPr>
              <w:spacing w:line="360" w:lineRule="auto"/>
              <w:rPr>
                <w:rFonts w:ascii="Book Antiqua" w:eastAsia="宋体" w:hAnsi="Book Antiqua" w:cs="Arial"/>
              </w:rPr>
            </w:pPr>
            <w:r>
              <w:rPr>
                <w:rFonts w:ascii="Book Antiqua" w:eastAsia="宋体" w:hAnsi="Book Antiqua" w:cs="Arial"/>
              </w:rPr>
              <w:t>25/26</w:t>
            </w:r>
          </w:p>
        </w:tc>
        <w:tc>
          <w:tcPr>
            <w:tcW w:w="2346" w:type="dxa"/>
            <w:tcBorders>
              <w:left w:val="nil"/>
              <w:bottom w:val="nil"/>
              <w:right w:val="nil"/>
            </w:tcBorders>
          </w:tcPr>
          <w:p w14:paraId="0B4CB34F" w14:textId="77777777" w:rsidR="00E8667C" w:rsidRDefault="00A71EF6">
            <w:pPr>
              <w:spacing w:line="360" w:lineRule="auto"/>
              <w:rPr>
                <w:rFonts w:ascii="Book Antiqua" w:eastAsia="宋体" w:hAnsi="Book Antiqua" w:cs="Arial"/>
              </w:rPr>
            </w:pPr>
            <w:r>
              <w:rPr>
                <w:rFonts w:ascii="Book Antiqua" w:eastAsia="宋体" w:hAnsi="Book Antiqua" w:cs="Arial"/>
              </w:rPr>
              <w:t>96.2</w:t>
            </w:r>
          </w:p>
        </w:tc>
      </w:tr>
      <w:tr w:rsidR="00E8667C" w14:paraId="28BEE872" w14:textId="77777777">
        <w:tc>
          <w:tcPr>
            <w:tcW w:w="1543" w:type="dxa"/>
            <w:tcBorders>
              <w:top w:val="nil"/>
              <w:left w:val="nil"/>
              <w:bottom w:val="nil"/>
              <w:right w:val="nil"/>
            </w:tcBorders>
          </w:tcPr>
          <w:p w14:paraId="271AD784" w14:textId="77777777" w:rsidR="00E8667C" w:rsidRDefault="00A71EF6">
            <w:pPr>
              <w:spacing w:line="360" w:lineRule="auto"/>
              <w:rPr>
                <w:rFonts w:ascii="Book Antiqua" w:eastAsia="宋体" w:hAnsi="Book Antiqua" w:cs="Arial"/>
              </w:rPr>
            </w:pPr>
            <w:r>
              <w:rPr>
                <w:rFonts w:ascii="Book Antiqua" w:eastAsia="宋体" w:hAnsi="Book Antiqua" w:cs="Arial"/>
              </w:rPr>
              <w:t>Melan-A</w:t>
            </w:r>
          </w:p>
        </w:tc>
        <w:tc>
          <w:tcPr>
            <w:tcW w:w="2989" w:type="dxa"/>
            <w:tcBorders>
              <w:top w:val="nil"/>
              <w:left w:val="nil"/>
              <w:bottom w:val="nil"/>
              <w:right w:val="nil"/>
            </w:tcBorders>
          </w:tcPr>
          <w:p w14:paraId="4BCAB67F" w14:textId="77777777" w:rsidR="00E8667C" w:rsidRDefault="00A71EF6">
            <w:pPr>
              <w:spacing w:line="360" w:lineRule="auto"/>
              <w:rPr>
                <w:rFonts w:ascii="Book Antiqua" w:eastAsia="宋体" w:hAnsi="Book Antiqua" w:cs="Arial"/>
              </w:rPr>
            </w:pPr>
            <w:r>
              <w:rPr>
                <w:rFonts w:ascii="Book Antiqua" w:eastAsia="宋体" w:hAnsi="Book Antiqua" w:cs="Arial"/>
              </w:rPr>
              <w:t>23/26</w:t>
            </w:r>
          </w:p>
        </w:tc>
        <w:tc>
          <w:tcPr>
            <w:tcW w:w="2346" w:type="dxa"/>
            <w:tcBorders>
              <w:top w:val="nil"/>
              <w:left w:val="nil"/>
              <w:bottom w:val="nil"/>
              <w:right w:val="nil"/>
            </w:tcBorders>
          </w:tcPr>
          <w:p w14:paraId="3AC81448" w14:textId="77777777" w:rsidR="00E8667C" w:rsidRDefault="00A71EF6">
            <w:pPr>
              <w:spacing w:line="360" w:lineRule="auto"/>
              <w:rPr>
                <w:rFonts w:ascii="Book Antiqua" w:eastAsia="宋体" w:hAnsi="Book Antiqua" w:cs="Arial"/>
              </w:rPr>
            </w:pPr>
            <w:r>
              <w:rPr>
                <w:rFonts w:ascii="Book Antiqua" w:eastAsia="宋体" w:hAnsi="Book Antiqua" w:cs="Arial"/>
              </w:rPr>
              <w:t>88.5</w:t>
            </w:r>
          </w:p>
        </w:tc>
      </w:tr>
      <w:tr w:rsidR="00E8667C" w14:paraId="42AC5B3F" w14:textId="77777777">
        <w:tc>
          <w:tcPr>
            <w:tcW w:w="1543" w:type="dxa"/>
            <w:tcBorders>
              <w:top w:val="nil"/>
              <w:left w:val="nil"/>
              <w:bottom w:val="nil"/>
              <w:right w:val="nil"/>
            </w:tcBorders>
          </w:tcPr>
          <w:p w14:paraId="3EE83288" w14:textId="77777777" w:rsidR="00E8667C" w:rsidRDefault="00A71EF6">
            <w:pPr>
              <w:spacing w:line="360" w:lineRule="auto"/>
              <w:rPr>
                <w:rFonts w:ascii="Book Antiqua" w:eastAsia="宋体" w:hAnsi="Book Antiqua" w:cs="Arial"/>
              </w:rPr>
            </w:pPr>
            <w:r>
              <w:rPr>
                <w:rFonts w:ascii="Book Antiqua" w:eastAsia="宋体" w:hAnsi="Book Antiqua" w:cs="Arial"/>
              </w:rPr>
              <w:t>SMA</w:t>
            </w:r>
          </w:p>
        </w:tc>
        <w:tc>
          <w:tcPr>
            <w:tcW w:w="2989" w:type="dxa"/>
            <w:tcBorders>
              <w:top w:val="nil"/>
              <w:left w:val="nil"/>
              <w:bottom w:val="nil"/>
              <w:right w:val="nil"/>
            </w:tcBorders>
          </w:tcPr>
          <w:p w14:paraId="6CE7726E" w14:textId="77777777" w:rsidR="00E8667C" w:rsidRDefault="00A71EF6">
            <w:pPr>
              <w:spacing w:line="360" w:lineRule="auto"/>
              <w:rPr>
                <w:rFonts w:ascii="Book Antiqua" w:eastAsia="宋体" w:hAnsi="Book Antiqua" w:cs="Arial"/>
              </w:rPr>
            </w:pPr>
            <w:r>
              <w:rPr>
                <w:rFonts w:ascii="Book Antiqua" w:eastAsia="宋体" w:hAnsi="Book Antiqua" w:cs="Arial"/>
              </w:rPr>
              <w:t>22/26</w:t>
            </w:r>
          </w:p>
        </w:tc>
        <w:tc>
          <w:tcPr>
            <w:tcW w:w="2346" w:type="dxa"/>
            <w:tcBorders>
              <w:top w:val="nil"/>
              <w:left w:val="nil"/>
              <w:bottom w:val="nil"/>
              <w:right w:val="nil"/>
            </w:tcBorders>
          </w:tcPr>
          <w:p w14:paraId="061DDCCD" w14:textId="77777777" w:rsidR="00E8667C" w:rsidRDefault="00A71EF6">
            <w:pPr>
              <w:spacing w:line="360" w:lineRule="auto"/>
              <w:rPr>
                <w:rFonts w:ascii="Book Antiqua" w:eastAsia="宋体" w:hAnsi="Book Antiqua" w:cs="Arial"/>
              </w:rPr>
            </w:pPr>
            <w:r>
              <w:rPr>
                <w:rFonts w:ascii="Book Antiqua" w:eastAsia="宋体" w:hAnsi="Book Antiqua" w:cs="Arial"/>
              </w:rPr>
              <w:t>83.6</w:t>
            </w:r>
          </w:p>
        </w:tc>
      </w:tr>
      <w:tr w:rsidR="00E8667C" w14:paraId="49EFE552" w14:textId="77777777">
        <w:tc>
          <w:tcPr>
            <w:tcW w:w="1543" w:type="dxa"/>
            <w:tcBorders>
              <w:top w:val="nil"/>
              <w:left w:val="nil"/>
              <w:bottom w:val="nil"/>
              <w:right w:val="nil"/>
            </w:tcBorders>
          </w:tcPr>
          <w:p w14:paraId="69355142" w14:textId="77777777" w:rsidR="00E8667C" w:rsidRDefault="00A71EF6">
            <w:pPr>
              <w:spacing w:line="360" w:lineRule="auto"/>
              <w:rPr>
                <w:rFonts w:ascii="Book Antiqua" w:eastAsia="宋体" w:hAnsi="Book Antiqua" w:cs="Arial"/>
              </w:rPr>
            </w:pPr>
            <w:r>
              <w:rPr>
                <w:rFonts w:ascii="Book Antiqua" w:eastAsia="宋体" w:hAnsi="Book Antiqua" w:cs="Arial"/>
              </w:rPr>
              <w:t>Desmin</w:t>
            </w:r>
          </w:p>
        </w:tc>
        <w:tc>
          <w:tcPr>
            <w:tcW w:w="2989" w:type="dxa"/>
            <w:tcBorders>
              <w:top w:val="nil"/>
              <w:left w:val="nil"/>
              <w:bottom w:val="nil"/>
              <w:right w:val="nil"/>
            </w:tcBorders>
          </w:tcPr>
          <w:p w14:paraId="3D7B34DB" w14:textId="77777777" w:rsidR="00E8667C" w:rsidRDefault="00A71EF6">
            <w:pPr>
              <w:spacing w:line="360" w:lineRule="auto"/>
              <w:rPr>
                <w:rFonts w:ascii="Book Antiqua" w:eastAsia="宋体" w:hAnsi="Book Antiqua" w:cs="Arial"/>
              </w:rPr>
            </w:pPr>
            <w:r>
              <w:rPr>
                <w:rFonts w:ascii="Book Antiqua" w:eastAsia="宋体" w:hAnsi="Book Antiqua" w:cs="Arial"/>
              </w:rPr>
              <w:t>1/26*</w:t>
            </w:r>
          </w:p>
        </w:tc>
        <w:tc>
          <w:tcPr>
            <w:tcW w:w="2346" w:type="dxa"/>
            <w:tcBorders>
              <w:top w:val="nil"/>
              <w:left w:val="nil"/>
              <w:bottom w:val="nil"/>
              <w:right w:val="nil"/>
            </w:tcBorders>
          </w:tcPr>
          <w:p w14:paraId="3AA79445" w14:textId="77777777" w:rsidR="00E8667C" w:rsidRDefault="00A71EF6">
            <w:pPr>
              <w:spacing w:line="360" w:lineRule="auto"/>
              <w:rPr>
                <w:rFonts w:ascii="Book Antiqua" w:eastAsia="宋体" w:hAnsi="Book Antiqua" w:cs="Arial"/>
              </w:rPr>
            </w:pPr>
            <w:r>
              <w:rPr>
                <w:rFonts w:ascii="Book Antiqua" w:eastAsia="宋体" w:hAnsi="Book Antiqua" w:cs="Arial"/>
              </w:rPr>
              <w:t>3.8</w:t>
            </w:r>
          </w:p>
        </w:tc>
      </w:tr>
      <w:tr w:rsidR="00E8667C" w14:paraId="77159B5A" w14:textId="77777777">
        <w:tc>
          <w:tcPr>
            <w:tcW w:w="1543" w:type="dxa"/>
            <w:tcBorders>
              <w:top w:val="nil"/>
              <w:left w:val="nil"/>
              <w:bottom w:val="nil"/>
              <w:right w:val="nil"/>
            </w:tcBorders>
          </w:tcPr>
          <w:p w14:paraId="133D54DB" w14:textId="77777777" w:rsidR="00E8667C" w:rsidRDefault="00A71EF6">
            <w:pPr>
              <w:spacing w:line="360" w:lineRule="auto"/>
              <w:rPr>
                <w:rFonts w:ascii="Book Antiqua" w:eastAsia="宋体" w:hAnsi="Book Antiqua" w:cs="Arial"/>
              </w:rPr>
            </w:pPr>
            <w:r>
              <w:rPr>
                <w:rFonts w:ascii="Book Antiqua" w:eastAsia="宋体" w:hAnsi="Book Antiqua" w:cs="Arial"/>
              </w:rPr>
              <w:t>S100</w:t>
            </w:r>
          </w:p>
        </w:tc>
        <w:tc>
          <w:tcPr>
            <w:tcW w:w="2989" w:type="dxa"/>
            <w:tcBorders>
              <w:top w:val="nil"/>
              <w:left w:val="nil"/>
              <w:bottom w:val="nil"/>
              <w:right w:val="nil"/>
            </w:tcBorders>
          </w:tcPr>
          <w:p w14:paraId="32ED15C6" w14:textId="77777777" w:rsidR="00E8667C" w:rsidRDefault="00A71EF6">
            <w:pPr>
              <w:spacing w:line="360" w:lineRule="auto"/>
              <w:rPr>
                <w:rFonts w:ascii="Book Antiqua" w:eastAsia="宋体" w:hAnsi="Book Antiqua" w:cs="Arial"/>
              </w:rPr>
            </w:pPr>
            <w:r>
              <w:rPr>
                <w:rFonts w:ascii="Book Antiqua" w:eastAsia="宋体" w:hAnsi="Book Antiqua" w:cs="Arial"/>
              </w:rPr>
              <w:t>14/26</w:t>
            </w:r>
          </w:p>
        </w:tc>
        <w:tc>
          <w:tcPr>
            <w:tcW w:w="2346" w:type="dxa"/>
            <w:tcBorders>
              <w:top w:val="nil"/>
              <w:left w:val="nil"/>
              <w:bottom w:val="nil"/>
              <w:right w:val="nil"/>
            </w:tcBorders>
          </w:tcPr>
          <w:p w14:paraId="4C6919F5" w14:textId="77777777" w:rsidR="00E8667C" w:rsidRDefault="00A71EF6">
            <w:pPr>
              <w:spacing w:line="360" w:lineRule="auto"/>
              <w:rPr>
                <w:rFonts w:ascii="Book Antiqua" w:eastAsia="宋体" w:hAnsi="Book Antiqua" w:cs="Arial"/>
              </w:rPr>
            </w:pPr>
            <w:r>
              <w:rPr>
                <w:rFonts w:ascii="Book Antiqua" w:eastAsia="宋体" w:hAnsi="Book Antiqua" w:cs="Arial"/>
              </w:rPr>
              <w:t>53.8</w:t>
            </w:r>
          </w:p>
        </w:tc>
      </w:tr>
      <w:tr w:rsidR="00E8667C" w14:paraId="3251A851" w14:textId="77777777">
        <w:tc>
          <w:tcPr>
            <w:tcW w:w="1543" w:type="dxa"/>
            <w:tcBorders>
              <w:top w:val="nil"/>
              <w:left w:val="nil"/>
              <w:bottom w:val="nil"/>
              <w:right w:val="nil"/>
            </w:tcBorders>
          </w:tcPr>
          <w:p w14:paraId="12F5B340" w14:textId="77777777" w:rsidR="00E8667C" w:rsidRDefault="00A71EF6">
            <w:pPr>
              <w:spacing w:line="360" w:lineRule="auto"/>
              <w:rPr>
                <w:rFonts w:ascii="Book Antiqua" w:eastAsia="宋体" w:hAnsi="Book Antiqua" w:cs="Arial"/>
              </w:rPr>
            </w:pPr>
            <w:r>
              <w:rPr>
                <w:rFonts w:ascii="Book Antiqua" w:eastAsia="宋体" w:hAnsi="Book Antiqua" w:cs="Arial"/>
              </w:rPr>
              <w:t>Hepatocyte</w:t>
            </w:r>
          </w:p>
        </w:tc>
        <w:tc>
          <w:tcPr>
            <w:tcW w:w="2989" w:type="dxa"/>
            <w:tcBorders>
              <w:top w:val="nil"/>
              <w:left w:val="nil"/>
              <w:bottom w:val="nil"/>
              <w:right w:val="nil"/>
            </w:tcBorders>
          </w:tcPr>
          <w:p w14:paraId="76EA52EC" w14:textId="77777777" w:rsidR="00E8667C" w:rsidRDefault="00A71EF6">
            <w:pPr>
              <w:spacing w:line="360" w:lineRule="auto"/>
              <w:rPr>
                <w:rFonts w:ascii="Book Antiqua" w:eastAsia="宋体" w:hAnsi="Book Antiqua" w:cs="Arial"/>
              </w:rPr>
            </w:pPr>
            <w:r>
              <w:rPr>
                <w:rFonts w:ascii="Book Antiqua" w:eastAsia="宋体" w:hAnsi="Book Antiqua" w:cs="Arial"/>
              </w:rPr>
              <w:t>9/26</w:t>
            </w:r>
          </w:p>
        </w:tc>
        <w:tc>
          <w:tcPr>
            <w:tcW w:w="2346" w:type="dxa"/>
            <w:tcBorders>
              <w:top w:val="nil"/>
              <w:left w:val="nil"/>
              <w:bottom w:val="nil"/>
              <w:right w:val="nil"/>
            </w:tcBorders>
          </w:tcPr>
          <w:p w14:paraId="167C1C2D" w14:textId="77777777" w:rsidR="00E8667C" w:rsidRDefault="00A71EF6">
            <w:pPr>
              <w:spacing w:line="360" w:lineRule="auto"/>
              <w:rPr>
                <w:rFonts w:ascii="Book Antiqua" w:eastAsia="宋体" w:hAnsi="Book Antiqua" w:cs="Arial"/>
              </w:rPr>
            </w:pPr>
            <w:r>
              <w:rPr>
                <w:rFonts w:ascii="Book Antiqua" w:eastAsia="宋体" w:hAnsi="Book Antiqua" w:cs="Arial"/>
              </w:rPr>
              <w:t>34.6</w:t>
            </w:r>
          </w:p>
        </w:tc>
      </w:tr>
      <w:tr w:rsidR="00E8667C" w14:paraId="174BEBA0" w14:textId="77777777">
        <w:tc>
          <w:tcPr>
            <w:tcW w:w="1543" w:type="dxa"/>
            <w:tcBorders>
              <w:top w:val="nil"/>
              <w:left w:val="nil"/>
              <w:bottom w:val="nil"/>
              <w:right w:val="nil"/>
            </w:tcBorders>
          </w:tcPr>
          <w:p w14:paraId="01B2E739" w14:textId="77777777" w:rsidR="00E8667C" w:rsidRDefault="00A71EF6">
            <w:pPr>
              <w:spacing w:line="360" w:lineRule="auto"/>
              <w:rPr>
                <w:rFonts w:ascii="Book Antiqua" w:eastAsia="宋体" w:hAnsi="Book Antiqua" w:cs="Arial"/>
              </w:rPr>
            </w:pPr>
            <w:r>
              <w:rPr>
                <w:rFonts w:ascii="Book Antiqua" w:eastAsia="宋体" w:hAnsi="Book Antiqua" w:cs="Arial"/>
              </w:rPr>
              <w:t>Vimentin</w:t>
            </w:r>
          </w:p>
        </w:tc>
        <w:tc>
          <w:tcPr>
            <w:tcW w:w="2989" w:type="dxa"/>
            <w:tcBorders>
              <w:top w:val="nil"/>
              <w:left w:val="nil"/>
              <w:bottom w:val="nil"/>
              <w:right w:val="nil"/>
            </w:tcBorders>
          </w:tcPr>
          <w:p w14:paraId="475D273C" w14:textId="77777777" w:rsidR="00E8667C" w:rsidRDefault="00A71EF6">
            <w:pPr>
              <w:spacing w:line="360" w:lineRule="auto"/>
              <w:rPr>
                <w:rFonts w:ascii="Book Antiqua" w:eastAsia="宋体" w:hAnsi="Book Antiqua" w:cs="Arial"/>
              </w:rPr>
            </w:pPr>
            <w:r>
              <w:rPr>
                <w:rFonts w:ascii="Book Antiqua" w:eastAsia="宋体" w:hAnsi="Book Antiqua" w:cs="Arial"/>
              </w:rPr>
              <w:t>20/26</w:t>
            </w:r>
          </w:p>
        </w:tc>
        <w:tc>
          <w:tcPr>
            <w:tcW w:w="2346" w:type="dxa"/>
            <w:tcBorders>
              <w:top w:val="nil"/>
              <w:left w:val="nil"/>
              <w:bottom w:val="nil"/>
              <w:right w:val="nil"/>
            </w:tcBorders>
          </w:tcPr>
          <w:p w14:paraId="5BB7051C" w14:textId="77777777" w:rsidR="00E8667C" w:rsidRDefault="00A71EF6">
            <w:pPr>
              <w:spacing w:line="360" w:lineRule="auto"/>
              <w:rPr>
                <w:rFonts w:ascii="Book Antiqua" w:eastAsia="宋体" w:hAnsi="Book Antiqua" w:cs="Arial"/>
              </w:rPr>
            </w:pPr>
            <w:r>
              <w:rPr>
                <w:rFonts w:ascii="Book Antiqua" w:eastAsia="宋体" w:hAnsi="Book Antiqua" w:cs="Arial"/>
              </w:rPr>
              <w:t>76.9</w:t>
            </w:r>
          </w:p>
        </w:tc>
      </w:tr>
      <w:tr w:rsidR="00E8667C" w14:paraId="2194001A" w14:textId="77777777">
        <w:tc>
          <w:tcPr>
            <w:tcW w:w="1543" w:type="dxa"/>
            <w:tcBorders>
              <w:top w:val="nil"/>
              <w:left w:val="nil"/>
              <w:bottom w:val="nil"/>
              <w:right w:val="nil"/>
            </w:tcBorders>
          </w:tcPr>
          <w:p w14:paraId="569B148B" w14:textId="77777777" w:rsidR="00E8667C" w:rsidRDefault="00A71EF6">
            <w:pPr>
              <w:spacing w:line="360" w:lineRule="auto"/>
              <w:rPr>
                <w:rFonts w:ascii="Book Antiqua" w:eastAsia="宋体" w:hAnsi="Book Antiqua" w:cs="Arial"/>
              </w:rPr>
            </w:pPr>
            <w:r>
              <w:rPr>
                <w:rFonts w:ascii="Book Antiqua" w:eastAsia="宋体" w:hAnsi="Book Antiqua" w:cs="Arial"/>
              </w:rPr>
              <w:t>CD34</w:t>
            </w:r>
          </w:p>
        </w:tc>
        <w:tc>
          <w:tcPr>
            <w:tcW w:w="2989" w:type="dxa"/>
            <w:tcBorders>
              <w:top w:val="nil"/>
              <w:left w:val="nil"/>
              <w:bottom w:val="nil"/>
              <w:right w:val="nil"/>
            </w:tcBorders>
          </w:tcPr>
          <w:p w14:paraId="166FF3E9" w14:textId="77777777" w:rsidR="00E8667C" w:rsidRDefault="00A71EF6">
            <w:pPr>
              <w:spacing w:line="360" w:lineRule="auto"/>
              <w:rPr>
                <w:rFonts w:ascii="Book Antiqua" w:eastAsia="宋体" w:hAnsi="Book Antiqua" w:cs="Arial"/>
              </w:rPr>
            </w:pPr>
            <w:r>
              <w:rPr>
                <w:rFonts w:ascii="Book Antiqua" w:eastAsia="宋体" w:hAnsi="Book Antiqua" w:cs="Arial"/>
              </w:rPr>
              <w:t>18/26</w:t>
            </w:r>
          </w:p>
        </w:tc>
        <w:tc>
          <w:tcPr>
            <w:tcW w:w="2346" w:type="dxa"/>
            <w:tcBorders>
              <w:top w:val="nil"/>
              <w:left w:val="nil"/>
              <w:bottom w:val="nil"/>
              <w:right w:val="nil"/>
            </w:tcBorders>
          </w:tcPr>
          <w:p w14:paraId="5FECFC32" w14:textId="77777777" w:rsidR="00E8667C" w:rsidRDefault="00A71EF6">
            <w:pPr>
              <w:spacing w:line="360" w:lineRule="auto"/>
              <w:rPr>
                <w:rFonts w:ascii="Book Antiqua" w:eastAsia="宋体" w:hAnsi="Book Antiqua" w:cs="Arial"/>
              </w:rPr>
            </w:pPr>
            <w:r>
              <w:rPr>
                <w:rFonts w:ascii="Book Antiqua" w:eastAsia="宋体" w:hAnsi="Book Antiqua" w:cs="Arial"/>
              </w:rPr>
              <w:t>69.2</w:t>
            </w:r>
          </w:p>
        </w:tc>
      </w:tr>
      <w:tr w:rsidR="00E8667C" w14:paraId="590955E3" w14:textId="77777777">
        <w:tc>
          <w:tcPr>
            <w:tcW w:w="1543" w:type="dxa"/>
            <w:tcBorders>
              <w:top w:val="nil"/>
              <w:left w:val="nil"/>
              <w:bottom w:val="nil"/>
              <w:right w:val="nil"/>
            </w:tcBorders>
          </w:tcPr>
          <w:p w14:paraId="45D4BB8A" w14:textId="77777777" w:rsidR="00E8667C" w:rsidRDefault="00A71EF6">
            <w:pPr>
              <w:spacing w:line="360" w:lineRule="auto"/>
              <w:rPr>
                <w:rFonts w:ascii="Book Antiqua" w:eastAsia="宋体" w:hAnsi="Book Antiqua" w:cs="Arial"/>
              </w:rPr>
            </w:pPr>
            <w:r>
              <w:rPr>
                <w:rFonts w:ascii="Book Antiqua" w:eastAsia="宋体" w:hAnsi="Book Antiqua" w:cs="Arial"/>
              </w:rPr>
              <w:t>TFE3</w:t>
            </w:r>
          </w:p>
        </w:tc>
        <w:tc>
          <w:tcPr>
            <w:tcW w:w="2989" w:type="dxa"/>
            <w:tcBorders>
              <w:top w:val="nil"/>
              <w:left w:val="nil"/>
              <w:bottom w:val="nil"/>
              <w:right w:val="nil"/>
            </w:tcBorders>
          </w:tcPr>
          <w:p w14:paraId="0D2B6BA9" w14:textId="77777777" w:rsidR="00E8667C" w:rsidRDefault="00A71EF6">
            <w:pPr>
              <w:spacing w:line="360" w:lineRule="auto"/>
              <w:rPr>
                <w:rFonts w:ascii="Book Antiqua" w:eastAsia="宋体" w:hAnsi="Book Antiqua" w:cs="Arial"/>
              </w:rPr>
            </w:pPr>
            <w:r>
              <w:rPr>
                <w:rFonts w:ascii="Book Antiqua" w:eastAsia="宋体" w:hAnsi="Book Antiqua" w:cs="Arial"/>
              </w:rPr>
              <w:t>0/26</w:t>
            </w:r>
          </w:p>
        </w:tc>
        <w:tc>
          <w:tcPr>
            <w:tcW w:w="2346" w:type="dxa"/>
            <w:tcBorders>
              <w:top w:val="nil"/>
              <w:left w:val="nil"/>
              <w:bottom w:val="nil"/>
              <w:right w:val="nil"/>
            </w:tcBorders>
          </w:tcPr>
          <w:p w14:paraId="55CDF3A8" w14:textId="77777777" w:rsidR="00E8667C" w:rsidRDefault="00A71EF6">
            <w:pPr>
              <w:spacing w:line="360" w:lineRule="auto"/>
              <w:rPr>
                <w:rFonts w:ascii="Book Antiqua" w:eastAsia="宋体" w:hAnsi="Book Antiqua" w:cs="Arial"/>
              </w:rPr>
            </w:pPr>
            <w:r>
              <w:rPr>
                <w:rFonts w:ascii="Book Antiqua" w:eastAsia="宋体" w:hAnsi="Book Antiqua" w:cs="Arial"/>
              </w:rPr>
              <w:t>0</w:t>
            </w:r>
          </w:p>
        </w:tc>
      </w:tr>
      <w:tr w:rsidR="00E8667C" w14:paraId="67DB9F3D" w14:textId="77777777">
        <w:tc>
          <w:tcPr>
            <w:tcW w:w="1543" w:type="dxa"/>
            <w:tcBorders>
              <w:top w:val="nil"/>
              <w:left w:val="nil"/>
              <w:bottom w:val="single" w:sz="4" w:space="0" w:color="auto"/>
              <w:right w:val="nil"/>
            </w:tcBorders>
          </w:tcPr>
          <w:p w14:paraId="5630C7D8" w14:textId="77777777" w:rsidR="00E8667C" w:rsidRDefault="00A71EF6">
            <w:pPr>
              <w:spacing w:line="360" w:lineRule="auto"/>
              <w:rPr>
                <w:rFonts w:ascii="Book Antiqua" w:eastAsia="宋体" w:hAnsi="Book Antiqua" w:cs="Arial"/>
              </w:rPr>
            </w:pPr>
            <w:r>
              <w:rPr>
                <w:rFonts w:ascii="Book Antiqua" w:eastAsia="宋体" w:hAnsi="Book Antiqua" w:cs="Arial"/>
              </w:rPr>
              <w:t>Ki-67 (&gt; 10%)</w:t>
            </w:r>
          </w:p>
        </w:tc>
        <w:tc>
          <w:tcPr>
            <w:tcW w:w="2989" w:type="dxa"/>
            <w:tcBorders>
              <w:top w:val="nil"/>
              <w:left w:val="nil"/>
              <w:bottom w:val="single" w:sz="4" w:space="0" w:color="auto"/>
              <w:right w:val="nil"/>
            </w:tcBorders>
          </w:tcPr>
          <w:p w14:paraId="286F9644" w14:textId="77777777" w:rsidR="00E8667C" w:rsidRDefault="00A71EF6">
            <w:pPr>
              <w:spacing w:line="360" w:lineRule="auto"/>
              <w:rPr>
                <w:rFonts w:ascii="Book Antiqua" w:eastAsia="宋体" w:hAnsi="Book Antiqua" w:cs="Arial"/>
              </w:rPr>
            </w:pPr>
            <w:r>
              <w:rPr>
                <w:rFonts w:ascii="Book Antiqua" w:eastAsia="宋体" w:hAnsi="Book Antiqua" w:cs="Arial"/>
              </w:rPr>
              <w:t>1/26</w:t>
            </w:r>
          </w:p>
        </w:tc>
        <w:tc>
          <w:tcPr>
            <w:tcW w:w="2346" w:type="dxa"/>
            <w:tcBorders>
              <w:top w:val="nil"/>
              <w:left w:val="nil"/>
              <w:bottom w:val="single" w:sz="4" w:space="0" w:color="auto"/>
              <w:right w:val="nil"/>
            </w:tcBorders>
          </w:tcPr>
          <w:p w14:paraId="5BE47EA6" w14:textId="77777777" w:rsidR="00E8667C" w:rsidRDefault="00A71EF6">
            <w:pPr>
              <w:spacing w:line="360" w:lineRule="auto"/>
              <w:rPr>
                <w:rFonts w:ascii="Book Antiqua" w:eastAsia="宋体" w:hAnsi="Book Antiqua" w:cs="Arial"/>
              </w:rPr>
            </w:pPr>
            <w:r>
              <w:rPr>
                <w:rFonts w:ascii="Book Antiqua" w:eastAsia="宋体" w:hAnsi="Book Antiqua" w:cs="Arial"/>
              </w:rPr>
              <w:t>3.8</w:t>
            </w:r>
          </w:p>
        </w:tc>
      </w:tr>
    </w:tbl>
    <w:p w14:paraId="6F78C771" w14:textId="77777777" w:rsidR="00E8667C" w:rsidRDefault="00A71EF6">
      <w:pPr>
        <w:spacing w:line="360" w:lineRule="auto"/>
        <w:rPr>
          <w:rFonts w:ascii="Book Antiqua" w:eastAsia="宋体" w:hAnsi="Book Antiqua" w:cs="Arial"/>
        </w:rPr>
      </w:pPr>
      <w:r>
        <w:rPr>
          <w:rFonts w:ascii="Book Antiqua" w:eastAsia="宋体" w:hAnsi="Book Antiqua" w:cs="Arial"/>
        </w:rPr>
        <w:t>Weakly positive (1%-5%), only scattered cells.</w:t>
      </w:r>
    </w:p>
    <w:p w14:paraId="0788238E" w14:textId="77777777" w:rsidR="00E8667C" w:rsidRDefault="00E8667C">
      <w:pPr>
        <w:spacing w:line="360" w:lineRule="auto"/>
        <w:jc w:val="both"/>
        <w:rPr>
          <w:rFonts w:ascii="Book Antiqua" w:eastAsia="Book Antiqua" w:hAnsi="Book Antiqua" w:cs="Book Antiqua"/>
          <w:b/>
          <w:color w:val="000000"/>
        </w:rPr>
      </w:pPr>
    </w:p>
    <w:p w14:paraId="0CC8A879" w14:textId="77777777" w:rsidR="00E8667C" w:rsidRDefault="00E8667C">
      <w:pPr>
        <w:spacing w:line="360" w:lineRule="auto"/>
        <w:jc w:val="both"/>
        <w:rPr>
          <w:rFonts w:ascii="Book Antiqua" w:hAnsi="Book Antiqua"/>
        </w:rPr>
      </w:pPr>
    </w:p>
    <w:sectPr w:rsidR="00E866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E4D39" w14:textId="77777777" w:rsidR="005A31F9" w:rsidRDefault="005A31F9">
      <w:r>
        <w:separator/>
      </w:r>
    </w:p>
  </w:endnote>
  <w:endnote w:type="continuationSeparator" w:id="0">
    <w:p w14:paraId="4017F5C0" w14:textId="77777777" w:rsidR="005A31F9" w:rsidRDefault="005A3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BF9A3" w14:textId="77777777" w:rsidR="00A71EF6" w:rsidRDefault="00A71EF6">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B4A6B">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B4A6B">
      <w:rPr>
        <w:rFonts w:ascii="Book Antiqua" w:hAnsi="Book Antiqua"/>
        <w:noProof/>
        <w:sz w:val="24"/>
        <w:szCs w:val="24"/>
      </w:rPr>
      <w:t>27</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8FE81" w14:textId="77777777" w:rsidR="005A31F9" w:rsidRDefault="005A31F9">
      <w:r>
        <w:separator/>
      </w:r>
    </w:p>
  </w:footnote>
  <w:footnote w:type="continuationSeparator" w:id="0">
    <w:p w14:paraId="683B7D07" w14:textId="77777777" w:rsidR="005A31F9" w:rsidRDefault="005A31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D44"/>
    <w:rsid w:val="00005982"/>
    <w:rsid w:val="00012A52"/>
    <w:rsid w:val="00045F74"/>
    <w:rsid w:val="00054E79"/>
    <w:rsid w:val="00061750"/>
    <w:rsid w:val="000618B3"/>
    <w:rsid w:val="00097823"/>
    <w:rsid w:val="000A6D7C"/>
    <w:rsid w:val="000B3E70"/>
    <w:rsid w:val="000E1B2C"/>
    <w:rsid w:val="000E4BDA"/>
    <w:rsid w:val="000E60B6"/>
    <w:rsid w:val="00111D3F"/>
    <w:rsid w:val="0012104E"/>
    <w:rsid w:val="00125F93"/>
    <w:rsid w:val="00140805"/>
    <w:rsid w:val="0014135E"/>
    <w:rsid w:val="00141F7E"/>
    <w:rsid w:val="0017220E"/>
    <w:rsid w:val="00173384"/>
    <w:rsid w:val="00175B3B"/>
    <w:rsid w:val="001973EA"/>
    <w:rsid w:val="001B14E9"/>
    <w:rsid w:val="001B384A"/>
    <w:rsid w:val="001B3896"/>
    <w:rsid w:val="001B7F28"/>
    <w:rsid w:val="001C7A6C"/>
    <w:rsid w:val="001E0D9A"/>
    <w:rsid w:val="001F3076"/>
    <w:rsid w:val="001F4EDC"/>
    <w:rsid w:val="00200FAC"/>
    <w:rsid w:val="0020501B"/>
    <w:rsid w:val="00222A76"/>
    <w:rsid w:val="00245D59"/>
    <w:rsid w:val="00257FD0"/>
    <w:rsid w:val="00263C46"/>
    <w:rsid w:val="00264C1E"/>
    <w:rsid w:val="00266377"/>
    <w:rsid w:val="00267455"/>
    <w:rsid w:val="0028001F"/>
    <w:rsid w:val="00280925"/>
    <w:rsid w:val="00292C58"/>
    <w:rsid w:val="002B3FE7"/>
    <w:rsid w:val="002B4A6B"/>
    <w:rsid w:val="002E7363"/>
    <w:rsid w:val="002F675C"/>
    <w:rsid w:val="00304749"/>
    <w:rsid w:val="00313F96"/>
    <w:rsid w:val="003150B0"/>
    <w:rsid w:val="00320AF2"/>
    <w:rsid w:val="003278C2"/>
    <w:rsid w:val="00331471"/>
    <w:rsid w:val="00335A72"/>
    <w:rsid w:val="003511D0"/>
    <w:rsid w:val="00353B8E"/>
    <w:rsid w:val="00360390"/>
    <w:rsid w:val="00361FAF"/>
    <w:rsid w:val="0036341C"/>
    <w:rsid w:val="00365483"/>
    <w:rsid w:val="00367335"/>
    <w:rsid w:val="003A03D5"/>
    <w:rsid w:val="003A0AF0"/>
    <w:rsid w:val="003B2270"/>
    <w:rsid w:val="003B5232"/>
    <w:rsid w:val="004167D6"/>
    <w:rsid w:val="00416820"/>
    <w:rsid w:val="00421EF2"/>
    <w:rsid w:val="00452019"/>
    <w:rsid w:val="00453D0E"/>
    <w:rsid w:val="00456154"/>
    <w:rsid w:val="004616E0"/>
    <w:rsid w:val="0046171D"/>
    <w:rsid w:val="0048395B"/>
    <w:rsid w:val="004A5C2E"/>
    <w:rsid w:val="004B506B"/>
    <w:rsid w:val="004C4BB1"/>
    <w:rsid w:val="004E1C8A"/>
    <w:rsid w:val="004F1C2D"/>
    <w:rsid w:val="004F7375"/>
    <w:rsid w:val="00523531"/>
    <w:rsid w:val="00525C63"/>
    <w:rsid w:val="005334CA"/>
    <w:rsid w:val="005407A7"/>
    <w:rsid w:val="005667A2"/>
    <w:rsid w:val="00577F74"/>
    <w:rsid w:val="00580EF1"/>
    <w:rsid w:val="005A31F9"/>
    <w:rsid w:val="005B218E"/>
    <w:rsid w:val="005C26B8"/>
    <w:rsid w:val="005D7E22"/>
    <w:rsid w:val="005E3340"/>
    <w:rsid w:val="005E51FF"/>
    <w:rsid w:val="005F38E6"/>
    <w:rsid w:val="00602ED4"/>
    <w:rsid w:val="006221E7"/>
    <w:rsid w:val="006230C1"/>
    <w:rsid w:val="006407E8"/>
    <w:rsid w:val="00650951"/>
    <w:rsid w:val="006752C5"/>
    <w:rsid w:val="00686403"/>
    <w:rsid w:val="006A18A9"/>
    <w:rsid w:val="006A3958"/>
    <w:rsid w:val="006B3284"/>
    <w:rsid w:val="006F26F5"/>
    <w:rsid w:val="006F3243"/>
    <w:rsid w:val="00784FEA"/>
    <w:rsid w:val="00785CC8"/>
    <w:rsid w:val="00791033"/>
    <w:rsid w:val="00792749"/>
    <w:rsid w:val="007A12B3"/>
    <w:rsid w:val="007A7287"/>
    <w:rsid w:val="007C2235"/>
    <w:rsid w:val="007D2211"/>
    <w:rsid w:val="007D3507"/>
    <w:rsid w:val="007E59A4"/>
    <w:rsid w:val="007E755B"/>
    <w:rsid w:val="007F5242"/>
    <w:rsid w:val="00800771"/>
    <w:rsid w:val="0080775A"/>
    <w:rsid w:val="00830C9D"/>
    <w:rsid w:val="00851D5A"/>
    <w:rsid w:val="008603DA"/>
    <w:rsid w:val="00860847"/>
    <w:rsid w:val="008920B2"/>
    <w:rsid w:val="008967EC"/>
    <w:rsid w:val="008A06EE"/>
    <w:rsid w:val="008B662F"/>
    <w:rsid w:val="008C68B1"/>
    <w:rsid w:val="008D0151"/>
    <w:rsid w:val="008D111D"/>
    <w:rsid w:val="008E292D"/>
    <w:rsid w:val="008F659E"/>
    <w:rsid w:val="00917864"/>
    <w:rsid w:val="0093504F"/>
    <w:rsid w:val="009530C4"/>
    <w:rsid w:val="009560D0"/>
    <w:rsid w:val="009718CA"/>
    <w:rsid w:val="009A1608"/>
    <w:rsid w:val="009E3ECE"/>
    <w:rsid w:val="009E69FF"/>
    <w:rsid w:val="009F2E3F"/>
    <w:rsid w:val="00A02815"/>
    <w:rsid w:val="00A07E4A"/>
    <w:rsid w:val="00A15F27"/>
    <w:rsid w:val="00A2654C"/>
    <w:rsid w:val="00A31DD2"/>
    <w:rsid w:val="00A36452"/>
    <w:rsid w:val="00A64792"/>
    <w:rsid w:val="00A65FA3"/>
    <w:rsid w:val="00A71EF6"/>
    <w:rsid w:val="00A72EAC"/>
    <w:rsid w:val="00A74C84"/>
    <w:rsid w:val="00A77730"/>
    <w:rsid w:val="00A77B3E"/>
    <w:rsid w:val="00A81AA4"/>
    <w:rsid w:val="00A9000E"/>
    <w:rsid w:val="00AB3499"/>
    <w:rsid w:val="00AB3CE3"/>
    <w:rsid w:val="00AF3F58"/>
    <w:rsid w:val="00B06CBE"/>
    <w:rsid w:val="00B105DC"/>
    <w:rsid w:val="00B326FE"/>
    <w:rsid w:val="00B44B7E"/>
    <w:rsid w:val="00B71006"/>
    <w:rsid w:val="00B7614F"/>
    <w:rsid w:val="00B76E1E"/>
    <w:rsid w:val="00B81EF3"/>
    <w:rsid w:val="00B848BB"/>
    <w:rsid w:val="00BA2A24"/>
    <w:rsid w:val="00BB2647"/>
    <w:rsid w:val="00BB6178"/>
    <w:rsid w:val="00BB66D2"/>
    <w:rsid w:val="00BE6880"/>
    <w:rsid w:val="00BF0922"/>
    <w:rsid w:val="00C14681"/>
    <w:rsid w:val="00C2745B"/>
    <w:rsid w:val="00C43AA6"/>
    <w:rsid w:val="00C60DD5"/>
    <w:rsid w:val="00C62601"/>
    <w:rsid w:val="00C629FF"/>
    <w:rsid w:val="00C7022E"/>
    <w:rsid w:val="00C91338"/>
    <w:rsid w:val="00CA2A55"/>
    <w:rsid w:val="00CA598A"/>
    <w:rsid w:val="00CC1F6D"/>
    <w:rsid w:val="00CC26C4"/>
    <w:rsid w:val="00CE574A"/>
    <w:rsid w:val="00CF71F3"/>
    <w:rsid w:val="00D05B36"/>
    <w:rsid w:val="00D17A1C"/>
    <w:rsid w:val="00D21BBC"/>
    <w:rsid w:val="00D2286E"/>
    <w:rsid w:val="00D3320C"/>
    <w:rsid w:val="00D4792E"/>
    <w:rsid w:val="00D72DFC"/>
    <w:rsid w:val="00D74744"/>
    <w:rsid w:val="00D752A8"/>
    <w:rsid w:val="00D85685"/>
    <w:rsid w:val="00E00831"/>
    <w:rsid w:val="00E62BED"/>
    <w:rsid w:val="00E631EA"/>
    <w:rsid w:val="00E679D8"/>
    <w:rsid w:val="00E7103F"/>
    <w:rsid w:val="00E8667C"/>
    <w:rsid w:val="00E875E9"/>
    <w:rsid w:val="00E909A4"/>
    <w:rsid w:val="00EB3698"/>
    <w:rsid w:val="00EB3A3B"/>
    <w:rsid w:val="00EF34DD"/>
    <w:rsid w:val="00F0000B"/>
    <w:rsid w:val="00F31199"/>
    <w:rsid w:val="00F31CDF"/>
    <w:rsid w:val="00F50159"/>
    <w:rsid w:val="00F570AD"/>
    <w:rsid w:val="00F66939"/>
    <w:rsid w:val="00F72766"/>
    <w:rsid w:val="00F73794"/>
    <w:rsid w:val="00F82DBB"/>
    <w:rsid w:val="00F87333"/>
    <w:rsid w:val="00F90C39"/>
    <w:rsid w:val="00F930A4"/>
    <w:rsid w:val="00FA390D"/>
    <w:rsid w:val="00FA68C7"/>
    <w:rsid w:val="00FB49EE"/>
    <w:rsid w:val="00FC33B7"/>
    <w:rsid w:val="00FD12AD"/>
    <w:rsid w:val="00FF4031"/>
    <w:rsid w:val="00FF625E"/>
    <w:rsid w:val="15167B91"/>
    <w:rsid w:val="1A281FB0"/>
    <w:rsid w:val="24A10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E35869A-0078-49E0-A2BB-BFE88E7C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paragraph" w:customStyle="1" w:styleId="1">
    <w:name w:val="修订1"/>
    <w:hidden/>
    <w:uiPriority w:val="99"/>
    <w:semiHidden/>
    <w:rPr>
      <w:rFonts w:eastAsiaTheme="minorEastAsia"/>
      <w:sz w:val="24"/>
      <w:szCs w:val="24"/>
      <w:lang w:eastAsia="en-US"/>
    </w:rPr>
  </w:style>
  <w:style w:type="character" w:customStyle="1" w:styleId="Char0">
    <w:name w:val="批注框文本 Char"/>
    <w:basedOn w:val="a0"/>
    <w:link w:val="a4"/>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5639</Words>
  <Characters>32143</Characters>
  <Application>Microsoft Office Word</Application>
  <DocSecurity>0</DocSecurity>
  <Lines>267</Lines>
  <Paragraphs>75</Paragraphs>
  <ScaleCrop>false</ScaleCrop>
  <Company/>
  <LinksUpToDate>false</LinksUpToDate>
  <CharactersWithSpaces>37707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3</cp:revision>
  <dcterms:created xsi:type="dcterms:W3CDTF">2021-08-19T23:53:00Z</dcterms:created>
  <dcterms:modified xsi:type="dcterms:W3CDTF">2021-08-20T00:19:00Z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C2373A593391457AB6D3CC18EED7D0AE</vt:lpwstr>
  </property>
</Properties>
</file>