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eastAsia="Book Antiqua" w:cs="Book Antiqua"/>
        </w:rPr>
      </w:pPr>
      <w:r>
        <w:rPr>
          <w:rFonts w:ascii="Book Antiqua" w:hAnsi="Book Antiqua"/>
          <w:b/>
          <w:bCs/>
        </w:rPr>
        <w:t xml:space="preserve">Name of Journal: </w:t>
      </w:r>
      <w:r>
        <w:rPr>
          <w:rFonts w:ascii="Book Antiqua" w:hAnsi="Book Antiqua"/>
          <w:i/>
          <w:iCs/>
        </w:rPr>
        <w:t>World Journal of Clinical Pediatrics</w:t>
      </w:r>
    </w:p>
    <w:p>
      <w:pPr>
        <w:spacing w:line="360" w:lineRule="auto"/>
        <w:jc w:val="both"/>
        <w:rPr>
          <w:rFonts w:ascii="Book Antiqua" w:hAnsi="Book Antiqua" w:eastAsia="Book Antiqua" w:cs="Book Antiqua"/>
        </w:rPr>
      </w:pPr>
      <w:r>
        <w:rPr>
          <w:rFonts w:ascii="Book Antiqua" w:hAnsi="Book Antiqua"/>
          <w:b/>
          <w:bCs/>
        </w:rPr>
        <w:t xml:space="preserve">Manuscript NO: </w:t>
      </w:r>
      <w:r>
        <w:rPr>
          <w:rFonts w:ascii="Book Antiqua" w:hAnsi="Book Antiqua"/>
        </w:rPr>
        <w:t>66602</w:t>
      </w:r>
    </w:p>
    <w:p>
      <w:pPr>
        <w:spacing w:line="360" w:lineRule="auto"/>
        <w:jc w:val="both"/>
        <w:rPr>
          <w:rFonts w:ascii="Book Antiqua" w:hAnsi="Book Antiqua" w:eastAsia="Book Antiqua" w:cs="Book Antiqua"/>
        </w:rPr>
      </w:pPr>
      <w:r>
        <w:rPr>
          <w:rFonts w:ascii="Book Antiqua" w:hAnsi="Book Antiqua"/>
          <w:b/>
          <w:bCs/>
        </w:rPr>
        <w:t xml:space="preserve">Manuscript Type: </w:t>
      </w:r>
      <w:r>
        <w:rPr>
          <w:rFonts w:ascii="Book Antiqua" w:hAnsi="Book Antiqua"/>
        </w:rPr>
        <w:t>ORIGINAL ARTICLE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i/>
          <w:iCs/>
        </w:rPr>
        <w:t>Observational Study</w:t>
      </w:r>
    </w:p>
    <w:p>
      <w:pPr>
        <w:spacing w:line="360" w:lineRule="auto"/>
        <w:jc w:val="both"/>
        <w:rPr>
          <w:rFonts w:ascii="Book Antiqua" w:hAnsi="Book Antiqua" w:eastAsia="Book Antiqua" w:cs="Book Antiqua"/>
        </w:rPr>
      </w:pPr>
      <w:r>
        <w:rPr>
          <w:rFonts w:ascii="Book Antiqua" w:hAnsi="Book Antiqua"/>
          <w:b/>
          <w:bCs/>
        </w:rPr>
        <w:t>Adipocytokine profile in children with Kawasaki disease at a mean follow-up period of 5.5 years: A study from North India</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rPr>
        <w:t>Praharaj DL</w:t>
      </w:r>
      <w:r>
        <w:rPr>
          <w:rFonts w:ascii="Book Antiqua" w:hAnsi="Book Antiqua"/>
          <w:i/>
          <w:iCs/>
        </w:rPr>
        <w:t xml:space="preserve"> et al</w:t>
      </w:r>
      <w:r>
        <w:rPr>
          <w:rFonts w:ascii="Book Antiqua" w:hAnsi="Book Antiqua"/>
        </w:rPr>
        <w:t>. Adipocytokine profile in children with Kawasaki disease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rPr>
        <w:t>Dibya Lochan Praharaj, Amit Rawat, Anju Gupta, Kanika Arora, Rakesh Kumar Pilania, Sagar Bhattad, Surjit Singh</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 xml:space="preserve">Dibya Lochan Praharaj, Amit Rawat, Anju Gupta, Kanika Arora, Rakesh Kumar Pilania, Sagar Bhattad, Surjit Singh, </w:t>
      </w:r>
      <w:r>
        <w:rPr>
          <w:rFonts w:ascii="Book Antiqua" w:hAnsi="Book Antiqua"/>
        </w:rPr>
        <w:t>Pediatric Allergy and Immunology Unit, Advanced Pediatrics Centre, Post Graduate Institute of Medical Education and Research, Chandigarh 160012, India</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 xml:space="preserve">Author contributions: </w:t>
      </w:r>
      <w:r>
        <w:rPr>
          <w:rFonts w:ascii="Book Antiqua" w:hAnsi="Book Antiqua"/>
        </w:rPr>
        <w:t>Praharaj DL, Rawat A, Gupta A and Singh S conceived and designed the research; Praharaj DL, Rawat A, Arora K, and Pilania RK collected data and performed the research; Praharaj DL, Arora K, Pilania RK, and Bhattad S were involved in writing the first draft; Praharaj DL, Rawat A and Arora K performed laboratory tests; Praharaj DL, Rawat A, Arora K, and Pilania RK analyzed the data; Gupta A, Pilania RK, Bhattad S and Singh S were involved in patient management; Praharaj DL, Rawat A, Gupta A, Arora K, Pilania RK, Bhattad S, Singh S reviewed the literature; Rawat A, Pilania RK, and Singh S edited the manuscript, performed critical revision at all stages and final approval of the manuscript; all the authors read and approved the final manuscript.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 xml:space="preserve">Corresponding author: Amit Rawat, MD, Professor, </w:t>
      </w:r>
      <w:r>
        <w:rPr>
          <w:rFonts w:ascii="Book Antiqua" w:hAnsi="Book Antiqua"/>
        </w:rPr>
        <w:t xml:space="preserve">Pediatric Allergy and Immunology Unit, Advanced Pediatrics Centre, Post Graduate Institute of Medical Education and Research, Madhya Marg, Sector 12, Chandigarh 160012, India. rawatamit@yahoo.com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 xml:space="preserve">Received: </w:t>
      </w:r>
      <w:r>
        <w:rPr>
          <w:rFonts w:ascii="Book Antiqua" w:hAnsi="Book Antiqua"/>
        </w:rPr>
        <w:t>March 31, 2021</w:t>
      </w:r>
    </w:p>
    <w:p>
      <w:pPr>
        <w:spacing w:line="360" w:lineRule="auto"/>
        <w:jc w:val="both"/>
        <w:rPr>
          <w:rFonts w:ascii="Book Antiqua" w:hAnsi="Book Antiqua" w:eastAsia="Book Antiqua" w:cs="Book Antiqua"/>
        </w:rPr>
      </w:pPr>
      <w:r>
        <w:rPr>
          <w:rFonts w:ascii="Book Antiqua" w:hAnsi="Book Antiqua"/>
          <w:b/>
          <w:bCs/>
        </w:rPr>
        <w:t xml:space="preserve">Revised: </w:t>
      </w:r>
      <w:r>
        <w:rPr>
          <w:rFonts w:ascii="Book Antiqua" w:hAnsi="Book Antiqua"/>
        </w:rPr>
        <w:t>August 21, 2021</w:t>
      </w:r>
    </w:p>
    <w:p>
      <w:pPr>
        <w:spacing w:line="360" w:lineRule="auto"/>
        <w:jc w:val="both"/>
        <w:rPr>
          <w:rFonts w:ascii="Book Antiqua" w:hAnsi="Book Antiqua" w:eastAsia="Book Antiqua" w:cs="Book Antiqua"/>
        </w:rPr>
      </w:pPr>
      <w:r>
        <w:rPr>
          <w:rFonts w:ascii="Book Antiqua" w:hAnsi="Book Antiqua"/>
          <w:b/>
          <w:bCs/>
        </w:rPr>
        <w:t>Accepted:</w:t>
      </w:r>
      <w:r>
        <w:t xml:space="preserve"> </w:t>
      </w:r>
      <w:r>
        <w:rPr>
          <w:rFonts w:ascii="Book Antiqua" w:hAnsi="Book Antiqua"/>
          <w:b w:val="0"/>
          <w:bCs w:val="0"/>
        </w:rPr>
        <w:t>May 12, 2022</w:t>
      </w:r>
      <w:r>
        <w:rPr>
          <w:rFonts w:ascii="Book Antiqua" w:hAnsi="Book Antiqua"/>
          <w:b/>
          <w:bCs/>
        </w:rPr>
        <w:t xml:space="preserve"> </w:t>
      </w:r>
    </w:p>
    <w:p>
      <w:pPr>
        <w:spacing w:line="360" w:lineRule="auto"/>
        <w:jc w:val="both"/>
        <w:rPr>
          <w:rFonts w:ascii="Book Antiqua" w:hAnsi="Book Antiqua" w:eastAsia="Book Antiqua" w:cs="Book Antiqua"/>
        </w:rPr>
      </w:pPr>
      <w:r>
        <w:rPr>
          <w:rFonts w:ascii="Book Antiqua" w:hAnsi="Book Antiqua"/>
          <w:b/>
          <w:bCs/>
        </w:rPr>
        <w:t xml:space="preserve">Published online: </w:t>
      </w:r>
      <w:r>
        <w:rPr>
          <w:rFonts w:hint="eastAsia" w:ascii="Book Antiqua" w:hAnsi="Book Antiqua"/>
          <w:b w:val="0"/>
          <w:bCs w:val="0"/>
        </w:rPr>
        <w:t>July 9, 2022</w:t>
      </w:r>
    </w:p>
    <w:p>
      <w:pPr>
        <w:spacing w:line="360" w:lineRule="auto"/>
        <w:jc w:val="both"/>
        <w:rPr>
          <w:rFonts w:ascii="Book Antiqua" w:hAnsi="Book Antiqua" w:eastAsia="Book Antiqua" w:cs="Book Antiqua"/>
        </w:rPr>
      </w:pPr>
    </w:p>
    <w:p>
      <w:pPr>
        <w:spacing w:line="360" w:lineRule="auto"/>
        <w:jc w:val="both"/>
        <w:sectPr>
          <w:headerReference r:id="rId3" w:type="default"/>
          <w:footerReference r:id="rId4" w:type="default"/>
          <w:pgSz w:w="12240" w:h="15840"/>
          <w:pgMar w:top="1440" w:right="1440" w:bottom="1440" w:left="1440" w:header="708" w:footer="708" w:gutter="0"/>
          <w:cols w:space="720" w:num="1"/>
        </w:sectPr>
      </w:pPr>
    </w:p>
    <w:p>
      <w:pPr>
        <w:spacing w:line="360" w:lineRule="auto"/>
        <w:jc w:val="both"/>
        <w:rPr>
          <w:rFonts w:ascii="Book Antiqua" w:hAnsi="Book Antiqua" w:eastAsia="Book Antiqua" w:cs="Book Antiqua"/>
        </w:rPr>
      </w:pPr>
      <w:r>
        <w:rPr>
          <w:rFonts w:ascii="Book Antiqua" w:hAnsi="Book Antiqua"/>
          <w:b/>
          <w:bCs/>
        </w:rPr>
        <w:t>Abstract</w:t>
      </w:r>
    </w:p>
    <w:p>
      <w:pPr>
        <w:spacing w:line="360" w:lineRule="auto"/>
        <w:jc w:val="both"/>
        <w:rPr>
          <w:rFonts w:ascii="Book Antiqua" w:hAnsi="Book Antiqua" w:eastAsia="Book Antiqua" w:cs="Book Antiqua"/>
        </w:rPr>
      </w:pPr>
      <w:r>
        <w:rPr>
          <w:rFonts w:ascii="Book Antiqua" w:hAnsi="Book Antiqua"/>
        </w:rPr>
        <w:t>BACKGROUND</w:t>
      </w:r>
    </w:p>
    <w:p>
      <w:pPr>
        <w:spacing w:line="360" w:lineRule="auto"/>
        <w:jc w:val="both"/>
        <w:rPr>
          <w:rFonts w:ascii="Book Antiqua" w:hAnsi="Book Antiqua" w:eastAsia="Book Antiqua" w:cs="Book Antiqua"/>
        </w:rPr>
      </w:pPr>
      <w:r>
        <w:rPr>
          <w:rFonts w:ascii="Book Antiqua" w:hAnsi="Book Antiqua"/>
        </w:rPr>
        <w:t xml:space="preserve">Kawasaki disease (KD) is an acute self-limited vasculitis with a predilection for coronary arteries. Children with KD may have altered lipid metabolism and abnormal lipid profiles that may last for prolonged periods. However, there is a paucity of literature on the role of adipocytokines in KD.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rPr>
        <w:t>AIM</w:t>
      </w:r>
    </w:p>
    <w:p>
      <w:pPr>
        <w:spacing w:line="360" w:lineRule="auto"/>
        <w:jc w:val="both"/>
        <w:rPr>
          <w:rFonts w:ascii="Book Antiqua" w:hAnsi="Book Antiqua" w:eastAsia="Book Antiqua" w:cs="Book Antiqua"/>
        </w:rPr>
      </w:pPr>
      <w:r>
        <w:rPr>
          <w:rFonts w:ascii="Book Antiqua" w:hAnsi="Book Antiqua"/>
        </w:rPr>
        <w:t>To estimate the levels of adipocytokines (adiponectin, leptin and resistin) during the convalescent phase of KD.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rPr>
        <w:t>METHODS</w:t>
      </w:r>
    </w:p>
    <w:p>
      <w:pPr>
        <w:spacing w:line="360" w:lineRule="auto"/>
        <w:jc w:val="both"/>
        <w:rPr>
          <w:rFonts w:ascii="Book Antiqua" w:hAnsi="Book Antiqua" w:eastAsia="Book Antiqua" w:cs="Book Antiqua"/>
        </w:rPr>
      </w:pPr>
      <w:r>
        <w:rPr>
          <w:rFonts w:ascii="Book Antiqua" w:hAnsi="Book Antiqua"/>
        </w:rPr>
        <w:t>Twenty children, who had KD at least three years earlier, were enrolled in this study. In addition, 20 healthy controls were also enrolled. Clinical and laboratory profiles of patients were obtained from hospital records. Serum adiponectin, leptin and resistin levels were estimated by enzyme-linked immunosorbent assay.</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rPr>
        <w:t>RESULTS</w:t>
      </w:r>
    </w:p>
    <w:p>
      <w:pPr>
        <w:spacing w:line="360" w:lineRule="auto"/>
        <w:jc w:val="both"/>
        <w:rPr>
          <w:rFonts w:ascii="Book Antiqua" w:hAnsi="Book Antiqua" w:eastAsia="Book Antiqua" w:cs="Book Antiqua"/>
        </w:rPr>
      </w:pPr>
      <w:r>
        <w:rPr>
          <w:rFonts w:ascii="Book Antiqua" w:hAnsi="Book Antiqua"/>
        </w:rPr>
        <w:t>Mean age of the patients in the study group was 10.15 ± 3 years and the male: female ratio was 1.5:1. Median serum resistin levels in patients with KD (27.77 ng/mL; [</w:t>
      </w:r>
      <w:r>
        <w:rPr>
          <w:rFonts w:hint="eastAsia" w:ascii="Book Antiqua" w:hAnsi="Book Antiqua"/>
          <w:lang w:eastAsia="zh-CN"/>
        </w:rPr>
        <w:t>IQR</w:t>
      </w:r>
      <w:r>
        <w:rPr>
          <w:rFonts w:hint="eastAsia" w:ascii="Book Antiqua" w:hAnsi="Book Antiqua"/>
          <w:lang w:val="en-US" w:eastAsia="zh-CN"/>
        </w:rPr>
        <w:t>:</w:t>
      </w:r>
      <w:r>
        <w:rPr>
          <w:rFonts w:ascii="Book Antiqua" w:hAnsi="Book Antiqua"/>
        </w:rPr>
        <w:t xml:space="preserve"> 18.66, 48.90]) were decreased compared to controls (21.20 ng/mL; [</w:t>
      </w:r>
      <w:r>
        <w:rPr>
          <w:rFonts w:hint="eastAsia" w:ascii="Book Antiqua" w:hAnsi="Book Antiqua"/>
          <w:lang w:eastAsia="zh-CN"/>
        </w:rPr>
        <w:t>IQR</w:t>
      </w:r>
      <w:r>
        <w:rPr>
          <w:rFonts w:hint="eastAsia" w:ascii="Book Antiqua" w:hAnsi="Book Antiqua"/>
          <w:lang w:val="en-US" w:eastAsia="zh-CN"/>
        </w:rPr>
        <w:t>:</w:t>
      </w:r>
      <w:r>
        <w:rPr>
          <w:rFonts w:ascii="Book Antiqua" w:hAnsi="Book Antiqua"/>
        </w:rPr>
        <w:t xml:space="preserve"> 14.80, 27.00]) (</w:t>
      </w:r>
      <w:r>
        <w:rPr>
          <w:rFonts w:ascii="Book Antiqua" w:hAnsi="Book Antiqua"/>
          <w:i/>
          <w:iCs/>
        </w:rPr>
        <w:t>P</w:t>
      </w:r>
      <w:r>
        <w:rPr>
          <w:rFonts w:ascii="Book Antiqua" w:hAnsi="Book Antiqua"/>
        </w:rPr>
        <w:t xml:space="preserve"> = 0.04). Median serum leptin levels in cases and controls were 1.83 ng/mL; (</w:t>
      </w:r>
      <w:r>
        <w:rPr>
          <w:rFonts w:hint="eastAsia" w:ascii="Book Antiqua" w:hAnsi="Book Antiqua"/>
          <w:lang w:eastAsia="zh-CN"/>
        </w:rPr>
        <w:t>IQR</w:t>
      </w:r>
      <w:r>
        <w:rPr>
          <w:rFonts w:hint="eastAsia" w:ascii="Book Antiqua" w:hAnsi="Book Antiqua"/>
          <w:lang w:val="en-US" w:eastAsia="zh-CN"/>
        </w:rPr>
        <w:t>:</w:t>
      </w:r>
      <w:r>
        <w:rPr>
          <w:rFonts w:ascii="Book Antiqua" w:hAnsi="Book Antiqua"/>
        </w:rPr>
        <w:t xml:space="preserve"> 1.13, 3.80), and 1.10 ng/mL; (</w:t>
      </w:r>
      <w:r>
        <w:rPr>
          <w:rFonts w:hint="eastAsia" w:ascii="Book Antiqua" w:hAnsi="Book Antiqua"/>
          <w:lang w:eastAsia="zh-CN"/>
        </w:rPr>
        <w:t>IQR</w:t>
      </w:r>
      <w:r>
        <w:rPr>
          <w:rFonts w:hint="eastAsia" w:ascii="Book Antiqua" w:hAnsi="Book Antiqua"/>
          <w:lang w:val="en-US" w:eastAsia="zh-CN"/>
        </w:rPr>
        <w:t>:</w:t>
      </w:r>
      <w:r>
        <w:rPr>
          <w:rFonts w:ascii="Book Antiqua" w:hAnsi="Book Antiqua"/>
        </w:rPr>
        <w:t xml:space="preserve"> 0.41, 2.88), respectively (</w:t>
      </w:r>
      <w:r>
        <w:rPr>
          <w:rFonts w:ascii="Book Antiqua" w:hAnsi="Book Antiqua"/>
          <w:i/>
          <w:iCs/>
        </w:rPr>
        <w:t>P</w:t>
      </w:r>
      <w:r>
        <w:rPr>
          <w:rFonts w:ascii="Book Antiqua" w:hAnsi="Book Antiqua"/>
        </w:rPr>
        <w:t xml:space="preserve"> = 0.09). Median serum adiponectin levels were similar in both cases (12.20 µg/mL; [</w:t>
      </w:r>
      <w:r>
        <w:rPr>
          <w:rFonts w:hint="eastAsia" w:ascii="Book Antiqua" w:hAnsi="Book Antiqua"/>
          <w:lang w:eastAsia="zh-CN"/>
        </w:rPr>
        <w:t>IQR</w:t>
      </w:r>
      <w:r>
        <w:rPr>
          <w:rFonts w:hint="eastAsia" w:ascii="Book Antiqua" w:hAnsi="Book Antiqua"/>
          <w:lang w:val="en-US" w:eastAsia="zh-CN"/>
        </w:rPr>
        <w:t>:</w:t>
      </w:r>
      <w:r>
        <w:rPr>
          <w:rFonts w:ascii="Book Antiqua" w:hAnsi="Book Antiqua"/>
        </w:rPr>
        <w:t xml:space="preserve"> 9.76, 17.97]) and controls (13.95 µg/mL; [</w:t>
      </w:r>
      <w:r>
        <w:rPr>
          <w:rFonts w:hint="eastAsia" w:ascii="Book Antiqua" w:hAnsi="Book Antiqua"/>
          <w:lang w:eastAsia="zh-CN"/>
        </w:rPr>
        <w:t>IQR:</w:t>
      </w:r>
      <w:r>
        <w:rPr>
          <w:rFonts w:ascii="Book Antiqua" w:hAnsi="Book Antiqua"/>
        </w:rPr>
        <w:t xml:space="preserve"> 11.17, 22.58]); (</w:t>
      </w:r>
      <w:r>
        <w:rPr>
          <w:rFonts w:ascii="Book Antiqua" w:hAnsi="Book Antiqua"/>
          <w:i/>
          <w:iCs/>
        </w:rPr>
        <w:t>P</w:t>
      </w:r>
      <w:r>
        <w:rPr>
          <w:rFonts w:ascii="Book Antiqua" w:hAnsi="Book Antiqua"/>
        </w:rPr>
        <w:t xml:space="preserve"> = 0.18). There was no significant difference in all 3 adipocytokines between children with (4/20) and without coronary artery abnormalities (16/20).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rPr>
        <w:t>CONCLUSION</w:t>
      </w:r>
    </w:p>
    <w:p>
      <w:pPr>
        <w:spacing w:line="360" w:lineRule="auto"/>
        <w:jc w:val="both"/>
        <w:rPr>
          <w:rFonts w:ascii="Book Antiqua" w:hAnsi="Book Antiqua" w:eastAsia="Book Antiqua" w:cs="Book Antiqua"/>
        </w:rPr>
      </w:pPr>
      <w:r>
        <w:rPr>
          <w:rFonts w:ascii="Book Antiqua" w:hAnsi="Book Antiqua"/>
        </w:rPr>
        <w:t xml:space="preserve">Serum resistin levels were significantly elevated in patients with KD during the convalescent phase compared to controls. Serum leptin levels appeared to be higher in patients with KD, although the difference was not statistically significant. Adiponectin levels were similar in both cases and controls. Raised resistin and leptin levels may partially explain lipid perturbations observed during the convalescent phase of KD.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 xml:space="preserve">Key Words: </w:t>
      </w:r>
      <w:r>
        <w:rPr>
          <w:rFonts w:ascii="Book Antiqua" w:hAnsi="Book Antiqua"/>
        </w:rPr>
        <w:t>Adipocytokines; Adiponectin; Resistin; Leptin; Lipid metabolism; Kawasaki disease; Convalescent phase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rPr>
      </w:pPr>
    </w:p>
    <w:p>
      <w:pPr>
        <w:spacing w:line="360" w:lineRule="auto"/>
        <w:jc w:val="both"/>
        <w:rPr>
          <w:rFonts w:hint="eastAsia" w:ascii="Book Antiqua" w:hAnsi="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rPr>
        <w:t xml:space="preserve">Praharaj DL, Rawat A, Gupta A, Arora K, Pilania RK, Bhattad S, Singh S. Adipocytokine profile in children with Kawasaki disease at a mean follow-up period of 5.5 years: A study from North India. </w:t>
      </w:r>
      <w:r>
        <w:rPr>
          <w:rFonts w:ascii="Book Antiqua" w:hAnsi="Book Antiqua"/>
          <w:i/>
          <w:iCs/>
        </w:rPr>
        <w:t>World J Clin Pediatr</w:t>
      </w:r>
      <w:r>
        <w:rPr>
          <w:rFonts w:ascii="Book Antiqua" w:hAnsi="Book Antiqua"/>
        </w:rPr>
        <w:t xml:space="preserve"> 202</w:t>
      </w:r>
      <w:r>
        <w:rPr>
          <w:rFonts w:hint="eastAsia" w:ascii="Book Antiqua" w:hAnsi="Book Antiqua"/>
        </w:rPr>
        <w:t>2</w:t>
      </w:r>
      <w:r>
        <w:rPr>
          <w:rFonts w:ascii="Book Antiqua" w:hAnsi="Book Antiqua"/>
        </w:rPr>
        <w:t xml:space="preserve">; </w:t>
      </w:r>
      <w:r>
        <w:rPr>
          <w:rFonts w:hint="eastAsia" w:ascii="Book Antiqua" w:hAnsi="Book Antiqua"/>
        </w:rPr>
        <w:t>11(</w:t>
      </w:r>
      <w:r>
        <w:rPr>
          <w:rFonts w:hint="eastAsia" w:ascii="Book Antiqua" w:hAnsi="Book Antiqua"/>
          <w:lang w:val="en-US" w:eastAsia="zh-CN"/>
        </w:rPr>
        <w:t>4</w:t>
      </w:r>
      <w:r>
        <w:rPr>
          <w:rFonts w:hint="eastAsia" w:ascii="Book Antiqua" w:hAnsi="Book Antiqua"/>
        </w:rPr>
        <w:t xml:space="preserve">): 360-368 </w:t>
      </w:r>
    </w:p>
    <w:p>
      <w:pPr>
        <w:spacing w:line="360" w:lineRule="auto"/>
        <w:jc w:val="both"/>
        <w:rPr>
          <w:rFonts w:hint="eastAsia" w:ascii="Book Antiqua" w:hAnsi="Book Antiqua"/>
        </w:rPr>
      </w:pPr>
      <w:r>
        <w:rPr>
          <w:rFonts w:hint="eastAsia" w:ascii="Book Antiqua" w:hAnsi="Book Antiqua"/>
          <w:b/>
          <w:bCs/>
        </w:rPr>
        <w:t>URL</w:t>
      </w:r>
      <w:r>
        <w:rPr>
          <w:rFonts w:hint="eastAsia" w:ascii="Book Antiqua" w:hAnsi="Book Antiqua"/>
        </w:rPr>
        <w:t>: https://www.wjgnet.com/2219-2808/full/v11/i</w:t>
      </w:r>
      <w:r>
        <w:rPr>
          <w:rFonts w:hint="eastAsia" w:ascii="Book Antiqua" w:hAnsi="Book Antiqua"/>
          <w:lang w:val="en-US" w:eastAsia="zh-CN"/>
        </w:rPr>
        <w:t>4</w:t>
      </w:r>
      <w:r>
        <w:rPr>
          <w:rFonts w:hint="eastAsia" w:ascii="Book Antiqua" w:hAnsi="Book Antiqua"/>
        </w:rPr>
        <w:t xml:space="preserve">/360.htm </w:t>
      </w:r>
    </w:p>
    <w:p>
      <w:pPr>
        <w:spacing w:line="360" w:lineRule="auto"/>
        <w:jc w:val="both"/>
        <w:rPr>
          <w:rFonts w:ascii="Book Antiqua" w:hAnsi="Book Antiqua" w:eastAsia="Book Antiqua" w:cs="Book Antiqua"/>
        </w:rPr>
      </w:pPr>
      <w:r>
        <w:rPr>
          <w:rFonts w:hint="eastAsia" w:ascii="Book Antiqua" w:hAnsi="Book Antiqua"/>
          <w:b/>
          <w:bCs/>
        </w:rPr>
        <w:t>DOI</w:t>
      </w:r>
      <w:r>
        <w:rPr>
          <w:rFonts w:hint="eastAsia" w:ascii="Book Antiqua" w:hAnsi="Book Antiqua"/>
        </w:rPr>
        <w:t>: https://dx.doi.org/10.5409/wjcp.v11.i</w:t>
      </w:r>
      <w:r>
        <w:rPr>
          <w:rFonts w:hint="eastAsia" w:ascii="Book Antiqua" w:hAnsi="Book Antiqua"/>
          <w:lang w:val="en-US" w:eastAsia="zh-CN"/>
        </w:rPr>
        <w:t>4</w:t>
      </w:r>
      <w:r>
        <w:rPr>
          <w:rFonts w:hint="eastAsia" w:ascii="Book Antiqua" w:hAnsi="Book Antiqua"/>
        </w:rPr>
        <w:t>.360</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 xml:space="preserve">Core Tip: </w:t>
      </w:r>
      <w:r>
        <w:rPr>
          <w:rFonts w:ascii="Book Antiqua" w:hAnsi="Book Antiqua"/>
        </w:rPr>
        <w:t>The present study suggests that serum adipocytokine levels may impact lipid abnormalities observed during the convalescent phase of Kawasaki disease (KD). Serum resistin levels were significantly elevated in patients with KD during the convalescent phase compared to controls. Serum leptin levels appeared to be higher in patients with KD, although the difference was not statistically significant. Adiponectin levels were similar in both cases and controls.</w:t>
      </w:r>
    </w:p>
    <w:p>
      <w:pPr>
        <w:spacing w:line="360" w:lineRule="auto"/>
        <w:jc w:val="both"/>
        <w:rPr>
          <w:rFonts w:ascii="Book Antiqua" w:hAnsi="Book Antiqua" w:eastAsia="Book Antiqua" w:cs="Book Antiqua"/>
        </w:rPr>
      </w:pPr>
    </w:p>
    <w:p>
      <w:pPr>
        <w:spacing w:line="360" w:lineRule="auto"/>
        <w:jc w:val="both"/>
      </w:pPr>
      <w:r>
        <w:rPr>
          <w:rFonts w:ascii="Arial Unicode MS" w:hAnsi="Arial Unicode MS"/>
          <w:caps/>
          <w:u w:val="single"/>
        </w:rPr>
        <w:br w:type="page"/>
      </w:r>
    </w:p>
    <w:p>
      <w:pPr>
        <w:spacing w:line="360" w:lineRule="auto"/>
        <w:jc w:val="both"/>
        <w:rPr>
          <w:rFonts w:ascii="Book Antiqua" w:hAnsi="Book Antiqua" w:eastAsia="Book Antiqua" w:cs="Book Antiqua"/>
        </w:rPr>
      </w:pPr>
      <w:r>
        <w:rPr>
          <w:rFonts w:ascii="Book Antiqua" w:hAnsi="Book Antiqua"/>
          <w:b/>
          <w:bCs/>
          <w:caps/>
          <w:u w:val="single"/>
        </w:rPr>
        <w:t>INTRODUCTION</w:t>
      </w:r>
    </w:p>
    <w:p>
      <w:pPr>
        <w:spacing w:line="360" w:lineRule="auto"/>
        <w:jc w:val="both"/>
        <w:rPr>
          <w:rFonts w:ascii="Book Antiqua" w:hAnsi="Book Antiqua" w:eastAsia="Book Antiqua" w:cs="Book Antiqua"/>
        </w:rPr>
      </w:pPr>
      <w:r>
        <w:rPr>
          <w:rFonts w:ascii="Book Antiqua" w:hAnsi="Book Antiqua"/>
        </w:rPr>
        <w:t>Kawasaki disease (KD) is a medium vessel vasculitis and the most common cause of acquired heart disease in children in most developed countries</w:t>
      </w:r>
      <w:r>
        <w:rPr>
          <w:rFonts w:ascii="Book Antiqua" w:hAnsi="Book Antiqua"/>
          <w:vertAlign w:val="superscript"/>
        </w:rPr>
        <w:t>[1]</w:t>
      </w:r>
      <w:r>
        <w:rPr>
          <w:rFonts w:ascii="Book Antiqua" w:hAnsi="Book Antiqua"/>
        </w:rPr>
        <w:t>. There are data to support that the incidence of KD is also rising in the developing world, including India</w:t>
      </w:r>
      <w:r>
        <w:rPr>
          <w:rFonts w:ascii="Book Antiqua" w:hAnsi="Book Antiqua"/>
          <w:vertAlign w:val="superscript"/>
        </w:rPr>
        <w:t>[1]</w:t>
      </w:r>
      <w:r>
        <w:rPr>
          <w:rFonts w:ascii="Book Antiqua" w:hAnsi="Book Antiqua"/>
        </w:rPr>
        <w:t>. Coronary artery abnormalities (CAAs) have been noted in 15%-25% of untreated children and treatment with intravenous immunoglobulin (IVIg) reduces this risk to 3%-5%</w:t>
      </w:r>
      <w:r>
        <w:rPr>
          <w:rFonts w:ascii="Book Antiqua" w:hAnsi="Book Antiqua"/>
          <w:vertAlign w:val="superscript"/>
        </w:rPr>
        <w:t>[2]</w:t>
      </w:r>
      <w:r>
        <w:rPr>
          <w:rFonts w:ascii="Book Antiqua" w:hAnsi="Book Antiqua"/>
        </w:rPr>
        <w:t>. Children with KD are known to have lipid abnormalities in the acute phase that may persist long after the initial episode of the disease</w:t>
      </w:r>
      <w:r>
        <w:rPr>
          <w:rFonts w:ascii="Book Antiqua" w:hAnsi="Book Antiqua"/>
          <w:vertAlign w:val="superscript"/>
        </w:rPr>
        <w:t>[3-8]</w:t>
      </w:r>
      <w:r>
        <w:rPr>
          <w:rFonts w:ascii="Book Antiqua" w:hAnsi="Book Antiqua"/>
        </w:rPr>
        <w:t>. It is known that serum lipid profiles may remain deranged for prolonged periods after the acute stage of the illness and this may contribute to the premature and accelerated atherosclerosis seen in patients with KD</w:t>
      </w:r>
      <w:r>
        <w:rPr>
          <w:rFonts w:ascii="Book Antiqua" w:hAnsi="Book Antiqua"/>
          <w:vertAlign w:val="superscript"/>
        </w:rPr>
        <w:t>[9,10]</w:t>
      </w:r>
      <w:r>
        <w:rPr>
          <w:rFonts w:ascii="Book Antiqua" w:hAnsi="Book Antiqua"/>
        </w:rPr>
        <w:t xml:space="preserve">. </w:t>
      </w:r>
    </w:p>
    <w:p>
      <w:pPr>
        <w:spacing w:line="360" w:lineRule="auto"/>
        <w:ind w:firstLine="480"/>
        <w:jc w:val="both"/>
        <w:rPr>
          <w:rFonts w:ascii="Book Antiqua" w:hAnsi="Book Antiqua" w:eastAsia="Book Antiqua" w:cs="Book Antiqua"/>
        </w:rPr>
      </w:pPr>
      <w:r>
        <w:rPr>
          <w:rFonts w:ascii="Book Antiqua" w:hAnsi="Book Antiqua"/>
        </w:rPr>
        <w:t>Adipocytokines play a significant role in lipid metabolism, inflammation and diseases associated with accelerated atherosclerosis</w:t>
      </w:r>
      <w:r>
        <w:rPr>
          <w:rFonts w:ascii="Book Antiqua" w:hAnsi="Book Antiqua"/>
          <w:vertAlign w:val="superscript"/>
        </w:rPr>
        <w:t>[11-13]</w:t>
      </w:r>
      <w:r>
        <w:rPr>
          <w:rFonts w:ascii="Book Antiqua" w:hAnsi="Book Antiqua"/>
        </w:rPr>
        <w:t>. Moreover, their levels may impact lipid abnormalities</w:t>
      </w:r>
      <w:r>
        <w:rPr>
          <w:rFonts w:ascii="Book Antiqua" w:hAnsi="Book Antiqua"/>
          <w:vertAlign w:val="superscript"/>
        </w:rPr>
        <w:t>[11-14]</w:t>
      </w:r>
      <w:r>
        <w:rPr>
          <w:rFonts w:ascii="Book Antiqua" w:hAnsi="Book Antiqua"/>
        </w:rPr>
        <w:t>. As some of the lipid abnormalities associated with KD persist during the convalescent phase, we hypothesized that the adipocytokine perturbations seen during the acute phase of KD, may also persist during follow-up. There is a paucity of literature on this subject</w:t>
      </w:r>
      <w:r>
        <w:rPr>
          <w:rFonts w:ascii="Book Antiqua" w:hAnsi="Book Antiqua"/>
          <w:vertAlign w:val="superscript"/>
        </w:rPr>
        <w:t>[15-19]</w:t>
      </w:r>
      <w:r>
        <w:rPr>
          <w:rFonts w:ascii="Book Antiqua" w:hAnsi="Book Antiqua"/>
        </w:rPr>
        <w:t>, and the results are difficult to interpret. We, and others, have previously shown that children with KD in India have a different clinical phenotype compared to those reported in the developed world</w:t>
      </w:r>
      <w:r>
        <w:rPr>
          <w:rFonts w:ascii="Book Antiqua" w:hAnsi="Book Antiqua"/>
          <w:vertAlign w:val="superscript"/>
        </w:rPr>
        <w:t>[20]</w:t>
      </w:r>
      <w:r>
        <w:rPr>
          <w:rFonts w:ascii="Book Antiqua" w:hAnsi="Book Antiqua"/>
        </w:rPr>
        <w:t>. We have also shown that lipid abnormalities are seen in up to 25.9% of children with KD at a mean follow-up of 5 years</w:t>
      </w:r>
      <w:r>
        <w:rPr>
          <w:rFonts w:ascii="Book Antiqua" w:hAnsi="Book Antiqua"/>
          <w:vertAlign w:val="superscript"/>
        </w:rPr>
        <w:t>[6,7]</w:t>
      </w:r>
      <w:r>
        <w:rPr>
          <w:rFonts w:ascii="Book Antiqua" w:hAnsi="Book Antiqua"/>
        </w:rPr>
        <w:t xml:space="preserve">. We, therefore, conducted this study to determine whether adipocytokines are responsible for some of these lipid abnormalities.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caps/>
          <w:u w:val="single"/>
        </w:rPr>
        <w:t>MATERIALS AND METHODS</w:t>
      </w:r>
    </w:p>
    <w:p>
      <w:pPr>
        <w:spacing w:line="360" w:lineRule="auto"/>
        <w:jc w:val="both"/>
        <w:rPr>
          <w:rFonts w:ascii="Book Antiqua" w:hAnsi="Book Antiqua" w:eastAsia="Book Antiqua" w:cs="Book Antiqua"/>
          <w:i/>
          <w:iCs/>
        </w:rPr>
      </w:pPr>
      <w:r>
        <w:rPr>
          <w:rFonts w:ascii="Book Antiqua" w:hAnsi="Book Antiqua"/>
          <w:b/>
          <w:bCs/>
          <w:i/>
          <w:iCs/>
        </w:rPr>
        <w:t>Patients and methods</w:t>
      </w:r>
      <w:r>
        <w:rPr>
          <w:rFonts w:ascii="Book Antiqua" w:hAnsi="Book Antiqua"/>
          <w:i/>
          <w:iCs/>
        </w:rPr>
        <w:t xml:space="preserve"> </w:t>
      </w:r>
    </w:p>
    <w:p>
      <w:pPr>
        <w:spacing w:line="360" w:lineRule="auto"/>
        <w:jc w:val="both"/>
        <w:rPr>
          <w:rFonts w:ascii="Book Antiqua" w:hAnsi="Book Antiqua" w:eastAsia="Book Antiqua" w:cs="Book Antiqua"/>
        </w:rPr>
      </w:pPr>
      <w:r>
        <w:rPr>
          <w:rFonts w:ascii="Book Antiqua" w:hAnsi="Book Antiqua"/>
        </w:rPr>
        <w:t>The present study was a cross-sectional descriptive study conducted in the Paediatric Rheumatology Clinic, Advanced Paediatrics Centre, Postgraduate Institute of Medical Education and Research, Chandigarh. Our institute is a federally funded not-for-profit tertiary care centre catering to the population of North-West India. We follow the largest cohort of KD in India. Twenty consecutive cases of KD with at least 3 years of follow-up, and 20 healthy controls were enrolled in the present study. Children with acute KD and convalescent cases with less than 3 years of follow-up were excluded. The diagnosis of KD was based on the American Heart Association guidelines</w:t>
      </w:r>
      <w:r>
        <w:rPr>
          <w:rFonts w:ascii="Book Antiqua" w:hAnsi="Book Antiqua"/>
          <w:vertAlign w:val="superscript"/>
        </w:rPr>
        <w:t>[21]</w:t>
      </w:r>
      <w:r>
        <w:rPr>
          <w:rFonts w:ascii="Book Antiqua" w:hAnsi="Book Antiqua"/>
        </w:rPr>
        <w:t xml:space="preserve">. During the acute phase, children had received standard treatment </w:t>
      </w:r>
      <w:r>
        <w:rPr>
          <w:rFonts w:ascii="Book Antiqua" w:hAnsi="Book Antiqua"/>
          <w:i/>
          <w:iCs/>
        </w:rPr>
        <w:t>i.e.</w:t>
      </w:r>
      <w:r>
        <w:rPr>
          <w:rFonts w:ascii="Book Antiqua" w:hAnsi="Book Antiqua"/>
        </w:rPr>
        <w:t xml:space="preserve"> IVIg 2 g/kg along with aspirin (initially in higher doses [30-50 mg/kg/d], followed by antiplatelet doses [3-5 mg/kg/d]). Written informed consent was obtained from the parents/guardians at study enrolment. Clinical records were reviewed. The study protocol was approved by the Institute Thesis Committee and Institute Ethics Committee. This manuscript has been approved by the Departmental Review Board.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i/>
          <w:iCs/>
        </w:rPr>
      </w:pPr>
      <w:r>
        <w:rPr>
          <w:rFonts w:ascii="Book Antiqua" w:hAnsi="Book Antiqua"/>
          <w:b/>
          <w:bCs/>
          <w:i/>
          <w:iCs/>
        </w:rPr>
        <w:t xml:space="preserve">Evaluation of different adipocytokines </w:t>
      </w:r>
    </w:p>
    <w:p>
      <w:pPr>
        <w:spacing w:line="360" w:lineRule="auto"/>
        <w:jc w:val="both"/>
        <w:rPr>
          <w:rFonts w:ascii="Book Antiqua" w:hAnsi="Book Antiqua" w:eastAsia="Book Antiqua" w:cs="Book Antiqua"/>
        </w:rPr>
      </w:pPr>
      <w:r>
        <w:rPr>
          <w:rFonts w:ascii="Book Antiqua" w:hAnsi="Book Antiqua"/>
          <w:b/>
          <w:bCs/>
        </w:rPr>
        <w:t xml:space="preserve">Collection of blood sample: </w:t>
      </w:r>
      <w:r>
        <w:rPr>
          <w:rFonts w:ascii="Book Antiqua" w:hAnsi="Book Antiqua"/>
        </w:rPr>
        <w:t>Two milliliters of peripheral venous blood was collected from cases and controls in plain vials under aseptic conditions. Serum was extracted and collected in cryovials and immediately stored at-80°C. Hemolyzed and turbid samples were discarded.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rPr>
        <w:t xml:space="preserve"> </w:t>
      </w:r>
      <w:r>
        <w:rPr>
          <w:rFonts w:ascii="Book Antiqua" w:hAnsi="Book Antiqua"/>
          <w:b/>
          <w:bCs/>
        </w:rPr>
        <w:t xml:space="preserve">Estimation of serum resistin: </w:t>
      </w:r>
      <w:r>
        <w:rPr>
          <w:rFonts w:ascii="Book Antiqua" w:hAnsi="Book Antiqua"/>
        </w:rPr>
        <w:t>Serum resistin level was estimated using the AssayMax Human Resistin enzyme-linked immunosorbent assay (ELISA) kit designed for determining human resistin in plasma, serum, urine, saliva and cell culture samples as per the manufacturer’s recommendations. Sensitivity of the assay was 0.2 ng/mL; intra-assay coefficient of variability (CV) was 4.5% and inter-assay CV was 7.0%. Absorbance was measured at 450 nm on a microplate ELISA reader (Infinite PRO 2000 TECAN Austria).</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 xml:space="preserve">Estimation of serum adiponectin: </w:t>
      </w:r>
      <w:r>
        <w:rPr>
          <w:rFonts w:ascii="Book Antiqua" w:hAnsi="Book Antiqua"/>
        </w:rPr>
        <w:t>Serum adiponectin level was estimated using the AssayMax Human Adiponectin ELISA kit designed for measuring human adiponectin in plasma, serum, urine, saliva and cell culture samples. Sensitivity of the assay was 0.7 ng/mL, intra-assay CV was 4.3% and inter-assay CV was 7.2%.</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Estimation of serum leptin:</w:t>
      </w:r>
      <w:r>
        <w:rPr>
          <w:rFonts w:ascii="Book Antiqua" w:hAnsi="Book Antiqua"/>
        </w:rPr>
        <w:t xml:space="preserve"> Serum leptin level was similarly estimated using the DRG Human Leptin ELISA kit designed for determining human leptin in plasma and serum samples. Sensitivity of the assay was 1.0 ng/mL, intra-assay CV was 6%-7% and inter-assay CV was 8.5%-11.5%.</w:t>
      </w:r>
    </w:p>
    <w:p>
      <w:pPr>
        <w:spacing w:line="360" w:lineRule="auto"/>
        <w:ind w:firstLine="480"/>
        <w:jc w:val="both"/>
        <w:rPr>
          <w:rFonts w:ascii="Book Antiqua" w:hAnsi="Book Antiqua" w:eastAsia="Book Antiqua" w:cs="Book Antiqua"/>
        </w:rPr>
      </w:pPr>
      <w:r>
        <w:rPr>
          <w:rFonts w:ascii="Book Antiqua" w:hAnsi="Book Antiqua"/>
        </w:rPr>
        <w:t>All 3 adipocytokines were measured in convalescent cases of KD and in healthy controls. Serum lipids were also estimated in 18 children in the study group during follow-up. Reference values for lipids in healthy Indian children were obtained from the study by Marwaha</w:t>
      </w:r>
      <w:r>
        <w:rPr>
          <w:rFonts w:ascii="Book Antiqua" w:hAnsi="Book Antiqua"/>
          <w:i/>
          <w:iCs/>
        </w:rPr>
        <w:t xml:space="preserve"> et al</w:t>
      </w:r>
      <w:r>
        <w:rPr>
          <w:rFonts w:ascii="Book Antiqua" w:hAnsi="Book Antiqua"/>
          <w:vertAlign w:val="superscript"/>
        </w:rPr>
        <w:t>[22]</w:t>
      </w:r>
      <w:r>
        <w:rPr>
          <w:rFonts w:ascii="Book Antiqua" w:hAnsi="Book Antiqua"/>
        </w:rPr>
        <w:t xml:space="preserve">. </w:t>
      </w:r>
    </w:p>
    <w:p>
      <w:pPr>
        <w:spacing w:line="360" w:lineRule="auto"/>
        <w:ind w:firstLine="480"/>
        <w:jc w:val="both"/>
        <w:rPr>
          <w:rFonts w:ascii="Book Antiqua" w:hAnsi="Book Antiqua" w:eastAsia="Book Antiqua" w:cs="Book Antiqua"/>
        </w:rPr>
      </w:pPr>
    </w:p>
    <w:p>
      <w:pPr>
        <w:spacing w:line="360" w:lineRule="auto"/>
        <w:jc w:val="both"/>
        <w:rPr>
          <w:rFonts w:ascii="Book Antiqua" w:hAnsi="Book Antiqua" w:eastAsia="Book Antiqua" w:cs="Book Antiqua"/>
          <w:b/>
          <w:bCs/>
          <w:i/>
          <w:iCs/>
        </w:rPr>
      </w:pPr>
      <w:r>
        <w:rPr>
          <w:rFonts w:ascii="Book Antiqua" w:hAnsi="Book Antiqua"/>
          <w:b/>
          <w:bCs/>
          <w:i/>
          <w:iCs/>
        </w:rPr>
        <w:t>Statistical analysis</w:t>
      </w:r>
    </w:p>
    <w:p>
      <w:pPr>
        <w:spacing w:line="360" w:lineRule="auto"/>
        <w:jc w:val="both"/>
        <w:rPr>
          <w:rFonts w:ascii="Book Antiqua" w:hAnsi="Book Antiqua" w:eastAsia="Book Antiqua" w:cs="Book Antiqua"/>
        </w:rPr>
      </w:pPr>
      <w:r>
        <w:rPr>
          <w:rFonts w:ascii="Book Antiqua" w:hAnsi="Book Antiqua"/>
        </w:rPr>
        <w:t>Data were collected on a pre-designed proforma and transferred to a Microsoft Office Excel sheet. Preliminary analysis was conducted by descriptive statistics, expressed as means (SD), medians (range) and proportions (centiles). A comparison of the study and control group with regard to levels of individual adipocytokines (</w:t>
      </w:r>
      <w:r>
        <w:rPr>
          <w:rFonts w:ascii="Book Antiqua" w:hAnsi="Book Antiqua"/>
          <w:i/>
          <w:iCs/>
        </w:rPr>
        <w:t>i.e.</w:t>
      </w:r>
      <w:r>
        <w:rPr>
          <w:rFonts w:ascii="Book Antiqua" w:hAnsi="Book Antiqua"/>
        </w:rPr>
        <w:t xml:space="preserve"> leptin, resistin, and adiponectin) was performed using the Mann-Whitney test wherever data had skewed distribution and the Student’s t test was used for normal distribution. Analysis was carried out using the Statistical Package for Social Sciences Version 20.0 for Windows.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caps/>
          <w:u w:val="single"/>
        </w:rPr>
        <w:t>RESULTS</w:t>
      </w:r>
    </w:p>
    <w:p>
      <w:pPr>
        <w:spacing w:line="360" w:lineRule="auto"/>
        <w:jc w:val="both"/>
        <w:rPr>
          <w:rFonts w:ascii="Book Antiqua" w:hAnsi="Book Antiqua" w:eastAsia="Book Antiqua" w:cs="Book Antiqua"/>
          <w:i/>
          <w:iCs/>
        </w:rPr>
      </w:pPr>
      <w:r>
        <w:rPr>
          <w:rFonts w:ascii="Book Antiqua" w:hAnsi="Book Antiqua"/>
          <w:b/>
          <w:bCs/>
          <w:i/>
          <w:iCs/>
        </w:rPr>
        <w:t>Observation and results</w:t>
      </w:r>
    </w:p>
    <w:p>
      <w:pPr>
        <w:spacing w:line="360" w:lineRule="auto"/>
        <w:jc w:val="both"/>
        <w:rPr>
          <w:rFonts w:ascii="Book Antiqua" w:hAnsi="Book Antiqua" w:eastAsia="Book Antiqua" w:cs="Book Antiqua"/>
        </w:rPr>
      </w:pPr>
      <w:r>
        <w:rPr>
          <w:rFonts w:ascii="Book Antiqua" w:hAnsi="Book Antiqua"/>
        </w:rPr>
        <w:t xml:space="preserve">The mean age of patients with KD and controls was 10.1 and 9.1 years, respectively. The male:female ratio in patients with KD was 1.5:1. Mean duration of follow-up in the cases was 5.5 years. No case of IVIg resistance was documented in this cohort. Four children (20%) had CAAs at first admission that resolved on follow-up of 6-8 wk. Eighteen of 20 cases had lipid estimations during follow-up. Lipid abnormalities noted in these children are shown in Table 1. No association was observed between the occurrence of CAAs and the presence of lipid abnormalities. </w:t>
      </w:r>
    </w:p>
    <w:p>
      <w:pPr>
        <w:spacing w:line="360" w:lineRule="auto"/>
        <w:ind w:firstLine="480"/>
        <w:jc w:val="both"/>
        <w:rPr>
          <w:rFonts w:ascii="Book Antiqua" w:hAnsi="Book Antiqua" w:eastAsia="Book Antiqua" w:cs="Book Antiqua"/>
        </w:rPr>
      </w:pPr>
      <w:r>
        <w:rPr>
          <w:rFonts w:ascii="Book Antiqua" w:hAnsi="Book Antiqua"/>
        </w:rPr>
        <w:t>Median serum resistin levels in patients with KD (27.77 ng/mL; [</w:t>
      </w:r>
      <w:r>
        <w:rPr>
          <w:rFonts w:hint="eastAsia" w:ascii="Book Antiqua" w:hAnsi="Book Antiqua"/>
          <w:lang w:eastAsia="zh-CN"/>
        </w:rPr>
        <w:t>IQR:</w:t>
      </w:r>
      <w:r>
        <w:rPr>
          <w:rFonts w:ascii="Book Antiqua" w:hAnsi="Book Antiqua"/>
        </w:rPr>
        <w:t xml:space="preserve"> 18.66, 48.90]) were increased compared to controls (21.20 ng/mL; [</w:t>
      </w:r>
      <w:r>
        <w:rPr>
          <w:rFonts w:hint="eastAsia" w:ascii="Book Antiqua" w:hAnsi="Book Antiqua"/>
          <w:lang w:eastAsia="zh-CN"/>
        </w:rPr>
        <w:t>IQR:</w:t>
      </w:r>
      <w:r>
        <w:rPr>
          <w:rFonts w:ascii="Book Antiqua" w:hAnsi="Book Antiqua"/>
        </w:rPr>
        <w:t xml:space="preserve"> 14.80, 27.00]) (</w:t>
      </w:r>
      <w:r>
        <w:rPr>
          <w:rFonts w:ascii="Book Antiqua" w:hAnsi="Book Antiqua"/>
          <w:i/>
          <w:iCs/>
        </w:rPr>
        <w:t>P</w:t>
      </w:r>
      <w:r>
        <w:rPr>
          <w:rFonts w:ascii="Book Antiqua" w:hAnsi="Book Antiqua"/>
        </w:rPr>
        <w:t xml:space="preserve"> = 0.04). Median serum leptin levels in cases and controls were 1.83 ng/mL; (</w:t>
      </w:r>
      <w:r>
        <w:rPr>
          <w:rFonts w:hint="eastAsia" w:ascii="Book Antiqua" w:hAnsi="Book Antiqua"/>
          <w:lang w:eastAsia="zh-CN"/>
        </w:rPr>
        <w:t>IQR:</w:t>
      </w:r>
      <w:r>
        <w:rPr>
          <w:rFonts w:ascii="Book Antiqua" w:hAnsi="Book Antiqua"/>
        </w:rPr>
        <w:t xml:space="preserve"> 1.13, 3.80), and 1.10 ng/mL; (</w:t>
      </w:r>
      <w:r>
        <w:rPr>
          <w:rFonts w:hint="eastAsia" w:ascii="Book Antiqua" w:hAnsi="Book Antiqua"/>
          <w:lang w:eastAsia="zh-CN"/>
        </w:rPr>
        <w:t>IQR:</w:t>
      </w:r>
      <w:r>
        <w:rPr>
          <w:rFonts w:ascii="Book Antiqua" w:hAnsi="Book Antiqua"/>
        </w:rPr>
        <w:t xml:space="preserve"> 0.41, 2.88), respectively (</w:t>
      </w:r>
      <w:r>
        <w:rPr>
          <w:rFonts w:ascii="Book Antiqua" w:hAnsi="Book Antiqua"/>
          <w:i/>
          <w:iCs/>
        </w:rPr>
        <w:t>P</w:t>
      </w:r>
      <w:r>
        <w:rPr>
          <w:rFonts w:ascii="Book Antiqua" w:hAnsi="Book Antiqua"/>
        </w:rPr>
        <w:t xml:space="preserve"> = 0.09). Median serum adiponectin levels were similar in both cases (12.20 µg/mL; [</w:t>
      </w:r>
      <w:r>
        <w:rPr>
          <w:rFonts w:hint="eastAsia" w:ascii="Book Antiqua" w:hAnsi="Book Antiqua"/>
          <w:lang w:eastAsia="zh-CN"/>
        </w:rPr>
        <w:t>IQR:</w:t>
      </w:r>
      <w:r>
        <w:rPr>
          <w:rFonts w:ascii="Book Antiqua" w:hAnsi="Book Antiqua"/>
        </w:rPr>
        <w:t xml:space="preserve"> 9.76, 17.97]) and controls (13.95 µg/mL; [</w:t>
      </w:r>
      <w:r>
        <w:rPr>
          <w:rFonts w:hint="eastAsia" w:ascii="Book Antiqua" w:hAnsi="Book Antiqua"/>
          <w:lang w:eastAsia="zh-CN"/>
        </w:rPr>
        <w:t>IQR:</w:t>
      </w:r>
      <w:r>
        <w:rPr>
          <w:rFonts w:ascii="Book Antiqua" w:hAnsi="Book Antiqua"/>
        </w:rPr>
        <w:t xml:space="preserve"> 11.17, 22.58]); (</w:t>
      </w:r>
      <w:r>
        <w:rPr>
          <w:rFonts w:ascii="Book Antiqua" w:hAnsi="Book Antiqua"/>
          <w:i/>
          <w:iCs/>
        </w:rPr>
        <w:t>P</w:t>
      </w:r>
      <w:r>
        <w:rPr>
          <w:rFonts w:ascii="Book Antiqua" w:hAnsi="Book Antiqua"/>
        </w:rPr>
        <w:t xml:space="preserve"> = 0.18) (Table 2). There was no significant difference in all 3 adipocytokines between children with CAAs (4/20) and without CAAs (16/20). We performed a correlation analysis of different lipid profiles with adipocytokines (Table 3). No significant correlation was observed between adipocytokines and lipid values. Body mass index (BMI) has also been shown to have a significant positive correlation with leptin levels. No significant correlation between BMI and resistin or adiponectin was observed.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caps/>
          <w:u w:val="single"/>
        </w:rPr>
        <w:t>DISCUSSION</w:t>
      </w:r>
    </w:p>
    <w:p>
      <w:pPr>
        <w:spacing w:line="360" w:lineRule="auto"/>
        <w:jc w:val="both"/>
        <w:rPr>
          <w:rFonts w:ascii="Book Antiqua" w:hAnsi="Book Antiqua" w:eastAsia="Book Antiqua" w:cs="Book Antiqua"/>
        </w:rPr>
      </w:pPr>
      <w:r>
        <w:rPr>
          <w:rFonts w:ascii="Book Antiqua" w:hAnsi="Book Antiqua"/>
        </w:rPr>
        <w:t>KD is the most common cause of acquired heart disease in children in the developed world</w:t>
      </w:r>
      <w:r>
        <w:rPr>
          <w:rFonts w:ascii="Book Antiqua" w:hAnsi="Book Antiqua"/>
          <w:vertAlign w:val="superscript"/>
        </w:rPr>
        <w:t>[1]</w:t>
      </w:r>
      <w:r>
        <w:rPr>
          <w:rFonts w:ascii="Book Antiqua" w:hAnsi="Book Antiqua"/>
        </w:rPr>
        <w:t>. KD is being increasingly reported in several developing countries, including India</w:t>
      </w:r>
      <w:r>
        <w:rPr>
          <w:rFonts w:ascii="Book Antiqua" w:hAnsi="Book Antiqua"/>
          <w:vertAlign w:val="superscript"/>
        </w:rPr>
        <w:t>[23]</w:t>
      </w:r>
      <w:r>
        <w:rPr>
          <w:rFonts w:ascii="Book Antiqua" w:hAnsi="Book Antiqua"/>
        </w:rPr>
        <w:t>. Hospital-based studies at our centre have shown that the incidence of KD has risen significantly over the last 2 decades</w:t>
      </w:r>
      <w:r>
        <w:rPr>
          <w:rFonts w:ascii="Book Antiqua" w:hAnsi="Book Antiqua"/>
          <w:vertAlign w:val="superscript"/>
        </w:rPr>
        <w:t>[23]</w:t>
      </w:r>
      <w:r>
        <w:rPr>
          <w:rFonts w:ascii="Book Antiqua" w:hAnsi="Book Antiqua"/>
        </w:rPr>
        <w:t>. Whether, this increase represents a true increase in incidence, or an increased ascertainment of the disease as a result of heightened awareness, remains unknown. We, and others, have previously shown that KD in India has a different phenotype inasmuch as a higher proportion of older children are seen in Indian cohorts</w:t>
      </w:r>
      <w:r>
        <w:rPr>
          <w:rFonts w:ascii="Book Antiqua" w:hAnsi="Book Antiqua"/>
          <w:vertAlign w:val="superscript"/>
        </w:rPr>
        <w:t>[20,23,24]</w:t>
      </w:r>
      <w:r>
        <w:rPr>
          <w:rFonts w:ascii="Book Antiqua" w:hAnsi="Book Antiqua"/>
        </w:rPr>
        <w:t>. Furthermore, periungual desquamation and thrombocytosis seem to appear earlier in children with KD in India</w:t>
      </w:r>
      <w:r>
        <w:rPr>
          <w:rFonts w:ascii="Book Antiqua" w:hAnsi="Book Antiqua"/>
          <w:vertAlign w:val="superscript"/>
        </w:rPr>
        <w:t>[25]</w:t>
      </w:r>
      <w:r>
        <w:rPr>
          <w:rFonts w:ascii="Book Antiqua" w:hAnsi="Book Antiqua"/>
        </w:rPr>
        <w:t>.</w:t>
      </w:r>
    </w:p>
    <w:p>
      <w:pPr>
        <w:spacing w:line="360" w:lineRule="auto"/>
        <w:ind w:firstLine="480"/>
        <w:jc w:val="both"/>
        <w:rPr>
          <w:rFonts w:ascii="Book Antiqua" w:hAnsi="Book Antiqua" w:eastAsia="Book Antiqua" w:cs="Book Antiqua"/>
        </w:rPr>
      </w:pPr>
      <w:r>
        <w:rPr>
          <w:rFonts w:ascii="Book Antiqua" w:hAnsi="Book Antiqua"/>
        </w:rPr>
        <w:t>Newburger and colleagues previously reported that KD was associated with significant abnormalities of lipid metabolism and derangement of serum lipid profiles</w:t>
      </w:r>
      <w:r>
        <w:rPr>
          <w:rFonts w:ascii="Book Antiqua" w:hAnsi="Book Antiqua"/>
          <w:vertAlign w:val="superscript"/>
        </w:rPr>
        <w:t>[3]</w:t>
      </w:r>
      <w:r>
        <w:rPr>
          <w:rFonts w:ascii="Book Antiqua" w:hAnsi="Book Antiqua"/>
        </w:rPr>
        <w:t>. In the first few d of the illness, mean plasma concentration of total cholesterol and HDL- cholesterol was profoundly depressed, whereas mean triglyceride level was very high. Total cholesterol values rapidly returned to normal and remained stable more than three months after the onset of illness. HDL-cholesterol concentration recovered more slowly after illness onset. Mean HDL-cholesterol level was significantly reduced, even after three years of illness onset. Lipid abnormalities in KD are in part attributable to concurrent reductions in lipoprotein lipase and hepatic lipase activities</w:t>
      </w:r>
      <w:r>
        <w:rPr>
          <w:rFonts w:ascii="Book Antiqua" w:hAnsi="Book Antiqua"/>
          <w:vertAlign w:val="superscript"/>
        </w:rPr>
        <w:t>[4]</w:t>
      </w:r>
      <w:r>
        <w:rPr>
          <w:rFonts w:ascii="Book Antiqua" w:hAnsi="Book Antiqua"/>
        </w:rPr>
        <w:t>. Several other authors have also reported similar abnormalities in the lipid profile of children with KD</w:t>
      </w:r>
      <w:r>
        <w:rPr>
          <w:rFonts w:ascii="Book Antiqua" w:hAnsi="Book Antiqua"/>
          <w:vertAlign w:val="superscript"/>
        </w:rPr>
        <w:t>[4</w:t>
      </w:r>
      <w:r>
        <w:rPr>
          <w:rFonts w:hint="eastAsia" w:ascii="Book Antiqua" w:hAnsi="Book Antiqua"/>
          <w:vertAlign w:val="superscript"/>
          <w:lang w:val="en-US" w:eastAsia="zh-CN"/>
        </w:rPr>
        <w:t>,</w:t>
      </w:r>
      <w:r>
        <w:rPr>
          <w:rFonts w:ascii="Book Antiqua" w:hAnsi="Book Antiqua"/>
          <w:vertAlign w:val="superscript"/>
        </w:rPr>
        <w:t>6,26]</w:t>
      </w:r>
      <w:r>
        <w:rPr>
          <w:rFonts w:ascii="Book Antiqua" w:hAnsi="Book Antiqua"/>
        </w:rPr>
        <w:t>. We have shown that HDL-cholesterol was low in 6/18 and borderline in 11/18 patients with convalescent KD. Thus, 17/18 patients had abnormal HDL-cholesterol at follow-up. The persistence of low HDL-cholesterol for many years in our cohort suggests a long-lasting effect of KD on endothelial function, perhaps attributable to the diminished activity of lipoprotein lipase. Normal lipid levels in the general population have been studied in Indian children by Marwaha</w:t>
      </w:r>
      <w:r>
        <w:rPr>
          <w:rFonts w:ascii="Book Antiqua" w:hAnsi="Book Antiqua"/>
          <w:i/>
          <w:iCs/>
        </w:rPr>
        <w:t xml:space="preserve"> et al</w:t>
      </w:r>
      <w:r>
        <w:rPr>
          <w:rFonts w:ascii="Book Antiqua" w:hAnsi="Book Antiqua"/>
        </w:rPr>
        <w:t xml:space="preserve"> and these were used as historical reference standards in the present study</w:t>
      </w:r>
      <w:r>
        <w:rPr>
          <w:rFonts w:ascii="Book Antiqua" w:hAnsi="Book Antiqua"/>
          <w:vertAlign w:val="superscript"/>
        </w:rPr>
        <w:t>[22]</w:t>
      </w:r>
      <w:r>
        <w:rPr>
          <w:rFonts w:ascii="Book Antiqua" w:hAnsi="Book Antiqua"/>
        </w:rPr>
        <w:t xml:space="preserve">. </w:t>
      </w:r>
    </w:p>
    <w:p>
      <w:pPr>
        <w:spacing w:line="360" w:lineRule="auto"/>
        <w:ind w:firstLine="480"/>
        <w:jc w:val="both"/>
        <w:rPr>
          <w:rFonts w:ascii="Book Antiqua" w:hAnsi="Book Antiqua" w:eastAsia="Book Antiqua" w:cs="Book Antiqua"/>
        </w:rPr>
      </w:pPr>
      <w:r>
        <w:rPr>
          <w:rFonts w:ascii="Book Antiqua" w:hAnsi="Book Antiqua"/>
        </w:rPr>
        <w:t>Adipose tissue has long been considered an inert organ and a depot for energy storage. However, new advances have revealed that it is also an important endocrine organ that produces numerous adipocytokines</w:t>
      </w:r>
      <w:r>
        <w:rPr>
          <w:rFonts w:ascii="Book Antiqua" w:hAnsi="Book Antiqua"/>
          <w:vertAlign w:val="superscript"/>
        </w:rPr>
        <w:t>[11]</w:t>
      </w:r>
      <w:r>
        <w:rPr>
          <w:rFonts w:ascii="Book Antiqua" w:hAnsi="Book Antiqua"/>
        </w:rPr>
        <w:t>. Perturbations in adipocytokines are well known in obesity. These play a fundamental role in obesity-linked disorders such as diabetes mellitus and metabolic syndrome</w:t>
      </w:r>
      <w:r>
        <w:rPr>
          <w:rFonts w:ascii="Book Antiqua" w:hAnsi="Book Antiqua"/>
          <w:vertAlign w:val="superscript"/>
        </w:rPr>
        <w:t>[12]</w:t>
      </w:r>
      <w:r>
        <w:rPr>
          <w:rFonts w:ascii="Book Antiqua" w:hAnsi="Book Antiqua"/>
        </w:rPr>
        <w:t>. It is now well recognized that adipocytokines play a pivotal role in immune response and inflammation</w:t>
      </w:r>
      <w:r>
        <w:rPr>
          <w:rFonts w:ascii="Book Antiqua" w:hAnsi="Book Antiqua"/>
          <w:vertAlign w:val="superscript"/>
        </w:rPr>
        <w:t>[13]</w:t>
      </w:r>
      <w:r>
        <w:rPr>
          <w:rFonts w:ascii="Book Antiqua" w:hAnsi="Book Antiqua"/>
        </w:rPr>
        <w:t>. Studies have shown that adipokines may be important biomarkers for inflammation in chronic diseases</w:t>
      </w:r>
      <w:r>
        <w:rPr>
          <w:rFonts w:ascii="Book Antiqua" w:hAnsi="Book Antiqua"/>
          <w:vertAlign w:val="superscript"/>
        </w:rPr>
        <w:t>[27,28]</w:t>
      </w:r>
      <w:r>
        <w:rPr>
          <w:rFonts w:ascii="Book Antiqua" w:hAnsi="Book Antiqua"/>
        </w:rPr>
        <w:t>. While some adipocytokines can induce pro-inflammatory effects (</w:t>
      </w:r>
      <w:r>
        <w:rPr>
          <w:rFonts w:ascii="Book Antiqua" w:hAnsi="Book Antiqua"/>
          <w:i/>
          <w:iCs/>
        </w:rPr>
        <w:t>e.g</w:t>
      </w:r>
      <w:r>
        <w:rPr>
          <w:rFonts w:ascii="Book Antiqua" w:hAnsi="Book Antiqua"/>
        </w:rPr>
        <w:t>. leptin, resistin, IL-6, TNF-α), others have predominantly anti-inflammatory effects (</w:t>
      </w:r>
      <w:r>
        <w:rPr>
          <w:rFonts w:ascii="Book Antiqua" w:hAnsi="Book Antiqua"/>
          <w:i/>
          <w:iCs/>
        </w:rPr>
        <w:t>e.g.</w:t>
      </w:r>
      <w:r>
        <w:rPr>
          <w:rFonts w:ascii="Book Antiqua" w:hAnsi="Book Antiqua"/>
        </w:rPr>
        <w:t xml:space="preserve"> adiponectin and IL-10)</w:t>
      </w:r>
      <w:r>
        <w:rPr>
          <w:rFonts w:ascii="Book Antiqua" w:hAnsi="Book Antiqua"/>
          <w:vertAlign w:val="superscript"/>
        </w:rPr>
        <w:t>[14]</w:t>
      </w:r>
      <w:r>
        <w:rPr>
          <w:rFonts w:ascii="Book Antiqua" w:hAnsi="Book Antiqua"/>
        </w:rPr>
        <w:t xml:space="preserve">. Therefore, analysis of specific adiponectin isoforms may be necessary to prove these diverse effects. An imbalance between pro-inflammatory and anti-inflammatory adipocytokines leads to persistent inflammation and may contribute to accelerated atherosclerosis. Low adiponectin, high resistin and high leptin levels have been reported to produce this phenomenon. </w:t>
      </w:r>
    </w:p>
    <w:p>
      <w:pPr>
        <w:spacing w:line="360" w:lineRule="auto"/>
        <w:ind w:firstLine="480"/>
        <w:jc w:val="both"/>
        <w:rPr>
          <w:rFonts w:ascii="Book Antiqua" w:hAnsi="Book Antiqua" w:eastAsia="Book Antiqua" w:cs="Book Antiqua"/>
        </w:rPr>
      </w:pPr>
      <w:r>
        <w:rPr>
          <w:rFonts w:ascii="Book Antiqua" w:hAnsi="Book Antiqua"/>
        </w:rPr>
        <w:t>As children with KD have lipid abnormalities</w:t>
      </w:r>
      <w:r>
        <w:rPr>
          <w:rFonts w:ascii="Book Antiqua" w:hAnsi="Book Antiqua"/>
          <w:vertAlign w:val="superscript"/>
        </w:rPr>
        <w:t>[6,26]</w:t>
      </w:r>
      <w:r>
        <w:rPr>
          <w:rFonts w:ascii="Book Antiqua" w:hAnsi="Book Antiqua"/>
        </w:rPr>
        <w:t xml:space="preserve">, it is plausible that a disturbed adipocytokine milieu may contribute to early development of atherosclerosis. This may, in turn, predispose children with KD to acute coronary events at a young age. Adiponectin, resistin and leptin are the most examined adipocytokines in disorders of lipid metabolism and we, therefore, conducted this study in the convalescent phase of KD. To the best of our knowledge, there are no published data on adipocytokine levels in children with KD from the Indian subcontinent. </w:t>
      </w:r>
    </w:p>
    <w:p>
      <w:pPr>
        <w:spacing w:line="360" w:lineRule="auto"/>
        <w:ind w:firstLine="480"/>
        <w:jc w:val="both"/>
        <w:rPr>
          <w:rFonts w:ascii="Book Antiqua" w:hAnsi="Book Antiqua" w:eastAsia="Book Antiqua" w:cs="Book Antiqua"/>
        </w:rPr>
      </w:pPr>
      <w:r>
        <w:rPr>
          <w:rFonts w:ascii="Book Antiqua" w:hAnsi="Book Antiqua"/>
        </w:rPr>
        <w:t>Studies on adipocytokines profile in the follow-up of KD are sparse and have yielded conflicting results</w:t>
      </w:r>
      <w:r>
        <w:rPr>
          <w:rFonts w:ascii="Book Antiqua" w:hAnsi="Book Antiqua"/>
          <w:vertAlign w:val="superscript"/>
        </w:rPr>
        <w:t>[5,9,19]</w:t>
      </w:r>
      <w:r>
        <w:rPr>
          <w:rFonts w:ascii="Book Antiqua" w:hAnsi="Book Antiqua"/>
        </w:rPr>
        <w:t xml:space="preserve"> (Tables 3 and 4). Fukunaga</w:t>
      </w:r>
      <w:r>
        <w:rPr>
          <w:rFonts w:ascii="Book Antiqua" w:hAnsi="Book Antiqua"/>
          <w:i/>
          <w:iCs/>
        </w:rPr>
        <w:t xml:space="preserve"> et al</w:t>
      </w:r>
      <w:r>
        <w:rPr>
          <w:rFonts w:ascii="Book Antiqua" w:hAnsi="Book Antiqua"/>
          <w:vertAlign w:val="superscript"/>
        </w:rPr>
        <w:t>[19]</w:t>
      </w:r>
      <w:r>
        <w:rPr>
          <w:rFonts w:ascii="Book Antiqua" w:hAnsi="Book Antiqua"/>
        </w:rPr>
        <w:t xml:space="preserve"> reported low, medium molecular weight (MMW) and LMW adiponectin levels in convalescent cases of KD compared to controls. In the present study, serum resistin levels were significantly elevated in patients with KD during the convalescent phase compared to controls. Serum leptin levels appeared to be higher in patients with KD, although the difference was not statistically significant. Adiponectin levels were similar in both cases and controls. Cai</w:t>
      </w:r>
      <w:r>
        <w:rPr>
          <w:rFonts w:ascii="Book Antiqua" w:hAnsi="Book Antiqua"/>
          <w:i/>
          <w:iCs/>
        </w:rPr>
        <w:t xml:space="preserve"> et al</w:t>
      </w:r>
      <w:r>
        <w:rPr>
          <w:rFonts w:ascii="Book Antiqua" w:hAnsi="Book Antiqua"/>
          <w:vertAlign w:val="superscript"/>
        </w:rPr>
        <w:t>[29]</w:t>
      </w:r>
      <w:r>
        <w:rPr>
          <w:rFonts w:ascii="Book Antiqua" w:hAnsi="Book Antiqua"/>
        </w:rPr>
        <w:t xml:space="preserve"> performed a meta-analysis to assess the association of adiponectin and resistin in patients with KD. These authors showed that while serum resistin levels in patients with KD were significantly higher compared with those in controls, adiponectin levels were similar in patients with KD and controls. Our results are also in accordance with these findings.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caps/>
          <w:u w:val="single"/>
        </w:rPr>
        <w:t>CONCLUSION</w:t>
      </w:r>
    </w:p>
    <w:p>
      <w:pPr>
        <w:spacing w:line="360" w:lineRule="auto"/>
        <w:jc w:val="both"/>
        <w:rPr>
          <w:rFonts w:ascii="Book Antiqua" w:hAnsi="Book Antiqua" w:eastAsia="Book Antiqua" w:cs="Book Antiqua"/>
        </w:rPr>
      </w:pPr>
      <w:r>
        <w:rPr>
          <w:rFonts w:ascii="Book Antiqua" w:hAnsi="Book Antiqua"/>
        </w:rPr>
        <w:t xml:space="preserve">Our results suggest that serum adipocytokine levels may impact lipid abnormalities observed during the convalescent phase of KD. The strength of our study is that it is a single centre study wherein all children were diagnosed and treated by the senior author of this study (SS), thereby ensuring uniformity in sample recruitment. Furthermore, the diagnosis of KD was based on standard criteria (AHA 2004). One of the obvious weaknesses is the small sample size, but this was unavoidable as the study had to be completed in a given time frame for the dissertation of the first author (DP). It is suggested that the leads provided by our work should be applied in a larger and preferably multicentric study.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caps/>
          <w:u w:val="single"/>
        </w:rPr>
        <w:t>ARTICLE HIGHLIGHTS</w:t>
      </w:r>
    </w:p>
    <w:p>
      <w:pPr>
        <w:spacing w:line="360" w:lineRule="auto"/>
        <w:jc w:val="both"/>
        <w:rPr>
          <w:rFonts w:ascii="Book Antiqua" w:hAnsi="Book Antiqua" w:eastAsia="Book Antiqua" w:cs="Book Antiqua"/>
        </w:rPr>
      </w:pPr>
      <w:r>
        <w:rPr>
          <w:rFonts w:ascii="Book Antiqua" w:hAnsi="Book Antiqua"/>
          <w:b/>
          <w:bCs/>
          <w:i/>
          <w:iCs/>
        </w:rPr>
        <w:t>Research background</w:t>
      </w:r>
    </w:p>
    <w:p>
      <w:pPr>
        <w:spacing w:line="360" w:lineRule="auto"/>
        <w:jc w:val="both"/>
        <w:rPr>
          <w:rFonts w:ascii="Book Antiqua" w:hAnsi="Book Antiqua" w:eastAsia="Book Antiqua" w:cs="Book Antiqua"/>
        </w:rPr>
      </w:pPr>
      <w:r>
        <w:rPr>
          <w:rFonts w:ascii="Book Antiqua" w:hAnsi="Book Antiqua"/>
        </w:rPr>
        <w:t xml:space="preserve">Patients with Kawasaki disease (KD) may have abnormal lipid profiles that may last for prolonged periods. The reasons underlying the persistence of lipid abnormalities are unclear in patients with KD.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i/>
          <w:iCs/>
        </w:rPr>
        <w:t>Research motivation</w:t>
      </w:r>
    </w:p>
    <w:p>
      <w:pPr>
        <w:spacing w:line="360" w:lineRule="auto"/>
        <w:jc w:val="both"/>
        <w:rPr>
          <w:rFonts w:ascii="Book Antiqua" w:hAnsi="Book Antiqua" w:eastAsia="Book Antiqua" w:cs="Book Antiqua"/>
        </w:rPr>
      </w:pPr>
      <w:r>
        <w:rPr>
          <w:rFonts w:ascii="Book Antiqua" w:hAnsi="Book Antiqua"/>
        </w:rPr>
        <w:t xml:space="preserve">There is a paucity of literature on the role of adipocytokines and their effect on abnormal lipid metabolism in patients with KD.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i/>
          <w:iCs/>
        </w:rPr>
        <w:t>Research objectives</w:t>
      </w:r>
    </w:p>
    <w:p>
      <w:pPr>
        <w:spacing w:line="360" w:lineRule="auto"/>
        <w:jc w:val="both"/>
        <w:rPr>
          <w:rFonts w:ascii="Book Antiqua" w:hAnsi="Book Antiqua" w:eastAsia="Book Antiqua" w:cs="Book Antiqua"/>
        </w:rPr>
      </w:pPr>
      <w:r>
        <w:rPr>
          <w:rFonts w:ascii="Book Antiqua" w:hAnsi="Book Antiqua"/>
        </w:rPr>
        <w:t>To estimate the levels of adipocytokines (adiponectin, leptin and resistin) during the convalescent phase of KD.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i/>
          <w:iCs/>
        </w:rPr>
        <w:t>Research methods</w:t>
      </w:r>
    </w:p>
    <w:p>
      <w:pPr>
        <w:spacing w:line="360" w:lineRule="auto"/>
        <w:jc w:val="both"/>
        <w:rPr>
          <w:rFonts w:ascii="Book Antiqua" w:hAnsi="Book Antiqua" w:eastAsia="Book Antiqua" w:cs="Book Antiqua"/>
        </w:rPr>
      </w:pPr>
      <w:r>
        <w:rPr>
          <w:rFonts w:ascii="Book Antiqua" w:hAnsi="Book Antiqua"/>
        </w:rPr>
        <w:t xml:space="preserve">Serum adiponectin, leptin and resistin levels were estimated by enzyme-linked immunosorbent assay in patients with KD and controls.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i/>
          <w:iCs/>
        </w:rPr>
        <w:t>Research results</w:t>
      </w:r>
    </w:p>
    <w:p>
      <w:pPr>
        <w:spacing w:line="360" w:lineRule="auto"/>
        <w:jc w:val="both"/>
        <w:rPr>
          <w:rFonts w:ascii="Book Antiqua" w:hAnsi="Book Antiqua" w:eastAsia="Book Antiqua" w:cs="Book Antiqua"/>
        </w:rPr>
      </w:pPr>
      <w:r>
        <w:rPr>
          <w:rFonts w:ascii="Book Antiqua" w:hAnsi="Book Antiqua"/>
        </w:rPr>
        <w:t>The mean age of patients in the study group was 10.15 ± 3 years. Median serum resistin levels in patients with KD (27.77 ng/mL; [</w:t>
      </w:r>
      <w:r>
        <w:rPr>
          <w:rFonts w:hint="eastAsia" w:ascii="Book Antiqua" w:hAnsi="Book Antiqua"/>
          <w:lang w:eastAsia="zh-CN"/>
        </w:rPr>
        <w:t>IQR:</w:t>
      </w:r>
      <w:r>
        <w:rPr>
          <w:rFonts w:ascii="Book Antiqua" w:hAnsi="Book Antiqua"/>
        </w:rPr>
        <w:t xml:space="preserve"> 18.66, 48.90]) were increased compared to controls (21.20 ng/mL; [</w:t>
      </w:r>
      <w:r>
        <w:rPr>
          <w:rFonts w:hint="eastAsia" w:ascii="Book Antiqua" w:hAnsi="Book Antiqua"/>
          <w:lang w:eastAsia="zh-CN"/>
        </w:rPr>
        <w:t>IQR:</w:t>
      </w:r>
      <w:r>
        <w:rPr>
          <w:rFonts w:ascii="Book Antiqua" w:hAnsi="Book Antiqua"/>
        </w:rPr>
        <w:t xml:space="preserve"> 14.80, 27.00]) (</w:t>
      </w:r>
      <w:r>
        <w:rPr>
          <w:rFonts w:ascii="Book Antiqua" w:hAnsi="Book Antiqua"/>
          <w:i/>
          <w:iCs/>
        </w:rPr>
        <w:t>P</w:t>
      </w:r>
      <w:r>
        <w:rPr>
          <w:rFonts w:ascii="Book Antiqua" w:hAnsi="Book Antiqua"/>
        </w:rPr>
        <w:t xml:space="preserve"> = 0.04). Median serum leptin levels and adiponectin levels in cases and controls were similar. There was no significant correlation between adipocytokines and the lipid profile in patients with KD. There was no significant difference in all 3 adipocytokines between children with CAAs and without CAAs.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i/>
          <w:iCs/>
        </w:rPr>
        <w:t>Research conclusions</w:t>
      </w:r>
    </w:p>
    <w:p>
      <w:pPr>
        <w:spacing w:line="360" w:lineRule="auto"/>
        <w:jc w:val="both"/>
        <w:rPr>
          <w:rFonts w:ascii="Book Antiqua" w:hAnsi="Book Antiqua" w:eastAsia="Book Antiqua" w:cs="Book Antiqua"/>
        </w:rPr>
      </w:pPr>
      <w:r>
        <w:rPr>
          <w:rFonts w:ascii="Book Antiqua" w:hAnsi="Book Antiqua"/>
        </w:rPr>
        <w:t xml:space="preserve">Our results suggest that serum adipocytokine levels may impact lipid abnormalities observed during the convalescent phase of KD.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i/>
          <w:iCs/>
        </w:rPr>
        <w:t>Research perspectives</w:t>
      </w:r>
    </w:p>
    <w:p>
      <w:pPr>
        <w:spacing w:line="360" w:lineRule="auto"/>
        <w:jc w:val="both"/>
        <w:rPr>
          <w:rFonts w:ascii="Book Antiqua" w:hAnsi="Book Antiqua" w:eastAsia="Book Antiqua" w:cs="Book Antiqua"/>
        </w:rPr>
      </w:pPr>
      <w:r>
        <w:rPr>
          <w:rFonts w:ascii="Book Antiqua" w:hAnsi="Book Antiqua"/>
        </w:rPr>
        <w:t>The leads provided by our work should be applied in a larger and preferably multicentric study to confirm these results.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REFERENCES</w:t>
      </w:r>
    </w:p>
    <w:p>
      <w:pPr>
        <w:spacing w:line="360" w:lineRule="auto"/>
        <w:jc w:val="both"/>
        <w:rPr>
          <w:rFonts w:ascii="Book Antiqua" w:hAnsi="Book Antiqua" w:eastAsia="Book Antiqua" w:cs="Book Antiqua"/>
        </w:rPr>
      </w:pPr>
      <w:r>
        <w:rPr>
          <w:rFonts w:ascii="Book Antiqua" w:hAnsi="Book Antiqua"/>
        </w:rPr>
        <w:t xml:space="preserve">1 </w:t>
      </w:r>
      <w:r>
        <w:rPr>
          <w:rFonts w:ascii="Book Antiqua" w:hAnsi="Book Antiqua"/>
          <w:b/>
          <w:bCs/>
        </w:rPr>
        <w:t>Pilania RK,</w:t>
      </w:r>
      <w:r>
        <w:rPr>
          <w:rFonts w:ascii="Book Antiqua" w:hAnsi="Book Antiqua"/>
        </w:rPr>
        <w:t xml:space="preserve"> Singh S. Kawasaki Disease. Periodic and Non-Periodic Fevers. In: Cimaz R. Periodic and Non-Periodic Fevers. Rare Diseases of the Immune System, Springer. </w:t>
      </w:r>
      <w:r>
        <w:rPr>
          <w:rFonts w:ascii="Book Antiqua" w:hAnsi="Book Antiqua"/>
          <w:i/>
          <w:iCs/>
        </w:rPr>
        <w:t>Cham</w:t>
      </w:r>
      <w:r>
        <w:rPr>
          <w:rFonts w:ascii="Book Antiqua" w:hAnsi="Book Antiqua"/>
        </w:rPr>
        <w:t xml:space="preserve"> 2019: 45-63 [DOI: 10.1007/978-3-030-19055-2_4]</w:t>
      </w:r>
    </w:p>
    <w:p>
      <w:pPr>
        <w:spacing w:line="360" w:lineRule="auto"/>
        <w:jc w:val="both"/>
        <w:rPr>
          <w:rFonts w:ascii="Book Antiqua" w:hAnsi="Book Antiqua" w:eastAsia="Book Antiqua" w:cs="Book Antiqua"/>
        </w:rPr>
      </w:pPr>
      <w:r>
        <w:rPr>
          <w:rFonts w:ascii="Book Antiqua" w:hAnsi="Book Antiqua"/>
        </w:rPr>
        <w:t xml:space="preserve">2 </w:t>
      </w:r>
      <w:r>
        <w:rPr>
          <w:rFonts w:ascii="Book Antiqua" w:hAnsi="Book Antiqua"/>
          <w:b/>
          <w:bCs/>
        </w:rPr>
        <w:t>McCrindle BW</w:t>
      </w:r>
      <w:r>
        <w:rPr>
          <w:rFonts w:ascii="Book Antiqua" w:hAnsi="Book Antiqua"/>
        </w:rPr>
        <w:t xml:space="preserve">, Rowley AH, Newburger JW, Burns JC, Bolger AF, Gewitz M, Baker AL, Jackson MA, Takahashi M, Shah PB, Kobayashi T, Wu MH, Saji TT, Pahl E; American Heart Association Rheumatic Fever, Endocarditis, and Kawasaki Disease Committee of the Council on Cardiovascular Disease in the Young; Council on Cardiovascular and Stroke Nursing; Council on Cardiovascular Surgery and Anesthesia; and Council on Epidemiology and Prevention. Diagnosis, Treatment, and Long-Term Management of Kawasaki Disease: A Scientific Statement for Health Professionals From the American Heart Association. </w:t>
      </w:r>
      <w:r>
        <w:rPr>
          <w:rFonts w:ascii="Book Antiqua" w:hAnsi="Book Antiqua"/>
          <w:i/>
          <w:iCs/>
        </w:rPr>
        <w:t>Circulation</w:t>
      </w:r>
      <w:r>
        <w:rPr>
          <w:rFonts w:ascii="Book Antiqua" w:hAnsi="Book Antiqua"/>
        </w:rPr>
        <w:t xml:space="preserve"> 2017; </w:t>
      </w:r>
      <w:r>
        <w:rPr>
          <w:rFonts w:ascii="Book Antiqua" w:hAnsi="Book Antiqua"/>
          <w:b/>
          <w:bCs/>
        </w:rPr>
        <w:t>135</w:t>
      </w:r>
      <w:r>
        <w:rPr>
          <w:rFonts w:ascii="Book Antiqua" w:hAnsi="Book Antiqua"/>
        </w:rPr>
        <w:t>: e927-e999 [PMID: 28356445 DOI: 10.1161/CIR.0000000000000484]</w:t>
      </w:r>
    </w:p>
    <w:p>
      <w:pPr>
        <w:spacing w:line="360" w:lineRule="auto"/>
        <w:jc w:val="both"/>
        <w:rPr>
          <w:rFonts w:ascii="Book Antiqua" w:hAnsi="Book Antiqua" w:eastAsia="Book Antiqua" w:cs="Book Antiqua"/>
        </w:rPr>
      </w:pPr>
      <w:r>
        <w:rPr>
          <w:rFonts w:ascii="Book Antiqua" w:hAnsi="Book Antiqua"/>
        </w:rPr>
        <w:t xml:space="preserve">3 </w:t>
      </w:r>
      <w:r>
        <w:rPr>
          <w:rFonts w:ascii="Book Antiqua" w:hAnsi="Book Antiqua"/>
          <w:b/>
          <w:bCs/>
        </w:rPr>
        <w:t>Newburger JW</w:t>
      </w:r>
      <w:r>
        <w:rPr>
          <w:rFonts w:ascii="Book Antiqua" w:hAnsi="Book Antiqua"/>
        </w:rPr>
        <w:t xml:space="preserve">, Burns JC, Beiser AS, Loscalzo J. Altered lipid profile after Kawasaki syndrome. </w:t>
      </w:r>
      <w:r>
        <w:rPr>
          <w:rFonts w:ascii="Book Antiqua" w:hAnsi="Book Antiqua"/>
          <w:i/>
          <w:iCs/>
        </w:rPr>
        <w:t>Circulation</w:t>
      </w:r>
      <w:r>
        <w:rPr>
          <w:rFonts w:ascii="Book Antiqua" w:hAnsi="Book Antiqua"/>
        </w:rPr>
        <w:t xml:space="preserve"> 1991; </w:t>
      </w:r>
      <w:r>
        <w:rPr>
          <w:rFonts w:ascii="Book Antiqua" w:hAnsi="Book Antiqua"/>
          <w:b/>
          <w:bCs/>
        </w:rPr>
        <w:t>84</w:t>
      </w:r>
      <w:r>
        <w:rPr>
          <w:rFonts w:ascii="Book Antiqua" w:hAnsi="Book Antiqua"/>
        </w:rPr>
        <w:t>: 625-631 [PMID: 1860206 DOI: 10.1161/01.cir.84.2.625]</w:t>
      </w:r>
    </w:p>
    <w:p>
      <w:pPr>
        <w:spacing w:line="360" w:lineRule="auto"/>
        <w:jc w:val="both"/>
        <w:rPr>
          <w:rFonts w:ascii="Book Antiqua" w:hAnsi="Book Antiqua" w:eastAsia="Book Antiqua" w:cs="Book Antiqua"/>
        </w:rPr>
      </w:pPr>
      <w:r>
        <w:rPr>
          <w:rFonts w:ascii="Book Antiqua" w:hAnsi="Book Antiqua"/>
        </w:rPr>
        <w:t xml:space="preserve">4 </w:t>
      </w:r>
      <w:r>
        <w:rPr>
          <w:rFonts w:ascii="Book Antiqua" w:hAnsi="Book Antiqua"/>
          <w:b/>
          <w:bCs/>
        </w:rPr>
        <w:t>Sammalkorpi K</w:t>
      </w:r>
      <w:r>
        <w:rPr>
          <w:rFonts w:ascii="Book Antiqua" w:hAnsi="Book Antiqua"/>
        </w:rPr>
        <w:t xml:space="preserve">, Valtonen V, Kerttula Y, Nikkilä E, Taskinen MR. Changes in serum lipoprotein pattern induced by acute infections. </w:t>
      </w:r>
      <w:r>
        <w:rPr>
          <w:rFonts w:ascii="Book Antiqua" w:hAnsi="Book Antiqua"/>
          <w:i/>
          <w:iCs/>
        </w:rPr>
        <w:t>Metabolism</w:t>
      </w:r>
      <w:r>
        <w:rPr>
          <w:rFonts w:ascii="Book Antiqua" w:hAnsi="Book Antiqua"/>
        </w:rPr>
        <w:t xml:space="preserve"> 1988; </w:t>
      </w:r>
      <w:r>
        <w:rPr>
          <w:rFonts w:ascii="Book Antiqua" w:hAnsi="Book Antiqua"/>
          <w:b/>
          <w:bCs/>
        </w:rPr>
        <w:t>37</w:t>
      </w:r>
      <w:r>
        <w:rPr>
          <w:rFonts w:ascii="Book Antiqua" w:hAnsi="Book Antiqua"/>
        </w:rPr>
        <w:t>: 859-865 [PMID: 3419323 DOI: 10.1016/0026-0495(88)90120-5]</w:t>
      </w:r>
    </w:p>
    <w:p>
      <w:pPr>
        <w:spacing w:line="360" w:lineRule="auto"/>
        <w:jc w:val="both"/>
        <w:rPr>
          <w:rFonts w:ascii="Book Antiqua" w:hAnsi="Book Antiqua" w:eastAsia="Book Antiqua" w:cs="Book Antiqua"/>
        </w:rPr>
      </w:pPr>
      <w:r>
        <w:rPr>
          <w:rFonts w:ascii="Book Antiqua" w:hAnsi="Book Antiqua"/>
        </w:rPr>
        <w:t xml:space="preserve">5 </w:t>
      </w:r>
      <w:r>
        <w:rPr>
          <w:rFonts w:ascii="Book Antiqua" w:hAnsi="Book Antiqua"/>
          <w:b/>
          <w:bCs/>
        </w:rPr>
        <w:t>Mitani Y</w:t>
      </w:r>
      <w:r>
        <w:rPr>
          <w:rFonts w:ascii="Book Antiqua" w:hAnsi="Book Antiqua"/>
        </w:rPr>
        <w:t xml:space="preserve">, Sawada H, Hayakawa H, Aoki K, Ohashi H, Matsumura M, Kuroe K, Shimpo H, Nakano M, Komada Y. Elevated levels of high-sensitivity C-reactive protein and serum amyloid-A late after Kawasaki disease: association between inflammation and late coronary sequelae in Kawasaki disease. </w:t>
      </w:r>
      <w:r>
        <w:rPr>
          <w:rFonts w:ascii="Book Antiqua" w:hAnsi="Book Antiqua"/>
          <w:i/>
          <w:iCs/>
        </w:rPr>
        <w:t>Circulation</w:t>
      </w:r>
      <w:r>
        <w:rPr>
          <w:rFonts w:ascii="Book Antiqua" w:hAnsi="Book Antiqua"/>
        </w:rPr>
        <w:t xml:space="preserve"> 2005; </w:t>
      </w:r>
      <w:r>
        <w:rPr>
          <w:rFonts w:ascii="Book Antiqua" w:hAnsi="Book Antiqua"/>
          <w:b/>
          <w:bCs/>
        </w:rPr>
        <w:t>111</w:t>
      </w:r>
      <w:r>
        <w:rPr>
          <w:rFonts w:ascii="Book Antiqua" w:hAnsi="Book Antiqua"/>
        </w:rPr>
        <w:t>: 38-43 [PMID: 15611368 DOI: 10.1161/01.CIR.0000151311.38708.29]</w:t>
      </w:r>
    </w:p>
    <w:p>
      <w:pPr>
        <w:spacing w:line="360" w:lineRule="auto"/>
        <w:jc w:val="both"/>
        <w:rPr>
          <w:rFonts w:ascii="Book Antiqua" w:hAnsi="Book Antiqua" w:eastAsia="Book Antiqua" w:cs="Book Antiqua"/>
        </w:rPr>
      </w:pPr>
      <w:r>
        <w:rPr>
          <w:rFonts w:ascii="Book Antiqua" w:hAnsi="Book Antiqua"/>
        </w:rPr>
        <w:t xml:space="preserve">6 </w:t>
      </w:r>
      <w:r>
        <w:rPr>
          <w:rFonts w:ascii="Book Antiqua" w:hAnsi="Book Antiqua"/>
          <w:b/>
          <w:bCs/>
        </w:rPr>
        <w:t>Mitra A</w:t>
      </w:r>
      <w:r>
        <w:rPr>
          <w:rFonts w:ascii="Book Antiqua" w:hAnsi="Book Antiqua"/>
        </w:rPr>
        <w:t xml:space="preserve">, Singh S, Devidayal, Khullar M. Serum lipids in north Indian children treated for kawasaki disease. </w:t>
      </w:r>
      <w:r>
        <w:rPr>
          <w:rFonts w:ascii="Book Antiqua" w:hAnsi="Book Antiqua"/>
          <w:i/>
          <w:iCs/>
        </w:rPr>
        <w:t>Int Heart J</w:t>
      </w:r>
      <w:r>
        <w:rPr>
          <w:rFonts w:ascii="Book Antiqua" w:hAnsi="Book Antiqua"/>
        </w:rPr>
        <w:t xml:space="preserve"> 2005; </w:t>
      </w:r>
      <w:r>
        <w:rPr>
          <w:rFonts w:ascii="Book Antiqua" w:hAnsi="Book Antiqua"/>
          <w:b/>
          <w:bCs/>
        </w:rPr>
        <w:t>46</w:t>
      </w:r>
      <w:r>
        <w:rPr>
          <w:rFonts w:ascii="Book Antiqua" w:hAnsi="Book Antiqua"/>
        </w:rPr>
        <w:t>: 811-817 [PMID: 16272772 DOI: 10.1536/ihj.46.811]</w:t>
      </w:r>
    </w:p>
    <w:p>
      <w:pPr>
        <w:spacing w:line="360" w:lineRule="auto"/>
        <w:jc w:val="both"/>
        <w:rPr>
          <w:rFonts w:ascii="Book Antiqua" w:hAnsi="Book Antiqua" w:eastAsia="Book Antiqua" w:cs="Book Antiqua"/>
        </w:rPr>
      </w:pPr>
      <w:r>
        <w:rPr>
          <w:rFonts w:ascii="Book Antiqua" w:hAnsi="Book Antiqua"/>
        </w:rPr>
        <w:t xml:space="preserve">7 </w:t>
      </w:r>
      <w:r>
        <w:rPr>
          <w:rFonts w:ascii="Book Antiqua" w:hAnsi="Book Antiqua"/>
          <w:b/>
          <w:bCs/>
        </w:rPr>
        <w:t>Gopalan K</w:t>
      </w:r>
      <w:r>
        <w:rPr>
          <w:rFonts w:ascii="Book Antiqua" w:hAnsi="Book Antiqua"/>
        </w:rPr>
        <w:t xml:space="preserve">, Singh S, Vignesh P, Gupta A, Rohit M, Attri SV. Carotid Intima-Media Thickness and Lipid Profile in Children With Kawasaki Disease: A Single-Center Follow-up Study After a Mean Duration of 6.9 Years. </w:t>
      </w:r>
      <w:r>
        <w:rPr>
          <w:rFonts w:ascii="Book Antiqua" w:hAnsi="Book Antiqua"/>
          <w:i/>
          <w:iCs/>
        </w:rPr>
        <w:t>J Clin Rheumatol</w:t>
      </w:r>
      <w:r>
        <w:rPr>
          <w:rFonts w:ascii="Book Antiqua" w:hAnsi="Book Antiqua"/>
        </w:rPr>
        <w:t xml:space="preserve"> 2018; </w:t>
      </w:r>
      <w:r>
        <w:rPr>
          <w:rFonts w:ascii="Book Antiqua" w:hAnsi="Book Antiqua"/>
          <w:b/>
          <w:bCs/>
        </w:rPr>
        <w:t>24</w:t>
      </w:r>
      <w:r>
        <w:rPr>
          <w:rFonts w:ascii="Book Antiqua" w:hAnsi="Book Antiqua"/>
        </w:rPr>
        <w:t>: 385-389 [PMID: 29538084 DOI: 10.1097/RHU.0000000000000754]</w:t>
      </w:r>
    </w:p>
    <w:p>
      <w:pPr>
        <w:spacing w:line="360" w:lineRule="auto"/>
        <w:jc w:val="both"/>
        <w:rPr>
          <w:rFonts w:ascii="Book Antiqua" w:hAnsi="Book Antiqua" w:eastAsia="Book Antiqua" w:cs="Book Antiqua"/>
        </w:rPr>
      </w:pPr>
      <w:r>
        <w:rPr>
          <w:rFonts w:ascii="Book Antiqua" w:hAnsi="Book Antiqua"/>
        </w:rPr>
        <w:t xml:space="preserve">8 </w:t>
      </w:r>
      <w:r>
        <w:rPr>
          <w:rFonts w:ascii="Book Antiqua" w:hAnsi="Book Antiqua"/>
          <w:b/>
          <w:bCs/>
        </w:rPr>
        <w:t>Suthar R</w:t>
      </w:r>
      <w:r>
        <w:rPr>
          <w:rFonts w:ascii="Book Antiqua" w:hAnsi="Book Antiqua"/>
        </w:rPr>
        <w:t xml:space="preserve">, Singh S, Bhalla AK, Attri SV. Pattern of subcutaneous fat during follow-up of a cohort of North Indian children with Kawasaki disease: a preliminary study. </w:t>
      </w:r>
      <w:r>
        <w:rPr>
          <w:rFonts w:ascii="Book Antiqua" w:hAnsi="Book Antiqua"/>
          <w:i/>
          <w:iCs/>
        </w:rPr>
        <w:t>Int J Rheum Dis</w:t>
      </w:r>
      <w:r>
        <w:rPr>
          <w:rFonts w:ascii="Book Antiqua" w:hAnsi="Book Antiqua"/>
        </w:rPr>
        <w:t xml:space="preserve"> 2014; </w:t>
      </w:r>
      <w:r>
        <w:rPr>
          <w:rFonts w:ascii="Book Antiqua" w:hAnsi="Book Antiqua"/>
          <w:b/>
          <w:bCs/>
        </w:rPr>
        <w:t>17</w:t>
      </w:r>
      <w:r>
        <w:rPr>
          <w:rFonts w:ascii="Book Antiqua" w:hAnsi="Book Antiqua"/>
        </w:rPr>
        <w:t>: 304-312 [PMID: 24517191 DOI: 10.1111/1756-185X.12296]</w:t>
      </w:r>
    </w:p>
    <w:p>
      <w:pPr>
        <w:spacing w:line="360" w:lineRule="auto"/>
        <w:jc w:val="both"/>
        <w:rPr>
          <w:rFonts w:ascii="Book Antiqua" w:hAnsi="Book Antiqua" w:eastAsia="Book Antiqua" w:cs="Book Antiqua"/>
        </w:rPr>
      </w:pPr>
      <w:r>
        <w:rPr>
          <w:rFonts w:ascii="Book Antiqua" w:hAnsi="Book Antiqua"/>
        </w:rPr>
        <w:t xml:space="preserve">9 </w:t>
      </w:r>
      <w:r>
        <w:rPr>
          <w:rFonts w:ascii="Book Antiqua" w:hAnsi="Book Antiqua"/>
          <w:b/>
          <w:bCs/>
        </w:rPr>
        <w:t>Cheung YF</w:t>
      </w:r>
      <w:r>
        <w:rPr>
          <w:rFonts w:ascii="Book Antiqua" w:hAnsi="Book Antiqua"/>
        </w:rPr>
        <w:t xml:space="preserve">, Yung TC, Tam SC, Ho MH, Chau AK. Novel and traditional cardiovascular risk factors in children after Kawasaki disease: implications for premature atherosclerosis. </w:t>
      </w:r>
      <w:r>
        <w:rPr>
          <w:rFonts w:ascii="Book Antiqua" w:hAnsi="Book Antiqua"/>
          <w:i/>
          <w:iCs/>
        </w:rPr>
        <w:t>J Am Coll Cardiol</w:t>
      </w:r>
      <w:r>
        <w:rPr>
          <w:rFonts w:ascii="Book Antiqua" w:hAnsi="Book Antiqua"/>
        </w:rPr>
        <w:t xml:space="preserve"> 2004; </w:t>
      </w:r>
      <w:r>
        <w:rPr>
          <w:rFonts w:ascii="Book Antiqua" w:hAnsi="Book Antiqua"/>
          <w:b/>
          <w:bCs/>
        </w:rPr>
        <w:t>43</w:t>
      </w:r>
      <w:r>
        <w:rPr>
          <w:rFonts w:ascii="Book Antiqua" w:hAnsi="Book Antiqua"/>
        </w:rPr>
        <w:t>: 120-124 [PMID: 14715193 DOI: 10.1016/j.jacc.2003.08.030]</w:t>
      </w:r>
    </w:p>
    <w:p>
      <w:pPr>
        <w:spacing w:line="360" w:lineRule="auto"/>
        <w:jc w:val="both"/>
        <w:rPr>
          <w:rFonts w:ascii="Book Antiqua" w:hAnsi="Book Antiqua" w:eastAsia="Book Antiqua" w:cs="Book Antiqua"/>
        </w:rPr>
      </w:pPr>
      <w:r>
        <w:rPr>
          <w:rFonts w:ascii="Book Antiqua" w:hAnsi="Book Antiqua"/>
        </w:rPr>
        <w:t xml:space="preserve">10 </w:t>
      </w:r>
      <w:r>
        <w:rPr>
          <w:rFonts w:ascii="Book Antiqua" w:hAnsi="Book Antiqua"/>
          <w:b/>
          <w:bCs/>
        </w:rPr>
        <w:t>McCrindle BW</w:t>
      </w:r>
      <w:r>
        <w:rPr>
          <w:rFonts w:ascii="Book Antiqua" w:hAnsi="Book Antiqua"/>
        </w:rPr>
        <w:t xml:space="preserve">, McIntyre S, Kim C, Lin T, Adeli K. Are patients after Kawasaki disease at increased risk for accelerated atherosclerosis? </w:t>
      </w:r>
      <w:r>
        <w:rPr>
          <w:rFonts w:ascii="Book Antiqua" w:hAnsi="Book Antiqua"/>
          <w:i/>
          <w:iCs/>
        </w:rPr>
        <w:t>J Pediatr</w:t>
      </w:r>
      <w:r>
        <w:rPr>
          <w:rFonts w:ascii="Book Antiqua" w:hAnsi="Book Antiqua"/>
        </w:rPr>
        <w:t xml:space="preserve"> 2007; </w:t>
      </w:r>
      <w:r>
        <w:rPr>
          <w:rFonts w:ascii="Book Antiqua" w:hAnsi="Book Antiqua"/>
          <w:b/>
          <w:bCs/>
        </w:rPr>
        <w:t>151</w:t>
      </w:r>
      <w:r>
        <w:rPr>
          <w:rFonts w:ascii="Book Antiqua" w:hAnsi="Book Antiqua"/>
        </w:rPr>
        <w:t>: 244-248, 248.e1 [PMID: 17719931 DOI: 10.1016/j.jpeds.2007.03.056]</w:t>
      </w:r>
    </w:p>
    <w:p>
      <w:pPr>
        <w:spacing w:line="360" w:lineRule="auto"/>
        <w:jc w:val="both"/>
        <w:rPr>
          <w:rFonts w:ascii="Book Antiqua" w:hAnsi="Book Antiqua" w:eastAsia="Book Antiqua" w:cs="Book Antiqua"/>
        </w:rPr>
      </w:pPr>
      <w:r>
        <w:rPr>
          <w:rFonts w:ascii="Book Antiqua" w:hAnsi="Book Antiqua"/>
        </w:rPr>
        <w:t xml:space="preserve">11 </w:t>
      </w:r>
      <w:r>
        <w:rPr>
          <w:rFonts w:ascii="Book Antiqua" w:hAnsi="Book Antiqua"/>
          <w:b/>
          <w:bCs/>
        </w:rPr>
        <w:t>Tilg H</w:t>
      </w:r>
      <w:r>
        <w:rPr>
          <w:rFonts w:ascii="Book Antiqua" w:hAnsi="Book Antiqua"/>
        </w:rPr>
        <w:t xml:space="preserve">, Moschen AR. Adipocytokines: mediators linking adipose tissue, inflammation and immunity. </w:t>
      </w:r>
      <w:r>
        <w:rPr>
          <w:rFonts w:ascii="Book Antiqua" w:hAnsi="Book Antiqua"/>
          <w:i/>
          <w:iCs/>
        </w:rPr>
        <w:t>Nat Rev Immunol</w:t>
      </w:r>
      <w:r>
        <w:rPr>
          <w:rFonts w:ascii="Book Antiqua" w:hAnsi="Book Antiqua"/>
        </w:rPr>
        <w:t xml:space="preserve"> 2006; </w:t>
      </w:r>
      <w:r>
        <w:rPr>
          <w:rFonts w:ascii="Book Antiqua" w:hAnsi="Book Antiqua"/>
          <w:b/>
          <w:bCs/>
        </w:rPr>
        <w:t>6</w:t>
      </w:r>
      <w:r>
        <w:rPr>
          <w:rFonts w:ascii="Book Antiqua" w:hAnsi="Book Antiqua"/>
        </w:rPr>
        <w:t>: 772-783 [PMID: 16998510 DOI: 10.1038/nri1937]</w:t>
      </w:r>
    </w:p>
    <w:p>
      <w:pPr>
        <w:spacing w:line="360" w:lineRule="auto"/>
        <w:jc w:val="both"/>
        <w:rPr>
          <w:rFonts w:ascii="Book Antiqua" w:hAnsi="Book Antiqua" w:eastAsia="Book Antiqua" w:cs="Book Antiqua"/>
        </w:rPr>
      </w:pPr>
      <w:r>
        <w:rPr>
          <w:rFonts w:ascii="Book Antiqua" w:hAnsi="Book Antiqua"/>
        </w:rPr>
        <w:t xml:space="preserve">12 </w:t>
      </w:r>
      <w:r>
        <w:rPr>
          <w:rFonts w:ascii="Book Antiqua" w:hAnsi="Book Antiqua"/>
          <w:b/>
          <w:bCs/>
        </w:rPr>
        <w:t>Jung CH</w:t>
      </w:r>
      <w:r>
        <w:rPr>
          <w:rFonts w:ascii="Book Antiqua" w:hAnsi="Book Antiqua"/>
        </w:rPr>
        <w:t xml:space="preserve">, Kim BY, Mok JO, Kang SK, Kim CH. Association between serum adipocytokine levels and microangiopathies in patients with type 2 diabetes mellitus. </w:t>
      </w:r>
      <w:r>
        <w:rPr>
          <w:rFonts w:ascii="Book Antiqua" w:hAnsi="Book Antiqua"/>
          <w:i/>
          <w:iCs/>
        </w:rPr>
        <w:t>J Diabetes Investig</w:t>
      </w:r>
      <w:r>
        <w:rPr>
          <w:rFonts w:ascii="Book Antiqua" w:hAnsi="Book Antiqua"/>
        </w:rPr>
        <w:t xml:space="preserve"> 2014; </w:t>
      </w:r>
      <w:r>
        <w:rPr>
          <w:rFonts w:ascii="Book Antiqua" w:hAnsi="Book Antiqua"/>
          <w:b/>
          <w:bCs/>
        </w:rPr>
        <w:t>5</w:t>
      </w:r>
      <w:r>
        <w:rPr>
          <w:rFonts w:ascii="Book Antiqua" w:hAnsi="Book Antiqua"/>
        </w:rPr>
        <w:t>: 333-339 [PMID: 24843783 DOI: 10.1111/jdi.12144]</w:t>
      </w:r>
    </w:p>
    <w:p>
      <w:pPr>
        <w:spacing w:line="360" w:lineRule="auto"/>
        <w:jc w:val="both"/>
        <w:rPr>
          <w:rFonts w:ascii="Book Antiqua" w:hAnsi="Book Antiqua" w:eastAsia="Book Antiqua" w:cs="Book Antiqua"/>
        </w:rPr>
      </w:pPr>
      <w:r>
        <w:rPr>
          <w:rFonts w:ascii="Book Antiqua" w:hAnsi="Book Antiqua"/>
        </w:rPr>
        <w:t xml:space="preserve">13 </w:t>
      </w:r>
      <w:r>
        <w:rPr>
          <w:rFonts w:ascii="Book Antiqua" w:hAnsi="Book Antiqua"/>
          <w:b/>
          <w:bCs/>
        </w:rPr>
        <w:t>Viswanath V</w:t>
      </w:r>
      <w:r>
        <w:rPr>
          <w:rFonts w:ascii="Book Antiqua" w:hAnsi="Book Antiqua"/>
        </w:rPr>
        <w:t xml:space="preserve">, Danda D. Inflammation, metabolism and adipokines: toward a unified theory. </w:t>
      </w:r>
      <w:r>
        <w:rPr>
          <w:rFonts w:ascii="Book Antiqua" w:hAnsi="Book Antiqua"/>
          <w:i/>
          <w:iCs/>
        </w:rPr>
        <w:t>Int J Rheum Dis</w:t>
      </w:r>
      <w:r>
        <w:rPr>
          <w:rFonts w:ascii="Book Antiqua" w:hAnsi="Book Antiqua"/>
        </w:rPr>
        <w:t xml:space="preserve"> 2016; </w:t>
      </w:r>
      <w:r>
        <w:rPr>
          <w:rFonts w:ascii="Book Antiqua" w:hAnsi="Book Antiqua"/>
          <w:b/>
          <w:bCs/>
        </w:rPr>
        <w:t>19</w:t>
      </w:r>
      <w:r>
        <w:rPr>
          <w:rFonts w:ascii="Book Antiqua" w:hAnsi="Book Antiqua"/>
        </w:rPr>
        <w:t>: 633-636 [PMID: 27538673 DOI: 10.1111/1756-185X.12958]</w:t>
      </w:r>
    </w:p>
    <w:p>
      <w:pPr>
        <w:spacing w:line="360" w:lineRule="auto"/>
        <w:jc w:val="both"/>
        <w:rPr>
          <w:rFonts w:ascii="Book Antiqua" w:hAnsi="Book Antiqua" w:eastAsia="Book Antiqua" w:cs="Book Antiqua"/>
        </w:rPr>
      </w:pPr>
      <w:r>
        <w:rPr>
          <w:rFonts w:ascii="Book Antiqua" w:hAnsi="Book Antiqua"/>
        </w:rPr>
        <w:t xml:space="preserve">14 </w:t>
      </w:r>
      <w:r>
        <w:rPr>
          <w:rFonts w:ascii="Book Antiqua" w:hAnsi="Book Antiqua"/>
          <w:b/>
          <w:bCs/>
        </w:rPr>
        <w:t>Neumeier M</w:t>
      </w:r>
      <w:r>
        <w:rPr>
          <w:rFonts w:ascii="Book Antiqua" w:hAnsi="Book Antiqua"/>
        </w:rPr>
        <w:t xml:space="preserve">, Weigert J, Schäffler A, Wehrwein G, Müller-Ladner U, Schölmerich J, Wrede C, Buechler C. Different effects of adiponectin isoforms in human monocytic cells. </w:t>
      </w:r>
      <w:r>
        <w:rPr>
          <w:rFonts w:ascii="Book Antiqua" w:hAnsi="Book Antiqua"/>
          <w:i/>
          <w:iCs/>
        </w:rPr>
        <w:t>J Leukoc Biol</w:t>
      </w:r>
      <w:r>
        <w:rPr>
          <w:rFonts w:ascii="Book Antiqua" w:hAnsi="Book Antiqua"/>
        </w:rPr>
        <w:t xml:space="preserve"> 2006; </w:t>
      </w:r>
      <w:r>
        <w:rPr>
          <w:rFonts w:ascii="Book Antiqua" w:hAnsi="Book Antiqua"/>
          <w:b/>
          <w:bCs/>
        </w:rPr>
        <w:t>79</w:t>
      </w:r>
      <w:r>
        <w:rPr>
          <w:rFonts w:ascii="Book Antiqua" w:hAnsi="Book Antiqua"/>
        </w:rPr>
        <w:t>: 803-808 [PMID: 16434692 DOI: 10.1189/jlb.0905521]</w:t>
      </w:r>
    </w:p>
    <w:p>
      <w:pPr>
        <w:spacing w:line="360" w:lineRule="auto"/>
        <w:jc w:val="both"/>
        <w:rPr>
          <w:rFonts w:ascii="Book Antiqua" w:hAnsi="Book Antiqua" w:eastAsia="Book Antiqua" w:cs="Book Antiqua"/>
        </w:rPr>
      </w:pPr>
      <w:r>
        <w:rPr>
          <w:rFonts w:ascii="Book Antiqua" w:hAnsi="Book Antiqua"/>
        </w:rPr>
        <w:t xml:space="preserve">15 </w:t>
      </w:r>
      <w:r>
        <w:rPr>
          <w:rFonts w:ascii="Book Antiqua" w:hAnsi="Book Antiqua"/>
          <w:b/>
          <w:bCs/>
        </w:rPr>
        <w:t>Nozue H</w:t>
      </w:r>
      <w:r>
        <w:rPr>
          <w:rFonts w:ascii="Book Antiqua" w:hAnsi="Book Antiqua"/>
        </w:rPr>
        <w:t xml:space="preserve">, Imai H, Saitoh H, Aoki T, Ichikawa K, Kamoda T. Serum resistin concentrations in children with Kawasaki disease. </w:t>
      </w:r>
      <w:r>
        <w:rPr>
          <w:rFonts w:ascii="Book Antiqua" w:hAnsi="Book Antiqua"/>
          <w:i/>
          <w:iCs/>
        </w:rPr>
        <w:t>Inflamm Res</w:t>
      </w:r>
      <w:r>
        <w:rPr>
          <w:rFonts w:ascii="Book Antiqua" w:hAnsi="Book Antiqua"/>
        </w:rPr>
        <w:t xml:space="preserve"> 2010; </w:t>
      </w:r>
      <w:r>
        <w:rPr>
          <w:rFonts w:ascii="Book Antiqua" w:hAnsi="Book Antiqua"/>
          <w:b/>
          <w:bCs/>
        </w:rPr>
        <w:t>59</w:t>
      </w:r>
      <w:r>
        <w:rPr>
          <w:rFonts w:ascii="Book Antiqua" w:hAnsi="Book Antiqua"/>
        </w:rPr>
        <w:t>: 915-920 [PMID: 20422438 DOI: 10.1007/s00011-010-0202-8]</w:t>
      </w:r>
    </w:p>
    <w:p>
      <w:pPr>
        <w:spacing w:line="360" w:lineRule="auto"/>
        <w:jc w:val="both"/>
        <w:rPr>
          <w:rFonts w:ascii="Book Antiqua" w:hAnsi="Book Antiqua" w:eastAsia="Book Antiqua" w:cs="Book Antiqua"/>
        </w:rPr>
      </w:pPr>
      <w:r>
        <w:rPr>
          <w:rFonts w:ascii="Book Antiqua" w:hAnsi="Book Antiqua"/>
        </w:rPr>
        <w:t xml:space="preserve">16 </w:t>
      </w:r>
      <w:r>
        <w:rPr>
          <w:rFonts w:ascii="Book Antiqua" w:hAnsi="Book Antiqua"/>
          <w:b/>
          <w:bCs/>
        </w:rPr>
        <w:t>Liu R</w:t>
      </w:r>
      <w:r>
        <w:rPr>
          <w:rFonts w:ascii="Book Antiqua" w:hAnsi="Book Antiqua"/>
        </w:rPr>
        <w:t xml:space="preserve">, He B, Gao F, Liu Q, Yi Q. Relationship between adipokines and coronary artery aneurysm in children with Kawasaki disease. </w:t>
      </w:r>
      <w:r>
        <w:rPr>
          <w:rFonts w:ascii="Book Antiqua" w:hAnsi="Book Antiqua"/>
          <w:i/>
          <w:iCs/>
        </w:rPr>
        <w:t>Transl Res</w:t>
      </w:r>
      <w:r>
        <w:rPr>
          <w:rFonts w:ascii="Book Antiqua" w:hAnsi="Book Antiqua"/>
        </w:rPr>
        <w:t xml:space="preserve"> 2012; </w:t>
      </w:r>
      <w:r>
        <w:rPr>
          <w:rFonts w:ascii="Book Antiqua" w:hAnsi="Book Antiqua"/>
          <w:b/>
          <w:bCs/>
        </w:rPr>
        <w:t>160</w:t>
      </w:r>
      <w:r>
        <w:rPr>
          <w:rFonts w:ascii="Book Antiqua" w:hAnsi="Book Antiqua"/>
        </w:rPr>
        <w:t>: 131-136 [PMID: 22683371 DOI: 10.1016/j.trsl.2012.01.013]</w:t>
      </w:r>
    </w:p>
    <w:p>
      <w:pPr>
        <w:spacing w:line="360" w:lineRule="auto"/>
        <w:jc w:val="both"/>
        <w:rPr>
          <w:rFonts w:ascii="Book Antiqua" w:hAnsi="Book Antiqua" w:eastAsia="Book Antiqua" w:cs="Book Antiqua"/>
        </w:rPr>
      </w:pPr>
      <w:r>
        <w:rPr>
          <w:rFonts w:ascii="Book Antiqua" w:hAnsi="Book Antiqua"/>
        </w:rPr>
        <w:t xml:space="preserve">17 </w:t>
      </w:r>
      <w:r>
        <w:rPr>
          <w:rFonts w:ascii="Book Antiqua" w:hAnsi="Book Antiqua"/>
          <w:b/>
          <w:bCs/>
        </w:rPr>
        <w:t>Kemmotsu Y</w:t>
      </w:r>
      <w:r>
        <w:rPr>
          <w:rFonts w:ascii="Book Antiqua" w:hAnsi="Book Antiqua"/>
        </w:rPr>
        <w:t xml:space="preserve">, Saji T, Kusunoki N, Tanaka N, Nishimura C, Ishiguro A, Kawai S. Serum adipokine profiles in Kawasaki disease. </w:t>
      </w:r>
      <w:r>
        <w:rPr>
          <w:rFonts w:ascii="Book Antiqua" w:hAnsi="Book Antiqua"/>
          <w:i/>
          <w:iCs/>
        </w:rPr>
        <w:t>Mod Rheumatol</w:t>
      </w:r>
      <w:r>
        <w:rPr>
          <w:rFonts w:ascii="Book Antiqua" w:hAnsi="Book Antiqua"/>
        </w:rPr>
        <w:t xml:space="preserve"> 2012; </w:t>
      </w:r>
      <w:r>
        <w:rPr>
          <w:rFonts w:ascii="Book Antiqua" w:hAnsi="Book Antiqua"/>
          <w:b/>
          <w:bCs/>
        </w:rPr>
        <w:t>22</w:t>
      </w:r>
      <w:r>
        <w:rPr>
          <w:rFonts w:ascii="Book Antiqua" w:hAnsi="Book Antiqua"/>
        </w:rPr>
        <w:t>: 66-72 [PMID: 21633913 DOI: 10.1007/s10165-011-0468-x]</w:t>
      </w:r>
    </w:p>
    <w:p>
      <w:pPr>
        <w:spacing w:line="360" w:lineRule="auto"/>
        <w:jc w:val="both"/>
        <w:rPr>
          <w:rFonts w:ascii="Book Antiqua" w:hAnsi="Book Antiqua" w:eastAsia="Book Antiqua" w:cs="Book Antiqua"/>
        </w:rPr>
      </w:pPr>
      <w:r>
        <w:rPr>
          <w:rFonts w:ascii="Book Antiqua" w:hAnsi="Book Antiqua"/>
        </w:rPr>
        <w:t xml:space="preserve">18 </w:t>
      </w:r>
      <w:r>
        <w:rPr>
          <w:rFonts w:ascii="Book Antiqua" w:hAnsi="Book Antiqua"/>
          <w:b/>
          <w:bCs/>
        </w:rPr>
        <w:t>Kim HJ</w:t>
      </w:r>
      <w:r>
        <w:rPr>
          <w:rFonts w:ascii="Book Antiqua" w:hAnsi="Book Antiqua"/>
        </w:rPr>
        <w:t xml:space="preserve">, Choi EH, Kil HR. Association between adipokines and coronary artery lesions in children with Kawasaki Disease. </w:t>
      </w:r>
      <w:r>
        <w:rPr>
          <w:rFonts w:ascii="Book Antiqua" w:hAnsi="Book Antiqua"/>
          <w:i/>
          <w:iCs/>
        </w:rPr>
        <w:t>J Korean Med Sci</w:t>
      </w:r>
      <w:r>
        <w:rPr>
          <w:rFonts w:ascii="Book Antiqua" w:hAnsi="Book Antiqua"/>
        </w:rPr>
        <w:t xml:space="preserve"> 2014; </w:t>
      </w:r>
      <w:r>
        <w:rPr>
          <w:rFonts w:ascii="Book Antiqua" w:hAnsi="Book Antiqua"/>
          <w:b/>
          <w:bCs/>
        </w:rPr>
        <w:t>29</w:t>
      </w:r>
      <w:r>
        <w:rPr>
          <w:rFonts w:ascii="Book Antiqua" w:hAnsi="Book Antiqua"/>
        </w:rPr>
        <w:t>: 1385-1390 [PMID: 25368492 DOI: 10.3346/jkms.2014.29.10.1385]</w:t>
      </w:r>
    </w:p>
    <w:p>
      <w:pPr>
        <w:spacing w:line="360" w:lineRule="auto"/>
        <w:jc w:val="both"/>
        <w:rPr>
          <w:rFonts w:ascii="Book Antiqua" w:hAnsi="Book Antiqua" w:eastAsia="Book Antiqua" w:cs="Book Antiqua"/>
        </w:rPr>
      </w:pPr>
      <w:r>
        <w:rPr>
          <w:rFonts w:ascii="Book Antiqua" w:hAnsi="Book Antiqua"/>
        </w:rPr>
        <w:t xml:space="preserve">19 </w:t>
      </w:r>
      <w:r>
        <w:rPr>
          <w:rFonts w:ascii="Book Antiqua" w:hAnsi="Book Antiqua"/>
          <w:b/>
          <w:bCs/>
        </w:rPr>
        <w:t>Fukunaga H</w:t>
      </w:r>
      <w:r>
        <w:rPr>
          <w:rFonts w:ascii="Book Antiqua" w:hAnsi="Book Antiqua"/>
        </w:rPr>
        <w:t xml:space="preserve">, Kishiro M, Akimoto K, Ohtsuka Y, Nagata S, Shimizu T. Imbalance of peroxisome proliferator-activated receptor gamma and adiponectin predisposes Kawasaki disease patients to developing atherosclerosis. </w:t>
      </w:r>
      <w:r>
        <w:rPr>
          <w:rFonts w:ascii="Book Antiqua" w:hAnsi="Book Antiqua"/>
          <w:i/>
          <w:iCs/>
        </w:rPr>
        <w:t>Pediatr Int</w:t>
      </w:r>
      <w:r>
        <w:rPr>
          <w:rFonts w:ascii="Book Antiqua" w:hAnsi="Book Antiqua"/>
        </w:rPr>
        <w:t xml:space="preserve"> 2010; </w:t>
      </w:r>
      <w:r>
        <w:rPr>
          <w:rFonts w:ascii="Book Antiqua" w:hAnsi="Book Antiqua"/>
          <w:b/>
          <w:bCs/>
        </w:rPr>
        <w:t>52</w:t>
      </w:r>
      <w:r>
        <w:rPr>
          <w:rFonts w:ascii="Book Antiqua" w:hAnsi="Book Antiqua"/>
        </w:rPr>
        <w:t>: 795-800 [PMID: 20487372 DOI: 10.1111/j.1442-200X.2010.03160.x]</w:t>
      </w:r>
    </w:p>
    <w:p>
      <w:pPr>
        <w:spacing w:line="360" w:lineRule="auto"/>
        <w:jc w:val="both"/>
        <w:rPr>
          <w:rFonts w:ascii="Book Antiqua" w:hAnsi="Book Antiqua" w:eastAsia="Book Antiqua" w:cs="Book Antiqua"/>
        </w:rPr>
      </w:pPr>
      <w:r>
        <w:rPr>
          <w:rFonts w:ascii="Book Antiqua" w:hAnsi="Book Antiqua"/>
        </w:rPr>
        <w:t xml:space="preserve">20 </w:t>
      </w:r>
      <w:r>
        <w:rPr>
          <w:rFonts w:ascii="Book Antiqua" w:hAnsi="Book Antiqua"/>
          <w:b/>
          <w:bCs/>
        </w:rPr>
        <w:t>Jindal AK</w:t>
      </w:r>
      <w:r>
        <w:rPr>
          <w:rFonts w:ascii="Book Antiqua" w:hAnsi="Book Antiqua"/>
        </w:rPr>
        <w:t xml:space="preserve">, Pilania RK, Guleria S, Vignesh P, Suri D, Gupta A, Singhal M, Rawat A, Singh S. Kawasaki Disease in Children Older Than 10 Years: A Clinical Experience From Northwest India. </w:t>
      </w:r>
      <w:r>
        <w:rPr>
          <w:rFonts w:ascii="Book Antiqua" w:hAnsi="Book Antiqua"/>
          <w:i/>
          <w:iCs/>
        </w:rPr>
        <w:t>Front Pediatr</w:t>
      </w:r>
      <w:r>
        <w:rPr>
          <w:rFonts w:ascii="Book Antiqua" w:hAnsi="Book Antiqua"/>
        </w:rPr>
        <w:t xml:space="preserve"> 2020; </w:t>
      </w:r>
      <w:r>
        <w:rPr>
          <w:rFonts w:ascii="Book Antiqua" w:hAnsi="Book Antiqua"/>
          <w:b/>
          <w:bCs/>
        </w:rPr>
        <w:t>8</w:t>
      </w:r>
      <w:r>
        <w:rPr>
          <w:rFonts w:ascii="Book Antiqua" w:hAnsi="Book Antiqua"/>
        </w:rPr>
        <w:t>: 24 [PMID: 32117831 DOI: 10.3389/fped.2020.00024]</w:t>
      </w:r>
    </w:p>
    <w:p>
      <w:pPr>
        <w:spacing w:line="360" w:lineRule="auto"/>
        <w:jc w:val="both"/>
        <w:rPr>
          <w:rFonts w:ascii="Book Antiqua" w:hAnsi="Book Antiqua" w:eastAsia="Book Antiqua" w:cs="Book Antiqua"/>
        </w:rPr>
      </w:pPr>
      <w:r>
        <w:rPr>
          <w:rFonts w:ascii="Book Antiqua" w:hAnsi="Book Antiqua"/>
        </w:rPr>
        <w:t xml:space="preserve">21 </w:t>
      </w:r>
      <w:r>
        <w:rPr>
          <w:rFonts w:ascii="Book Antiqua" w:hAnsi="Book Antiqua"/>
          <w:b/>
          <w:bCs/>
        </w:rPr>
        <w:t>Newburger JW</w:t>
      </w:r>
      <w:r>
        <w:rPr>
          <w:rFonts w:ascii="Book Antiqua" w:hAnsi="Book Antiqua"/>
        </w:rPr>
        <w:t xml:space="preserve">, Takahashi M, Gerber MA, Gewitz MH, Tani LY, Burns JC, Shulman ST, Bolger AF, Ferrieri P, Baltimore RS, Wilson WR, Baddour LM, Levison ME, Pallasch TJ, Falace DA, Taubert KA; Committee on Rheumatic Fever, Endocarditis, and Kawasaki Disease, Council on Cardiovascular Disease in the Young, American Heart Association. Diagnosis, treatment, and long-term management of Kawasaki disease: a statement for health professionals from the Committee on Rheumatic Fever, Endocarditis, and Kawasaki Disease, Council on Cardiovascular Disease in the Young, American Heart Association. </w:t>
      </w:r>
      <w:r>
        <w:rPr>
          <w:rFonts w:ascii="Book Antiqua" w:hAnsi="Book Antiqua"/>
          <w:i/>
          <w:iCs/>
        </w:rPr>
        <w:t>Pediatrics</w:t>
      </w:r>
      <w:r>
        <w:rPr>
          <w:rFonts w:ascii="Book Antiqua" w:hAnsi="Book Antiqua"/>
        </w:rPr>
        <w:t xml:space="preserve"> 2004; </w:t>
      </w:r>
      <w:r>
        <w:rPr>
          <w:rFonts w:ascii="Book Antiqua" w:hAnsi="Book Antiqua"/>
          <w:b/>
          <w:bCs/>
        </w:rPr>
        <w:t>114</w:t>
      </w:r>
      <w:r>
        <w:rPr>
          <w:rFonts w:ascii="Book Antiqua" w:hAnsi="Book Antiqua"/>
        </w:rPr>
        <w:t>: 1708-1733 [PMID: 15574639 DOI: 10.1542/peds.2004-2182]</w:t>
      </w:r>
    </w:p>
    <w:p>
      <w:pPr>
        <w:spacing w:line="360" w:lineRule="auto"/>
        <w:jc w:val="both"/>
        <w:rPr>
          <w:rFonts w:ascii="Book Antiqua" w:hAnsi="Book Antiqua" w:eastAsia="Book Antiqua" w:cs="Book Antiqua"/>
        </w:rPr>
      </w:pPr>
      <w:r>
        <w:rPr>
          <w:rFonts w:ascii="Book Antiqua" w:hAnsi="Book Antiqua"/>
        </w:rPr>
        <w:t xml:space="preserve">22 </w:t>
      </w:r>
      <w:r>
        <w:rPr>
          <w:rFonts w:ascii="Book Antiqua" w:hAnsi="Book Antiqua"/>
          <w:b/>
          <w:bCs/>
        </w:rPr>
        <w:t>Marwaha RK</w:t>
      </w:r>
      <w:r>
        <w:rPr>
          <w:rFonts w:ascii="Book Antiqua" w:hAnsi="Book Antiqua"/>
        </w:rPr>
        <w:t xml:space="preserve">, Khadgawat R, Tandon N, Kanwar R, Narang A, Sastry A, Bhadra K. Reference intervals of serum lipid profile in healthy Indian school children and adolescents. </w:t>
      </w:r>
      <w:r>
        <w:rPr>
          <w:rFonts w:ascii="Book Antiqua" w:hAnsi="Book Antiqua"/>
          <w:i/>
          <w:iCs/>
        </w:rPr>
        <w:t>Clin Biochem</w:t>
      </w:r>
      <w:r>
        <w:rPr>
          <w:rFonts w:ascii="Book Antiqua" w:hAnsi="Book Antiqua"/>
        </w:rPr>
        <w:t xml:space="preserve"> 2011; </w:t>
      </w:r>
      <w:r>
        <w:rPr>
          <w:rFonts w:ascii="Book Antiqua" w:hAnsi="Book Antiqua"/>
          <w:b/>
          <w:bCs/>
        </w:rPr>
        <w:t>44</w:t>
      </w:r>
      <w:r>
        <w:rPr>
          <w:rFonts w:ascii="Book Antiqua" w:hAnsi="Book Antiqua"/>
        </w:rPr>
        <w:t>: 760-766 [PMID: 21620812 DOI: 10.1016/j.clinbiochem.2011.05.011]</w:t>
      </w:r>
    </w:p>
    <w:p>
      <w:pPr>
        <w:spacing w:line="360" w:lineRule="auto"/>
        <w:jc w:val="both"/>
        <w:rPr>
          <w:rFonts w:ascii="Book Antiqua" w:hAnsi="Book Antiqua" w:eastAsia="Book Antiqua" w:cs="Book Antiqua"/>
        </w:rPr>
      </w:pPr>
      <w:r>
        <w:rPr>
          <w:rFonts w:ascii="Book Antiqua" w:hAnsi="Book Antiqua"/>
        </w:rPr>
        <w:t xml:space="preserve">23 </w:t>
      </w:r>
      <w:r>
        <w:rPr>
          <w:rFonts w:ascii="Book Antiqua" w:hAnsi="Book Antiqua"/>
          <w:b/>
          <w:bCs/>
        </w:rPr>
        <w:t>Singh S</w:t>
      </w:r>
      <w:r>
        <w:rPr>
          <w:rFonts w:ascii="Book Antiqua" w:hAnsi="Book Antiqua"/>
        </w:rPr>
        <w:t xml:space="preserve">, Aulakh R, Bhalla AK, Suri D, Manojkumar R, Narula N, Burns JC. Is Kawasaki disease incidence rising in Chandigarh, North India? </w:t>
      </w:r>
      <w:r>
        <w:rPr>
          <w:rFonts w:ascii="Book Antiqua" w:hAnsi="Book Antiqua"/>
          <w:i/>
          <w:iCs/>
        </w:rPr>
        <w:t>Arch Dis Child</w:t>
      </w:r>
      <w:r>
        <w:rPr>
          <w:rFonts w:ascii="Book Antiqua" w:hAnsi="Book Antiqua"/>
        </w:rPr>
        <w:t xml:space="preserve"> 2011; </w:t>
      </w:r>
      <w:r>
        <w:rPr>
          <w:rFonts w:ascii="Book Antiqua" w:hAnsi="Book Antiqua"/>
          <w:b/>
          <w:bCs/>
        </w:rPr>
        <w:t>96</w:t>
      </w:r>
      <w:r>
        <w:rPr>
          <w:rFonts w:ascii="Book Antiqua" w:hAnsi="Book Antiqua"/>
        </w:rPr>
        <w:t>: 137-140 [PMID: 20923951 DOI: 10.1136/adc.2010.194001]</w:t>
      </w:r>
    </w:p>
    <w:p>
      <w:pPr>
        <w:spacing w:line="360" w:lineRule="auto"/>
        <w:jc w:val="both"/>
        <w:rPr>
          <w:rFonts w:ascii="Book Antiqua" w:hAnsi="Book Antiqua" w:eastAsia="Book Antiqua" w:cs="Book Antiqua"/>
        </w:rPr>
      </w:pPr>
      <w:r>
        <w:rPr>
          <w:rFonts w:ascii="Book Antiqua" w:hAnsi="Book Antiqua"/>
        </w:rPr>
        <w:t xml:space="preserve">24 </w:t>
      </w:r>
      <w:r>
        <w:rPr>
          <w:rFonts w:ascii="Book Antiqua" w:hAnsi="Book Antiqua"/>
          <w:b/>
          <w:bCs/>
        </w:rPr>
        <w:t>Pilania RK</w:t>
      </w:r>
      <w:r>
        <w:rPr>
          <w:rFonts w:ascii="Book Antiqua" w:hAnsi="Book Antiqua"/>
        </w:rPr>
        <w:t xml:space="preserve">, Jindal AK, Johnson N, Prithvi A, Vignesh P, Suri D, Rawat A, Gupta A, Singh S. Macrophage activation syndrome in children with Kawasaki disease: an experience from a tertiary care hospital in northwest India. </w:t>
      </w:r>
      <w:r>
        <w:rPr>
          <w:rFonts w:ascii="Book Antiqua" w:hAnsi="Book Antiqua"/>
          <w:i/>
          <w:iCs/>
        </w:rPr>
        <w:t>Rheumatology (Oxford)</w:t>
      </w:r>
      <w:r>
        <w:rPr>
          <w:rFonts w:ascii="Book Antiqua" w:hAnsi="Book Antiqua"/>
        </w:rPr>
        <w:t xml:space="preserve"> 2021; </w:t>
      </w:r>
      <w:r>
        <w:rPr>
          <w:rFonts w:ascii="Book Antiqua" w:hAnsi="Book Antiqua"/>
          <w:b/>
          <w:bCs/>
        </w:rPr>
        <w:t>60</w:t>
      </w:r>
      <w:r>
        <w:rPr>
          <w:rFonts w:ascii="Book Antiqua" w:hAnsi="Book Antiqua"/>
        </w:rPr>
        <w:t>: 3413-3419 [PMID: 33221920 DOI: 10.1093/rheumatology/keaa715]</w:t>
      </w:r>
    </w:p>
    <w:p>
      <w:pPr>
        <w:spacing w:line="360" w:lineRule="auto"/>
        <w:jc w:val="both"/>
        <w:rPr>
          <w:rFonts w:ascii="Book Antiqua" w:hAnsi="Book Antiqua" w:eastAsia="Book Antiqua" w:cs="Book Antiqua"/>
        </w:rPr>
      </w:pPr>
      <w:r>
        <w:rPr>
          <w:rFonts w:ascii="Book Antiqua" w:hAnsi="Book Antiqua"/>
        </w:rPr>
        <w:t xml:space="preserve">25 </w:t>
      </w:r>
      <w:r>
        <w:rPr>
          <w:rFonts w:ascii="Book Antiqua" w:hAnsi="Book Antiqua"/>
          <w:b/>
          <w:bCs/>
        </w:rPr>
        <w:t>Kushner HI</w:t>
      </w:r>
      <w:r>
        <w:rPr>
          <w:rFonts w:ascii="Book Antiqua" w:hAnsi="Book Antiqua"/>
        </w:rPr>
        <w:t xml:space="preserve">, Macnee R, Burns JC. Impressions of Kawasaki syndrome in India. </w:t>
      </w:r>
      <w:r>
        <w:rPr>
          <w:rFonts w:ascii="Book Antiqua" w:hAnsi="Book Antiqua"/>
          <w:i/>
          <w:iCs/>
        </w:rPr>
        <w:t>Indian Pediatr</w:t>
      </w:r>
      <w:r>
        <w:rPr>
          <w:rFonts w:ascii="Book Antiqua" w:hAnsi="Book Antiqua"/>
        </w:rPr>
        <w:t xml:space="preserve"> 2006; </w:t>
      </w:r>
      <w:r>
        <w:rPr>
          <w:rFonts w:ascii="Book Antiqua" w:hAnsi="Book Antiqua"/>
          <w:b/>
          <w:bCs/>
        </w:rPr>
        <w:t>43</w:t>
      </w:r>
      <w:r>
        <w:rPr>
          <w:rFonts w:ascii="Book Antiqua" w:hAnsi="Book Antiqua"/>
        </w:rPr>
        <w:t>: 939-942 [PMID: 17151396]</w:t>
      </w:r>
    </w:p>
    <w:p>
      <w:pPr>
        <w:spacing w:line="360" w:lineRule="auto"/>
        <w:jc w:val="both"/>
        <w:rPr>
          <w:rFonts w:ascii="Book Antiqua" w:hAnsi="Book Antiqua" w:eastAsia="Book Antiqua" w:cs="Book Antiqua"/>
        </w:rPr>
      </w:pPr>
      <w:r>
        <w:rPr>
          <w:rFonts w:ascii="Book Antiqua" w:hAnsi="Book Antiqua"/>
        </w:rPr>
        <w:t xml:space="preserve">26 </w:t>
      </w:r>
      <w:r>
        <w:rPr>
          <w:rFonts w:ascii="Book Antiqua" w:hAnsi="Book Antiqua"/>
          <w:b/>
          <w:bCs/>
        </w:rPr>
        <w:t>Mostafavi SN</w:t>
      </w:r>
      <w:r>
        <w:rPr>
          <w:rFonts w:ascii="Book Antiqua" w:hAnsi="Book Antiqua"/>
        </w:rPr>
        <w:t xml:space="preserve">, Barzegar E, Manssori NS, Kelishadi R. First report on the lipid profile late after kawasaki disease in Iranian children. </w:t>
      </w:r>
      <w:r>
        <w:rPr>
          <w:rFonts w:ascii="Book Antiqua" w:hAnsi="Book Antiqua"/>
          <w:i/>
          <w:iCs/>
        </w:rPr>
        <w:t>Int J Prev Med</w:t>
      </w:r>
      <w:r>
        <w:rPr>
          <w:rFonts w:ascii="Book Antiqua" w:hAnsi="Book Antiqua"/>
        </w:rPr>
        <w:t xml:space="preserve"> 2014; </w:t>
      </w:r>
      <w:r>
        <w:rPr>
          <w:rFonts w:ascii="Book Antiqua" w:hAnsi="Book Antiqua"/>
          <w:b/>
          <w:bCs/>
        </w:rPr>
        <w:t>5</w:t>
      </w:r>
      <w:r>
        <w:rPr>
          <w:rFonts w:ascii="Book Antiqua" w:hAnsi="Book Antiqua"/>
        </w:rPr>
        <w:t>: 820-824 [PMID: 25104992]</w:t>
      </w:r>
    </w:p>
    <w:p>
      <w:pPr>
        <w:spacing w:line="360" w:lineRule="auto"/>
        <w:jc w:val="both"/>
        <w:rPr>
          <w:rFonts w:ascii="Book Antiqua" w:hAnsi="Book Antiqua" w:eastAsia="Book Antiqua" w:cs="Book Antiqua"/>
        </w:rPr>
      </w:pPr>
      <w:r>
        <w:rPr>
          <w:rFonts w:ascii="Book Antiqua" w:hAnsi="Book Antiqua"/>
        </w:rPr>
        <w:t xml:space="preserve">27 </w:t>
      </w:r>
      <w:r>
        <w:rPr>
          <w:rFonts w:ascii="Book Antiqua" w:hAnsi="Book Antiqua"/>
          <w:b/>
          <w:bCs/>
        </w:rPr>
        <w:t>Polito R</w:t>
      </w:r>
      <w:r>
        <w:rPr>
          <w:rFonts w:ascii="Book Antiqua" w:hAnsi="Book Antiqua"/>
        </w:rPr>
        <w:t xml:space="preserve">, Nigro E, Elce A, Monaco ML, Iacotucci P, Carnovale V, Comegna M, Gelzo M, Zarrilli F, Corso G, Castaldo G, Daniele A. Adiponectin Expression Is Modulated by Long-Term Physical Activity in Adult Patients Affected by Cystic Fibrosis. </w:t>
      </w:r>
      <w:r>
        <w:rPr>
          <w:rFonts w:ascii="Book Antiqua" w:hAnsi="Book Antiqua"/>
          <w:i/>
          <w:iCs/>
        </w:rPr>
        <w:t>Mediators Inflamm</w:t>
      </w:r>
      <w:r>
        <w:rPr>
          <w:rFonts w:ascii="Book Antiqua" w:hAnsi="Book Antiqua"/>
        </w:rPr>
        <w:t xml:space="preserve"> 2019; </w:t>
      </w:r>
      <w:r>
        <w:rPr>
          <w:rFonts w:ascii="Book Antiqua" w:hAnsi="Book Antiqua"/>
          <w:b/>
          <w:bCs/>
        </w:rPr>
        <w:t>2019</w:t>
      </w:r>
      <w:r>
        <w:rPr>
          <w:rFonts w:ascii="Book Antiqua" w:hAnsi="Book Antiqua"/>
        </w:rPr>
        <w:t>: 2153934 [PMID: 31582896 DOI: 10.1155/2019/2153934]</w:t>
      </w:r>
    </w:p>
    <w:p>
      <w:pPr>
        <w:spacing w:line="360" w:lineRule="auto"/>
        <w:jc w:val="both"/>
        <w:rPr>
          <w:rFonts w:ascii="Book Antiqua" w:hAnsi="Book Antiqua" w:eastAsia="Book Antiqua" w:cs="Book Antiqua"/>
        </w:rPr>
      </w:pPr>
      <w:r>
        <w:rPr>
          <w:rFonts w:ascii="Book Antiqua" w:hAnsi="Book Antiqua"/>
        </w:rPr>
        <w:t xml:space="preserve">28 </w:t>
      </w:r>
      <w:r>
        <w:rPr>
          <w:rFonts w:ascii="Book Antiqua" w:hAnsi="Book Antiqua"/>
          <w:b/>
          <w:bCs/>
        </w:rPr>
        <w:t>Elce A</w:t>
      </w:r>
      <w:r>
        <w:rPr>
          <w:rFonts w:ascii="Book Antiqua" w:hAnsi="Book Antiqua"/>
        </w:rPr>
        <w:t xml:space="preserve">, Nigro E, Gelzo M, Iacotucci P, Carnovale V, Liguori R, Izzo V, Corso G, Castaldo G, Daniele A, Zarrilli F. Supervised physical exercise improves clinical, anthropometric and biochemical parameters in adult cystic fibrosis patients: A 2-year evaluation. </w:t>
      </w:r>
      <w:r>
        <w:rPr>
          <w:rFonts w:ascii="Book Antiqua" w:hAnsi="Book Antiqua"/>
          <w:i/>
          <w:iCs/>
        </w:rPr>
        <w:t>Clin Respir J</w:t>
      </w:r>
      <w:r>
        <w:rPr>
          <w:rFonts w:ascii="Book Antiqua" w:hAnsi="Book Antiqua"/>
        </w:rPr>
        <w:t xml:space="preserve"> 2018; </w:t>
      </w:r>
      <w:r>
        <w:rPr>
          <w:rFonts w:ascii="Book Antiqua" w:hAnsi="Book Antiqua"/>
          <w:b/>
          <w:bCs/>
        </w:rPr>
        <w:t>12</w:t>
      </w:r>
      <w:r>
        <w:rPr>
          <w:rFonts w:ascii="Book Antiqua" w:hAnsi="Book Antiqua"/>
        </w:rPr>
        <w:t>: 2228-2234 [PMID: 29601147 DOI: 10.1111/crj.12796]</w:t>
      </w:r>
    </w:p>
    <w:p>
      <w:pPr>
        <w:spacing w:line="360" w:lineRule="auto"/>
        <w:jc w:val="both"/>
        <w:rPr>
          <w:rFonts w:ascii="Book Antiqua" w:hAnsi="Book Antiqua" w:eastAsia="Book Antiqua" w:cs="Book Antiqua"/>
        </w:rPr>
      </w:pPr>
      <w:r>
        <w:rPr>
          <w:rFonts w:ascii="Book Antiqua" w:hAnsi="Book Antiqua"/>
        </w:rPr>
        <w:t xml:space="preserve">29 </w:t>
      </w:r>
      <w:r>
        <w:rPr>
          <w:rFonts w:ascii="Book Antiqua" w:hAnsi="Book Antiqua"/>
          <w:b/>
          <w:bCs/>
        </w:rPr>
        <w:t>Cai X</w:t>
      </w:r>
      <w:r>
        <w:rPr>
          <w:rFonts w:ascii="Book Antiqua" w:hAnsi="Book Antiqua"/>
        </w:rPr>
        <w:t xml:space="preserve">, Zhu Q, Wu T, Zhu B, Liu S, Liu S, Aierken X, Ahmat A, Li N. Association of circulating resistin and adiponectin levels with Kawasaki disease: A meta-analysis. </w:t>
      </w:r>
      <w:r>
        <w:rPr>
          <w:rFonts w:ascii="Book Antiqua" w:hAnsi="Book Antiqua"/>
          <w:i/>
          <w:iCs/>
        </w:rPr>
        <w:t>Exp Ther Med</w:t>
      </w:r>
      <w:r>
        <w:rPr>
          <w:rFonts w:ascii="Book Antiqua" w:hAnsi="Book Antiqua"/>
        </w:rPr>
        <w:t xml:space="preserve"> 2020; </w:t>
      </w:r>
      <w:r>
        <w:rPr>
          <w:rFonts w:ascii="Book Antiqua" w:hAnsi="Book Antiqua"/>
          <w:b/>
          <w:bCs/>
        </w:rPr>
        <w:t>19</w:t>
      </w:r>
      <w:r>
        <w:rPr>
          <w:rFonts w:ascii="Book Antiqua" w:hAnsi="Book Antiqua"/>
        </w:rPr>
        <w:t>: 1033-1041 [PMID: 32010266 DOI: 10.3892/etm.2019.8306]</w:t>
      </w:r>
    </w:p>
    <w:p>
      <w:pPr>
        <w:spacing w:line="360" w:lineRule="auto"/>
        <w:jc w:val="both"/>
        <w:rPr>
          <w:rFonts w:ascii="Book Antiqua" w:hAnsi="Book Antiqua" w:eastAsia="Book Antiqua" w:cs="Book Antiqua"/>
        </w:rPr>
      </w:pPr>
      <w:r>
        <w:rPr>
          <w:rFonts w:ascii="Book Antiqua" w:hAnsi="Book Antiqua"/>
        </w:rPr>
        <w:t xml:space="preserve">30 </w:t>
      </w:r>
      <w:r>
        <w:rPr>
          <w:rFonts w:ascii="Book Antiqua" w:hAnsi="Book Antiqua"/>
          <w:b/>
          <w:bCs/>
        </w:rPr>
        <w:t>Takeshita S</w:t>
      </w:r>
      <w:r>
        <w:rPr>
          <w:rFonts w:ascii="Book Antiqua" w:hAnsi="Book Antiqua"/>
        </w:rPr>
        <w:t xml:space="preserve">, Takabayashi H, Yoshida N. Circulating adiponectin levels in Kawasaki disease. </w:t>
      </w:r>
      <w:r>
        <w:rPr>
          <w:rFonts w:ascii="Book Antiqua" w:hAnsi="Book Antiqua"/>
          <w:i/>
          <w:iCs/>
        </w:rPr>
        <w:t>Acta Paediatr</w:t>
      </w:r>
      <w:r>
        <w:rPr>
          <w:rFonts w:ascii="Book Antiqua" w:hAnsi="Book Antiqua"/>
        </w:rPr>
        <w:t xml:space="preserve"> 2006; </w:t>
      </w:r>
      <w:r>
        <w:rPr>
          <w:rFonts w:ascii="Book Antiqua" w:hAnsi="Book Antiqua"/>
          <w:b/>
          <w:bCs/>
        </w:rPr>
        <w:t>95</w:t>
      </w:r>
      <w:r>
        <w:rPr>
          <w:rFonts w:ascii="Book Antiqua" w:hAnsi="Book Antiqua"/>
        </w:rPr>
        <w:t>: 1312-1314 [PMID: 16982510 DOI: 10.1080/08035250600609799]</w:t>
      </w:r>
    </w:p>
    <w:p>
      <w:pPr>
        <w:spacing w:line="360" w:lineRule="auto"/>
        <w:jc w:val="both"/>
        <w:rPr>
          <w:rFonts w:ascii="Book Antiqua" w:hAnsi="Book Antiqua" w:eastAsia="Book Antiqua" w:cs="Book Antiqua"/>
        </w:rPr>
      </w:pPr>
      <w:r>
        <w:rPr>
          <w:rFonts w:ascii="Book Antiqua" w:hAnsi="Book Antiqua"/>
        </w:rPr>
        <w:t xml:space="preserve">31 </w:t>
      </w:r>
      <w:r>
        <w:rPr>
          <w:rFonts w:ascii="Book Antiqua" w:hAnsi="Book Antiqua"/>
          <w:b/>
          <w:bCs/>
        </w:rPr>
        <w:t>Qi Y</w:t>
      </w:r>
      <w:r>
        <w:rPr>
          <w:rFonts w:ascii="Book Antiqua" w:hAnsi="Book Antiqua"/>
        </w:rPr>
        <w:t xml:space="preserve">, Gong F, Zhang Q, Xie C, Wang W, Fu S. Reverse regulation of soluble receptor for advanced glycation end products and proinflammatory factor resistin and S100A12 in Kawasaki disease. </w:t>
      </w:r>
      <w:r>
        <w:rPr>
          <w:rFonts w:ascii="Book Antiqua" w:hAnsi="Book Antiqua"/>
          <w:i/>
          <w:iCs/>
        </w:rPr>
        <w:t>Arthritis Res Ther</w:t>
      </w:r>
      <w:r>
        <w:rPr>
          <w:rFonts w:ascii="Book Antiqua" w:hAnsi="Book Antiqua"/>
        </w:rPr>
        <w:t xml:space="preserve"> 2012; </w:t>
      </w:r>
      <w:r>
        <w:rPr>
          <w:rFonts w:ascii="Book Antiqua" w:hAnsi="Book Antiqua"/>
          <w:b/>
          <w:bCs/>
        </w:rPr>
        <w:t>14</w:t>
      </w:r>
      <w:r>
        <w:rPr>
          <w:rFonts w:ascii="Book Antiqua" w:hAnsi="Book Antiqua"/>
        </w:rPr>
        <w:t>: R251 [PMID: 23171632 DOI: 10.1186/ar4094]</w:t>
      </w:r>
    </w:p>
    <w:p>
      <w:pPr>
        <w:spacing w:line="360" w:lineRule="auto"/>
        <w:jc w:val="both"/>
        <w:rPr>
          <w:rFonts w:ascii="Book Antiqua" w:hAnsi="Book Antiqua" w:eastAsia="Book Antiqua" w:cs="Book Antiqua"/>
        </w:rPr>
      </w:pPr>
      <w:r>
        <w:rPr>
          <w:rFonts w:ascii="Book Antiqua" w:hAnsi="Book Antiqua"/>
        </w:rPr>
        <w:t xml:space="preserve">32 </w:t>
      </w:r>
      <w:r>
        <w:rPr>
          <w:rFonts w:ascii="Book Antiqua" w:hAnsi="Book Antiqua"/>
          <w:b/>
          <w:bCs/>
        </w:rPr>
        <w:t>Zhang XY</w:t>
      </w:r>
      <w:r>
        <w:rPr>
          <w:rFonts w:ascii="Book Antiqua" w:hAnsi="Book Antiqua"/>
        </w:rPr>
        <w:t xml:space="preserve">, Yang TT, Hu XF, Wen Y, Fang F, Lu HL. Circulating adipokines are associated with Kawasaki disease. </w:t>
      </w:r>
      <w:r>
        <w:rPr>
          <w:rFonts w:ascii="Book Antiqua" w:hAnsi="Book Antiqua"/>
          <w:i/>
          <w:iCs/>
        </w:rPr>
        <w:t>Pediatr Rheumatol Online J</w:t>
      </w:r>
      <w:r>
        <w:rPr>
          <w:rFonts w:ascii="Book Antiqua" w:hAnsi="Book Antiqua"/>
        </w:rPr>
        <w:t xml:space="preserve"> 2018; </w:t>
      </w:r>
      <w:r>
        <w:rPr>
          <w:rFonts w:ascii="Book Antiqua" w:hAnsi="Book Antiqua"/>
          <w:b/>
          <w:bCs/>
        </w:rPr>
        <w:t>16</w:t>
      </w:r>
      <w:r>
        <w:rPr>
          <w:rFonts w:ascii="Book Antiqua" w:hAnsi="Book Antiqua"/>
        </w:rPr>
        <w:t>: 33 [PMID: 29739418 DOI: 10.1186/s12969-018-0243-z]</w:t>
      </w:r>
    </w:p>
    <w:p>
      <w:pPr>
        <w:spacing w:line="360" w:lineRule="auto"/>
        <w:jc w:val="both"/>
        <w:rPr>
          <w:rFonts w:ascii="Book Antiqua" w:hAnsi="Book Antiqua" w:eastAsia="Book Antiqua" w:cs="Book Antiqua"/>
        </w:rPr>
      </w:pPr>
      <w:r>
        <w:rPr>
          <w:rFonts w:ascii="Book Antiqua" w:hAnsi="Book Antiqua"/>
        </w:rPr>
        <w:t xml:space="preserve">33 </w:t>
      </w:r>
      <w:r>
        <w:rPr>
          <w:rFonts w:ascii="Book Antiqua" w:hAnsi="Book Antiqua"/>
          <w:b/>
          <w:bCs/>
        </w:rPr>
        <w:t>Zhang JY</w:t>
      </w:r>
      <w:r>
        <w:rPr>
          <w:rFonts w:ascii="Book Antiqua" w:hAnsi="Book Antiqua"/>
        </w:rPr>
        <w:t xml:space="preserve">, Peng H, Gong ST, Zeng YM, Huang M, Liu PH, Wang LT, Dong GQ. The role of peroxisome proliferator-activated receptor gamma and adiponectin in children with Kawasaki disease. </w:t>
      </w:r>
      <w:r>
        <w:rPr>
          <w:rFonts w:ascii="Book Antiqua" w:hAnsi="Book Antiqua"/>
          <w:i/>
          <w:iCs/>
        </w:rPr>
        <w:t>J Int Med Res</w:t>
      </w:r>
      <w:r>
        <w:rPr>
          <w:rFonts w:ascii="Book Antiqua" w:hAnsi="Book Antiqua"/>
        </w:rPr>
        <w:t xml:space="preserve"> 2021; </w:t>
      </w:r>
      <w:r>
        <w:rPr>
          <w:rFonts w:ascii="Book Antiqua" w:hAnsi="Book Antiqua"/>
          <w:b/>
          <w:bCs/>
        </w:rPr>
        <w:t>49</w:t>
      </w:r>
      <w:r>
        <w:rPr>
          <w:rFonts w:ascii="Book Antiqua" w:hAnsi="Book Antiqua"/>
        </w:rPr>
        <w:t>: 300060521994925 [PMID: 33729859 DOI: 10.1177/0300060521994925]</w:t>
      </w:r>
    </w:p>
    <w:p>
      <w:pPr>
        <w:spacing w:line="360" w:lineRule="auto"/>
        <w:jc w:val="both"/>
        <w:sectPr>
          <w:headerReference r:id="rId5" w:type="default"/>
          <w:pgSz w:w="12240" w:h="15840"/>
          <w:pgMar w:top="1440" w:right="1440" w:bottom="1440" w:left="1440" w:header="708" w:footer="708" w:gutter="0"/>
          <w:cols w:space="720" w:num="1"/>
        </w:sectPr>
      </w:pPr>
    </w:p>
    <w:p>
      <w:pPr>
        <w:spacing w:line="360" w:lineRule="auto"/>
        <w:jc w:val="both"/>
        <w:rPr>
          <w:rFonts w:ascii="Book Antiqua" w:hAnsi="Book Antiqua" w:eastAsia="Book Antiqua" w:cs="Book Antiqua"/>
        </w:rPr>
      </w:pPr>
      <w:r>
        <w:rPr>
          <w:rFonts w:ascii="Book Antiqua" w:hAnsi="Book Antiqua"/>
          <w:b/>
          <w:bCs/>
        </w:rPr>
        <w:t>Footnotes</w:t>
      </w:r>
    </w:p>
    <w:p>
      <w:pPr>
        <w:spacing w:line="360" w:lineRule="auto"/>
        <w:jc w:val="both"/>
        <w:rPr>
          <w:rFonts w:ascii="Book Antiqua" w:hAnsi="Book Antiqua" w:eastAsia="Book Antiqua" w:cs="Book Antiqua"/>
        </w:rPr>
      </w:pPr>
      <w:r>
        <w:rPr>
          <w:rFonts w:ascii="Book Antiqua" w:hAnsi="Book Antiqua"/>
          <w:b/>
          <w:bCs/>
        </w:rPr>
        <w:t xml:space="preserve">Institutional review board statement: </w:t>
      </w:r>
      <w:r>
        <w:rPr>
          <w:rFonts w:ascii="Book Antiqua" w:hAnsi="Book Antiqua"/>
        </w:rPr>
        <w:t>The study protocol was approved by the Institute Thesis Committee and Institute Ethics Committee. The manuscript has been approved by the Departmental Review Board.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 xml:space="preserve">Informed consent statement: </w:t>
      </w:r>
      <w:r>
        <w:rPr>
          <w:rFonts w:ascii="Book Antiqua" w:hAnsi="Book Antiqua"/>
        </w:rPr>
        <w:t xml:space="preserve">Written informed consent was obtained from the parents/guardians at study enrolment.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 xml:space="preserve">Conflict-of-interest statement: </w:t>
      </w:r>
      <w:r>
        <w:rPr>
          <w:rFonts w:ascii="Book Antiqua" w:hAnsi="Book Antiqua"/>
        </w:rPr>
        <w:t>The authors declare no “conflicts of interest".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 xml:space="preserve">Data sharing statement: </w:t>
      </w:r>
      <w:r>
        <w:rPr>
          <w:rFonts w:ascii="Book Antiqua" w:hAnsi="Book Antiqua"/>
        </w:rPr>
        <w:t>The data on the findings of this paper are all included in the tables.</w:t>
      </w:r>
    </w:p>
    <w:p>
      <w:pPr>
        <w:spacing w:line="360" w:lineRule="auto"/>
        <w:jc w:val="both"/>
        <w:rPr>
          <w:rFonts w:ascii="Book Antiqua" w:hAnsi="Book Antiqua" w:cs="Book Antiqua" w:eastAsiaTheme="minorEastAsia"/>
        </w:rPr>
      </w:pPr>
    </w:p>
    <w:p>
      <w:pPr>
        <w:spacing w:line="360" w:lineRule="auto"/>
        <w:jc w:val="both"/>
        <w:rPr>
          <w:rFonts w:ascii="Book Antiqua" w:hAnsi="Book Antiqua" w:cs="Garamond-Bold"/>
          <w:bCs/>
        </w:rPr>
      </w:pPr>
      <w:bookmarkStart w:id="0" w:name="OLE_LINK507"/>
      <w:bookmarkStart w:id="1" w:name="OLE_LINK506"/>
      <w:bookmarkStart w:id="2" w:name="OLE_LINK479"/>
      <w:bookmarkStart w:id="3" w:name="OLE_LINK496"/>
      <w:r>
        <w:rPr>
          <w:rFonts w:ascii="Book Antiqua" w:hAnsi="Book Antiqua"/>
          <w:b/>
        </w:rPr>
        <w:t>STROBE statement</w:t>
      </w:r>
      <w:r>
        <w:rPr>
          <w:rFonts w:hint="eastAsia" w:ascii="Book Antiqua" w:hAnsi="Book Antiqua"/>
          <w:b/>
        </w:rPr>
        <w:t>:</w:t>
      </w:r>
      <w:r>
        <w:rPr>
          <w:rFonts w:ascii="Book Antiqua" w:hAnsi="Book Antiqua"/>
          <w:b/>
        </w:rPr>
        <w:t xml:space="preserve"> </w:t>
      </w:r>
      <w:r>
        <w:rPr>
          <w:rFonts w:ascii="Book Antiqua" w:hAnsi="Book Antiqua" w:cs="Garamond-Bold"/>
          <w:bCs/>
        </w:rPr>
        <w:t>The authors have read the STROBE Statement—checklist of items, and the manuscript was prepared and revised according to the STROBE Statement—checklist of items.</w:t>
      </w:r>
      <w:bookmarkEnd w:id="0"/>
      <w:bookmarkEnd w:id="1"/>
      <w:bookmarkEnd w:id="2"/>
      <w:bookmarkEnd w:id="3"/>
      <w:r>
        <w:rPr>
          <w:rFonts w:hint="eastAsia" w:ascii="Book Antiqua" w:hAnsi="Book Antiqua" w:cs="Garamond-Bold"/>
          <w:bCs/>
        </w:rPr>
        <w:t xml:space="preserve"> </w:t>
      </w:r>
    </w:p>
    <w:p>
      <w:pPr>
        <w:spacing w:line="360" w:lineRule="auto"/>
        <w:jc w:val="both"/>
        <w:rPr>
          <w:rFonts w:ascii="Book Antiqua" w:hAnsi="Book Antiqua" w:cs="Book Antiqua" w:eastAsiaTheme="minorEastAsia"/>
        </w:rPr>
      </w:pPr>
    </w:p>
    <w:p>
      <w:pPr>
        <w:spacing w:line="360" w:lineRule="auto"/>
        <w:jc w:val="both"/>
        <w:rPr>
          <w:rFonts w:ascii="Book Antiqua" w:hAnsi="Book Antiqua" w:eastAsia="Book Antiqua" w:cs="Book Antiqua"/>
        </w:rPr>
      </w:pPr>
      <w:r>
        <w:rPr>
          <w:rFonts w:ascii="Book Antiqua" w:hAnsi="Book Antiqua"/>
          <w:b/>
          <w:bCs/>
        </w:rPr>
        <w:t xml:space="preserve">Open-Access: </w:t>
      </w:r>
      <w:r>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b/>
          <w:bCs/>
        </w:rPr>
      </w:pPr>
      <w:r>
        <w:rPr>
          <w:rFonts w:ascii="Book Antiqua" w:hAnsi="Book Antiqua"/>
          <w:b/>
          <w:bCs/>
        </w:rPr>
        <w:t xml:space="preserve">Provenance and peer review: </w:t>
      </w:r>
      <w:r>
        <w:rPr>
          <w:rFonts w:ascii="Book Antiqua" w:hAnsi="Book Antiqua"/>
        </w:rPr>
        <w:t>Invited article; Externally peer reviewed.</w:t>
      </w:r>
    </w:p>
    <w:p>
      <w:pPr>
        <w:spacing w:line="360" w:lineRule="auto"/>
        <w:jc w:val="both"/>
        <w:rPr>
          <w:rFonts w:ascii="Book Antiqua" w:hAnsi="Book Antiqua" w:eastAsia="Book Antiqua" w:cs="Book Antiqua"/>
        </w:rPr>
      </w:pPr>
      <w:r>
        <w:rPr>
          <w:rFonts w:ascii="Book Antiqua" w:hAnsi="Book Antiqua"/>
          <w:b/>
          <w:bCs/>
        </w:rPr>
        <w:t xml:space="preserve">Peer-review model: </w:t>
      </w:r>
      <w:r>
        <w:rPr>
          <w:rFonts w:ascii="Book Antiqua" w:hAnsi="Book Antiqua"/>
        </w:rPr>
        <w:t>Single blind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 xml:space="preserve">Peer-review started: </w:t>
      </w:r>
      <w:r>
        <w:rPr>
          <w:rFonts w:ascii="Book Antiqua" w:hAnsi="Book Antiqua"/>
        </w:rPr>
        <w:t>March 31, 2021</w:t>
      </w:r>
    </w:p>
    <w:p>
      <w:pPr>
        <w:spacing w:line="360" w:lineRule="auto"/>
        <w:jc w:val="both"/>
        <w:rPr>
          <w:rFonts w:ascii="Book Antiqua" w:hAnsi="Book Antiqua" w:eastAsia="Book Antiqua" w:cs="Book Antiqua"/>
        </w:rPr>
      </w:pPr>
      <w:r>
        <w:rPr>
          <w:rFonts w:ascii="Book Antiqua" w:hAnsi="Book Antiqua"/>
          <w:b/>
          <w:bCs/>
        </w:rPr>
        <w:t xml:space="preserve">First decision: </w:t>
      </w:r>
      <w:r>
        <w:rPr>
          <w:rFonts w:ascii="Book Antiqua" w:hAnsi="Book Antiqua"/>
        </w:rPr>
        <w:t>July 30, 2021</w:t>
      </w:r>
    </w:p>
    <w:p>
      <w:pPr>
        <w:spacing w:line="360" w:lineRule="auto"/>
        <w:jc w:val="both"/>
        <w:rPr>
          <w:rFonts w:ascii="Book Antiqua" w:hAnsi="Book Antiqua" w:eastAsia="Book Antiqua" w:cs="Book Antiqua"/>
        </w:rPr>
      </w:pPr>
      <w:r>
        <w:rPr>
          <w:rFonts w:ascii="Book Antiqua" w:hAnsi="Book Antiqua"/>
          <w:b/>
          <w:bCs/>
        </w:rPr>
        <w:t xml:space="preserve">Article in press: </w:t>
      </w:r>
      <w:r>
        <w:rPr>
          <w:rFonts w:ascii="Book Antiqua" w:hAnsi="Book Antiqua"/>
          <w:b w:val="0"/>
          <w:bCs w:val="0"/>
        </w:rPr>
        <w:t>May 12, 2022</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b/>
          <w:bCs/>
        </w:rPr>
        <w:t xml:space="preserve">Specialty type: </w:t>
      </w:r>
      <w:r>
        <w:rPr>
          <w:rFonts w:ascii="Book Antiqua" w:hAnsi="Book Antiqua" w:eastAsia="微软雅黑" w:cs="宋体"/>
        </w:rPr>
        <w:t>Pediatrics</w:t>
      </w:r>
    </w:p>
    <w:p>
      <w:pPr>
        <w:spacing w:line="360" w:lineRule="auto"/>
        <w:jc w:val="both"/>
        <w:rPr>
          <w:rFonts w:ascii="Book Antiqua" w:hAnsi="Book Antiqua" w:eastAsia="Book Antiqua" w:cs="Book Antiqua"/>
        </w:rPr>
      </w:pPr>
      <w:r>
        <w:rPr>
          <w:rFonts w:ascii="Book Antiqua" w:hAnsi="Book Antiqua"/>
          <w:b/>
          <w:bCs/>
        </w:rPr>
        <w:t xml:space="preserve">Country/Territory of origin: </w:t>
      </w:r>
      <w:r>
        <w:rPr>
          <w:rFonts w:ascii="Book Antiqua" w:hAnsi="Book Antiqua"/>
        </w:rPr>
        <w:t>India</w:t>
      </w:r>
    </w:p>
    <w:p>
      <w:pPr>
        <w:spacing w:line="360" w:lineRule="auto"/>
        <w:jc w:val="both"/>
        <w:rPr>
          <w:rFonts w:ascii="Book Antiqua" w:hAnsi="Book Antiqua" w:eastAsia="Book Antiqua" w:cs="Book Antiqua"/>
        </w:rPr>
      </w:pPr>
      <w:r>
        <w:rPr>
          <w:rFonts w:ascii="Book Antiqua" w:hAnsi="Book Antiqua"/>
          <w:b/>
          <w:bCs/>
        </w:rPr>
        <w:t>Peer-review report’s scientific quality classification</w:t>
      </w:r>
    </w:p>
    <w:p>
      <w:pPr>
        <w:spacing w:line="360" w:lineRule="auto"/>
        <w:jc w:val="both"/>
        <w:rPr>
          <w:rFonts w:ascii="Book Antiqua" w:hAnsi="Book Antiqua" w:eastAsia="Book Antiqua" w:cs="Book Antiqua"/>
        </w:rPr>
      </w:pPr>
      <w:r>
        <w:rPr>
          <w:rFonts w:ascii="Book Antiqua" w:hAnsi="Book Antiqua"/>
        </w:rPr>
        <w:t>Grade A (Excellent): 0</w:t>
      </w:r>
    </w:p>
    <w:p>
      <w:pPr>
        <w:spacing w:line="360" w:lineRule="auto"/>
        <w:jc w:val="both"/>
        <w:rPr>
          <w:rFonts w:ascii="Book Antiqua" w:hAnsi="Book Antiqua" w:eastAsia="Book Antiqua" w:cs="Book Antiqua"/>
        </w:rPr>
      </w:pPr>
      <w:r>
        <w:rPr>
          <w:rFonts w:ascii="Book Antiqua" w:hAnsi="Book Antiqua"/>
        </w:rPr>
        <w:t>Grade B (Very good): 0</w:t>
      </w:r>
    </w:p>
    <w:p>
      <w:pPr>
        <w:spacing w:line="360" w:lineRule="auto"/>
        <w:jc w:val="both"/>
        <w:rPr>
          <w:rFonts w:ascii="Book Antiqua" w:hAnsi="Book Antiqua" w:eastAsia="Book Antiqua" w:cs="Book Antiqua"/>
        </w:rPr>
      </w:pPr>
      <w:r>
        <w:rPr>
          <w:rFonts w:ascii="Book Antiqua" w:hAnsi="Book Antiqua"/>
        </w:rPr>
        <w:t>Grade C (Good): C, C</w:t>
      </w:r>
    </w:p>
    <w:p>
      <w:pPr>
        <w:spacing w:line="360" w:lineRule="auto"/>
        <w:jc w:val="both"/>
        <w:rPr>
          <w:rFonts w:ascii="Book Antiqua" w:hAnsi="Book Antiqua" w:eastAsia="Book Antiqua" w:cs="Book Antiqua"/>
        </w:rPr>
      </w:pPr>
      <w:r>
        <w:rPr>
          <w:rFonts w:ascii="Book Antiqua" w:hAnsi="Book Antiqua"/>
        </w:rPr>
        <w:t>Grade D (Fair): 0</w:t>
      </w:r>
    </w:p>
    <w:p>
      <w:pPr>
        <w:spacing w:line="360" w:lineRule="auto"/>
        <w:jc w:val="both"/>
        <w:rPr>
          <w:rFonts w:ascii="Book Antiqua" w:hAnsi="Book Antiqua" w:eastAsia="Book Antiqua" w:cs="Book Antiqua"/>
        </w:rPr>
      </w:pPr>
      <w:r>
        <w:rPr>
          <w:rFonts w:ascii="Book Antiqua" w:hAnsi="Book Antiqua"/>
        </w:rPr>
        <w:t>Grade E (Poor): 0</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b/>
          <w:bCs/>
        </w:rPr>
      </w:pPr>
      <w:r>
        <w:rPr>
          <w:rFonts w:ascii="Book Antiqua" w:hAnsi="Book Antiqua"/>
          <w:b/>
          <w:bCs/>
        </w:rPr>
        <w:t xml:space="preserve">P-Reviewer: </w:t>
      </w:r>
      <w:r>
        <w:rPr>
          <w:rFonts w:ascii="Book Antiqua" w:hAnsi="Book Antiqua"/>
        </w:rPr>
        <w:t>Corso G, Italy</w:t>
      </w:r>
      <w:r>
        <w:rPr>
          <w:rFonts w:hint="eastAsia" w:ascii="Book Antiqua" w:hAnsi="Book Antiqua"/>
        </w:rPr>
        <w:t>;</w:t>
      </w:r>
      <w:r>
        <w:rPr>
          <w:rFonts w:ascii="Book Antiqua" w:hAnsi="Book Antiqua"/>
        </w:rPr>
        <w:t xml:space="preserve"> Maglio C</w:t>
      </w:r>
      <w:r>
        <w:rPr>
          <w:rFonts w:hint="eastAsia" w:ascii="Book Antiqua" w:hAnsi="Book Antiqua"/>
        </w:rPr>
        <w:t xml:space="preserve">, </w:t>
      </w:r>
      <w:r>
        <w:rPr>
          <w:rFonts w:ascii="Book Antiqua" w:hAnsi="Book Antiqua"/>
        </w:rPr>
        <w:t>Sweden</w:t>
      </w:r>
      <w:r>
        <w:rPr>
          <w:rFonts w:ascii="Book Antiqua" w:hAnsi="Book Antiqua"/>
          <w:b/>
          <w:bCs/>
        </w:rPr>
        <w:t xml:space="preserve"> S-Editor: </w:t>
      </w:r>
      <w:r>
        <w:rPr>
          <w:rFonts w:ascii="Book Antiqua" w:hAnsi="Book Antiqua"/>
        </w:rPr>
        <w:t>Wang LL</w:t>
      </w:r>
      <w:r>
        <w:rPr>
          <w:rFonts w:ascii="Book Antiqua" w:hAnsi="Book Antiqua"/>
          <w:b/>
          <w:bCs/>
        </w:rPr>
        <w:t xml:space="preserve"> L-Editor: </w:t>
      </w:r>
      <w:r>
        <w:rPr>
          <w:rFonts w:ascii="Book Antiqua" w:hAnsi="Book Antiqua"/>
        </w:rPr>
        <w:t xml:space="preserve">Webster JR </w:t>
      </w:r>
      <w:r>
        <w:rPr>
          <w:rFonts w:ascii="Book Antiqua" w:hAnsi="Book Antiqua"/>
          <w:b/>
          <w:bCs/>
        </w:rPr>
        <w:t xml:space="preserve">P-Editor: </w:t>
      </w:r>
      <w:r>
        <w:rPr>
          <w:rFonts w:ascii="Book Antiqua" w:hAnsi="Book Antiqua"/>
        </w:rPr>
        <w:t>Wang LL</w:t>
      </w:r>
    </w:p>
    <w:p>
      <w:pPr>
        <w:spacing w:line="360" w:lineRule="auto"/>
        <w:jc w:val="both"/>
        <w:rPr>
          <w:rFonts w:ascii="Book Antiqua" w:hAnsi="Book Antiqua" w:eastAsia="Book Antiqua" w:cs="Book Antiqua"/>
          <w:b/>
          <w:bCs/>
        </w:rPr>
      </w:pPr>
    </w:p>
    <w:p>
      <w:pPr>
        <w:spacing w:line="360" w:lineRule="auto"/>
        <w:jc w:val="both"/>
        <w:rPr>
          <w:rFonts w:ascii="Book Antiqua" w:hAnsi="Book Antiqua" w:eastAsia="Book Antiqua" w:cs="Book Antiqua"/>
          <w:b/>
          <w:bCs/>
        </w:rPr>
      </w:pPr>
    </w:p>
    <w:p>
      <w:pPr>
        <w:spacing w:line="360" w:lineRule="auto"/>
        <w:jc w:val="both"/>
      </w:pPr>
      <w:r>
        <w:rPr>
          <w:rFonts w:ascii="Arial Unicode MS" w:hAnsi="Arial Unicode MS"/>
        </w:rPr>
        <w:br w:type="page"/>
      </w:r>
    </w:p>
    <w:p>
      <w:pPr>
        <w:spacing w:line="360" w:lineRule="auto"/>
        <w:jc w:val="both"/>
        <w:rPr>
          <w:rFonts w:ascii="Book Antiqua" w:hAnsi="Book Antiqua" w:eastAsia="Book Antiqua" w:cs="Book Antiqua"/>
        </w:rPr>
      </w:pPr>
      <w:r>
        <w:rPr>
          <w:rFonts w:ascii="Book Antiqua" w:hAnsi="Book Antiqua"/>
          <w:b/>
          <w:bCs/>
        </w:rPr>
        <w:t xml:space="preserve"> Table 1 Clinical and laboratory features of the study population </w:t>
      </w:r>
    </w:p>
    <w:tbl>
      <w:tblPr>
        <w:tblStyle w:val="9"/>
        <w:tblW w:w="9431"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4249"/>
        <w:gridCol w:w="2839"/>
        <w:gridCol w:w="234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PrEx>
        <w:trPr>
          <w:trHeight w:val="290" w:hRule="atLeast"/>
        </w:trPr>
        <w:tc>
          <w:tcPr>
            <w:tcW w:w="4249"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spacing w:line="360" w:lineRule="auto"/>
            </w:pPr>
          </w:p>
        </w:tc>
        <w:tc>
          <w:tcPr>
            <w:tcW w:w="2839"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Study group (</w:t>
            </w:r>
            <w:r>
              <w:rPr>
                <w:rFonts w:ascii="Book Antiqua" w:hAnsi="Book Antiqua"/>
                <w:b/>
                <w:bCs/>
                <w:i/>
                <w:iCs/>
              </w:rPr>
              <w:t>n</w:t>
            </w:r>
            <w:r>
              <w:rPr>
                <w:rFonts w:ascii="Book Antiqua" w:hAnsi="Book Antiqua"/>
                <w:b/>
                <w:bCs/>
              </w:rPr>
              <w:t xml:space="preserve"> = 20)</w:t>
            </w:r>
          </w:p>
        </w:tc>
        <w:tc>
          <w:tcPr>
            <w:tcW w:w="2343" w:type="dxa"/>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Controls (</w:t>
            </w:r>
            <w:r>
              <w:rPr>
                <w:rFonts w:ascii="Book Antiqua" w:hAnsi="Book Antiqua"/>
                <w:b/>
                <w:bCs/>
                <w:i/>
                <w:iCs/>
              </w:rPr>
              <w:t>n</w:t>
            </w:r>
            <w:r>
              <w:rPr>
                <w:rFonts w:ascii="Book Antiqua" w:hAnsi="Book Antiqua"/>
                <w:b/>
                <w:bCs/>
              </w:rPr>
              <w:t xml:space="preserve"> = 20)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5" w:hRule="atLeast"/>
        </w:trPr>
        <w:tc>
          <w:tcPr>
            <w:tcW w:w="4249" w:type="dxa"/>
            <w:tcBorders>
              <w:top w:val="single" w:color="000000"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Male</w:t>
            </w:r>
            <w:r>
              <w:rPr>
                <w:rFonts w:ascii="Book Antiqua" w:hAnsi="Book Antiqua"/>
                <w:b/>
                <w:bCs/>
              </w:rPr>
              <w:t>:</w:t>
            </w:r>
            <w:r>
              <w:rPr>
                <w:rFonts w:ascii="Book Antiqua" w:hAnsi="Book Antiqua"/>
              </w:rPr>
              <w:t xml:space="preserve">female ratio </w:t>
            </w:r>
          </w:p>
        </w:tc>
        <w:tc>
          <w:tcPr>
            <w:tcW w:w="2839" w:type="dxa"/>
            <w:tcBorders>
              <w:top w:val="single" w:color="000000"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1.5:1</w:t>
            </w:r>
          </w:p>
        </w:tc>
        <w:tc>
          <w:tcPr>
            <w:tcW w:w="2343" w:type="dxa"/>
            <w:tcBorders>
              <w:top w:val="single" w:color="000000"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1.5:1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Age at diagnosis &lt; 5 yr</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9</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Age at diagnosis &gt;5 yr </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11</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Mean age at enrolment (yr)</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10.1</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9.1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Mean duration of follow-up (yr)</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5.5</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2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Treatment received during the acute phase </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rPr>
                <w:rFonts w:ascii="Book Antiqua" w:hAnsi="Book Antiqua" w:eastAsia="Book Antiqua" w:cs="Book Antiqua"/>
              </w:rPr>
            </w:pPr>
          </w:p>
          <w:p>
            <w:pPr>
              <w:spacing w:line="360" w:lineRule="auto"/>
              <w:jc w:val="both"/>
            </w:pPr>
            <w:r>
              <w:rPr>
                <w:rFonts w:ascii="Book Antiqua" w:hAnsi="Book Antiqua"/>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14"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IVIg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20</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14"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Aspirin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20</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0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CAAs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4/20</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Lipid profile </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color w:val="010205"/>
                <w:u w:color="010205"/>
              </w:rPr>
              <w:t>mean ± SD</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LDL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color w:val="010205"/>
                <w:u w:color="010205"/>
              </w:rPr>
              <w:t>74.73 ± 27.82</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TG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color w:val="010205"/>
                <w:u w:color="010205"/>
              </w:rPr>
              <w:t>118.72 ± 104.32</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VLDL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color w:val="010205"/>
                <w:u w:color="010205"/>
              </w:rPr>
              <w:t>16.96 ± 6.72</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HDL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color w:val="010205"/>
                <w:u w:color="010205"/>
              </w:rPr>
              <w:t>44.93 ± 11.40</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TC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color w:val="010205"/>
                <w:u w:color="010205"/>
              </w:rPr>
              <w:t>139.76 ± 27.16</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Body mass index (kg/m</w:t>
            </w:r>
            <w:r>
              <w:rPr>
                <w:rFonts w:ascii="Book Antiqua" w:hAnsi="Book Antiqua"/>
                <w:vertAlign w:val="superscript"/>
              </w:rPr>
              <w:t>2</w:t>
            </w:r>
            <w:r>
              <w:rPr>
                <w:rFonts w:ascii="Book Antiqua" w:hAnsi="Book Antiqua"/>
              </w:rPr>
              <w:t>)</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color w:val="010205"/>
                <w:u w:color="010205"/>
              </w:rPr>
              <w:t>16.68 ± 3.25</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0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Lipid profile (18/20)</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rPr>
                <w:rFonts w:ascii="Book Antiqua" w:hAnsi="Book Antiqua" w:eastAsia="Book Antiqua" w:cs="Book Antiqua"/>
              </w:rPr>
            </w:pPr>
          </w:p>
          <w:p>
            <w:pPr>
              <w:spacing w:line="360" w:lineRule="auto"/>
              <w:jc w:val="both"/>
            </w:pPr>
            <w:r>
              <w:rPr>
                <w:rFonts w:ascii="Book Antiqua" w:hAnsi="Book Antiqua"/>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High TC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2</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High LDL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2</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Low HDL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6</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Borderline HDL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11</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80" w:hRule="atLeast"/>
        </w:trPr>
        <w:tc>
          <w:tcPr>
            <w:tcW w:w="424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High TG (mg/dL)</w:t>
            </w:r>
          </w:p>
        </w:tc>
        <w:tc>
          <w:tcPr>
            <w:tcW w:w="28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4</w:t>
            </w:r>
          </w:p>
        </w:tc>
        <w:tc>
          <w:tcPr>
            <w:tcW w:w="2343" w:type="dxa"/>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85" w:hRule="atLeast"/>
        </w:trPr>
        <w:tc>
          <w:tcPr>
            <w:tcW w:w="4249" w:type="dxa"/>
            <w:tcBorders>
              <w:top w:val="nil"/>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High VLDL (mg/dL)</w:t>
            </w:r>
          </w:p>
        </w:tc>
        <w:tc>
          <w:tcPr>
            <w:tcW w:w="2839" w:type="dxa"/>
            <w:tcBorders>
              <w:top w:val="nil"/>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w:t>
            </w:r>
          </w:p>
        </w:tc>
        <w:tc>
          <w:tcPr>
            <w:tcW w:w="2343" w:type="dxa"/>
            <w:tcBorders>
              <w:top w:val="nil"/>
              <w:left w:val="nil"/>
              <w:bottom w:val="single" w:color="000000" w:sz="4" w:space="0"/>
              <w:right w:val="nil"/>
            </w:tcBorders>
            <w:shd w:val="clear" w:color="auto" w:fill="auto"/>
            <w:tcMar>
              <w:top w:w="80" w:type="dxa"/>
              <w:left w:w="80" w:type="dxa"/>
              <w:bottom w:w="80" w:type="dxa"/>
              <w:right w:w="80" w:type="dxa"/>
            </w:tcMar>
          </w:tcPr>
          <w:p>
            <w:pPr>
              <w:spacing w:line="360" w:lineRule="auto"/>
            </w:pPr>
          </w:p>
        </w:tc>
      </w:tr>
    </w:tbl>
    <w:p>
      <w:pPr>
        <w:spacing w:line="360" w:lineRule="auto"/>
        <w:jc w:val="both"/>
        <w:rPr>
          <w:rFonts w:ascii="Book Antiqua" w:hAnsi="Book Antiqua" w:eastAsia="Book Antiqua" w:cs="Book Antiqua"/>
          <w:b/>
          <w:bCs/>
        </w:rPr>
      </w:pPr>
      <w:r>
        <w:rPr>
          <w:rFonts w:ascii="Book Antiqua" w:hAnsi="Book Antiqua"/>
        </w:rPr>
        <w:t>IVIg: Intravenous immunoglobulin; KD: Kawasaki disease; TC: Total cholesterol; LDL: Low density lipoprotein; HDL: High density lipoprotein; VLDL: Very low density lipoprotein; TG: Triglycerides, CAAs: Coronary artery abnormalities; SD: Standard deviation.</w:t>
      </w:r>
    </w:p>
    <w:p>
      <w:pPr>
        <w:spacing w:line="360" w:lineRule="auto"/>
        <w:jc w:val="both"/>
        <w:rPr>
          <w:rFonts w:ascii="Book Antiqua" w:hAnsi="Book Antiqua" w:eastAsia="Book Antiqua" w:cs="Book Antiqua"/>
          <w:b/>
          <w:bCs/>
        </w:rPr>
      </w:pPr>
    </w:p>
    <w:p>
      <w:pPr>
        <w:spacing w:line="360" w:lineRule="auto"/>
        <w:jc w:val="both"/>
        <w:rPr>
          <w:rFonts w:ascii="Book Antiqua" w:hAnsi="Book Antiqua" w:eastAsia="Book Antiqua" w:cs="Book Antiqua"/>
          <w:b/>
          <w:bCs/>
        </w:rPr>
      </w:pPr>
    </w:p>
    <w:p>
      <w:pPr>
        <w:spacing w:line="360" w:lineRule="auto"/>
        <w:jc w:val="both"/>
        <w:rPr>
          <w:rFonts w:ascii="Book Antiqua" w:hAnsi="Book Antiqua" w:eastAsia="Book Antiqua" w:cs="Book Antiqua"/>
          <w:b/>
          <w:bCs/>
        </w:rPr>
      </w:pPr>
    </w:p>
    <w:p>
      <w:pPr>
        <w:spacing w:line="360" w:lineRule="auto"/>
        <w:jc w:val="both"/>
      </w:pPr>
      <w:r>
        <w:rPr>
          <w:rFonts w:ascii="Arial Unicode MS" w:hAnsi="Arial Unicode MS"/>
        </w:rPr>
        <w:br w:type="page"/>
      </w:r>
    </w:p>
    <w:p>
      <w:pPr>
        <w:spacing w:line="360" w:lineRule="auto"/>
        <w:jc w:val="both"/>
        <w:rPr>
          <w:rFonts w:ascii="Book Antiqua" w:hAnsi="Book Antiqua" w:eastAsia="Book Antiqua" w:cs="Book Antiqua"/>
          <w:b/>
          <w:bCs/>
        </w:rPr>
      </w:pPr>
      <w:r>
        <w:rPr>
          <w:rFonts w:ascii="Book Antiqua" w:hAnsi="Book Antiqua"/>
          <w:b/>
          <w:bCs/>
        </w:rPr>
        <w:t>Table 2 Adipocytokine profile in patients with Kawasaki disease and healthy controls</w:t>
      </w:r>
    </w:p>
    <w:tbl>
      <w:tblPr>
        <w:tblStyle w:val="9"/>
        <w:tblW w:w="936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339"/>
        <w:gridCol w:w="2339"/>
        <w:gridCol w:w="2341"/>
        <w:gridCol w:w="234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39" w:hRule="atLeast"/>
        </w:trPr>
        <w:tc>
          <w:tcPr>
            <w:tcW w:w="2339" w:type="dxa"/>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pPr>
          </w:p>
        </w:tc>
        <w:tc>
          <w:tcPr>
            <w:tcW w:w="2339" w:type="dxa"/>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Study group (</w:t>
            </w:r>
            <w:r>
              <w:rPr>
                <w:rFonts w:ascii="Book Antiqua" w:hAnsi="Book Antiqua"/>
                <w:b/>
                <w:bCs/>
                <w:i/>
                <w:iCs/>
              </w:rPr>
              <w:t xml:space="preserve">n </w:t>
            </w:r>
            <w:r>
              <w:rPr>
                <w:rFonts w:ascii="Book Antiqua" w:hAnsi="Book Antiqua"/>
                <w:b/>
                <w:bCs/>
              </w:rPr>
              <w:t>= 20), Median (</w:t>
            </w:r>
            <w:r>
              <w:rPr>
                <w:rFonts w:hint="eastAsia" w:ascii="Book Antiqua" w:hAnsi="Book Antiqua"/>
                <w:b/>
                <w:bCs/>
                <w:lang w:eastAsia="zh-CN"/>
              </w:rPr>
              <w:t>IQR</w:t>
            </w:r>
            <w:r>
              <w:rPr>
                <w:rFonts w:ascii="Book Antiqua" w:hAnsi="Book Antiqua"/>
                <w:b/>
                <w:bCs/>
              </w:rPr>
              <w:t>)</w:t>
            </w:r>
          </w:p>
        </w:tc>
        <w:tc>
          <w:tcPr>
            <w:tcW w:w="2340" w:type="dxa"/>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rPr>
                <w:rFonts w:ascii="Book Antiqua" w:hAnsi="Book Antiqua" w:eastAsia="Book Antiqua" w:cs="Book Antiqua"/>
                <w:b/>
                <w:bCs/>
              </w:rPr>
            </w:pPr>
            <w:r>
              <w:rPr>
                <w:rFonts w:ascii="Book Antiqua" w:hAnsi="Book Antiqua"/>
                <w:b/>
                <w:bCs/>
              </w:rPr>
              <w:t>Controls (</w:t>
            </w:r>
            <w:r>
              <w:rPr>
                <w:rFonts w:ascii="Book Antiqua" w:hAnsi="Book Antiqua"/>
                <w:b/>
                <w:bCs/>
                <w:i/>
                <w:iCs/>
              </w:rPr>
              <w:t>n</w:t>
            </w:r>
            <w:r>
              <w:rPr>
                <w:rFonts w:ascii="Book Antiqua" w:hAnsi="Book Antiqua"/>
                <w:b/>
                <w:bCs/>
              </w:rPr>
              <w:t xml:space="preserve"> = 20), </w:t>
            </w:r>
          </w:p>
          <w:p>
            <w:pPr>
              <w:spacing w:line="360" w:lineRule="auto"/>
              <w:jc w:val="both"/>
            </w:pPr>
            <w:r>
              <w:rPr>
                <w:rFonts w:ascii="Book Antiqua" w:hAnsi="Book Antiqua"/>
                <w:b/>
                <w:bCs/>
              </w:rPr>
              <w:t>Median (</w:t>
            </w:r>
            <w:r>
              <w:rPr>
                <w:rFonts w:hint="eastAsia" w:ascii="Book Antiqua" w:hAnsi="Book Antiqua"/>
                <w:b/>
                <w:bCs/>
                <w:lang w:eastAsia="zh-CN"/>
              </w:rPr>
              <w:t>IQR</w:t>
            </w:r>
            <w:r>
              <w:rPr>
                <w:rFonts w:ascii="Book Antiqua" w:hAnsi="Book Antiqua"/>
                <w:b/>
                <w:bCs/>
              </w:rPr>
              <w:t>)</w:t>
            </w:r>
          </w:p>
        </w:tc>
        <w:tc>
          <w:tcPr>
            <w:tcW w:w="2340" w:type="dxa"/>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i/>
                <w:iCs/>
              </w:rPr>
              <w:t>P</w:t>
            </w:r>
            <w:r>
              <w:rPr>
                <w:rFonts w:ascii="Book Antiqua" w:hAnsi="Book Antiqua"/>
                <w:b/>
                <w:bCs/>
              </w:rPr>
              <w:t xml:space="preserve"> value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15" w:hRule="atLeast"/>
        </w:trPr>
        <w:tc>
          <w:tcPr>
            <w:tcW w:w="2339" w:type="dxa"/>
            <w:tcBorders>
              <w:top w:val="single" w:color="7F7F7F"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Adiponectin (µg/mL)</w:t>
            </w:r>
          </w:p>
        </w:tc>
        <w:tc>
          <w:tcPr>
            <w:tcW w:w="2339" w:type="dxa"/>
            <w:tcBorders>
              <w:top w:val="single" w:color="7F7F7F"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12.20 (9.76, 17.97)</w:t>
            </w:r>
          </w:p>
        </w:tc>
        <w:tc>
          <w:tcPr>
            <w:tcW w:w="2340" w:type="dxa"/>
            <w:tcBorders>
              <w:top w:val="single" w:color="7F7F7F"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13.95 (11.17, 22.58)</w:t>
            </w:r>
          </w:p>
        </w:tc>
        <w:tc>
          <w:tcPr>
            <w:tcW w:w="2340" w:type="dxa"/>
            <w:tcBorders>
              <w:top w:val="single" w:color="7F7F7F"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0.18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23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Leptin (ng/mL) </w:t>
            </w:r>
          </w:p>
        </w:tc>
        <w:tc>
          <w:tcPr>
            <w:tcW w:w="2339"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1.83 (1.13, 3.80)</w:t>
            </w:r>
          </w:p>
        </w:tc>
        <w:tc>
          <w:tcPr>
            <w:tcW w:w="2340"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1.10 (0.41, 2.88)</w:t>
            </w:r>
          </w:p>
        </w:tc>
        <w:tc>
          <w:tcPr>
            <w:tcW w:w="2340"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5" w:hRule="atLeast"/>
        </w:trPr>
        <w:tc>
          <w:tcPr>
            <w:tcW w:w="2339" w:type="dxa"/>
            <w:tcBorders>
              <w:top w:val="nil"/>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Resistin (ng/mL)</w:t>
            </w:r>
          </w:p>
        </w:tc>
        <w:tc>
          <w:tcPr>
            <w:tcW w:w="2339" w:type="dxa"/>
            <w:tcBorders>
              <w:top w:val="nil"/>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27.77 (18.66, 48.90)</w:t>
            </w:r>
          </w:p>
        </w:tc>
        <w:tc>
          <w:tcPr>
            <w:tcW w:w="2340" w:type="dxa"/>
            <w:tcBorders>
              <w:top w:val="nil"/>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21.20 (14.80, 27.00)</w:t>
            </w:r>
          </w:p>
        </w:tc>
        <w:tc>
          <w:tcPr>
            <w:tcW w:w="2340" w:type="dxa"/>
            <w:tcBorders>
              <w:top w:val="nil"/>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0.04</w:t>
            </w:r>
            <w:r>
              <w:rPr>
                <w:rFonts w:ascii="Book Antiqua" w:hAnsi="Book Antiqua"/>
                <w:vertAlign w:val="superscript"/>
              </w:rPr>
              <w:t>a</w:t>
            </w:r>
          </w:p>
        </w:tc>
      </w:tr>
    </w:tbl>
    <w:p>
      <w:pPr>
        <w:spacing w:line="360" w:lineRule="auto"/>
        <w:jc w:val="both"/>
        <w:rPr>
          <w:rFonts w:ascii="Book Antiqua" w:hAnsi="Book Antiqua" w:eastAsia="Book Antiqua" w:cs="Book Antiqua"/>
        </w:rPr>
      </w:pPr>
      <w:r>
        <w:rPr>
          <w:rFonts w:ascii="Book Antiqua" w:hAnsi="Book Antiqua"/>
          <w:vertAlign w:val="superscript"/>
        </w:rPr>
        <w:t>a</w:t>
      </w:r>
      <w:r>
        <w:rPr>
          <w:rFonts w:ascii="Book Antiqua" w:hAnsi="Book Antiqua"/>
          <w:i/>
          <w:iCs/>
        </w:rPr>
        <w:t>P</w:t>
      </w:r>
      <w:r>
        <w:rPr>
          <w:rFonts w:ascii="Book Antiqua" w:hAnsi="Book Antiqua"/>
        </w:rPr>
        <w:t xml:space="preserve"> value &lt; 0.05 was taken as significant. </w:t>
      </w:r>
      <w:r>
        <w:rPr>
          <w:rFonts w:hint="eastAsia" w:ascii="Book Antiqua" w:hAnsi="Book Antiqua"/>
          <w:lang w:eastAsia="zh-CN"/>
        </w:rPr>
        <w:t>IQR</w:t>
      </w:r>
      <w:r>
        <w:rPr>
          <w:rFonts w:ascii="Book Antiqua" w:hAnsi="Book Antiqua"/>
        </w:rPr>
        <w:t xml:space="preserve">: Interquartile range. </w:t>
      </w:r>
    </w:p>
    <w:p>
      <w:pPr>
        <w:spacing w:line="360" w:lineRule="auto"/>
        <w:jc w:val="both"/>
        <w:rPr>
          <w:rFonts w:ascii="Book Antiqua" w:hAnsi="Book Antiqua" w:eastAsia="Book Antiqua" w:cs="Book Antiqua"/>
        </w:rPr>
      </w:pPr>
    </w:p>
    <w:p>
      <w:pPr>
        <w:spacing w:line="360" w:lineRule="auto"/>
        <w:jc w:val="both"/>
      </w:pPr>
      <w:r>
        <w:rPr>
          <w:rFonts w:ascii="Arial Unicode MS" w:hAnsi="Arial Unicode MS"/>
        </w:rPr>
        <w:br w:type="page"/>
      </w:r>
    </w:p>
    <w:p>
      <w:pPr>
        <w:spacing w:line="360" w:lineRule="auto"/>
        <w:jc w:val="both"/>
        <w:rPr>
          <w:rFonts w:ascii="Book Antiqua" w:hAnsi="Book Antiqua" w:eastAsia="Book Antiqua" w:cs="Book Antiqua"/>
          <w:b/>
          <w:bCs/>
        </w:rPr>
      </w:pPr>
      <w:r>
        <w:rPr>
          <w:rFonts w:ascii="Book Antiqua" w:hAnsi="Book Antiqua"/>
          <w:b/>
          <w:bCs/>
        </w:rPr>
        <w:t xml:space="preserve">Table 3 Correlation of adipocytokines with different lipoproteins, body mass index and age of the patients with Kawasaki disease </w:t>
      </w:r>
    </w:p>
    <w:tbl>
      <w:tblPr>
        <w:tblStyle w:val="9"/>
        <w:tblW w:w="936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078"/>
        <w:gridCol w:w="1457"/>
        <w:gridCol w:w="971"/>
        <w:gridCol w:w="1456"/>
        <w:gridCol w:w="1033"/>
        <w:gridCol w:w="1456"/>
        <w:gridCol w:w="90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10" w:hRule="atLeast"/>
        </w:trPr>
        <w:tc>
          <w:tcPr>
            <w:tcW w:w="2077" w:type="dxa"/>
            <w:vMerge w:val="restart"/>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 xml:space="preserve">Characteristics </w:t>
            </w:r>
          </w:p>
        </w:tc>
        <w:tc>
          <w:tcPr>
            <w:tcW w:w="2427" w:type="dxa"/>
            <w:gridSpan w:val="2"/>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Leptin</w:t>
            </w:r>
          </w:p>
        </w:tc>
        <w:tc>
          <w:tcPr>
            <w:tcW w:w="2489" w:type="dxa"/>
            <w:gridSpan w:val="2"/>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 xml:space="preserve">Adiponectin </w:t>
            </w:r>
          </w:p>
        </w:tc>
        <w:tc>
          <w:tcPr>
            <w:tcW w:w="2365" w:type="dxa"/>
            <w:gridSpan w:val="2"/>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 xml:space="preserve">Resistin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10" w:hRule="atLeast"/>
        </w:trPr>
        <w:tc>
          <w:tcPr>
            <w:tcW w:w="2077" w:type="dxa"/>
            <w:vMerge w:val="continue"/>
            <w:tcBorders>
              <w:top w:val="single" w:color="7F7F7F" w:sz="4" w:space="0"/>
              <w:left w:val="nil"/>
              <w:bottom w:val="single" w:color="7F7F7F" w:sz="4" w:space="0"/>
              <w:right w:val="nil"/>
            </w:tcBorders>
            <w:shd w:val="clear" w:color="auto" w:fill="auto"/>
          </w:tcPr>
          <w:p>
            <w:pPr>
              <w:spacing w:line="360" w:lineRule="auto"/>
            </w:pPr>
          </w:p>
        </w:tc>
        <w:tc>
          <w:tcPr>
            <w:tcW w:w="1456" w:type="dxa"/>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Correlation coefficient</w:t>
            </w:r>
          </w:p>
        </w:tc>
        <w:tc>
          <w:tcPr>
            <w:tcW w:w="971" w:type="dxa"/>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i/>
                <w:iCs/>
              </w:rPr>
              <w:t xml:space="preserve">P </w:t>
            </w:r>
            <w:r>
              <w:rPr>
                <w:rFonts w:ascii="Book Antiqua" w:hAnsi="Book Antiqua"/>
                <w:b/>
                <w:bCs/>
              </w:rPr>
              <w:t>value</w:t>
            </w:r>
          </w:p>
        </w:tc>
        <w:tc>
          <w:tcPr>
            <w:tcW w:w="1456" w:type="dxa"/>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Correlation coefficient</w:t>
            </w:r>
          </w:p>
        </w:tc>
        <w:tc>
          <w:tcPr>
            <w:tcW w:w="1032" w:type="dxa"/>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i/>
                <w:iCs/>
              </w:rPr>
              <w:t xml:space="preserve">P </w:t>
            </w:r>
            <w:r>
              <w:rPr>
                <w:rFonts w:ascii="Book Antiqua" w:hAnsi="Book Antiqua"/>
                <w:b/>
                <w:bCs/>
              </w:rPr>
              <w:t>value</w:t>
            </w:r>
          </w:p>
        </w:tc>
        <w:tc>
          <w:tcPr>
            <w:tcW w:w="1456" w:type="dxa"/>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Correlation coefficient</w:t>
            </w:r>
          </w:p>
        </w:tc>
        <w:tc>
          <w:tcPr>
            <w:tcW w:w="908" w:type="dxa"/>
            <w:tcBorders>
              <w:top w:val="single" w:color="7F7F7F" w:sz="4" w:space="0"/>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i/>
                <w:iCs/>
              </w:rPr>
              <w:t xml:space="preserve">P </w:t>
            </w:r>
            <w:r>
              <w:rPr>
                <w:rFonts w:ascii="Book Antiqua" w:hAnsi="Book Antiqua"/>
                <w:b/>
                <w:bCs/>
              </w:rPr>
              <w:t>value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5" w:hRule="atLeast"/>
        </w:trPr>
        <w:tc>
          <w:tcPr>
            <w:tcW w:w="2077" w:type="dxa"/>
            <w:tcBorders>
              <w:top w:val="single" w:color="7F7F7F"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LDL (mg/dL)</w:t>
            </w:r>
          </w:p>
        </w:tc>
        <w:tc>
          <w:tcPr>
            <w:tcW w:w="1456" w:type="dxa"/>
            <w:tcBorders>
              <w:top w:val="single" w:color="7F7F7F"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0.030</w:t>
            </w:r>
          </w:p>
        </w:tc>
        <w:tc>
          <w:tcPr>
            <w:tcW w:w="971" w:type="dxa"/>
            <w:tcBorders>
              <w:top w:val="single" w:color="7F7F7F"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0.90</w:t>
            </w:r>
          </w:p>
        </w:tc>
        <w:tc>
          <w:tcPr>
            <w:tcW w:w="1456" w:type="dxa"/>
            <w:tcBorders>
              <w:top w:val="single" w:color="7F7F7F"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-0.223</w:t>
            </w:r>
          </w:p>
        </w:tc>
        <w:tc>
          <w:tcPr>
            <w:tcW w:w="1032" w:type="dxa"/>
            <w:tcBorders>
              <w:top w:val="single" w:color="7F7F7F"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0.34</w:t>
            </w:r>
          </w:p>
        </w:tc>
        <w:tc>
          <w:tcPr>
            <w:tcW w:w="1456" w:type="dxa"/>
            <w:tcBorders>
              <w:top w:val="single" w:color="7F7F7F"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-0.003</w:t>
            </w:r>
          </w:p>
        </w:tc>
        <w:tc>
          <w:tcPr>
            <w:tcW w:w="908" w:type="dxa"/>
            <w:tcBorders>
              <w:top w:val="single" w:color="7F7F7F"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0.99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2077"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TG (mg/dL) </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0.076</w:t>
            </w:r>
          </w:p>
        </w:tc>
        <w:tc>
          <w:tcPr>
            <w:tcW w:w="971"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0.75</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-0.018</w:t>
            </w:r>
          </w:p>
        </w:tc>
        <w:tc>
          <w:tcPr>
            <w:tcW w:w="1032"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0.94</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0.169</w:t>
            </w:r>
          </w:p>
        </w:tc>
        <w:tc>
          <w:tcPr>
            <w:tcW w:w="908"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0.47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2077"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VLDL (mg/dL)</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-0.076</w:t>
            </w:r>
          </w:p>
        </w:tc>
        <w:tc>
          <w:tcPr>
            <w:tcW w:w="971"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0.75</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0.330</w:t>
            </w:r>
          </w:p>
        </w:tc>
        <w:tc>
          <w:tcPr>
            <w:tcW w:w="1032"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0.15</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0.105</w:t>
            </w:r>
          </w:p>
        </w:tc>
        <w:tc>
          <w:tcPr>
            <w:tcW w:w="908"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0.65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2077"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HDL (mg/dL)</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-0.037</w:t>
            </w:r>
          </w:p>
        </w:tc>
        <w:tc>
          <w:tcPr>
            <w:tcW w:w="971"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0.87</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0.505</w:t>
            </w:r>
          </w:p>
        </w:tc>
        <w:tc>
          <w:tcPr>
            <w:tcW w:w="1032"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0.47</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0.470</w:t>
            </w:r>
          </w:p>
        </w:tc>
        <w:tc>
          <w:tcPr>
            <w:tcW w:w="908"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w:t>
            </w:r>
            <w:r>
              <w:rPr>
                <w:rFonts w:ascii="Book Antiqua" w:hAnsi="Book Antiqua"/>
                <w:b w:val="0"/>
                <w:bCs w:val="0"/>
              </w:rPr>
              <w:t>03</w:t>
            </w:r>
            <w:r>
              <w:rPr>
                <w:rFonts w:ascii="Book Antiqua" w:hAnsi="Book Antiqua"/>
                <w:vertAlign w:val="superscript"/>
              </w:rPr>
              <w:t>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20" w:hRule="atLeast"/>
        </w:trPr>
        <w:tc>
          <w:tcPr>
            <w:tcW w:w="2077"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Total cholesterol (mg/dL) </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0.033</w:t>
            </w:r>
          </w:p>
        </w:tc>
        <w:tc>
          <w:tcPr>
            <w:tcW w:w="971"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0.89</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-0.379</w:t>
            </w:r>
          </w:p>
        </w:tc>
        <w:tc>
          <w:tcPr>
            <w:tcW w:w="1032"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0.09</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-0.217</w:t>
            </w:r>
          </w:p>
        </w:tc>
        <w:tc>
          <w:tcPr>
            <w:tcW w:w="908"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0.35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trPr>
        <w:tc>
          <w:tcPr>
            <w:tcW w:w="2077"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BMI (kg/m</w:t>
            </w:r>
            <w:r>
              <w:rPr>
                <w:rFonts w:ascii="Book Antiqua" w:hAnsi="Book Antiqua"/>
                <w:vertAlign w:val="superscript"/>
              </w:rPr>
              <w:t>2</w:t>
            </w:r>
            <w:r>
              <w:rPr>
                <w:rFonts w:ascii="Book Antiqua" w:hAnsi="Book Antiqua"/>
              </w:rPr>
              <w:t>)</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0.574</w:t>
            </w:r>
          </w:p>
        </w:tc>
        <w:tc>
          <w:tcPr>
            <w:tcW w:w="971"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0.02</w:t>
            </w:r>
            <w:bookmarkStart w:id="4" w:name="OLE_LINK1"/>
            <w:r>
              <w:rPr>
                <w:rFonts w:ascii="Book Antiqua" w:hAnsi="Book Antiqua"/>
                <w:vertAlign w:val="superscript"/>
              </w:rPr>
              <w:t>a</w:t>
            </w:r>
            <w:bookmarkEnd w:id="4"/>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-0.334</w:t>
            </w:r>
          </w:p>
        </w:tc>
        <w:tc>
          <w:tcPr>
            <w:tcW w:w="1032"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0.20</w:t>
            </w:r>
          </w:p>
        </w:tc>
        <w:tc>
          <w:tcPr>
            <w:tcW w:w="1456"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-0.280</w:t>
            </w:r>
          </w:p>
        </w:tc>
        <w:tc>
          <w:tcPr>
            <w:tcW w:w="908" w:type="dxa"/>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0.29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5" w:hRule="atLeast"/>
        </w:trPr>
        <w:tc>
          <w:tcPr>
            <w:tcW w:w="2077" w:type="dxa"/>
            <w:tcBorders>
              <w:top w:val="nil"/>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Age (y</w:t>
            </w:r>
            <w:r>
              <w:rPr>
                <w:rFonts w:hint="eastAsia" w:ascii="Book Antiqua" w:hAnsi="Book Antiqua"/>
                <w:lang w:val="en-US" w:eastAsia="zh-CN"/>
              </w:rPr>
              <w:t>r</w:t>
            </w:r>
            <w:bookmarkStart w:id="6" w:name="_GoBack"/>
            <w:bookmarkEnd w:id="6"/>
            <w:r>
              <w:rPr>
                <w:rFonts w:ascii="Book Antiqua" w:hAnsi="Book Antiqua"/>
              </w:rPr>
              <w:t xml:space="preserve">) </w:t>
            </w:r>
          </w:p>
        </w:tc>
        <w:tc>
          <w:tcPr>
            <w:tcW w:w="1456" w:type="dxa"/>
            <w:tcBorders>
              <w:top w:val="nil"/>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0.379</w:t>
            </w:r>
          </w:p>
        </w:tc>
        <w:tc>
          <w:tcPr>
            <w:tcW w:w="971" w:type="dxa"/>
            <w:tcBorders>
              <w:top w:val="nil"/>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0.09</w:t>
            </w:r>
          </w:p>
        </w:tc>
        <w:tc>
          <w:tcPr>
            <w:tcW w:w="1456" w:type="dxa"/>
            <w:tcBorders>
              <w:top w:val="nil"/>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-0.057</w:t>
            </w:r>
          </w:p>
        </w:tc>
        <w:tc>
          <w:tcPr>
            <w:tcW w:w="1032" w:type="dxa"/>
            <w:tcBorders>
              <w:top w:val="nil"/>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0.81</w:t>
            </w:r>
          </w:p>
        </w:tc>
        <w:tc>
          <w:tcPr>
            <w:tcW w:w="1456" w:type="dxa"/>
            <w:tcBorders>
              <w:top w:val="nil"/>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-0.128</w:t>
            </w:r>
          </w:p>
        </w:tc>
        <w:tc>
          <w:tcPr>
            <w:tcW w:w="908" w:type="dxa"/>
            <w:tcBorders>
              <w:top w:val="nil"/>
              <w:left w:val="nil"/>
              <w:bottom w:val="single" w:color="7F7F7F"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0.59</w:t>
            </w:r>
          </w:p>
        </w:tc>
      </w:tr>
    </w:tbl>
    <w:p>
      <w:pPr>
        <w:spacing w:line="360" w:lineRule="auto"/>
        <w:jc w:val="both"/>
        <w:rPr>
          <w:rFonts w:ascii="Book Antiqua" w:hAnsi="Book Antiqua" w:eastAsia="Book Antiqua" w:cs="Book Antiqua"/>
        </w:rPr>
      </w:pPr>
      <w:r>
        <w:rPr>
          <w:rFonts w:ascii="Book Antiqua" w:hAnsi="Book Antiqua"/>
          <w:vertAlign w:val="superscript"/>
        </w:rPr>
        <w:t>a</w:t>
      </w:r>
      <w:r>
        <w:rPr>
          <w:rFonts w:ascii="Book Antiqua" w:hAnsi="Book Antiqua"/>
          <w:i/>
          <w:iCs/>
        </w:rPr>
        <w:t>P</w:t>
      </w:r>
      <w:r>
        <w:rPr>
          <w:rFonts w:ascii="Book Antiqua" w:hAnsi="Book Antiqua"/>
        </w:rPr>
        <w:t xml:space="preserve"> value &lt; 0.05 was taken as significant.</w:t>
      </w:r>
      <w:r>
        <w:rPr>
          <w:rFonts w:ascii="Book Antiqua" w:hAnsi="Book Antiqua"/>
          <w:b/>
          <w:bCs/>
        </w:rPr>
        <w:t xml:space="preserve"> </w:t>
      </w:r>
      <w:r>
        <w:rPr>
          <w:rFonts w:ascii="Book Antiqua" w:hAnsi="Book Antiqua"/>
        </w:rPr>
        <w:t xml:space="preserve">LDL: Low density lipoprotein; TG: Triglycerides; VLDL: Very low density lipoprotein; HDL: High-density lipoprotein.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b/>
          <w:bCs/>
        </w:rPr>
      </w:pPr>
    </w:p>
    <w:p>
      <w:pPr>
        <w:spacing w:line="360" w:lineRule="auto"/>
        <w:jc w:val="both"/>
        <w:rPr>
          <w:rFonts w:ascii="Book Antiqua" w:hAnsi="Book Antiqua" w:eastAsia="Book Antiqua" w:cs="Book Antiqua"/>
          <w:b/>
          <w:bCs/>
        </w:rPr>
      </w:pPr>
    </w:p>
    <w:p>
      <w:pPr>
        <w:spacing w:line="360" w:lineRule="auto"/>
        <w:jc w:val="both"/>
        <w:rPr>
          <w:rFonts w:ascii="Book Antiqua" w:hAnsi="Book Antiqua" w:eastAsia="Book Antiqua" w:cs="Book Antiqua"/>
          <w:b/>
          <w:bCs/>
        </w:rPr>
      </w:pPr>
    </w:p>
    <w:p>
      <w:pPr>
        <w:spacing w:line="360" w:lineRule="auto"/>
        <w:jc w:val="both"/>
        <w:sectPr>
          <w:headerReference r:id="rId6" w:type="default"/>
          <w:pgSz w:w="12240" w:h="15840"/>
          <w:pgMar w:top="1440" w:right="1440" w:bottom="1440" w:left="1440" w:header="708" w:footer="708" w:gutter="0"/>
          <w:cols w:space="720" w:num="1"/>
        </w:sectPr>
      </w:pPr>
    </w:p>
    <w:p>
      <w:pPr>
        <w:spacing w:line="360" w:lineRule="auto"/>
        <w:jc w:val="both"/>
        <w:rPr>
          <w:rFonts w:ascii="Book Antiqua" w:hAnsi="Book Antiqua" w:eastAsia="Book Antiqua" w:cs="Book Antiqua"/>
          <w:b/>
          <w:bCs/>
        </w:rPr>
      </w:pPr>
      <w:r>
        <w:rPr>
          <w:rFonts w:ascii="Book Antiqua" w:hAnsi="Book Antiqua"/>
          <w:b/>
          <w:bCs/>
        </w:rPr>
        <w:t xml:space="preserve">Table 4 Comparison of published literature on circulating adipocytokines in children with Kawasaki disease </w:t>
      </w:r>
    </w:p>
    <w:tbl>
      <w:tblPr>
        <w:tblStyle w:val="9"/>
        <w:tblW w:w="5000" w:type="pct"/>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autofit"/>
        <w:tblCellMar>
          <w:top w:w="0" w:type="dxa"/>
          <w:left w:w="0" w:type="dxa"/>
          <w:bottom w:w="0" w:type="dxa"/>
          <w:right w:w="0" w:type="dxa"/>
        </w:tblCellMar>
      </w:tblPr>
      <w:tblGrid>
        <w:gridCol w:w="1251"/>
        <w:gridCol w:w="1572"/>
        <w:gridCol w:w="1737"/>
        <w:gridCol w:w="671"/>
        <w:gridCol w:w="1685"/>
        <w:gridCol w:w="1161"/>
        <w:gridCol w:w="144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30" w:hRule="atLeast"/>
        </w:trPr>
        <w:tc>
          <w:tcPr>
            <w:tcW w:w="716" w:type="pct"/>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Ref.</w:t>
            </w:r>
          </w:p>
        </w:tc>
        <w:tc>
          <w:tcPr>
            <w:tcW w:w="723" w:type="pct"/>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Number of cases/controls</w:t>
            </w:r>
          </w:p>
        </w:tc>
        <w:tc>
          <w:tcPr>
            <w:tcW w:w="723" w:type="pct"/>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Stage of disease</w:t>
            </w:r>
          </w:p>
        </w:tc>
        <w:tc>
          <w:tcPr>
            <w:tcW w:w="290" w:type="pct"/>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CAA</w:t>
            </w:r>
          </w:p>
        </w:tc>
        <w:tc>
          <w:tcPr>
            <w:tcW w:w="899" w:type="pct"/>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Resistin</w:t>
            </w:r>
          </w:p>
        </w:tc>
        <w:tc>
          <w:tcPr>
            <w:tcW w:w="581" w:type="pct"/>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Leptin</w:t>
            </w:r>
          </w:p>
        </w:tc>
        <w:tc>
          <w:tcPr>
            <w:tcW w:w="1071" w:type="pct"/>
            <w:tcBorders>
              <w:top w:val="single" w:color="000000" w:sz="4" w:space="0"/>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b/>
                <w:bCs/>
              </w:rPr>
              <w:t>Adiponectin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335" w:hRule="atLeast"/>
        </w:trPr>
        <w:tc>
          <w:tcPr>
            <w:tcW w:w="716" w:type="pct"/>
            <w:tcBorders>
              <w:top w:val="single" w:color="000000"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Takeshita</w:t>
            </w:r>
            <w:r>
              <w:rPr>
                <w:rFonts w:ascii="Book Antiqua" w:hAnsi="Book Antiqua"/>
                <w:i/>
                <w:iCs/>
              </w:rPr>
              <w:t xml:space="preserve"> et al</w:t>
            </w:r>
            <w:r>
              <w:rPr>
                <w:rFonts w:ascii="Book Antiqua" w:hAnsi="Book Antiqua"/>
                <w:vertAlign w:val="superscript"/>
              </w:rPr>
              <w:t>[30]</w:t>
            </w:r>
            <w:r>
              <w:rPr>
                <w:rFonts w:ascii="Book Antiqua" w:hAnsi="Book Antiqua"/>
              </w:rPr>
              <w:t>, 2006</w:t>
            </w:r>
          </w:p>
        </w:tc>
        <w:tc>
          <w:tcPr>
            <w:tcW w:w="723" w:type="pct"/>
            <w:tcBorders>
              <w:top w:val="single" w:color="000000"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Cases-20; Febrile controls-15; Healthy controls-15</w:t>
            </w:r>
          </w:p>
        </w:tc>
        <w:tc>
          <w:tcPr>
            <w:tcW w:w="723" w:type="pct"/>
            <w:tcBorders>
              <w:top w:val="single" w:color="000000"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Acute phase (day 4-6); Convalescent phase (day 25-39)</w:t>
            </w:r>
          </w:p>
        </w:tc>
        <w:tc>
          <w:tcPr>
            <w:tcW w:w="290" w:type="pct"/>
            <w:tcBorders>
              <w:top w:val="single" w:color="000000"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NA </w:t>
            </w:r>
          </w:p>
        </w:tc>
        <w:tc>
          <w:tcPr>
            <w:tcW w:w="899" w:type="pct"/>
            <w:tcBorders>
              <w:top w:val="single" w:color="000000"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w:t>
            </w:r>
          </w:p>
        </w:tc>
        <w:tc>
          <w:tcPr>
            <w:tcW w:w="581" w:type="pct"/>
            <w:tcBorders>
              <w:top w:val="single" w:color="000000"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w:t>
            </w:r>
          </w:p>
        </w:tc>
        <w:tc>
          <w:tcPr>
            <w:tcW w:w="1071" w:type="pct"/>
            <w:tcBorders>
              <w:top w:val="single" w:color="000000" w:sz="4" w:space="0"/>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Adiponectin levels were significantly reduced in the acute phase compared to the convalescent phase. No difference between the convalescent phase and controls.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40" w:hRule="atLeast"/>
        </w:trPr>
        <w:tc>
          <w:tcPr>
            <w:tcW w:w="716"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Nozue </w:t>
            </w:r>
            <w:r>
              <w:rPr>
                <w:rFonts w:ascii="Book Antiqua" w:hAnsi="Book Antiqua"/>
                <w:i/>
                <w:iCs/>
              </w:rPr>
              <w:t>et al</w:t>
            </w:r>
            <w:r>
              <w:rPr>
                <w:rFonts w:ascii="Book Antiqua" w:hAnsi="Book Antiqua"/>
                <w:vertAlign w:val="superscript"/>
              </w:rPr>
              <w:t>[15]</w:t>
            </w:r>
            <w:r>
              <w:rPr>
                <w:rFonts w:ascii="Book Antiqua" w:hAnsi="Book Antiqua"/>
              </w:rPr>
              <w:t>, 2010</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Cases-44; Controls-17</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Acute</w:t>
            </w:r>
          </w:p>
        </w:tc>
        <w:tc>
          <w:tcPr>
            <w:tcW w:w="290"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0</w:t>
            </w:r>
          </w:p>
        </w:tc>
        <w:tc>
          <w:tcPr>
            <w:tcW w:w="899"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Increased during the acute phase and returned to normal after IVIg administration</w:t>
            </w:r>
          </w:p>
        </w:tc>
        <w:tc>
          <w:tcPr>
            <w:tcW w:w="581"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Not assessed</w:t>
            </w:r>
          </w:p>
        </w:tc>
        <w:tc>
          <w:tcPr>
            <w:tcW w:w="1071"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Not assessed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920" w:hRule="atLeast"/>
        </w:trPr>
        <w:tc>
          <w:tcPr>
            <w:tcW w:w="716"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Fukunaga </w:t>
            </w:r>
            <w:r>
              <w:rPr>
                <w:rFonts w:ascii="Book Antiqua" w:hAnsi="Book Antiqua"/>
                <w:i/>
                <w:iCs/>
              </w:rPr>
              <w:t>et al</w:t>
            </w:r>
            <w:r>
              <w:rPr>
                <w:rFonts w:ascii="Book Antiqua" w:hAnsi="Book Antiqua"/>
                <w:vertAlign w:val="superscript"/>
              </w:rPr>
              <w:t>[19]</w:t>
            </w:r>
            <w:r>
              <w:rPr>
                <w:rFonts w:ascii="Book Antiqua" w:hAnsi="Book Antiqua"/>
              </w:rPr>
              <w:t>, 2010</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Acute phase KD-9; Convalescent phase KD-20; Controls-21</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Both acute and convalescent (&gt; 2 yr from KD onset); 6.72 ± 3.2 yr following KD (for convalescent cases)</w:t>
            </w:r>
          </w:p>
        </w:tc>
        <w:tc>
          <w:tcPr>
            <w:tcW w:w="290"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NA</w:t>
            </w:r>
          </w:p>
        </w:tc>
        <w:tc>
          <w:tcPr>
            <w:tcW w:w="899"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Not assessed</w:t>
            </w:r>
          </w:p>
        </w:tc>
        <w:tc>
          <w:tcPr>
            <w:tcW w:w="581"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Not assessed</w:t>
            </w:r>
          </w:p>
        </w:tc>
        <w:tc>
          <w:tcPr>
            <w:tcW w:w="1071"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Total and HMW adiponectin levels were lower in acute KD compared to controls; MMW and LMW adiponectin levels decreased in convalescent cases compared to controls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440" w:hRule="atLeast"/>
        </w:trPr>
        <w:tc>
          <w:tcPr>
            <w:tcW w:w="716"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Qi</w:t>
            </w:r>
            <w:r>
              <w:rPr>
                <w:rFonts w:ascii="Book Antiqua" w:hAnsi="Book Antiqua"/>
                <w:i/>
                <w:iCs/>
              </w:rPr>
              <w:t xml:space="preserve"> et al</w:t>
            </w:r>
            <w:r>
              <w:rPr>
                <w:rFonts w:ascii="Book Antiqua" w:hAnsi="Book Antiqua"/>
                <w:vertAlign w:val="superscript"/>
              </w:rPr>
              <w:t>[31]</w:t>
            </w:r>
            <w:r>
              <w:rPr>
                <w:rFonts w:ascii="Book Antiqua" w:hAnsi="Book Antiqua"/>
              </w:rPr>
              <w:t xml:space="preserve">, 2012 </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Cases-40; Controls-15</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Acute; Afebrile; Subacute phase </w:t>
            </w:r>
          </w:p>
        </w:tc>
        <w:tc>
          <w:tcPr>
            <w:tcW w:w="290"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6 </w:t>
            </w:r>
          </w:p>
        </w:tc>
        <w:tc>
          <w:tcPr>
            <w:tcW w:w="899"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Significantly high in the acute stage of KD and decreased with the course of the disease; No difference between patients with KD in the afebrile and subacute phase compared with the controls</w:t>
            </w:r>
          </w:p>
        </w:tc>
        <w:tc>
          <w:tcPr>
            <w:tcW w:w="581" w:type="pct"/>
            <w:tcBorders>
              <w:top w:val="nil"/>
              <w:left w:val="nil"/>
              <w:bottom w:val="nil"/>
              <w:right w:val="nil"/>
            </w:tcBorders>
            <w:shd w:val="clear" w:color="auto" w:fill="auto"/>
            <w:tcMar>
              <w:top w:w="80" w:type="dxa"/>
              <w:left w:w="80" w:type="dxa"/>
              <w:bottom w:w="80" w:type="dxa"/>
              <w:right w:w="80" w:type="dxa"/>
            </w:tcMar>
          </w:tcPr>
          <w:p>
            <w:pPr>
              <w:spacing w:line="360" w:lineRule="auto"/>
            </w:pPr>
          </w:p>
        </w:tc>
        <w:tc>
          <w:tcPr>
            <w:tcW w:w="1071" w:type="pct"/>
            <w:tcBorders>
              <w:top w:val="nil"/>
              <w:left w:val="nil"/>
              <w:bottom w:val="nil"/>
              <w:right w:val="nil"/>
            </w:tcBorders>
            <w:shd w:val="clear" w:color="auto" w:fill="auto"/>
            <w:tcMar>
              <w:top w:w="80" w:type="dxa"/>
              <w:left w:w="80" w:type="dxa"/>
              <w:bottom w:w="80" w:type="dxa"/>
              <w:right w:w="80" w:type="dxa"/>
            </w:tcMar>
          </w:tcPr>
          <w:p>
            <w:pPr>
              <w:spacing w:line="360" w:lineRule="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40" w:hRule="atLeast"/>
        </w:trPr>
        <w:tc>
          <w:tcPr>
            <w:tcW w:w="716"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Liu</w:t>
            </w:r>
            <w:r>
              <w:rPr>
                <w:rFonts w:ascii="Book Antiqua" w:hAnsi="Book Antiqua"/>
                <w:i/>
                <w:iCs/>
              </w:rPr>
              <w:t xml:space="preserve"> et al</w:t>
            </w:r>
            <w:r>
              <w:rPr>
                <w:rFonts w:ascii="Book Antiqua" w:hAnsi="Book Antiqua"/>
                <w:vertAlign w:val="superscript"/>
              </w:rPr>
              <w:t>[16]</w:t>
            </w:r>
            <w:r>
              <w:rPr>
                <w:rFonts w:ascii="Book Antiqua" w:hAnsi="Book Antiqua"/>
              </w:rPr>
              <w:t>, 2012</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KD-80; Controls-85</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Acute</w:t>
            </w:r>
          </w:p>
        </w:tc>
        <w:tc>
          <w:tcPr>
            <w:tcW w:w="290"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39</w:t>
            </w:r>
          </w:p>
        </w:tc>
        <w:tc>
          <w:tcPr>
            <w:tcW w:w="899"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Increased compared to controls. No difference between KD with and without CAAs</w:t>
            </w:r>
          </w:p>
        </w:tc>
        <w:tc>
          <w:tcPr>
            <w:tcW w:w="581"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No difference </w:t>
            </w:r>
          </w:p>
        </w:tc>
        <w:tc>
          <w:tcPr>
            <w:tcW w:w="1071"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Increased compared to controls. No difference between KD with and without CAAs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920" w:hRule="atLeast"/>
        </w:trPr>
        <w:tc>
          <w:tcPr>
            <w:tcW w:w="716"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Kemmotsu </w:t>
            </w:r>
            <w:r>
              <w:rPr>
                <w:rFonts w:ascii="Book Antiqua" w:hAnsi="Book Antiqua"/>
                <w:i/>
                <w:iCs/>
              </w:rPr>
              <w:t>et al</w:t>
            </w:r>
            <w:r>
              <w:rPr>
                <w:rFonts w:ascii="Book Antiqua" w:hAnsi="Book Antiqua"/>
                <w:vertAlign w:val="superscript"/>
              </w:rPr>
              <w:t>[17]</w:t>
            </w:r>
            <w:r>
              <w:rPr>
                <w:rFonts w:ascii="Book Antiqua" w:hAnsi="Book Antiqua"/>
              </w:rPr>
              <w:t xml:space="preserve">, 2012 </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Cases-56; Healthy controls-30; Febrile controls-31</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Acute</w:t>
            </w:r>
          </w:p>
        </w:tc>
        <w:tc>
          <w:tcPr>
            <w:tcW w:w="290"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4</w:t>
            </w:r>
          </w:p>
        </w:tc>
        <w:tc>
          <w:tcPr>
            <w:tcW w:w="899"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Markedly elevated in acute stage and returned to normal after IVIg administration. Non-responders to IVIg had very high resistin levels </w:t>
            </w:r>
          </w:p>
        </w:tc>
        <w:tc>
          <w:tcPr>
            <w:tcW w:w="581"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No difference </w:t>
            </w:r>
          </w:p>
        </w:tc>
        <w:tc>
          <w:tcPr>
            <w:tcW w:w="1071"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No difference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20" w:hRule="atLeast"/>
        </w:trPr>
        <w:tc>
          <w:tcPr>
            <w:tcW w:w="716"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Kim</w:t>
            </w:r>
            <w:r>
              <w:rPr>
                <w:rFonts w:ascii="Book Antiqua" w:hAnsi="Book Antiqua"/>
                <w:i/>
                <w:iCs/>
              </w:rPr>
              <w:t xml:space="preserve"> et al</w:t>
            </w:r>
            <w:r>
              <w:rPr>
                <w:rFonts w:ascii="Book Antiqua" w:hAnsi="Book Antiqua"/>
                <w:vertAlign w:val="superscript"/>
              </w:rPr>
              <w:t>[18]</w:t>
            </w:r>
            <w:r>
              <w:rPr>
                <w:rFonts w:ascii="Book Antiqua" w:hAnsi="Book Antiqua"/>
              </w:rPr>
              <w:t xml:space="preserve">, 2014 </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Cases-40; Febrile controls-32; Healthy controls-15</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Acute</w:t>
            </w:r>
          </w:p>
        </w:tc>
        <w:tc>
          <w:tcPr>
            <w:tcW w:w="290"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12</w:t>
            </w:r>
          </w:p>
        </w:tc>
        <w:tc>
          <w:tcPr>
            <w:tcW w:w="899"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bookmarkStart w:id="5" w:name="OLE_LINK2"/>
            <w:r>
              <w:rPr>
                <w:rFonts w:ascii="Book Antiqua" w:hAnsi="Book Antiqua"/>
              </w:rPr>
              <w:t xml:space="preserve">Markedly elevated in the </w:t>
            </w:r>
            <w:bookmarkEnd w:id="5"/>
            <w:r>
              <w:rPr>
                <w:rFonts w:ascii="Book Antiqua" w:hAnsi="Book Antiqua"/>
              </w:rPr>
              <w:t>acute stage but did not predict development of CAAs</w:t>
            </w:r>
          </w:p>
        </w:tc>
        <w:tc>
          <w:tcPr>
            <w:tcW w:w="581"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Not assessed</w:t>
            </w:r>
          </w:p>
        </w:tc>
        <w:tc>
          <w:tcPr>
            <w:tcW w:w="1071"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Not assessed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20" w:hRule="atLeast"/>
        </w:trPr>
        <w:tc>
          <w:tcPr>
            <w:tcW w:w="716"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Zhang</w:t>
            </w:r>
            <w:r>
              <w:rPr>
                <w:rFonts w:ascii="Book Antiqua" w:hAnsi="Book Antiqua"/>
                <w:i/>
                <w:iCs/>
              </w:rPr>
              <w:t xml:space="preserve"> et al</w:t>
            </w:r>
            <w:r>
              <w:rPr>
                <w:rFonts w:ascii="Book Antiqua" w:hAnsi="Book Antiqua"/>
                <w:vertAlign w:val="superscript"/>
              </w:rPr>
              <w:t>[32]</w:t>
            </w:r>
            <w:r>
              <w:rPr>
                <w:rFonts w:ascii="Book Antiqua" w:hAnsi="Book Antiqua"/>
              </w:rPr>
              <w:t>, 2018</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Cases-80; Febrile controls-20; Healthy controls-20 </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Acute phase</w:t>
            </w:r>
          </w:p>
        </w:tc>
        <w:tc>
          <w:tcPr>
            <w:tcW w:w="290"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24 </w:t>
            </w:r>
          </w:p>
        </w:tc>
        <w:tc>
          <w:tcPr>
            <w:tcW w:w="899" w:type="pct"/>
            <w:tcBorders>
              <w:top w:val="nil"/>
              <w:left w:val="nil"/>
              <w:bottom w:val="nil"/>
              <w:right w:val="nil"/>
            </w:tcBorders>
            <w:shd w:val="clear" w:color="auto" w:fill="auto"/>
            <w:tcMar>
              <w:top w:w="80" w:type="dxa"/>
              <w:left w:w="80" w:type="dxa"/>
              <w:bottom w:w="80" w:type="dxa"/>
              <w:right w:w="80" w:type="dxa"/>
            </w:tcMar>
          </w:tcPr>
          <w:p>
            <w:pPr>
              <w:spacing w:line="360" w:lineRule="auto"/>
            </w:pPr>
          </w:p>
        </w:tc>
        <w:tc>
          <w:tcPr>
            <w:tcW w:w="581" w:type="pct"/>
            <w:tcBorders>
              <w:top w:val="nil"/>
              <w:left w:val="nil"/>
              <w:bottom w:val="nil"/>
              <w:right w:val="nil"/>
            </w:tcBorders>
            <w:shd w:val="clear" w:color="auto" w:fill="auto"/>
            <w:tcMar>
              <w:top w:w="80" w:type="dxa"/>
              <w:left w:w="80" w:type="dxa"/>
              <w:bottom w:w="80" w:type="dxa"/>
              <w:right w:w="80" w:type="dxa"/>
            </w:tcMar>
          </w:tcPr>
          <w:p>
            <w:pPr>
              <w:spacing w:line="360" w:lineRule="auto"/>
            </w:pPr>
          </w:p>
        </w:tc>
        <w:tc>
          <w:tcPr>
            <w:tcW w:w="1071"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Decreased compared to febrile controls. However, no difference compared with healthy controls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920" w:hRule="atLeast"/>
        </w:trPr>
        <w:tc>
          <w:tcPr>
            <w:tcW w:w="716"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Zhang</w:t>
            </w:r>
            <w:r>
              <w:rPr>
                <w:rFonts w:ascii="Book Antiqua" w:hAnsi="Book Antiqua"/>
                <w:i/>
                <w:iCs/>
              </w:rPr>
              <w:t xml:space="preserve"> et al</w:t>
            </w:r>
            <w:r>
              <w:rPr>
                <w:rFonts w:ascii="Book Antiqua" w:hAnsi="Book Antiqua"/>
                <w:vertAlign w:val="superscript"/>
              </w:rPr>
              <w:t>[33]</w:t>
            </w:r>
            <w:r>
              <w:rPr>
                <w:rFonts w:ascii="Book Antiqua" w:hAnsi="Book Antiqua"/>
              </w:rPr>
              <w:t>, 2021</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Cases-42; Controls-20</w:t>
            </w:r>
          </w:p>
        </w:tc>
        <w:tc>
          <w:tcPr>
            <w:tcW w:w="723"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Acute phase (1-10 d); Subacute phase (11-20 d); Convalescent phase (21-30 d)</w:t>
            </w:r>
          </w:p>
        </w:tc>
        <w:tc>
          <w:tcPr>
            <w:tcW w:w="290"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18</w:t>
            </w:r>
          </w:p>
        </w:tc>
        <w:tc>
          <w:tcPr>
            <w:tcW w:w="899" w:type="pct"/>
            <w:tcBorders>
              <w:top w:val="nil"/>
              <w:left w:val="nil"/>
              <w:bottom w:val="nil"/>
              <w:right w:val="nil"/>
            </w:tcBorders>
            <w:shd w:val="clear" w:color="auto" w:fill="auto"/>
            <w:tcMar>
              <w:top w:w="80" w:type="dxa"/>
              <w:left w:w="80" w:type="dxa"/>
              <w:bottom w:w="80" w:type="dxa"/>
              <w:right w:w="80" w:type="dxa"/>
            </w:tcMar>
          </w:tcPr>
          <w:p>
            <w:pPr>
              <w:spacing w:line="360" w:lineRule="auto"/>
            </w:pPr>
          </w:p>
        </w:tc>
        <w:tc>
          <w:tcPr>
            <w:tcW w:w="581" w:type="pct"/>
            <w:tcBorders>
              <w:top w:val="nil"/>
              <w:left w:val="nil"/>
              <w:bottom w:val="nil"/>
              <w:right w:val="nil"/>
            </w:tcBorders>
            <w:shd w:val="clear" w:color="auto" w:fill="auto"/>
            <w:tcMar>
              <w:top w:w="80" w:type="dxa"/>
              <w:left w:w="80" w:type="dxa"/>
              <w:bottom w:w="80" w:type="dxa"/>
              <w:right w:w="80" w:type="dxa"/>
            </w:tcMar>
          </w:tcPr>
          <w:p>
            <w:pPr>
              <w:spacing w:line="360" w:lineRule="auto"/>
            </w:pPr>
          </w:p>
        </w:tc>
        <w:tc>
          <w:tcPr>
            <w:tcW w:w="1071" w:type="pct"/>
            <w:tcBorders>
              <w:top w:val="nil"/>
              <w:left w:val="nil"/>
              <w:bottom w:val="nil"/>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Serum adiponectin was significantly lower compared to controls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95" w:hRule="atLeast"/>
        </w:trPr>
        <w:tc>
          <w:tcPr>
            <w:tcW w:w="716" w:type="pct"/>
            <w:tcBorders>
              <w:top w:val="nil"/>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Present study, 2021 </w:t>
            </w:r>
          </w:p>
        </w:tc>
        <w:tc>
          <w:tcPr>
            <w:tcW w:w="723" w:type="pct"/>
            <w:tcBorders>
              <w:top w:val="nil"/>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KD convalescent phase-20; Controls-20</w:t>
            </w:r>
          </w:p>
        </w:tc>
        <w:tc>
          <w:tcPr>
            <w:tcW w:w="723" w:type="pct"/>
            <w:tcBorders>
              <w:top w:val="nil"/>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Convalescent; &gt; 3 yr of follow-up; (mean 5.5 yr)</w:t>
            </w:r>
          </w:p>
        </w:tc>
        <w:tc>
          <w:tcPr>
            <w:tcW w:w="290" w:type="pct"/>
            <w:tcBorders>
              <w:top w:val="nil"/>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4</w:t>
            </w:r>
          </w:p>
        </w:tc>
        <w:tc>
          <w:tcPr>
            <w:tcW w:w="899" w:type="pct"/>
            <w:tcBorders>
              <w:top w:val="nil"/>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Elevated in patients with KD compared to controls</w:t>
            </w:r>
          </w:p>
        </w:tc>
        <w:tc>
          <w:tcPr>
            <w:tcW w:w="581" w:type="pct"/>
            <w:tcBorders>
              <w:top w:val="nil"/>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Trend towards higher levels of leptin in patients with KD compared to controls </w:t>
            </w:r>
          </w:p>
        </w:tc>
        <w:tc>
          <w:tcPr>
            <w:tcW w:w="1071" w:type="pct"/>
            <w:tcBorders>
              <w:top w:val="nil"/>
              <w:left w:val="nil"/>
              <w:bottom w:val="single" w:color="000000" w:sz="4" w:space="0"/>
              <w:right w:val="nil"/>
            </w:tcBorders>
            <w:shd w:val="clear" w:color="auto" w:fill="auto"/>
            <w:tcMar>
              <w:top w:w="80" w:type="dxa"/>
              <w:left w:w="80" w:type="dxa"/>
              <w:bottom w:w="80" w:type="dxa"/>
              <w:right w:w="80" w:type="dxa"/>
            </w:tcMar>
          </w:tcPr>
          <w:p>
            <w:pPr>
              <w:spacing w:line="360" w:lineRule="auto"/>
              <w:jc w:val="both"/>
            </w:pPr>
            <w:r>
              <w:rPr>
                <w:rFonts w:ascii="Book Antiqua" w:hAnsi="Book Antiqua"/>
              </w:rPr>
              <w:t xml:space="preserve">No difference </w:t>
            </w:r>
          </w:p>
        </w:tc>
      </w:tr>
    </w:tbl>
    <w:p>
      <w:pPr>
        <w:spacing w:line="360" w:lineRule="auto"/>
        <w:jc w:val="both"/>
        <w:rPr>
          <w:rFonts w:ascii="Book Antiqua" w:hAnsi="Book Antiqua"/>
        </w:rPr>
        <w:sectPr>
          <w:headerReference r:id="rId7" w:type="default"/>
          <w:pgSz w:w="12240" w:h="15840"/>
          <w:pgMar w:top="1440" w:right="1440" w:bottom="1440" w:left="1440" w:header="708" w:footer="708" w:gutter="0"/>
          <w:cols w:space="720" w:num="1"/>
        </w:sectPr>
      </w:pPr>
      <w:r>
        <w:rPr>
          <w:rFonts w:ascii="Book Antiqua" w:hAnsi="Book Antiqua"/>
        </w:rPr>
        <w:t>CAAs: Coronary artery abnormalities; HMW: High molecular weight; IVIg: Intravenous immunoglobulin; KD: Kawasaki disease; LMW: Low molecular weight MMW: Medium molecular weight; NA: Not available</w:t>
      </w:r>
      <w:r>
        <w:rPr>
          <w:rFonts w:hint="eastAsia" w:ascii="Book Antiqua" w:hAnsi="Book Antiqua"/>
        </w:rPr>
        <w:t>.</w:t>
      </w:r>
      <w:r>
        <w:rPr>
          <w:rFonts w:ascii="Book Antiqua" w:hAnsi="Book Antiqua"/>
        </w:rPr>
        <w:t xml:space="preserv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微软雅黑"/>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Helvetica Neue">
    <w:altName w:val="Times New Roman"/>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00000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eastAsia="Book Antiqua" w:cs="Book Antiqua"/>
        <w:sz w:val="24"/>
        <w:szCs w:val="24"/>
      </w:rPr>
      <w:fldChar w:fldCharType="begin"/>
    </w:r>
    <w:r>
      <w:rPr>
        <w:rFonts w:ascii="Book Antiqua" w:hAnsi="Book Antiqua" w:eastAsia="Book Antiqua" w:cs="Book Antiqua"/>
        <w:sz w:val="24"/>
        <w:szCs w:val="24"/>
      </w:rPr>
      <w:instrText xml:space="preserve"> NUMPAGES </w:instrText>
    </w:r>
    <w:r>
      <w:rPr>
        <w:rFonts w:ascii="Book Antiqua" w:hAnsi="Book Antiqua" w:eastAsia="Book Antiqua" w:cs="Book Antiqua"/>
        <w:sz w:val="24"/>
        <w:szCs w:val="24"/>
      </w:rPr>
      <w:fldChar w:fldCharType="separate"/>
    </w:r>
    <w:r>
      <w:rPr>
        <w:rFonts w:ascii="Book Antiqua" w:hAnsi="Book Antiqua" w:eastAsia="Book Antiqua" w:cs="Book Antiqua"/>
        <w:sz w:val="24"/>
        <w:szCs w:val="24"/>
      </w:rPr>
      <w:t>28</w:t>
    </w:r>
    <w:r>
      <w:rPr>
        <w:rFonts w:ascii="Book Antiqua" w:hAnsi="Book Antiqua" w:eastAsia="Book Antiqua" w:cs="Book Antiqua"/>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2C"/>
    <w:rsid w:val="0003570D"/>
    <w:rsid w:val="000972A6"/>
    <w:rsid w:val="00191A2C"/>
    <w:rsid w:val="002A2605"/>
    <w:rsid w:val="003E30CF"/>
    <w:rsid w:val="0041011B"/>
    <w:rsid w:val="006D3EAE"/>
    <w:rsid w:val="006E43A6"/>
    <w:rsid w:val="00763445"/>
    <w:rsid w:val="00847EC2"/>
    <w:rsid w:val="008F278D"/>
    <w:rsid w:val="009929E3"/>
    <w:rsid w:val="00A81523"/>
    <w:rsid w:val="00AA5E4E"/>
    <w:rsid w:val="00AF77F6"/>
    <w:rsid w:val="00C33B26"/>
    <w:rsid w:val="00DC62C0"/>
    <w:rsid w:val="00E458E1"/>
    <w:rsid w:val="00F25B85"/>
    <w:rsid w:val="03E87203"/>
    <w:rsid w:val="1EAD4E0E"/>
    <w:rsid w:val="282D630F"/>
    <w:rsid w:val="2B8A6344"/>
    <w:rsid w:val="36CD2707"/>
    <w:rsid w:val="3C4D6CFE"/>
    <w:rsid w:val="5B155A91"/>
    <w:rsid w:val="67D77C40"/>
    <w:rsid w:val="782223A0"/>
    <w:rsid w:val="7F044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sz w:val="24"/>
      <w:szCs w:val="24"/>
      <w:u w:color="00000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style>
  <w:style w:type="paragraph" w:styleId="3">
    <w:name w:val="Balloon Text"/>
    <w:basedOn w:val="1"/>
    <w:link w:val="14"/>
    <w:semiHidden/>
    <w:unhideWhenUsed/>
    <w:qFormat/>
    <w:uiPriority w:val="99"/>
    <w:rPr>
      <w:sz w:val="18"/>
      <w:szCs w:val="18"/>
    </w:rPr>
  </w:style>
  <w:style w:type="paragraph" w:styleId="4">
    <w:name w:val="footer"/>
    <w:qFormat/>
    <w:uiPriority w:val="0"/>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Times New Roman" w:hAnsi="Times New Roman" w:eastAsia="Arial Unicode MS" w:cs="Arial Unicode MS"/>
      <w:color w:val="000000"/>
      <w:sz w:val="18"/>
      <w:szCs w:val="18"/>
      <w:u w:color="000000"/>
      <w:lang w:val="en-US" w:eastAsia="zh-CN" w:bidi="ar-SA"/>
    </w:rPr>
  </w:style>
  <w:style w:type="character" w:styleId="7">
    <w:name w:val="Hyperlink"/>
    <w:qFormat/>
    <w:uiPriority w:val="0"/>
    <w:rPr>
      <w:u w:val="single"/>
    </w:rPr>
  </w:style>
  <w:style w:type="character" w:styleId="8">
    <w:name w:val="annotation reference"/>
    <w:basedOn w:val="6"/>
    <w:semiHidden/>
    <w:unhideWhenUsed/>
    <w:qFormat/>
    <w:uiPriority w:val="99"/>
    <w:rPr>
      <w:sz w:val="21"/>
      <w:szCs w:val="21"/>
    </w:rPr>
  </w:style>
  <w:style w:type="table" w:customStyle="1" w:styleId="9">
    <w:name w:val="Table Normal"/>
    <w:qFormat/>
    <w:uiPriority w:val="0"/>
    <w:tblPr>
      <w:tblCellMar>
        <w:top w:w="0" w:type="dxa"/>
        <w:left w:w="0" w:type="dxa"/>
        <w:bottom w:w="0" w:type="dxa"/>
        <w:right w:w="0" w:type="dxa"/>
      </w:tblCellMar>
    </w:tblPr>
  </w:style>
  <w:style w:type="paragraph" w:customStyle="1" w:styleId="10">
    <w:name w:val="Header &amp; Footer"/>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1">
    <w:name w:val="Default"/>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en-US" w:eastAsia="zh-CN" w:bidi="ar-SA"/>
    </w:rPr>
  </w:style>
  <w:style w:type="character" w:customStyle="1" w:styleId="12">
    <w:name w:val="批注文字 字符"/>
    <w:basedOn w:val="6"/>
    <w:link w:val="2"/>
    <w:semiHidden/>
    <w:qFormat/>
    <w:uiPriority w:val="99"/>
    <w:rPr>
      <w:rFonts w:cs="Arial Unicode MS"/>
      <w:color w:val="000000"/>
      <w:sz w:val="24"/>
      <w:szCs w:val="24"/>
      <w:u w:color="000000"/>
    </w:rPr>
  </w:style>
  <w:style w:type="paragraph" w:customStyle="1" w:styleId="13">
    <w:name w:val="Revision"/>
    <w:hidden/>
    <w:semiHidden/>
    <w:qFormat/>
    <w:uiPriority w:val="99"/>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sz w:val="24"/>
      <w:szCs w:val="24"/>
      <w:u w:color="000000"/>
      <w:lang w:val="en-US" w:eastAsia="zh-CN" w:bidi="ar-SA"/>
    </w:rPr>
  </w:style>
  <w:style w:type="character" w:customStyle="1" w:styleId="14">
    <w:name w:val="批注框文本 字符"/>
    <w:basedOn w:val="6"/>
    <w:link w:val="3"/>
    <w:semiHidden/>
    <w:qFormat/>
    <w:uiPriority w:val="99"/>
    <w:rPr>
      <w:rFonts w:cs="Arial Unicode MS"/>
      <w:color w:val="00000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5058</Words>
  <Characters>28832</Characters>
  <Lines>240</Lines>
  <Paragraphs>67</Paragraphs>
  <TotalTime>18</TotalTime>
  <ScaleCrop>false</ScaleCrop>
  <LinksUpToDate>false</LinksUpToDate>
  <CharactersWithSpaces>33823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2022-05-12T06:19:00Z</dcterms:created>
  <dc:creator>Lian-Sheng Ma</dc:creator>
  <cp:lastModifiedBy>千</cp:lastModifiedBy>
  <dcterms:modified xsi:type="dcterms:W3CDTF">2022-07-06T03:17:53Z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5F01704B93BA4C6E910A86FDD5929313</vt:lpwstr>
  </property>
</Properties>
</file>