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D648" w14:textId="04DDEF85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Name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Journal: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color w:val="000000"/>
          <w:lang w:val="en-GB"/>
        </w:rPr>
        <w:t>World</w:t>
      </w:r>
      <w:r w:rsidR="00CD7E3D" w:rsidRPr="004B4F27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color w:val="000000"/>
          <w:lang w:val="en-GB"/>
        </w:rPr>
        <w:t>Journal</w:t>
      </w:r>
      <w:r w:rsidR="00CD7E3D" w:rsidRPr="004B4F27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color w:val="000000"/>
          <w:lang w:val="en-GB"/>
        </w:rPr>
        <w:t>Transplantation</w:t>
      </w:r>
    </w:p>
    <w:p w14:paraId="04315663" w14:textId="4A4BC9C7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NO: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66762</w:t>
      </w:r>
    </w:p>
    <w:p w14:paraId="73CBB95A" w14:textId="26660C9A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EDITORIAL</w:t>
      </w:r>
    </w:p>
    <w:p w14:paraId="6992A409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9ABCE4D" w14:textId="5EDF9EE6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Multiorgan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retrieval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preservation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thoracic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Maastricht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III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donors</w:t>
      </w:r>
    </w:p>
    <w:p w14:paraId="0F16426F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3FF435C" w14:textId="743895FB" w:rsidR="00A77B3E" w:rsidRPr="004B4F27" w:rsidRDefault="00CD7E3D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Casanova D</w:t>
      </w:r>
      <w:r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hAnsi="Book Antiqua" w:cs="Book Antiqua"/>
          <w:i/>
          <w:color w:val="000000"/>
          <w:lang w:val="en-GB" w:eastAsia="zh-CN"/>
        </w:rPr>
        <w:t>et al</w:t>
      </w:r>
      <w:r w:rsidRPr="004B4F27">
        <w:rPr>
          <w:rFonts w:ascii="Book Antiqua" w:hAnsi="Book Antiqua" w:cs="Book Antiqua"/>
          <w:color w:val="000000"/>
          <w:lang w:val="en-GB" w:eastAsia="zh-CN"/>
        </w:rPr>
        <w:t xml:space="preserve">. </w:t>
      </w:r>
      <w:r w:rsidR="00B8741A" w:rsidRPr="004B4F27">
        <w:rPr>
          <w:rFonts w:ascii="Book Antiqua" w:eastAsia="Book Antiqua" w:hAnsi="Book Antiqua" w:cs="Book Antiqua"/>
          <w:color w:val="000000"/>
          <w:lang w:val="en-GB"/>
        </w:rPr>
        <w:t>Multiorgan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8741A" w:rsidRPr="004B4F27">
        <w:rPr>
          <w:rFonts w:ascii="Book Antiqua" w:eastAsia="Book Antiqua" w:hAnsi="Book Antiqua" w:cs="Book Antiqua"/>
          <w:color w:val="000000"/>
          <w:lang w:val="en-GB"/>
        </w:rPr>
        <w:t>retrieval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8741A"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8741A" w:rsidRPr="004B4F27">
        <w:rPr>
          <w:rFonts w:ascii="Book Antiqua" w:eastAsia="Book Antiqua" w:hAnsi="Book Antiqua" w:cs="Book Antiqua"/>
          <w:color w:val="000000"/>
          <w:lang w:val="en-GB"/>
        </w:rPr>
        <w:t>preservation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8741A"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8741A"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8741A"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</w:p>
    <w:p w14:paraId="52C8129D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07EE3FB" w14:textId="60938A7B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Daniel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Casanova,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Federico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Castillo,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Eduardo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Miñambres</w:t>
      </w:r>
    </w:p>
    <w:p w14:paraId="7EFCF0F1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8B448CF" w14:textId="482439AB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Daniel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Casanova,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Federico Castillo, 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>Department</w:t>
      </w:r>
      <w:r w:rsidR="00CD7E3D" w:rsidRPr="004B4F27">
        <w:rPr>
          <w:rFonts w:ascii="Book Antiqua" w:hAnsi="Book Antiqua" w:cs="Book Antiqua"/>
          <w:bCs/>
          <w:color w:val="000000"/>
          <w:lang w:val="en-GB" w:eastAsia="zh-CN"/>
        </w:rPr>
        <w:t xml:space="preserve"> of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>H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ospital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Marqués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Valdecilla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Cantabria,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Santander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39008,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Cantabria,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Spain</w:t>
      </w:r>
    </w:p>
    <w:p w14:paraId="4759FF65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5453A1E" w14:textId="299A8A0D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Eduardo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Miñambres,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Intensive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Unit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Office,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Marques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15A2C" w:rsidRPr="004B4F27">
        <w:rPr>
          <w:rFonts w:ascii="Book Antiqua" w:eastAsia="Book Antiqua" w:hAnsi="Book Antiqua" w:cs="Book Antiqua"/>
          <w:color w:val="000000"/>
          <w:lang w:val="en-GB"/>
        </w:rPr>
        <w:t>Valdecilla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Cantabria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School,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Santander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39008,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Cantabria,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Spain</w:t>
      </w:r>
    </w:p>
    <w:p w14:paraId="4BD34439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33FF113" w14:textId="08831A9A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Author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contributions: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Casanova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5866" w:rsidRPr="004B4F27">
        <w:rPr>
          <w:rFonts w:ascii="Book Antiqua" w:eastAsia="Book Antiqua" w:hAnsi="Book Antiqua" w:cs="Book Antiqua"/>
          <w:color w:val="000000"/>
          <w:lang w:val="en-GB"/>
        </w:rPr>
        <w:t>D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designed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the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research,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analy</w:t>
      </w:r>
      <w:r w:rsidR="00507CE4">
        <w:rPr>
          <w:rFonts w:ascii="Book Antiqua" w:hAnsi="Book Antiqua" w:cs="Garamond"/>
          <w:lang w:val="en-GB"/>
        </w:rPr>
        <w:t>s</w:t>
      </w:r>
      <w:r w:rsidR="009253FD" w:rsidRPr="004B4F27">
        <w:rPr>
          <w:rFonts w:ascii="Book Antiqua" w:hAnsi="Book Antiqua" w:cs="Garamond"/>
          <w:lang w:val="en-GB"/>
        </w:rPr>
        <w:t>ed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the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data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and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wrote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the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paper</w:t>
      </w:r>
      <w:r w:rsidR="00065866" w:rsidRPr="004B4F27">
        <w:rPr>
          <w:rFonts w:ascii="Book Antiqua" w:hAnsi="Book Antiqua" w:cs="Garamond"/>
          <w:lang w:val="en-GB" w:eastAsia="zh-CN"/>
        </w:rPr>
        <w:t>;</w:t>
      </w:r>
      <w:r w:rsidR="00CD7E3D" w:rsidRPr="004B4F27">
        <w:rPr>
          <w:rFonts w:ascii="Book Antiqua" w:hAnsi="Book Antiqua" w:cs="Garamond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Castillo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5866" w:rsidRPr="004B4F27">
        <w:rPr>
          <w:rFonts w:ascii="Book Antiqua" w:hAnsi="Book Antiqua" w:cs="Book Antiqua"/>
          <w:color w:val="000000"/>
          <w:lang w:val="en-GB" w:eastAsia="zh-CN"/>
        </w:rPr>
        <w:t>F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performed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the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research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and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analy</w:t>
      </w:r>
      <w:r w:rsidR="00507CE4">
        <w:rPr>
          <w:rFonts w:ascii="Book Antiqua" w:hAnsi="Book Antiqua" w:cs="Garamond"/>
          <w:lang w:val="en-GB"/>
        </w:rPr>
        <w:t>s</w:t>
      </w:r>
      <w:r w:rsidR="009253FD" w:rsidRPr="004B4F27">
        <w:rPr>
          <w:rFonts w:ascii="Book Antiqua" w:hAnsi="Book Antiqua" w:cs="Garamond"/>
          <w:lang w:val="en-GB"/>
        </w:rPr>
        <w:t>ed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the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data</w:t>
      </w:r>
      <w:r w:rsidR="00065866" w:rsidRPr="004B4F27">
        <w:rPr>
          <w:rFonts w:ascii="Book Antiqua" w:hAnsi="Book Antiqua" w:cs="Garamond"/>
          <w:lang w:val="en-GB" w:eastAsia="zh-CN"/>
        </w:rPr>
        <w:t>;</w:t>
      </w:r>
      <w:r w:rsidR="00CD7E3D" w:rsidRPr="004B4F27">
        <w:rPr>
          <w:rFonts w:ascii="Book Antiqua" w:hAnsi="Book Antiqua" w:cs="Garamond"/>
          <w:lang w:val="en-GB" w:eastAsia="zh-CN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Miñambres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5866" w:rsidRPr="004B4F27">
        <w:rPr>
          <w:rFonts w:ascii="Book Antiqua" w:hAnsi="Book Antiqua" w:cs="Book Antiqua"/>
          <w:color w:val="000000"/>
          <w:lang w:val="en-GB" w:eastAsia="zh-CN"/>
        </w:rPr>
        <w:t>E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performed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the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research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and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analy</w:t>
      </w:r>
      <w:r w:rsidR="00507CE4">
        <w:rPr>
          <w:rFonts w:ascii="Book Antiqua" w:hAnsi="Book Antiqua" w:cs="Garamond"/>
          <w:lang w:val="en-GB"/>
        </w:rPr>
        <w:t>s</w:t>
      </w:r>
      <w:r w:rsidR="009253FD" w:rsidRPr="004B4F27">
        <w:rPr>
          <w:rFonts w:ascii="Book Antiqua" w:hAnsi="Book Antiqua" w:cs="Garamond"/>
          <w:lang w:val="en-GB"/>
        </w:rPr>
        <w:t>ed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the</w:t>
      </w:r>
      <w:r w:rsidR="00CD7E3D" w:rsidRPr="004B4F27">
        <w:rPr>
          <w:rFonts w:ascii="Book Antiqua" w:hAnsi="Book Antiqua" w:cs="Garamond"/>
          <w:lang w:val="en-GB"/>
        </w:rPr>
        <w:t xml:space="preserve"> </w:t>
      </w:r>
      <w:r w:rsidR="009253FD" w:rsidRPr="004B4F27">
        <w:rPr>
          <w:rFonts w:ascii="Book Antiqua" w:hAnsi="Book Antiqua" w:cs="Garamond"/>
          <w:lang w:val="en-GB"/>
        </w:rPr>
        <w:t>data</w:t>
      </w:r>
      <w:r w:rsidR="00D302C5" w:rsidRPr="004B4F27">
        <w:rPr>
          <w:rFonts w:ascii="Book Antiqua" w:hAnsi="Book Antiqua" w:cs="Garamond"/>
          <w:lang w:val="en-GB" w:eastAsia="zh-CN"/>
        </w:rPr>
        <w:t>;</w:t>
      </w:r>
      <w:r w:rsidR="00CD7E3D" w:rsidRPr="004B4F27">
        <w:rPr>
          <w:rFonts w:ascii="Book Antiqua" w:hAnsi="Book Antiqua" w:cs="Garamond"/>
          <w:lang w:val="en-GB" w:eastAsia="zh-CN"/>
        </w:rPr>
        <w:t xml:space="preserve"> </w:t>
      </w:r>
      <w:r w:rsidR="00CB7931">
        <w:rPr>
          <w:rFonts w:ascii="Book Antiqua" w:hAnsi="Book Antiqua" w:cs="Garamond"/>
          <w:lang w:val="en-GB" w:eastAsia="zh-CN"/>
        </w:rPr>
        <w:t>A</w:t>
      </w:r>
      <w:r w:rsidR="00D302C5" w:rsidRPr="004B4F27">
        <w:rPr>
          <w:rFonts w:ascii="Book Antiqua" w:hAnsi="Book Antiqua" w:cs="Garamond"/>
          <w:lang w:val="en-GB" w:eastAsia="zh-CN"/>
        </w:rPr>
        <w:t>ll</w:t>
      </w:r>
      <w:r w:rsidR="00CD7E3D" w:rsidRPr="004B4F27">
        <w:rPr>
          <w:rFonts w:ascii="Book Antiqua" w:hAnsi="Book Antiqua" w:cs="Garamond"/>
          <w:lang w:val="en-GB" w:eastAsia="zh-CN"/>
        </w:rPr>
        <w:t xml:space="preserve"> </w:t>
      </w:r>
      <w:r w:rsidR="00D302C5" w:rsidRPr="004B4F27">
        <w:rPr>
          <w:rFonts w:ascii="Book Antiqua" w:hAnsi="Book Antiqua" w:cs="Garamond"/>
          <w:lang w:val="en-GB" w:eastAsia="zh-CN"/>
        </w:rPr>
        <w:t>authors</w:t>
      </w:r>
      <w:r w:rsidR="00CD7E3D" w:rsidRPr="004B4F27">
        <w:rPr>
          <w:rFonts w:ascii="Book Antiqua" w:hAnsi="Book Antiqua" w:cs="Garamond"/>
          <w:lang w:val="en-GB" w:eastAsia="zh-CN"/>
        </w:rPr>
        <w:t xml:space="preserve"> </w:t>
      </w:r>
      <w:r w:rsidR="00D302C5" w:rsidRPr="004B4F27">
        <w:rPr>
          <w:rFonts w:ascii="Book Antiqua" w:hAnsi="Book Antiqua" w:cs="Garamond"/>
          <w:lang w:val="en-GB" w:eastAsia="zh-CN"/>
        </w:rPr>
        <w:t>wrote,</w:t>
      </w:r>
      <w:r w:rsidR="00CD7E3D" w:rsidRPr="004B4F27">
        <w:rPr>
          <w:rFonts w:ascii="Book Antiqua" w:hAnsi="Book Antiqua" w:cs="Garamond"/>
          <w:lang w:val="en-GB" w:eastAsia="zh-CN"/>
        </w:rPr>
        <w:t xml:space="preserve"> </w:t>
      </w:r>
      <w:r w:rsidR="00D302C5" w:rsidRPr="004B4F27">
        <w:rPr>
          <w:rFonts w:ascii="Book Antiqua" w:hAnsi="Book Antiqua" w:cs="Garamond"/>
          <w:lang w:val="en-GB" w:eastAsia="zh-CN"/>
        </w:rPr>
        <w:t>read</w:t>
      </w:r>
      <w:r w:rsidR="00CD7E3D" w:rsidRPr="004B4F27">
        <w:rPr>
          <w:rFonts w:ascii="Book Antiqua" w:hAnsi="Book Antiqua" w:cs="Garamond"/>
          <w:lang w:val="en-GB" w:eastAsia="zh-CN"/>
        </w:rPr>
        <w:t xml:space="preserve"> </w:t>
      </w:r>
      <w:r w:rsidR="00D302C5" w:rsidRPr="004B4F27">
        <w:rPr>
          <w:rFonts w:ascii="Book Antiqua" w:hAnsi="Book Antiqua" w:cs="Garamond"/>
          <w:lang w:val="en-GB" w:eastAsia="zh-CN"/>
        </w:rPr>
        <w:t>and</w:t>
      </w:r>
      <w:r w:rsidR="00CD7E3D" w:rsidRPr="004B4F27">
        <w:rPr>
          <w:rFonts w:ascii="Book Antiqua" w:hAnsi="Book Antiqua" w:cs="Garamond"/>
          <w:lang w:val="en-GB" w:eastAsia="zh-CN"/>
        </w:rPr>
        <w:t xml:space="preserve"> </w:t>
      </w:r>
      <w:r w:rsidR="00D302C5" w:rsidRPr="004B4F27">
        <w:rPr>
          <w:rFonts w:ascii="Book Antiqua" w:hAnsi="Book Antiqua" w:cs="Garamond"/>
          <w:lang w:val="en-GB" w:eastAsia="zh-CN"/>
        </w:rPr>
        <w:t>approved</w:t>
      </w:r>
      <w:r w:rsidR="00CD7E3D" w:rsidRPr="004B4F27">
        <w:rPr>
          <w:rFonts w:ascii="Book Antiqua" w:hAnsi="Book Antiqua" w:cs="Garamond"/>
          <w:lang w:val="en-GB" w:eastAsia="zh-CN"/>
        </w:rPr>
        <w:t xml:space="preserve"> </w:t>
      </w:r>
      <w:r w:rsidR="00D302C5" w:rsidRPr="004B4F27">
        <w:rPr>
          <w:rFonts w:ascii="Book Antiqua" w:hAnsi="Book Antiqua" w:cs="Garamond"/>
          <w:lang w:val="en-GB" w:eastAsia="zh-CN"/>
        </w:rPr>
        <w:t>the</w:t>
      </w:r>
      <w:r w:rsidR="00CD7E3D" w:rsidRPr="004B4F27">
        <w:rPr>
          <w:rFonts w:ascii="Book Antiqua" w:hAnsi="Book Antiqua" w:cs="Garamond"/>
          <w:lang w:val="en-GB" w:eastAsia="zh-CN"/>
        </w:rPr>
        <w:t xml:space="preserve"> </w:t>
      </w:r>
      <w:r w:rsidR="00D302C5" w:rsidRPr="004B4F27">
        <w:rPr>
          <w:rFonts w:ascii="Book Antiqua" w:hAnsi="Book Antiqua" w:cs="Garamond"/>
          <w:lang w:val="en-GB" w:eastAsia="zh-CN"/>
        </w:rPr>
        <w:t>final</w:t>
      </w:r>
      <w:r w:rsidR="00CD7E3D" w:rsidRPr="004B4F27">
        <w:rPr>
          <w:rFonts w:ascii="Book Antiqua" w:hAnsi="Book Antiqua" w:cs="Garamond"/>
          <w:lang w:val="en-GB" w:eastAsia="zh-CN"/>
        </w:rPr>
        <w:t xml:space="preserve"> </w:t>
      </w:r>
      <w:r w:rsidR="00D302C5" w:rsidRPr="004B4F27">
        <w:rPr>
          <w:rFonts w:ascii="Book Antiqua" w:hAnsi="Book Antiqua" w:cs="Garamond"/>
          <w:lang w:val="en-GB" w:eastAsia="zh-CN"/>
        </w:rPr>
        <w:t>manuscript.</w:t>
      </w:r>
    </w:p>
    <w:p w14:paraId="37102957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20EB45E" w14:textId="30462548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Corresponding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author: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Daniel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Casanova,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FRCS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(Hon),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MD,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PhD,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Full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Professor,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Professor,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Surgeon,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>Department</w:t>
      </w:r>
      <w:r w:rsidR="00CD7E3D" w:rsidRPr="004B4F27">
        <w:rPr>
          <w:rFonts w:ascii="Book Antiqua" w:hAnsi="Book Antiqua" w:cs="Book Antiqua"/>
          <w:bCs/>
          <w:color w:val="000000"/>
          <w:lang w:val="en-GB" w:eastAsia="zh-CN"/>
        </w:rPr>
        <w:t xml:space="preserve"> of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A703D" w:rsidRPr="004B4F27">
        <w:rPr>
          <w:rFonts w:ascii="Book Antiqua" w:hAnsi="Book Antiqua" w:cs="Book Antiqua"/>
          <w:color w:val="000000"/>
          <w:lang w:val="en-GB" w:eastAsia="zh-CN"/>
        </w:rPr>
        <w:t>H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ospital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Marqués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Valdecilla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Cantabria,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Chairman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Board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Europeo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Trasplante,</w:t>
      </w:r>
      <w:r w:rsidR="007A70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President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Section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UEMS,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Servicio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Cirugía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General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Digestiva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Universitario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Marqués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Valdecilla,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Santander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39008,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Cantabria,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Spain.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daniel.casanova@unican.es</w:t>
      </w:r>
    </w:p>
    <w:p w14:paraId="092A31C0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2C33DB0" w14:textId="4317A077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Received: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April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5,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0722567C" w14:textId="6C4A075A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Revised: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F8522C" w:rsidRPr="004B4F27">
        <w:rPr>
          <w:rFonts w:ascii="Book Antiqua" w:hAnsi="Book Antiqua" w:cs="Book Antiqua"/>
          <w:bCs/>
          <w:color w:val="000000"/>
          <w:lang w:val="en-GB" w:eastAsia="zh-CN"/>
        </w:rPr>
        <w:t>October</w:t>
      </w:r>
      <w:r w:rsidR="00CD7E3D" w:rsidRPr="004B4F27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="00F8522C" w:rsidRPr="004B4F27">
        <w:rPr>
          <w:rFonts w:ascii="Book Antiqua" w:hAnsi="Book Antiqua" w:cs="Book Antiqua"/>
          <w:bCs/>
          <w:color w:val="000000"/>
          <w:lang w:val="en-GB" w:eastAsia="zh-CN"/>
        </w:rPr>
        <w:t>10,</w:t>
      </w:r>
      <w:r w:rsidR="00CD7E3D" w:rsidRPr="004B4F27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="00F8522C" w:rsidRPr="004B4F27">
        <w:rPr>
          <w:rFonts w:ascii="Book Antiqua" w:hAnsi="Book Antiqua" w:cs="Book Antiqua"/>
          <w:bCs/>
          <w:color w:val="000000"/>
          <w:lang w:val="en-GB" w:eastAsia="zh-CN"/>
        </w:rPr>
        <w:t>2021</w:t>
      </w:r>
    </w:p>
    <w:p w14:paraId="03CFC69B" w14:textId="4625AEA0" w:rsidR="00A45012" w:rsidRPr="00F9506D" w:rsidRDefault="00B8741A" w:rsidP="0076675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-GB"/>
        </w:rPr>
      </w:pP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Accepted: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A45012" w:rsidRPr="00F9506D">
        <w:rPr>
          <w:rFonts w:ascii="Book Antiqua" w:eastAsia="Book Antiqua" w:hAnsi="Book Antiqua" w:cs="Book Antiqua"/>
          <w:color w:val="000000"/>
          <w:lang w:val="en-GB"/>
        </w:rPr>
        <w:t>April 26, 2022</w:t>
      </w:r>
    </w:p>
    <w:p w14:paraId="6A4BAFB6" w14:textId="434D4DFE" w:rsidR="00B0570E" w:rsidRPr="00B0570E" w:rsidRDefault="00B8741A" w:rsidP="00B0570E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Published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online: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</w:p>
    <w:p w14:paraId="3555BECD" w14:textId="1836CFDD" w:rsidR="00A77B3E" w:rsidRPr="00B0570E" w:rsidRDefault="00A77B3E" w:rsidP="00766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en-GB" w:eastAsia="zh-CN"/>
        </w:rPr>
      </w:pPr>
    </w:p>
    <w:p w14:paraId="6C17AA49" w14:textId="77777777" w:rsidR="007A703D" w:rsidRPr="004B4F27" w:rsidRDefault="007A703D" w:rsidP="00766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en-GB" w:eastAsia="zh-CN"/>
        </w:rPr>
      </w:pPr>
    </w:p>
    <w:p w14:paraId="5E0F0AD1" w14:textId="77777777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Abstract</w:t>
      </w:r>
    </w:p>
    <w:p w14:paraId="021ECC32" w14:textId="28A04902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editorial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describes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indications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technical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aspects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simultaneous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retrieval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Maastricht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III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well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preservation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such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until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implantation.</w:t>
      </w:r>
    </w:p>
    <w:p w14:paraId="728C4C97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B632011" w14:textId="29F802AB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Key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Words: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Multiorgan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retrieval;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Maastricht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III;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Preservación;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Transplantation</w:t>
      </w:r>
    </w:p>
    <w:p w14:paraId="74D1E33F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307D522" w14:textId="2817C745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Casanova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Castillo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Miñambres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Multiorgan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retrieval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preservation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Maastricht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III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202</w:t>
      </w:r>
      <w:r w:rsidR="007A703D" w:rsidRPr="004B4F27">
        <w:rPr>
          <w:rFonts w:ascii="Book Antiqua" w:hAnsi="Book Antiqua" w:cs="Book Antiqua"/>
          <w:color w:val="000000"/>
          <w:lang w:val="en-GB" w:eastAsia="zh-CN"/>
        </w:rPr>
        <w:t>2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press</w:t>
      </w:r>
    </w:p>
    <w:p w14:paraId="4E884CE5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DFADB56" w14:textId="12D067EF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Core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Tip: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Every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year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approximately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A703D" w:rsidRPr="004B4F27">
        <w:rPr>
          <w:rFonts w:ascii="Book Antiqua" w:eastAsia="Book Antiqua" w:hAnsi="Book Antiqua" w:cs="Book Antiqua"/>
          <w:color w:val="000000"/>
          <w:lang w:val="en-GB"/>
        </w:rPr>
        <w:t>100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000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worldwide,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together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good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success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improvement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immunosuppressive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medication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indications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continually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increasing.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imbalance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supply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demand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existing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insufficient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large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waiting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lists.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needs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integral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consideration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end-of-life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care.</w:t>
      </w:r>
    </w:p>
    <w:p w14:paraId="7BBD4C87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892FDE9" w14:textId="77777777" w:rsidR="00B0570E" w:rsidRDefault="00B0570E">
      <w:pPr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br w:type="page"/>
      </w:r>
    </w:p>
    <w:p w14:paraId="282DD287" w14:textId="74A0D186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INTRODUCTION</w:t>
      </w:r>
    </w:p>
    <w:p w14:paraId="00F245B6" w14:textId="6D74E74E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most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advances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modern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medicine,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making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longevity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life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recipients,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graft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were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unimaginable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just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few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decades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ago.</w:t>
      </w:r>
    </w:p>
    <w:p w14:paraId="6969013A" w14:textId="6A5ACA87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Every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year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approximately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A703D" w:rsidRPr="004B4F27">
        <w:rPr>
          <w:rFonts w:ascii="Book Antiqua" w:eastAsia="Book Antiqua" w:hAnsi="Book Antiqua" w:cs="Book Antiqua"/>
          <w:color w:val="000000"/>
          <w:lang w:val="en-GB"/>
        </w:rPr>
        <w:t>100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000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worldwide,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together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good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success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improvement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immunosuppressive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medication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indications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continually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increasing.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imbalance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supply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demand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existing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insufficient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large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waiting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lists.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needs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integral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consideration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end-of-life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care.</w:t>
      </w:r>
    </w:p>
    <w:p w14:paraId="2D266D5A" w14:textId="381883EC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Spain,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efficient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organization</w:t>
      </w:r>
      <w:r w:rsidR="004B4F27" w:rsidRPr="004B4F27">
        <w:rPr>
          <w:rFonts w:ascii="Book Antiqua" w:eastAsia="Book Antiqua" w:hAnsi="Book Antiqua" w:cs="Book Antiqua"/>
          <w:color w:val="000000"/>
          <w:lang w:val="en-GB"/>
        </w:rPr>
        <w:t xml:space="preserve"> 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public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trust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resources,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49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million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population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highest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world),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supply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still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meet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existing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needs.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need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optimize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tapping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new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sources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Currently,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most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type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brain-dead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some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centres,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living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programmes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developed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alternative,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primarily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kidney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liver.</w:t>
      </w:r>
    </w:p>
    <w:p w14:paraId="7CE81CCE" w14:textId="0148B74C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4B4F27"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witnessing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renewed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interest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procurement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cardiocirculatory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arrest.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type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previously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accepted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most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teams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prolonged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periods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ischaemia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cardiac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arrest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resulting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cell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hypoxia.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remembered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law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implemented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1968,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many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were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type,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cardiocirculatory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arrest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harvesting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organs.</w:t>
      </w:r>
    </w:p>
    <w:p w14:paraId="50F3C584" w14:textId="25B90F4A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1980s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groups,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7A703D" w:rsidRPr="004B4F27">
        <w:rPr>
          <w:rFonts w:ascii="Book Antiqua" w:eastAsia="Book Antiqua" w:hAnsi="Book Antiqua" w:cs="Book Antiqua"/>
          <w:color w:val="000000"/>
          <w:lang w:val="en-GB"/>
        </w:rPr>
        <w:t xml:space="preserve"> United States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northern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European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countries,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cardiocirculatory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arrest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programmes.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Kidneys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were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obtained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either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living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asystole,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who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English-language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terminology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Beating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Cardiac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more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recently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considerations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Determination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(DCDD).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lastRenderedPageBreak/>
        <w:t>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Determination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(cDCDD)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gradually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becoming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source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countries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active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programmes</w:t>
      </w:r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[1-4]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Spain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2010-2019,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cDCDD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accounted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28%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procurement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4B4F27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[</w:t>
      </w:r>
      <w:proofErr w:type="gramEnd"/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5]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20A6378" w14:textId="6B3A3729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1995,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symposium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cardiocirculatory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arrest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held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Maastricht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Netherlands),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fundamental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aspects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were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agreed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upon: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 xml:space="preserve"> (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 xml:space="preserve">)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Classification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cardiac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arrest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</w:t>
      </w:r>
      <w:r w:rsidR="00620DF7" w:rsidRPr="004B4F27">
        <w:rPr>
          <w:rFonts w:ascii="Book Antiqua" w:eastAsia="Book Antiqua" w:hAnsi="Book Antiqua" w:cs="Book Antiqua"/>
          <w:color w:val="000000"/>
          <w:lang w:val="en-GB"/>
        </w:rPr>
        <w:t>Non Heart Beating Donors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)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four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categories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1)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>; (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>)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determining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irreversible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cardiac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arrest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 xml:space="preserve">; and (3)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time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cardiac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arrest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start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harvesting.</w:t>
      </w:r>
    </w:p>
    <w:p w14:paraId="4396EBD4" w14:textId="787DA2BF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1998,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</w:t>
      </w:r>
      <w:r w:rsidR="00620DF7">
        <w:rPr>
          <w:rFonts w:ascii="Book Antiqua" w:eastAsia="Book Antiqua" w:hAnsi="Book Antiqua" w:cs="Book Antiqua"/>
          <w:color w:val="000000"/>
          <w:lang w:val="en-GB"/>
        </w:rPr>
        <w:t xml:space="preserve">nited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</w:t>
      </w:r>
      <w:r w:rsidR="00620DF7">
        <w:rPr>
          <w:rFonts w:ascii="Book Antiqua" w:eastAsia="Book Antiqua" w:hAnsi="Book Antiqua" w:cs="Book Antiqua"/>
          <w:color w:val="000000"/>
          <w:lang w:val="en-GB"/>
        </w:rPr>
        <w:t>tates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Institute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Medicine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published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consensus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irreversible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cardiac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arrest,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recommending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non-touch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time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5</w:t>
      </w:r>
      <w:r w:rsidR="00E822F6" w:rsidRPr="004B4F27">
        <w:rPr>
          <w:rFonts w:ascii="Book Antiqua" w:eastAsia="Book Antiqua" w:hAnsi="Book Antiqua" w:cs="Book Antiqua"/>
          <w:color w:val="000000"/>
          <w:lang w:val="en-GB"/>
        </w:rPr>
        <w:t xml:space="preserve"> min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became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time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most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[6]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“no-touch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period”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attempts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varies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widely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countries-protocols,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ranging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5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</w:t>
      </w:r>
      <w:r w:rsidR="00E822F6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E822F6" w:rsidRPr="004B4F27">
        <w:rPr>
          <w:rFonts w:ascii="Book Antiqua" w:eastAsia="Book Antiqua" w:hAnsi="Book Antiqua" w:cs="Book Antiqua"/>
          <w:color w:val="000000"/>
          <w:lang w:val="en-GB"/>
        </w:rPr>
        <w:t>min</w:t>
      </w:r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[</w:t>
      </w:r>
      <w:proofErr w:type="gramEnd"/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7]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53D5BAF" w14:textId="4220FDA2" w:rsidR="00A77B3E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type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III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asystole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apparent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contraindications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who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admission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pathology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subsequent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evolution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expected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cardiorespiratory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arrest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withdrawal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life-support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measures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time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compatible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selection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decided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jointly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family.</w:t>
      </w:r>
    </w:p>
    <w:p w14:paraId="2962CD76" w14:textId="77777777" w:rsidR="00AC1B69" w:rsidRDefault="00AC1B69" w:rsidP="00766751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val="en-GB" w:eastAsia="zh-CN"/>
        </w:rPr>
      </w:pPr>
    </w:p>
    <w:p w14:paraId="4E70F904" w14:textId="4D3C4BEC" w:rsidR="00AC1B69" w:rsidRPr="002063E3" w:rsidRDefault="002063E3" w:rsidP="002063E3">
      <w:pPr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  <w:lang w:val="en-GB"/>
        </w:rPr>
      </w:pPr>
      <w:r w:rsidRPr="002063E3">
        <w:rPr>
          <w:rFonts w:ascii="Book Antiqua" w:eastAsia="Book Antiqua" w:hAnsi="Book Antiqua" w:cs="Book Antiqua"/>
          <w:color w:val="000000"/>
          <w:u w:val="single"/>
          <w:lang w:val="en-GB"/>
        </w:rPr>
        <w:t>MAJORITY OF POTENTIAL MAASTRICHT TYPE III DONORS</w:t>
      </w:r>
    </w:p>
    <w:p w14:paraId="5DF32EDA" w14:textId="5B99107D" w:rsidR="00A77B3E" w:rsidRPr="004B4F27" w:rsidRDefault="00B8741A" w:rsidP="002063E3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majority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Maastricht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type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III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severe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pathology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catastrophic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functional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prognosis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whom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foreseeable.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respiratory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and/or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cardiological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pathologies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unfavourable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evolution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prognosis,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whom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measures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applied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proved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ineffective.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absolute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age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limit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asystole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but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tends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more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restrictive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general,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depends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transplanted,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but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limit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65-70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years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lastRenderedPageBreak/>
        <w:t>has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established,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limit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likely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re-evaluated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experience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gained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type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donation.</w:t>
      </w:r>
    </w:p>
    <w:p w14:paraId="555938B6" w14:textId="3D9E61F4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protocol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recommendations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time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elapsed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extubation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cardiorespiratory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arrest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exceed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time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debatable,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haemodynamic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respiratory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conditions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extubation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potentially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more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important.</w:t>
      </w:r>
    </w:p>
    <w:p w14:paraId="5AE17DF3" w14:textId="02EB8A4C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selection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differ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general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more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restrictive.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regard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family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consent,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consent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must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obtained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femoral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vessel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cannulation,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heparin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administration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well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administration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preservation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prior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mechanical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ventilation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withdrawn,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periods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hypotension,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hypoxia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anuria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recorded.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Sedation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administered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ensure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D38CF">
        <w:rPr>
          <w:rFonts w:ascii="Book Antiqua" w:eastAsia="Book Antiqua" w:hAnsi="Book Antiqua" w:cs="Book Antiqua"/>
          <w:color w:val="000000"/>
          <w:lang w:val="en-GB"/>
        </w:rPr>
        <w:t>’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comfort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well-being,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accordance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recommendations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critically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ill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life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relevant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bioethics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committee.</w:t>
      </w:r>
    </w:p>
    <w:p w14:paraId="6537B47D" w14:textId="2C596F2D" w:rsidR="00A77B3E" w:rsidRPr="004B4F27" w:rsidRDefault="00B8741A" w:rsidP="00943F9E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will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confirmed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doctor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responsible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Critical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admitted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who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process,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confirming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absence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curve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arterial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monitoring,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absence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breathing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absence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stimuli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5</w:t>
      </w:r>
      <w:r w:rsidR="00E822F6" w:rsidRPr="004B4F27">
        <w:rPr>
          <w:rFonts w:ascii="Book Antiqua" w:eastAsia="Book Antiqua" w:hAnsi="Book Antiqua" w:cs="Book Antiqua"/>
          <w:color w:val="000000"/>
          <w:lang w:val="en-GB"/>
        </w:rPr>
        <w:t xml:space="preserve"> min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  <w:r w:rsidR="00FD38C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International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recommendations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type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III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recently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published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help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define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clarify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most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debated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aspects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type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[8]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5140B9C" w14:textId="150F9792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many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hospitals,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multiorgan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harvesting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cDCDD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rapid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harvesting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technique.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years,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procurement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asystole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developed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Spain.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centres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now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pioneering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normothermic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regional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(NRP)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extracorporeal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oxygenation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(ECMO)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devices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strategy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situ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reperfusion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both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20DF7" w:rsidRPr="004B4F27">
        <w:rPr>
          <w:rFonts w:ascii="Book Antiqua" w:eastAsia="Book Antiqua" w:hAnsi="Book Antiqua" w:cs="Book Antiqua"/>
          <w:color w:val="000000"/>
          <w:lang w:val="en-GB"/>
        </w:rPr>
        <w:t xml:space="preserve">Donors after Cardiac </w:t>
      </w:r>
      <w:proofErr w:type="gramStart"/>
      <w:r w:rsidR="00620DF7"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[</w:t>
      </w:r>
      <w:proofErr w:type="gramEnd"/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9-11]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Simultaneous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harvesting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asystole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type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III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normothermic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ECMO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technology.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decrease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ameliorate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ischaemic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facilitate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graft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viability,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reducing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percentage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discarded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transplantation.</w:t>
      </w:r>
    </w:p>
    <w:p w14:paraId="71AAD755" w14:textId="4C109BC1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lastRenderedPageBreak/>
        <w:t>One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advantages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Spanish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legally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authorised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initiate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anticoagulation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manoeuvres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placement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cannulae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consent.</w:t>
      </w:r>
    </w:p>
    <w:p w14:paraId="4213DB87" w14:textId="6DC4FEEB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Functional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warm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ischaemia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time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grafts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defined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time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systolic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pressure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&lt;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60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mmHg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onset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(5</w:t>
      </w:r>
      <w:r w:rsidR="00E822F6" w:rsidRPr="004B4F27">
        <w:rPr>
          <w:rFonts w:ascii="Book Antiqua" w:eastAsia="Book Antiqua" w:hAnsi="Book Antiqua" w:cs="Book Antiqua"/>
          <w:color w:val="000000"/>
          <w:lang w:val="en-GB"/>
        </w:rPr>
        <w:t xml:space="preserve"> min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non-contact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included).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73F1F">
        <w:rPr>
          <w:rFonts w:ascii="Book Antiqua" w:eastAsia="Book Antiqua" w:hAnsi="Book Antiqua" w:cs="Book Antiqua"/>
          <w:color w:val="000000"/>
          <w:lang w:val="en-GB"/>
        </w:rPr>
        <w:t>f</w:t>
      </w:r>
      <w:r w:rsidR="00C73F1F" w:rsidRPr="004B4F27">
        <w:rPr>
          <w:rFonts w:ascii="Book Antiqua" w:eastAsia="Book Antiqua" w:hAnsi="Book Antiqua" w:cs="Book Antiqua"/>
          <w:color w:val="000000"/>
          <w:lang w:val="en-GB"/>
        </w:rPr>
        <w:t>unctional warm ischaemia time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upper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time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limit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30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liver,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60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lungs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kidneys.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73F1F">
        <w:rPr>
          <w:rFonts w:ascii="Book Antiqua" w:eastAsia="Book Antiqua" w:hAnsi="Book Antiqua" w:cs="Book Antiqua"/>
          <w:color w:val="000000"/>
          <w:lang w:val="en-GB"/>
        </w:rPr>
        <w:t>intensive care unit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heparin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administration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(300-500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units/kg)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cannulation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femoral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prior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withdrawal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life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support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therapies.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femoral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artery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femoral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vein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cannulated,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aortic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balloon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occlusion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placed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contralateral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groin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prevent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cerebral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coronary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goal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performing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maintain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pump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flow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</w:t>
      </w:r>
      <w:r w:rsidR="00C73F1F">
        <w:rPr>
          <w:rFonts w:ascii="Book Antiqua" w:eastAsia="Book Antiqua" w:hAnsi="Book Antiqua" w:cs="Book Antiqua"/>
          <w:color w:val="000000"/>
          <w:lang w:val="en-GB"/>
        </w:rPr>
        <w:t>.0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-2.4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L/min.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continuous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pressure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60-65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mmHg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73F1F" w:rsidRPr="004B4F27">
        <w:rPr>
          <w:rFonts w:ascii="Book Antiqua" w:eastAsia="Book Antiqua" w:hAnsi="Book Antiqua" w:cs="Book Antiqua"/>
          <w:color w:val="000000"/>
          <w:lang w:val="en-GB"/>
        </w:rPr>
        <w:t>and a temperature of 37</w:t>
      </w:r>
      <w:r w:rsidR="00C73F1F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C73F1F" w:rsidRPr="004B4F27">
        <w:rPr>
          <w:rFonts w:ascii="Book Antiqua" w:eastAsia="Book Antiqua" w:hAnsi="Book Antiqua" w:cs="Book Antiqua"/>
          <w:color w:val="000000"/>
          <w:lang w:val="en-GB"/>
        </w:rPr>
        <w:t xml:space="preserve">°C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maintained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femoral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arterial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cannula;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bicarbonate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administered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initiated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maintain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7.35-7.45,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haematocrit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&gt;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25%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targeted.</w:t>
      </w:r>
    </w:p>
    <w:p w14:paraId="0ED9A96E" w14:textId="1FDAF9B9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Whilst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appears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ideal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method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grafts,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lungs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removed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asystole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rapid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extraction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technique,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lowering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lung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temperature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topical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cooling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quickly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possible.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method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described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E822F6" w:rsidRPr="004B4F27">
        <w:rPr>
          <w:rFonts w:ascii="Book Antiqua" w:eastAsia="Book Antiqua" w:hAnsi="Book Antiqua" w:cs="Book Antiqua"/>
          <w:color w:val="000000"/>
          <w:lang w:val="en-GB"/>
        </w:rPr>
        <w:t xml:space="preserve"> United Kingdom</w:t>
      </w:r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[12]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Our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variant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technique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premortem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interventions,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risk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trans-diaphragmatic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cooling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4B4F27">
        <w:rPr>
          <w:rFonts w:ascii="Book Antiqua" w:eastAsia="Book Antiqua" w:hAnsi="Book Antiqua" w:cs="Book Antiqua"/>
          <w:color w:val="000000"/>
          <w:lang w:val="en-GB"/>
        </w:rPr>
        <w:t>minimized</w:t>
      </w:r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[</w:t>
      </w:r>
      <w:proofErr w:type="gramEnd"/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13]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still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some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reluctance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practitioners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combine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lung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cooling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rapid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retrieval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technique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grafts.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method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increases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complexity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procurement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injure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grafts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double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temperature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(low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temperature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affecting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normothermia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affecting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lungs)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inadequate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pressure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pump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thorax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removal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cardiopulmonary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block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vena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cava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clamping.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technical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point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view,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determined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initiated,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rapid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sternotomy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same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time,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reintubated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ventilated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5</w:t>
      </w:r>
      <w:r w:rsidR="00E822F6" w:rsidRPr="004B4F27">
        <w:rPr>
          <w:rFonts w:ascii="Book Antiqua" w:eastAsia="Book Antiqua" w:hAnsi="Book Antiqua" w:cs="Book Antiqua"/>
          <w:color w:val="000000"/>
          <w:lang w:val="en-GB"/>
        </w:rPr>
        <w:t xml:space="preserve"> min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73F1F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100%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oxygen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end-expiratory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pressure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5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cm</w:t>
      </w:r>
      <w:r w:rsidR="00314B36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H2O.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pulmonary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artery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cannulated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cold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lavage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Perfadex</w:t>
      </w:r>
      <w:r w:rsidRPr="004B4F27">
        <w:rPr>
          <w:rFonts w:ascii="Book Antiqua" w:eastAsia="Book Antiqua" w:hAnsi="Book Antiqua" w:cs="Book Antiqua"/>
          <w:color w:val="000000"/>
          <w:vertAlign w:val="superscript"/>
          <w:lang w:val="en-GB"/>
        </w:rPr>
        <w:t>®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(50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mL/kg).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litre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saline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4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°C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lastRenderedPageBreak/>
        <w:t>administered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both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hemithoraces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topical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cooling,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superior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vena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cava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ligated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separate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compartments.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lungs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preserved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Perfadex</w:t>
      </w:r>
      <w:r w:rsidRPr="004B4F27">
        <w:rPr>
          <w:rFonts w:ascii="Book Antiqua" w:eastAsia="Book Antiqua" w:hAnsi="Book Antiqua" w:cs="Book Antiqua"/>
          <w:color w:val="000000"/>
          <w:vertAlign w:val="superscript"/>
          <w:lang w:val="en-GB"/>
        </w:rPr>
        <w:t>®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solution,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lung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extraction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same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technique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73F1F" w:rsidRPr="004B4F27">
        <w:rPr>
          <w:rFonts w:ascii="Book Antiqua" w:eastAsia="Book Antiqua" w:hAnsi="Book Antiqua" w:cs="Book Antiqua"/>
          <w:color w:val="000000"/>
          <w:lang w:val="en-GB"/>
        </w:rPr>
        <w:t xml:space="preserve">Donors after Cardiac Death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donors.</w:t>
      </w:r>
    </w:p>
    <w:p w14:paraId="4F459D34" w14:textId="0B177141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avoid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low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flow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pump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absence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venous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return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thorax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head,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</w:t>
      </w:r>
      <w:r w:rsidR="00C73F1F">
        <w:rPr>
          <w:rFonts w:ascii="Book Antiqua" w:eastAsia="Book Antiqua" w:hAnsi="Book Antiqua" w:cs="Book Antiqua"/>
          <w:color w:val="000000"/>
          <w:lang w:val="en-GB"/>
        </w:rPr>
        <w:t>.0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-1.5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saline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administered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cDCD</w:t>
      </w:r>
      <w:r w:rsidR="00C73F1F">
        <w:rPr>
          <w:rFonts w:ascii="Book Antiqua" w:eastAsia="Book Antiqua" w:hAnsi="Book Antiqua" w:cs="Book Antiqua"/>
          <w:color w:val="000000"/>
          <w:lang w:val="en-GB"/>
        </w:rPr>
        <w:t>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just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ligation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vena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cava.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pulmonary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artery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preservation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solution,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laparotomy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appearance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grafts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placing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cannula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inferior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mesenteric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vein.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07CE4">
        <w:rPr>
          <w:rFonts w:ascii="Book Antiqua" w:eastAsia="Book Antiqua" w:hAnsi="Book Antiqua" w:cs="Book Antiqua"/>
          <w:color w:val="000000"/>
          <w:lang w:val="en-GB"/>
        </w:rPr>
        <w:t>2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ECMO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device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stopped,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rapid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cold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performed.</w:t>
      </w:r>
    </w:p>
    <w:p w14:paraId="47CB2E05" w14:textId="51308F96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retrieval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kidneys,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conventional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same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technique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haemodynamic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stabilisation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completely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sequence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dissection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extraction.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preservation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solutions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kidneys,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obtained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optimal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conditions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implantation.</w:t>
      </w:r>
    </w:p>
    <w:p w14:paraId="58B14983" w14:textId="011D4FF9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samples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ECMO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device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immediately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starting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least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every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30</w:t>
      </w:r>
      <w:r w:rsidR="00E822F6" w:rsidRPr="004B4F27">
        <w:rPr>
          <w:rFonts w:ascii="Book Antiqua" w:eastAsia="Book Antiqua" w:hAnsi="Book Antiqua" w:cs="Book Antiqua"/>
          <w:color w:val="000000"/>
          <w:lang w:val="en-GB"/>
        </w:rPr>
        <w:t xml:space="preserve"> min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Biochemistry,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lactate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haematocrit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analysed.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alanine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transaminase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aspartate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transaminase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exceed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four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times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upper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limit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ruled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out,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even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macroscopic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appearance.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Lactate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also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monitored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NRP.</w:t>
      </w:r>
    </w:p>
    <w:p w14:paraId="245DFC4F" w14:textId="1D609339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Ethical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questions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raised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premortem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interventions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cDCD</w:t>
      </w:r>
      <w:r w:rsidR="00507CE4">
        <w:rPr>
          <w:rFonts w:ascii="Book Antiqua" w:eastAsia="Book Antiqua" w:hAnsi="Book Antiqua" w:cs="Book Antiqua"/>
          <w:color w:val="000000"/>
          <w:lang w:val="en-GB"/>
        </w:rPr>
        <w:t>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such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possibility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restoring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cerebral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circulation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declaration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aortic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balloon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occlusion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technique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fails.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methodology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avoid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restoration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cerebral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circulation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determination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when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antemortem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cannulation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recently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described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validated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multicentr</w:t>
      </w:r>
      <w:r w:rsidR="00507CE4">
        <w:rPr>
          <w:rFonts w:ascii="Book Antiqua" w:eastAsia="Book Antiqua" w:hAnsi="Book Antiqua" w:cs="Book Antiqua"/>
          <w:color w:val="000000"/>
          <w:lang w:val="en-GB"/>
        </w:rPr>
        <w:t>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4B4F27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[</w:t>
      </w:r>
      <w:proofErr w:type="gramEnd"/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14]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  <w:r w:rsidR="00E822F6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avoids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aforementioned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ethical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concern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guaranteeing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absence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cerebral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resuscitation.</w:t>
      </w:r>
    </w:p>
    <w:p w14:paraId="44A534BF" w14:textId="6E97033A" w:rsidR="00A77B3E" w:rsidRPr="004B4F27" w:rsidRDefault="00B8741A" w:rsidP="00766751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last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07CE4">
        <w:rPr>
          <w:rFonts w:ascii="Book Antiqua" w:eastAsia="Book Antiqua" w:hAnsi="Book Antiqua" w:cs="Book Antiqua"/>
          <w:color w:val="000000"/>
          <w:lang w:val="en-GB"/>
        </w:rPr>
        <w:t>5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years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thoraco-abdominal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(TA-NRP)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made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feasible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practitioners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function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procurement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negative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impact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preservation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lastRenderedPageBreak/>
        <w:t>combined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retrieval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lungs,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grafts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TA-NRP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successfully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our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centr</w:t>
      </w:r>
      <w:r w:rsidR="00507CE4">
        <w:rPr>
          <w:rFonts w:ascii="Book Antiqua" w:eastAsia="Book Antiqua" w:hAnsi="Book Antiqua" w:cs="Book Antiqua"/>
          <w:color w:val="000000"/>
          <w:lang w:val="en-GB"/>
        </w:rPr>
        <w:t>e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TA-NRP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cDCDD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conjunction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cold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storage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retrieval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eliminate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need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ex</w:t>
      </w:r>
      <w:r w:rsidR="00507CE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situ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machine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devices,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making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cDCDD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economically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4B4F27">
        <w:rPr>
          <w:rFonts w:ascii="Book Antiqua" w:eastAsia="Book Antiqua" w:hAnsi="Book Antiqua" w:cs="Book Antiqua"/>
          <w:color w:val="000000"/>
          <w:lang w:val="en-GB"/>
        </w:rPr>
        <w:t>countries</w:t>
      </w:r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[</w:t>
      </w:r>
      <w:proofErr w:type="gramEnd"/>
      <w:r w:rsidR="00E822F6" w:rsidRPr="004B4F27">
        <w:rPr>
          <w:rFonts w:ascii="Book Antiqua" w:hAnsi="Book Antiqua" w:cs="Book Antiqua"/>
          <w:color w:val="000000"/>
          <w:vertAlign w:val="superscript"/>
          <w:lang w:val="en-GB" w:eastAsia="zh-CN"/>
        </w:rPr>
        <w:t>15-17]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99DF299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B70A535" w14:textId="77777777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CONCLUSION</w:t>
      </w:r>
    </w:p>
    <w:p w14:paraId="3B7EC2FD" w14:textId="3263BE88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summary,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TA-NRP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heart,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lung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grafts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(rapid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recovery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lungs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</w:t>
      </w:r>
      <w:r w:rsidR="00507CE4">
        <w:rPr>
          <w:rFonts w:ascii="Book Antiqua" w:eastAsia="Book Antiqua" w:hAnsi="Book Antiqua" w:cs="Book Antiqua"/>
          <w:color w:val="000000"/>
          <w:lang w:val="en-GB"/>
        </w:rPr>
        <w:t>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grafts)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offers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remarkable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recovery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safe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(heart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lungs).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Furthermore,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grafts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benefit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NRP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preservation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procedure.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promising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initial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experience,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confirm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our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procurement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procedure.</w:t>
      </w:r>
    </w:p>
    <w:p w14:paraId="090B2A7F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C6A01A9" w14:textId="77777777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REFERENCES</w:t>
      </w:r>
    </w:p>
    <w:p w14:paraId="31E94FFD" w14:textId="73E1CAFF" w:rsidR="00CA5CF8" w:rsidRPr="004B4F27" w:rsidRDefault="00CA5CF8" w:rsidP="00766751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1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Kootstra</w:t>
      </w:r>
      <w:proofErr w:type="spellEnd"/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G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Daemen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JH,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Oomen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AP.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Categories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non-heart-beating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Proc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1995;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27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2893-2894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7482956]</w:t>
      </w:r>
    </w:p>
    <w:p w14:paraId="5EAE7CBE" w14:textId="29AB445D" w:rsidR="00CA5CF8" w:rsidRPr="004B4F27" w:rsidRDefault="00CA5CF8" w:rsidP="00766751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2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Heineman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E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Daemen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JH,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Kootstra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Non-heart-beating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methods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techniques.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Proc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1995;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27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2895-</w:t>
      </w:r>
      <w:r w:rsidRPr="004B4F27">
        <w:rPr>
          <w:rFonts w:ascii="Book Antiqua" w:hAnsi="Book Antiqua" w:cs="Book Antiqua"/>
          <w:color w:val="000000"/>
          <w:lang w:val="en-GB" w:eastAsia="zh-CN"/>
        </w:rPr>
        <w:t>289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6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7482957]</w:t>
      </w:r>
    </w:p>
    <w:p w14:paraId="49BCA0E0" w14:textId="6403DFF8" w:rsidR="00CA5CF8" w:rsidRPr="004B4F27" w:rsidRDefault="00CA5CF8" w:rsidP="00766751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3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Kootstra</w:t>
      </w:r>
      <w:proofErr w:type="spellEnd"/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G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.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asystolic</w:t>
      </w:r>
      <w:proofErr w:type="spellEnd"/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or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non-</w:t>
      </w:r>
      <w:proofErr w:type="spellStart"/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heartbeating</w:t>
      </w:r>
      <w:proofErr w:type="spellEnd"/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donor.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i/>
          <w:color w:val="000000"/>
          <w:lang w:val="en-GB"/>
        </w:rPr>
        <w:t>Transplantation</w:t>
      </w:r>
      <w:r w:rsidR="00CD7E3D" w:rsidRPr="004B4F27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1997</w:t>
      </w:r>
      <w:r w:rsidRPr="004B4F27">
        <w:rPr>
          <w:rFonts w:ascii="Book Antiqua" w:hAnsi="Book Antiqua" w:cs="Book Antiqua"/>
          <w:bCs/>
          <w:color w:val="000000"/>
          <w:lang w:val="en-GB" w:eastAsia="zh-CN"/>
        </w:rPr>
        <w:t>;</w:t>
      </w:r>
      <w:r w:rsidR="00CD7E3D" w:rsidRPr="004B4F27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63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:</w:t>
      </w:r>
      <w:r w:rsidR="00CD7E3D" w:rsidRPr="004B4F27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917-</w:t>
      </w:r>
      <w:r w:rsidRPr="004B4F27">
        <w:rPr>
          <w:rFonts w:ascii="Book Antiqua" w:hAnsi="Book Antiqua" w:cs="Book Antiqua"/>
          <w:bCs/>
          <w:color w:val="000000"/>
          <w:lang w:val="en-GB" w:eastAsia="zh-CN"/>
        </w:rPr>
        <w:t>9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21</w:t>
      </w:r>
      <w:r w:rsidR="00CD7E3D" w:rsidRPr="004B4F27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Pr="004B4F27">
        <w:rPr>
          <w:rFonts w:ascii="Book Antiqua" w:hAnsi="Book Antiqua" w:cs="Book Antiqua"/>
          <w:bCs/>
          <w:color w:val="000000"/>
          <w:lang w:val="en-GB" w:eastAsia="zh-CN"/>
        </w:rPr>
        <w:t>[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PMID: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9112339</w:t>
      </w:r>
      <w:r w:rsidR="00CD7E3D" w:rsidRPr="004B4F27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Pr="004B4F27">
        <w:rPr>
          <w:rFonts w:ascii="Book Antiqua" w:hAnsi="Book Antiqua" w:cs="Book Antiqua"/>
          <w:bCs/>
          <w:color w:val="000000"/>
          <w:lang w:val="en-GB" w:eastAsia="zh-CN"/>
        </w:rPr>
        <w:t>DOI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: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10.1097/00007890-199704150-00001</w:t>
      </w:r>
      <w:r w:rsidRPr="004B4F27">
        <w:rPr>
          <w:rFonts w:ascii="Book Antiqua" w:hAnsi="Book Antiqua" w:cs="Book Antiqua"/>
          <w:bCs/>
          <w:color w:val="000000"/>
          <w:lang w:val="en-GB" w:eastAsia="zh-CN"/>
        </w:rPr>
        <w:t>]</w:t>
      </w:r>
    </w:p>
    <w:p w14:paraId="64749D92" w14:textId="31FCEC3E" w:rsidR="00CA5CF8" w:rsidRPr="004B4F27" w:rsidRDefault="00CA5CF8" w:rsidP="00766751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4B4F27">
        <w:rPr>
          <w:rFonts w:ascii="Book Antiqua" w:hAnsi="Book Antiqua" w:cs="Book Antiqua"/>
          <w:color w:val="000000"/>
          <w:lang w:val="en-GB" w:eastAsia="zh-CN"/>
        </w:rPr>
        <w:t>4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Wijnen</w:t>
      </w:r>
      <w:proofErr w:type="spellEnd"/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RM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Booster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MH,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Stubenitsky</w:t>
      </w:r>
      <w:proofErr w:type="spellEnd"/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BM,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de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Boer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J,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Heineman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E,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Kootstra</w:t>
      </w:r>
      <w:proofErr w:type="spellEnd"/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G.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Outcome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transplantation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non-heart-beating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donor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kidneys.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i/>
          <w:color w:val="000000"/>
          <w:lang w:val="en-GB"/>
        </w:rPr>
        <w:t>Lancet</w:t>
      </w:r>
      <w:r w:rsidR="00CD7E3D" w:rsidRPr="004B4F27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1995</w:t>
      </w:r>
      <w:r w:rsidRPr="004B4F27">
        <w:rPr>
          <w:rFonts w:ascii="Book Antiqua" w:hAnsi="Book Antiqua" w:cs="Book Antiqua"/>
          <w:bCs/>
          <w:color w:val="000000"/>
          <w:lang w:val="en-GB" w:eastAsia="zh-CN"/>
        </w:rPr>
        <w:t>;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345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:</w:t>
      </w:r>
      <w:r w:rsidR="00CD7E3D" w:rsidRPr="004B4F27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1067-</w:t>
      </w:r>
      <w:r w:rsidRPr="004B4F27">
        <w:rPr>
          <w:rFonts w:ascii="Book Antiqua" w:hAnsi="Book Antiqua" w:cs="Book Antiqua"/>
          <w:bCs/>
          <w:color w:val="000000"/>
          <w:lang w:val="en-GB" w:eastAsia="zh-CN"/>
        </w:rPr>
        <w:t>10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70</w:t>
      </w:r>
      <w:r w:rsidR="00CD7E3D" w:rsidRPr="004B4F27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Pr="004B4F27">
        <w:rPr>
          <w:rFonts w:ascii="Book Antiqua" w:hAnsi="Book Antiqua" w:cs="Book Antiqua"/>
          <w:bCs/>
          <w:color w:val="000000"/>
          <w:lang w:val="en-GB" w:eastAsia="zh-CN"/>
        </w:rPr>
        <w:t>[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PMID:</w:t>
      </w:r>
      <w:r w:rsidR="00CD7E3D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Cs/>
          <w:color w:val="000000"/>
          <w:lang w:val="en-GB"/>
        </w:rPr>
        <w:t>7715337</w:t>
      </w:r>
      <w:r w:rsidRPr="004B4F27">
        <w:rPr>
          <w:rFonts w:ascii="Book Antiqua" w:hAnsi="Book Antiqua" w:cs="Book Antiqua"/>
          <w:bCs/>
          <w:color w:val="000000"/>
          <w:lang w:val="en-GB" w:eastAsia="zh-CN"/>
        </w:rPr>
        <w:t>]</w:t>
      </w:r>
    </w:p>
    <w:p w14:paraId="5394AD5A" w14:textId="3FF12496" w:rsidR="00CA5CF8" w:rsidRPr="004B4F27" w:rsidRDefault="00CA5CF8" w:rsidP="00766751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4B4F27">
        <w:rPr>
          <w:rFonts w:ascii="Book Antiqua" w:hAnsi="Book Antiqua" w:cs="Book Antiqua"/>
          <w:color w:val="000000"/>
          <w:lang w:val="en-GB" w:eastAsia="zh-CN"/>
        </w:rPr>
        <w:t>5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Andreeva</w:t>
      </w:r>
      <w:proofErr w:type="spellEnd"/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VA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Egnell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Stoś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K,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Przygoda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Talati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Z,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Touvier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Galan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Hercberg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Pettigrew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Julia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Polish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Consumers'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Understanding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Front-of-Package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Food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Labels: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Randomized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Experiment.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color w:val="000000"/>
          <w:lang w:val="en-GB"/>
        </w:rPr>
        <w:t>Foods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2022;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11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: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134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hAnsi="Book Antiqua" w:cs="Book Antiqua"/>
          <w:color w:val="000000"/>
          <w:lang w:val="en-GB" w:eastAsia="zh-CN"/>
        </w:rPr>
        <w:t>[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PMID: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35010260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hAnsi="Book Antiqua" w:cs="Book Antiqua"/>
          <w:color w:val="000000"/>
          <w:lang w:val="en-GB" w:eastAsia="zh-CN"/>
        </w:rPr>
        <w:t>DOI: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10.3390/foods11010134</w:t>
      </w:r>
      <w:r w:rsidRPr="004B4F27">
        <w:rPr>
          <w:rFonts w:ascii="Book Antiqua" w:hAnsi="Book Antiqua" w:cs="Book Antiqua"/>
          <w:color w:val="000000"/>
          <w:lang w:val="en-GB" w:eastAsia="zh-CN"/>
        </w:rPr>
        <w:t>]</w:t>
      </w:r>
    </w:p>
    <w:p w14:paraId="09CB3502" w14:textId="1DF7F5AA" w:rsidR="00CA5CF8" w:rsidRPr="004B4F27" w:rsidRDefault="00CA5CF8" w:rsidP="00766751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4B4F27">
        <w:rPr>
          <w:rFonts w:ascii="Book Antiqua" w:hAnsi="Book Antiqua" w:cs="Book Antiqua"/>
          <w:color w:val="000000"/>
          <w:lang w:val="en-GB" w:eastAsia="zh-CN"/>
        </w:rPr>
        <w:t>6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Institute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Medicine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(US)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Committee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on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Non-Heart-Beating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Transplantation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II: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Scientific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Ethical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Basis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Practice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Protocols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Non-Heart-Beating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lastRenderedPageBreak/>
        <w:t>Transplantation: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Practice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Protocols.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Washington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(DC):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National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Academies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(US)</w:t>
      </w:r>
      <w:r w:rsidR="00D973CD" w:rsidRPr="004B4F27">
        <w:rPr>
          <w:rFonts w:ascii="Book Antiqua" w:hAnsi="Book Antiqua" w:cs="Book Antiqua"/>
          <w:color w:val="000000"/>
          <w:lang w:val="en-GB" w:eastAsia="zh-CN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2000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D973CD" w:rsidRPr="004B4F27">
        <w:rPr>
          <w:rFonts w:ascii="Book Antiqua" w:hAnsi="Book Antiqua" w:cs="Book Antiqua"/>
          <w:color w:val="000000"/>
          <w:lang w:val="en-GB" w:eastAsia="zh-CN"/>
        </w:rPr>
        <w:t>[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PMID: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25077239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D973CD" w:rsidRPr="004B4F27">
        <w:rPr>
          <w:rFonts w:ascii="Book Antiqua" w:hAnsi="Book Antiqua" w:cs="Book Antiqua"/>
          <w:color w:val="000000"/>
          <w:lang w:val="en-GB" w:eastAsia="zh-CN"/>
        </w:rPr>
        <w:t>DOI: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D973CD" w:rsidRPr="004B4F27">
        <w:rPr>
          <w:rFonts w:ascii="Book Antiqua" w:hAnsi="Book Antiqua" w:cs="Book Antiqua"/>
          <w:color w:val="000000"/>
          <w:lang w:val="en-GB" w:eastAsia="zh-CN"/>
        </w:rPr>
        <w:t>10.17226/9700]</w:t>
      </w:r>
    </w:p>
    <w:p w14:paraId="53BD4300" w14:textId="0949F7CF" w:rsidR="00CA5CF8" w:rsidRPr="004B4F27" w:rsidRDefault="00EA3420" w:rsidP="00766751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4B4F27">
        <w:rPr>
          <w:rFonts w:ascii="Book Antiqua" w:hAnsi="Book Antiqua" w:cs="Book Antiqua"/>
          <w:color w:val="000000"/>
          <w:lang w:val="en-GB" w:eastAsia="zh-CN"/>
        </w:rPr>
        <w:t>7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Grunfeld</w:t>
      </w:r>
      <w:r w:rsidR="00CD7E3D" w:rsidRPr="004B4F27">
        <w:rPr>
          <w:rFonts w:ascii="Book Antiqua" w:hAnsi="Book Antiqua" w:cs="Book Antiqua"/>
          <w:b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Eva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Implementing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survivorship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planning: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workshop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summary.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Institute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Medicine,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National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Academies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Press,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Washington,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DC,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2007.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color w:val="000000"/>
          <w:lang w:val="en-GB"/>
        </w:rPr>
        <w:t>Psycho-oncology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5C4F8E" w:rsidRPr="004B4F27">
        <w:rPr>
          <w:rFonts w:ascii="Book Antiqua" w:hAnsi="Book Antiqua" w:cs="Book Antiqua"/>
          <w:color w:val="000000"/>
          <w:lang w:val="en-GB" w:eastAsia="zh-CN"/>
        </w:rPr>
        <w:t>2007;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16</w:t>
      </w:r>
      <w:r w:rsidR="005C4F8E" w:rsidRPr="004B4F27">
        <w:rPr>
          <w:rFonts w:ascii="Book Antiqua" w:hAnsi="Book Antiqua" w:cs="Book Antiqua"/>
          <w:color w:val="000000"/>
          <w:lang w:val="en-GB" w:eastAsia="zh-CN"/>
        </w:rPr>
        <w:t>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1054-1055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5C4F8E" w:rsidRPr="004B4F27">
        <w:rPr>
          <w:rFonts w:ascii="Book Antiqua" w:hAnsi="Book Antiqua" w:cs="Book Antiqua"/>
          <w:color w:val="000000"/>
          <w:lang w:val="en-GB" w:eastAsia="zh-CN"/>
        </w:rPr>
        <w:t>[DOI: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10.1002/pon.1237</w:t>
      </w:r>
      <w:r w:rsidR="005C4F8E" w:rsidRPr="004B4F27">
        <w:rPr>
          <w:rFonts w:ascii="Book Antiqua" w:hAnsi="Book Antiqua" w:cs="Book Antiqua"/>
          <w:color w:val="000000"/>
          <w:lang w:val="en-GB" w:eastAsia="zh-CN"/>
        </w:rPr>
        <w:t>]</w:t>
      </w:r>
    </w:p>
    <w:p w14:paraId="1EC03676" w14:textId="64437CC3" w:rsidR="00CA5CF8" w:rsidRPr="004B4F27" w:rsidRDefault="005C4F8E" w:rsidP="00766751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4B4F27">
        <w:rPr>
          <w:rFonts w:ascii="Book Antiqua" w:hAnsi="Book Antiqua" w:cs="Book Antiqua"/>
          <w:color w:val="000000"/>
          <w:lang w:val="en-GB" w:eastAsia="zh-CN"/>
        </w:rPr>
        <w:t>8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Ortega-</w:t>
      </w:r>
      <w:proofErr w:type="spellStart"/>
      <w:r w:rsidR="00CA5CF8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Deballon</w:t>
      </w:r>
      <w:proofErr w:type="spellEnd"/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I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Hornby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L,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Shemie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SD.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Protocols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for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uncontrolled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death: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international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guidelines,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practices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outcomes.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Crit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Care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19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268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26104293]</w:t>
      </w:r>
    </w:p>
    <w:p w14:paraId="4EF61014" w14:textId="3FA218A7" w:rsidR="00CA5CF8" w:rsidRPr="004B4F27" w:rsidRDefault="005C4F8E" w:rsidP="00766751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4B4F27">
        <w:rPr>
          <w:rFonts w:ascii="Book Antiqua" w:hAnsi="Book Antiqua" w:cs="Book Antiqua"/>
          <w:color w:val="000000"/>
          <w:lang w:val="en-GB" w:eastAsia="zh-CN"/>
        </w:rPr>
        <w:t>9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Domínguez-Gil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B,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Ascher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N,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Capron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AM,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Gardiner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D,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Manara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AR,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Bernat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JL,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Miñambres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et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Expanding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determination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death: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statement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International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collaborative.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i/>
          <w:color w:val="000000"/>
          <w:lang w:val="en-GB"/>
        </w:rPr>
        <w:t>Intensive</w:t>
      </w:r>
      <w:r w:rsidR="00CD7E3D" w:rsidRPr="004B4F27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i/>
          <w:color w:val="000000"/>
          <w:lang w:val="en-GB"/>
        </w:rPr>
        <w:t>Care</w:t>
      </w:r>
      <w:r w:rsidR="00CD7E3D" w:rsidRPr="004B4F27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i/>
          <w:color w:val="000000"/>
          <w:lang w:val="en-GB"/>
        </w:rPr>
        <w:t>Med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CA5CF8" w:rsidRPr="004B4F27">
        <w:rPr>
          <w:rFonts w:ascii="Book Antiqua" w:eastAsia="Book Antiqua" w:hAnsi="Book Antiqua" w:cs="Book Antiqua"/>
          <w:b/>
          <w:color w:val="000000"/>
          <w:lang w:val="en-GB"/>
        </w:rPr>
        <w:t>47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: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265-281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hAnsi="Book Antiqua" w:cs="Book Antiqua"/>
          <w:color w:val="000000"/>
          <w:lang w:val="en-GB" w:eastAsia="zh-CN"/>
        </w:rPr>
        <w:t>[DOI: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10.1007/s00134-020-06341-7</w:t>
      </w:r>
      <w:r w:rsidRPr="004B4F27">
        <w:rPr>
          <w:rFonts w:ascii="Book Antiqua" w:hAnsi="Book Antiqua" w:cs="Book Antiqua"/>
          <w:color w:val="000000"/>
          <w:lang w:val="en-GB" w:eastAsia="zh-CN"/>
        </w:rPr>
        <w:t>]</w:t>
      </w:r>
    </w:p>
    <w:p w14:paraId="50D3A67B" w14:textId="5918E7F5" w:rsidR="00CA5CF8" w:rsidRPr="004B4F27" w:rsidRDefault="00CA5CF8" w:rsidP="00766751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1</w:t>
      </w:r>
      <w:r w:rsidR="005C4F8E" w:rsidRPr="004B4F27">
        <w:rPr>
          <w:rFonts w:ascii="Book Antiqua" w:hAnsi="Book Antiqua" w:cs="Book Antiqua"/>
          <w:color w:val="000000"/>
          <w:lang w:val="en-GB" w:eastAsia="zh-CN"/>
        </w:rPr>
        <w:t>0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Miñambres</w:t>
      </w:r>
      <w:proofErr w:type="spellEnd"/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E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Suberviola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Dominguez-Gil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Rodrigo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Ruiz-San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Millan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JC,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Rodríguez-San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Juan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JC,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Ballesteros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Improving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Outcomes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Obtained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Normothermic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Regional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Perfusion.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Am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17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2165-2172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28141909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DOI: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10.1111/ajt.14214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]</w:t>
      </w:r>
    </w:p>
    <w:p w14:paraId="62A6A701" w14:textId="510C76A0" w:rsidR="00CA5CF8" w:rsidRPr="004B4F27" w:rsidRDefault="00CA5CF8" w:rsidP="00766751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1</w:t>
      </w:r>
      <w:r w:rsidR="005C4F8E" w:rsidRPr="004B4F27">
        <w:rPr>
          <w:rFonts w:ascii="Book Antiqua" w:hAnsi="Book Antiqua" w:cs="Book Antiqua"/>
          <w:color w:val="000000"/>
          <w:lang w:val="en-GB" w:eastAsia="zh-CN"/>
        </w:rPr>
        <w:t>1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Hessheimer</w:t>
      </w:r>
      <w:proofErr w:type="spellEnd"/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AJ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Coll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Torres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Ruíz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Gastaca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Rivas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JI,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Gómez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Sánchez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Santoyo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Ramírez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Parrilla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Marín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LM,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Gómez-Bravo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MÁ,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García-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Valdecasas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JC,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López-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Monclús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Boscá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López-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Andújar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Fundora-Suárez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Villar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García-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Sesma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Á,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Jiménez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Rodríguez-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Laíz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Lladó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Rodríguez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JC,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Barrera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Charco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López-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Baena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JÁ,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Briceño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Pardo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Blanco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Pacheco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Domínguez-Gil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Sánchez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Turrión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Fondevila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Normothermic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regional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super-rapid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recovery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transplantation.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70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658-665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30582980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DOI: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10.1016/j.jhep.2018.12.013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]</w:t>
      </w:r>
    </w:p>
    <w:p w14:paraId="2E61C7E7" w14:textId="25062A10" w:rsidR="00CA5CF8" w:rsidRPr="004B4F27" w:rsidRDefault="00CA5CF8" w:rsidP="00766751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1</w:t>
      </w:r>
      <w:r w:rsidR="005C4F8E" w:rsidRPr="004B4F27">
        <w:rPr>
          <w:rFonts w:ascii="Book Antiqua" w:hAnsi="Book Antiqua" w:cs="Book Antiqua"/>
          <w:color w:val="000000"/>
          <w:lang w:val="en-GB" w:eastAsia="zh-CN"/>
        </w:rPr>
        <w:t>2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Miñambres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Rodrigo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Suberviola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Valero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Quintana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Campos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Strict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selection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uncontrolled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excellent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kidney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graft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survival.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color w:val="000000"/>
          <w:lang w:val="en-GB"/>
        </w:rPr>
        <w:t>Clin</w:t>
      </w:r>
      <w:r w:rsidR="00CD7E3D" w:rsidRPr="004B4F27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2020</w:t>
      </w:r>
      <w:r w:rsidR="005C4F8E" w:rsidRPr="004B4F27">
        <w:rPr>
          <w:rFonts w:ascii="Book Antiqua" w:hAnsi="Book Antiqua" w:cs="Book Antiqua"/>
          <w:color w:val="000000"/>
          <w:lang w:val="en-GB" w:eastAsia="zh-CN"/>
        </w:rPr>
        <w:t>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34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: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e14010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[DOI: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10.1111/ctr.14010]</w:t>
      </w:r>
    </w:p>
    <w:p w14:paraId="783EAA07" w14:textId="1FA48D2B" w:rsidR="00CA5CF8" w:rsidRPr="004B4F27" w:rsidRDefault="00CA5CF8" w:rsidP="00766751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lastRenderedPageBreak/>
        <w:t>1</w:t>
      </w:r>
      <w:r w:rsidR="005C4F8E" w:rsidRPr="004B4F27">
        <w:rPr>
          <w:rFonts w:ascii="Book Antiqua" w:hAnsi="Book Antiqua" w:cs="Book Antiqua"/>
          <w:color w:val="000000"/>
          <w:lang w:val="en-GB" w:eastAsia="zh-CN"/>
        </w:rPr>
        <w:t>3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Oniscu</w:t>
      </w:r>
      <w:proofErr w:type="spellEnd"/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GC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Siddique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Dark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Dual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temperature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multi-organ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recovery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Maastricht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category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III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Am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14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2181-2186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25056864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DOI: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10.1111/ajt.12808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]</w:t>
      </w:r>
    </w:p>
    <w:p w14:paraId="170DC8D4" w14:textId="7965D687" w:rsidR="00CA5CF8" w:rsidRPr="004B4F27" w:rsidRDefault="00CA5CF8" w:rsidP="00766751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1</w:t>
      </w:r>
      <w:r w:rsidR="005C4F8E" w:rsidRPr="004B4F27">
        <w:rPr>
          <w:rFonts w:ascii="Book Antiqua" w:hAnsi="Book Antiqua" w:cs="Book Antiqua"/>
          <w:color w:val="000000"/>
          <w:lang w:val="en-GB" w:eastAsia="zh-CN"/>
        </w:rPr>
        <w:t>4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Miñambres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E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Ruiz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Ballesteros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MA,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Álvarez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Cifrián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JM,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Atutxa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Ventoso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Castillo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Gastaca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lung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procurement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normothermic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perfusion.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Initial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experience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two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Spanish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centers</w:t>
      </w:r>
      <w:proofErr w:type="spellEnd"/>
      <w:r w:rsidRPr="004B4F27">
        <w:rPr>
          <w:rFonts w:ascii="Book Antiqua" w:eastAsia="Book Antiqua" w:hAnsi="Book Antiqua" w:cs="Book Antiqua"/>
          <w:color w:val="000000"/>
          <w:lang w:val="en-GB"/>
        </w:rPr>
        <w:t>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Am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20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231-240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31265753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DOI: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10.1111/ajt.15520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]</w:t>
      </w:r>
    </w:p>
    <w:p w14:paraId="06DE3147" w14:textId="4C1E15D1" w:rsidR="00CA5CF8" w:rsidRPr="004B4F27" w:rsidRDefault="00CA5CF8" w:rsidP="00766751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1</w:t>
      </w:r>
      <w:r w:rsidR="005C4F8E" w:rsidRPr="004B4F27">
        <w:rPr>
          <w:rFonts w:ascii="Book Antiqua" w:hAnsi="Book Antiqua" w:cs="Book Antiqua"/>
          <w:color w:val="000000"/>
          <w:lang w:val="en-GB" w:eastAsia="zh-CN"/>
        </w:rPr>
        <w:t>5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Perez-</w:t>
      </w:r>
      <w:proofErr w:type="spellStart"/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Villares</w:t>
      </w:r>
      <w:proofErr w:type="spellEnd"/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JM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Rubio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JJ,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Río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Miñambres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Validation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new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proposal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avoid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resuscitation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normothermic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regional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perfusion.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Resuscitation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117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46-49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28591558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DOI: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10.1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016/j.resuscitation.2017.05.030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]</w:t>
      </w:r>
    </w:p>
    <w:p w14:paraId="1515367B" w14:textId="3AF858E5" w:rsidR="00CA5CF8" w:rsidRPr="004B4F27" w:rsidRDefault="00CA5CF8" w:rsidP="00766751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1</w:t>
      </w:r>
      <w:r w:rsidR="005C4F8E" w:rsidRPr="004B4F27">
        <w:rPr>
          <w:rFonts w:ascii="Book Antiqua" w:hAnsi="Book Antiqua" w:cs="Book Antiqua"/>
          <w:color w:val="000000"/>
          <w:lang w:val="en-GB" w:eastAsia="zh-CN"/>
        </w:rPr>
        <w:t>6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Messer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Page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Colah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Axell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Parizkova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4B4F27">
        <w:rPr>
          <w:rFonts w:ascii="Book Antiqua" w:eastAsia="Book Antiqua" w:hAnsi="Book Antiqua" w:cs="Book Antiqua"/>
          <w:color w:val="000000"/>
          <w:lang w:val="en-GB"/>
        </w:rPr>
        <w:t>Tsui</w:t>
      </w:r>
      <w:proofErr w:type="spellEnd"/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Large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circulatory-determined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donors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normothermic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regional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perfusion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cold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storage.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Heart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Lung</w:t>
      </w:r>
      <w:r w:rsidR="00CD7E3D"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i/>
          <w:iCs/>
          <w:color w:val="000000"/>
          <w:lang w:val="en-GB"/>
        </w:rPr>
        <w:t>Transplant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37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865-869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29731238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DO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I: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4F8E" w:rsidRPr="004B4F27">
        <w:rPr>
          <w:rFonts w:ascii="Book Antiqua" w:eastAsia="Book Antiqua" w:hAnsi="Book Antiqua" w:cs="Book Antiqua"/>
          <w:color w:val="000000"/>
          <w:lang w:val="en-GB"/>
        </w:rPr>
        <w:t>10.1016/j.healun.2018.03.017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]</w:t>
      </w:r>
    </w:p>
    <w:p w14:paraId="2DEB7E04" w14:textId="07356F30" w:rsidR="00035C84" w:rsidRDefault="005C4F8E" w:rsidP="00F76A7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  <w:r w:rsidRPr="004B4F27">
        <w:rPr>
          <w:rFonts w:ascii="Book Antiqua" w:hAnsi="Book Antiqua" w:cs="Book Antiqua"/>
          <w:color w:val="000000"/>
          <w:lang w:val="en-GB" w:eastAsia="zh-CN"/>
        </w:rPr>
        <w:t>17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CA5CF8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Miñambres</w:t>
      </w:r>
      <w:proofErr w:type="spellEnd"/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Royo</w:t>
      </w:r>
      <w:proofErr w:type="spellEnd"/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-Villanova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M,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Pérez-Redondo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M,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Coll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Villar-García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Canovas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SJ</w:t>
      </w:r>
      <w:r w:rsidRPr="004B4F27">
        <w:rPr>
          <w:rFonts w:ascii="Book Antiqua" w:hAnsi="Book Antiqua" w:cs="Book Antiqua"/>
          <w:color w:val="000000"/>
          <w:lang w:val="en-GB" w:eastAsia="zh-CN"/>
        </w:rPr>
        <w:t>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Spanish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experience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transplants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from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donation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determination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thoraco-abdominal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normothermic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regional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perfusion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cold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color w:val="000000"/>
          <w:lang w:val="en-GB"/>
        </w:rPr>
        <w:t>storage.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i/>
          <w:color w:val="000000"/>
          <w:lang w:val="en-GB"/>
        </w:rPr>
        <w:t>Am</w:t>
      </w:r>
      <w:r w:rsidR="00CD7E3D" w:rsidRPr="004B4F27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i/>
          <w:color w:val="000000"/>
          <w:lang w:val="en-GB"/>
        </w:rPr>
        <w:t>J</w:t>
      </w:r>
      <w:r w:rsidR="00CD7E3D" w:rsidRPr="004B4F27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="00CA5CF8" w:rsidRPr="004B4F27">
        <w:rPr>
          <w:rFonts w:ascii="Book Antiqua" w:eastAsia="Book Antiqua" w:hAnsi="Book Antiqua" w:cs="Book Antiqua"/>
          <w:i/>
          <w:color w:val="000000"/>
          <w:lang w:val="en-GB"/>
        </w:rPr>
        <w:t>Transplant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2021</w:t>
      </w:r>
      <w:r w:rsidRPr="004B4F27">
        <w:rPr>
          <w:rFonts w:ascii="Book Antiqua" w:hAnsi="Book Antiqua" w:cs="Book Antiqua"/>
          <w:color w:val="000000"/>
          <w:lang w:val="en-GB" w:eastAsia="zh-CN"/>
        </w:rPr>
        <w:t>;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21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: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1597-1602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hAnsi="Book Antiqua" w:cs="Book Antiqua"/>
          <w:color w:val="000000"/>
          <w:lang w:val="en-GB" w:eastAsia="zh-CN"/>
        </w:rPr>
        <w:t>[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PMID: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33319435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hAnsi="Book Antiqua" w:cs="Book Antiqua"/>
          <w:color w:val="000000"/>
          <w:lang w:val="en-GB" w:eastAsia="zh-CN"/>
        </w:rPr>
        <w:t>DOI: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10.1111/ajt.16446</w:t>
      </w:r>
      <w:r w:rsidRPr="004B4F27">
        <w:rPr>
          <w:rFonts w:ascii="Book Antiqua" w:hAnsi="Book Antiqua" w:cs="Book Antiqua"/>
          <w:color w:val="000000"/>
          <w:lang w:val="en-GB" w:eastAsia="zh-CN"/>
        </w:rPr>
        <w:t>]</w:t>
      </w:r>
      <w:r w:rsidR="00035C84">
        <w:rPr>
          <w:rFonts w:ascii="Book Antiqua" w:eastAsia="Book Antiqua" w:hAnsi="Book Antiqua" w:cs="Book Antiqua"/>
          <w:b/>
          <w:color w:val="000000"/>
          <w:lang w:val="en-GB"/>
        </w:rPr>
        <w:br w:type="page"/>
      </w:r>
    </w:p>
    <w:p w14:paraId="67E10049" w14:textId="0A81BAE4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Footnotes</w:t>
      </w:r>
    </w:p>
    <w:p w14:paraId="3DD4ECFA" w14:textId="441E638A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Conflict-of-interest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statement: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B15A2C" w:rsidRPr="004B4F27">
        <w:rPr>
          <w:rFonts w:ascii="Book Antiqua" w:hAnsi="Book Antiqua" w:cs="Book Antiqua"/>
          <w:bCs/>
          <w:color w:val="000000"/>
          <w:lang w:val="en-GB" w:eastAsia="zh-CN"/>
        </w:rPr>
        <w:t xml:space="preserve">All authors </w:t>
      </w:r>
      <w:r w:rsidR="00B15A2C" w:rsidRPr="004B4F27">
        <w:rPr>
          <w:rFonts w:ascii="Book Antiqua" w:hAnsi="Book Antiqua"/>
          <w:bCs/>
          <w:iCs/>
          <w:color w:val="000000" w:themeColor="text1"/>
          <w:lang w:val="en-GB" w:eastAsia="zh-CN"/>
        </w:rPr>
        <w:t>have nothing to disclose.</w:t>
      </w:r>
    </w:p>
    <w:p w14:paraId="2C940159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5047498" w14:textId="0FB33BD8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Open-Access: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open-access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that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in-house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editor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fully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peer-reviewed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reviewers.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distributed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accordance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Creative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Commons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Attribution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NonCommercial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(CC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BY-NC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4.0)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license,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permits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others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distribute,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remix,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adapt,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build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upon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work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non-commercially,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license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derivative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works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on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terms,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provided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original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work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properly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cited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use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non-commercial.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See: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http://creativecommons.org/Licenses/by-nc/4.0/</w:t>
      </w:r>
    </w:p>
    <w:p w14:paraId="56F9CD13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C236D17" w14:textId="77777777" w:rsidR="00E822F6" w:rsidRPr="004B4F27" w:rsidRDefault="00E822F6" w:rsidP="00766751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Provenance and peer review: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Invited article; Externally peer reviewed.</w:t>
      </w:r>
    </w:p>
    <w:p w14:paraId="483D3448" w14:textId="361CE7D1" w:rsidR="00A77B3E" w:rsidRPr="004B4F27" w:rsidRDefault="00E822F6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Peer-review model: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Single blind</w:t>
      </w:r>
    </w:p>
    <w:p w14:paraId="6F0B9AF3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B445297" w14:textId="407A05C2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started: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April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5,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77213D80" w14:textId="04A5ACB6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First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decision: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July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29,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51413EC0" w14:textId="07B5D854" w:rsidR="00A77B3E" w:rsidRPr="00035C84" w:rsidRDefault="00B8741A" w:rsidP="00766751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Article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press: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</w:p>
    <w:p w14:paraId="4F113147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19C4F5A" w14:textId="1E097385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Specialty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Transplantation</w:t>
      </w:r>
    </w:p>
    <w:p w14:paraId="449D1260" w14:textId="70E20DBF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Country/Territory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origin: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Spain</w:t>
      </w:r>
    </w:p>
    <w:p w14:paraId="58D6CF2E" w14:textId="72CB7CCB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report’s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scientific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quality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classification</w:t>
      </w:r>
    </w:p>
    <w:p w14:paraId="43D6FD8A" w14:textId="11F82AE0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A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(Excellent):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29C96B34" w14:textId="7F10B817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B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(Very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good):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2F227C17" w14:textId="51CB65A5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(Good):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C</w:t>
      </w:r>
      <w:r w:rsidR="00426977" w:rsidRPr="004B4F27">
        <w:rPr>
          <w:rFonts w:ascii="Book Antiqua" w:hAnsi="Book Antiqua" w:cs="Book Antiqua"/>
          <w:color w:val="000000"/>
          <w:lang w:val="en-GB" w:eastAsia="zh-CN"/>
        </w:rPr>
        <w:t>,</w:t>
      </w:r>
      <w:r w:rsidR="00CD7E3D" w:rsidRPr="004B4F27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426977" w:rsidRPr="004B4F27">
        <w:rPr>
          <w:rFonts w:ascii="Book Antiqua" w:hAnsi="Book Antiqua" w:cs="Book Antiqua"/>
          <w:color w:val="000000"/>
          <w:lang w:val="en-GB" w:eastAsia="zh-CN"/>
        </w:rPr>
        <w:t>C</w:t>
      </w:r>
    </w:p>
    <w:p w14:paraId="58FF3BCC" w14:textId="036C068F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D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(Fair):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52A5D8D9" w14:textId="043806A5" w:rsidR="00A77B3E" w:rsidRPr="004B4F27" w:rsidRDefault="00B8741A" w:rsidP="00766751">
      <w:pPr>
        <w:spacing w:line="360" w:lineRule="auto"/>
        <w:jc w:val="both"/>
        <w:rPr>
          <w:rFonts w:ascii="Book Antiqua" w:hAnsi="Book Antiqua"/>
          <w:lang w:val="en-GB"/>
        </w:rPr>
      </w:pPr>
      <w:r w:rsidRPr="004B4F27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(Poor):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3F7CF192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74C47BB" w14:textId="6234BA81" w:rsidR="00065866" w:rsidRPr="004B4F27" w:rsidRDefault="00B8741A" w:rsidP="0076675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P-Reviewer: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He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K</w:t>
      </w:r>
      <w:r w:rsidR="00C647F9">
        <w:rPr>
          <w:rFonts w:ascii="Book Antiqua" w:hAnsi="Book Antiqua" w:cs="Book Antiqua" w:hint="eastAsia"/>
          <w:color w:val="000000"/>
          <w:lang w:val="en-GB" w:eastAsia="zh-CN"/>
        </w:rPr>
        <w:t>, China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S-Editor: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Wang</w:t>
      </w:r>
      <w:r w:rsidR="00CD7E3D" w:rsidRPr="004B4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26977" w:rsidRPr="004B4F27">
        <w:rPr>
          <w:rFonts w:ascii="Book Antiqua" w:hAnsi="Book Antiqua" w:cs="Book Antiqua"/>
          <w:color w:val="000000"/>
          <w:lang w:val="en-GB" w:eastAsia="zh-CN"/>
        </w:rPr>
        <w:t>L</w:t>
      </w:r>
      <w:r w:rsidRPr="004B4F27">
        <w:rPr>
          <w:rFonts w:ascii="Book Antiqua" w:eastAsia="Book Antiqua" w:hAnsi="Book Antiqua" w:cs="Book Antiqua"/>
          <w:color w:val="000000"/>
          <w:lang w:val="en-GB"/>
        </w:rPr>
        <w:t>L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L-Editor:</w:t>
      </w:r>
      <w:r w:rsidR="00851467" w:rsidRPr="004B4F27">
        <w:rPr>
          <w:rFonts w:ascii="Book Antiqua" w:eastAsia="Book Antiqua" w:hAnsi="Book Antiqua" w:cs="Book Antiqua"/>
          <w:bCs/>
          <w:color w:val="000000"/>
          <w:lang w:val="en-GB"/>
        </w:rPr>
        <w:t xml:space="preserve"> Filipodia </w:t>
      </w:r>
      <w:r w:rsidRPr="004B4F27">
        <w:rPr>
          <w:rFonts w:ascii="Book Antiqua" w:eastAsia="Book Antiqua" w:hAnsi="Book Antiqua" w:cs="Book Antiqua"/>
          <w:b/>
          <w:color w:val="000000"/>
          <w:lang w:val="en-GB"/>
        </w:rPr>
        <w:t>P-Editor:</w:t>
      </w:r>
      <w:r w:rsidR="00CD7E3D" w:rsidRPr="004B4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035C84" w:rsidRPr="004B4F27">
        <w:rPr>
          <w:rFonts w:ascii="Book Antiqua" w:eastAsia="Book Antiqua" w:hAnsi="Book Antiqua" w:cs="Book Antiqua"/>
          <w:color w:val="000000"/>
          <w:lang w:val="en-GB"/>
        </w:rPr>
        <w:t xml:space="preserve">Wang </w:t>
      </w:r>
      <w:r w:rsidR="00035C84" w:rsidRPr="004B4F27">
        <w:rPr>
          <w:rFonts w:ascii="Book Antiqua" w:hAnsi="Book Antiqua" w:cs="Book Antiqua"/>
          <w:color w:val="000000"/>
          <w:lang w:val="en-GB" w:eastAsia="zh-CN"/>
        </w:rPr>
        <w:t>L</w:t>
      </w:r>
      <w:r w:rsidR="00035C84" w:rsidRPr="004B4F27">
        <w:rPr>
          <w:rFonts w:ascii="Book Antiqua" w:eastAsia="Book Antiqua" w:hAnsi="Book Antiqua" w:cs="Book Antiqua"/>
          <w:color w:val="000000"/>
          <w:lang w:val="en-GB"/>
        </w:rPr>
        <w:t>L</w:t>
      </w:r>
    </w:p>
    <w:p w14:paraId="16C086FA" w14:textId="7316A357" w:rsidR="00065866" w:rsidRPr="004B4F27" w:rsidRDefault="00065866" w:rsidP="0076675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</w:p>
    <w:p w14:paraId="7306E63B" w14:textId="468525E9" w:rsidR="00065866" w:rsidRPr="004B4F27" w:rsidRDefault="00065866" w:rsidP="00766751">
      <w:pPr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Table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1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E822F6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Donors after Cardiac Death</w:t>
      </w:r>
      <w:r w:rsidR="00CD7E3D"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620DF7">
        <w:rPr>
          <w:rFonts w:ascii="Book Antiqua" w:hAnsi="Book Antiqua" w:cs="Book Antiqua"/>
          <w:b/>
          <w:bCs/>
          <w:color w:val="000000"/>
          <w:lang w:val="en-GB" w:eastAsia="zh-CN"/>
        </w:rPr>
        <w:t>M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aastrich</w:t>
      </w:r>
      <w:r w:rsidR="00620DF7">
        <w:rPr>
          <w:rFonts w:ascii="Book Antiqua" w:eastAsia="Book Antiqua" w:hAnsi="Book Antiqua" w:cs="Book Antiqua"/>
          <w:b/>
          <w:bCs/>
          <w:color w:val="000000"/>
          <w:lang w:val="en-GB"/>
        </w:rPr>
        <w:t>t</w:t>
      </w:r>
      <w:r w:rsidR="00E822F6" w:rsidRPr="004B4F27">
        <w:rPr>
          <w:rFonts w:ascii="Book Antiqua" w:hAnsi="Book Antiqua" w:cs="Book Antiqua"/>
          <w:b/>
          <w:bCs/>
          <w:color w:val="000000"/>
          <w:lang w:val="en-GB" w:eastAsia="zh-CN"/>
        </w:rPr>
        <w:t xml:space="preserve"> c</w:t>
      </w:r>
      <w:r w:rsidRPr="004B4F27">
        <w:rPr>
          <w:rFonts w:ascii="Book Antiqua" w:eastAsia="Book Antiqua" w:hAnsi="Book Antiqua" w:cs="Book Antiqua"/>
          <w:b/>
          <w:bCs/>
          <w:color w:val="000000"/>
          <w:lang w:val="en-GB"/>
        </w:rPr>
        <w:t>lassification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8"/>
        <w:gridCol w:w="1709"/>
        <w:gridCol w:w="6933"/>
      </w:tblGrid>
      <w:tr w:rsidR="00065866" w:rsidRPr="004B4F27" w14:paraId="6A4DF360" w14:textId="77777777" w:rsidTr="00E822F6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14:paraId="6ABB5539" w14:textId="77777777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b/>
                <w:bCs/>
                <w:color w:val="202124"/>
                <w:lang w:val="en-GB" w:eastAsia="es-ES_tradnl"/>
              </w:rPr>
              <w:lastRenderedPageBreak/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C16C36" w14:textId="77777777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b/>
                <w:bCs/>
                <w:color w:val="202124"/>
                <w:lang w:val="en-GB" w:eastAsia="es-ES_tradnl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611ACD" w14:textId="77777777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b/>
                <w:bCs/>
                <w:color w:val="202124"/>
                <w:lang w:val="en-GB" w:eastAsia="es-ES_tradnl"/>
              </w:rPr>
              <w:t>Circumstances</w:t>
            </w:r>
          </w:p>
        </w:tc>
      </w:tr>
      <w:tr w:rsidR="00065866" w:rsidRPr="004B4F27" w14:paraId="25C3E29F" w14:textId="77777777" w:rsidTr="00E822F6">
        <w:trPr>
          <w:trHeight w:val="390"/>
        </w:trPr>
        <w:tc>
          <w:tcPr>
            <w:tcW w:w="0" w:type="auto"/>
            <w:tcBorders>
              <w:top w:val="single" w:sz="4" w:space="0" w:color="auto"/>
            </w:tcBorders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4B7E9FF6" w14:textId="77777777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CB8465" w14:textId="77777777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Uncontrolled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A30356" w14:textId="532E743D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Dead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on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arrival</w:t>
            </w:r>
          </w:p>
        </w:tc>
      </w:tr>
      <w:tr w:rsidR="00065866" w:rsidRPr="004B4F27" w14:paraId="4A8C1C6D" w14:textId="77777777" w:rsidTr="00E822F6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66D9A236" w14:textId="77777777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2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30D127" w14:textId="77777777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Uncontrolled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D48F59" w14:textId="5B993A28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Unsuccessful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resuscitation</w:t>
            </w:r>
          </w:p>
        </w:tc>
      </w:tr>
      <w:tr w:rsidR="00065866" w:rsidRPr="004B4F27" w14:paraId="25DAE248" w14:textId="77777777" w:rsidTr="00E822F6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7C2B6C4B" w14:textId="77777777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3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E66C43" w14:textId="77777777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Controlled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D41949" w14:textId="545BBBD6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Cardiac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arrest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follows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planned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withdrawal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of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life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sustaining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treatments</w:t>
            </w:r>
          </w:p>
        </w:tc>
      </w:tr>
      <w:tr w:rsidR="00065866" w:rsidRPr="004B4F27" w14:paraId="53E37C32" w14:textId="77777777" w:rsidTr="00E822F6">
        <w:trPr>
          <w:trHeight w:val="390"/>
        </w:trPr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5927B90C" w14:textId="77777777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F2F9D8" w14:textId="77777777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Either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67B04D" w14:textId="5D31957D" w:rsidR="00065866" w:rsidRPr="004B4F27" w:rsidRDefault="00065866" w:rsidP="0076675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</w:pP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Cardiac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arrest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in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a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patient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who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is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brain</w:t>
            </w:r>
            <w:r w:rsidR="00CD7E3D"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 xml:space="preserve"> </w:t>
            </w:r>
            <w:r w:rsidRPr="004B4F27">
              <w:rPr>
                <w:rFonts w:ascii="Book Antiqua" w:eastAsia="Times New Roman" w:hAnsi="Book Antiqua" w:cs="Arial"/>
                <w:color w:val="202124"/>
                <w:lang w:val="en-GB" w:eastAsia="es-ES_tradnl"/>
              </w:rPr>
              <w:t>dead</w:t>
            </w:r>
          </w:p>
        </w:tc>
      </w:tr>
    </w:tbl>
    <w:p w14:paraId="0C3DB050" w14:textId="77777777" w:rsidR="00A77B3E" w:rsidRPr="004B4F27" w:rsidRDefault="00A77B3E" w:rsidP="00766751">
      <w:pPr>
        <w:spacing w:line="360" w:lineRule="auto"/>
        <w:jc w:val="both"/>
        <w:rPr>
          <w:rFonts w:ascii="Book Antiqua" w:hAnsi="Book Antiqua"/>
          <w:lang w:val="en-GB"/>
        </w:rPr>
      </w:pPr>
    </w:p>
    <w:sectPr w:rsidR="00A77B3E" w:rsidRPr="004B4F2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A53E" w14:textId="77777777" w:rsidR="00296602" w:rsidRDefault="00296602" w:rsidP="00527A23">
      <w:r>
        <w:separator/>
      </w:r>
    </w:p>
  </w:endnote>
  <w:endnote w:type="continuationSeparator" w:id="0">
    <w:p w14:paraId="040BEF65" w14:textId="77777777" w:rsidR="00296602" w:rsidRDefault="00296602" w:rsidP="0052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590D" w14:textId="4A9217C8" w:rsidR="00CD7E3D" w:rsidRPr="00527A23" w:rsidRDefault="00CD7E3D" w:rsidP="00527A23">
    <w:pPr>
      <w:pStyle w:val="Footer"/>
      <w:jc w:val="right"/>
      <w:rPr>
        <w:rFonts w:ascii="Book Antiqua" w:hAnsi="Book Antiqua"/>
        <w:sz w:val="24"/>
        <w:szCs w:val="24"/>
      </w:rPr>
    </w:pPr>
    <w:r w:rsidRPr="00527A23">
      <w:rPr>
        <w:rFonts w:ascii="Book Antiqua" w:hAnsi="Book Antiqua"/>
        <w:sz w:val="24"/>
        <w:szCs w:val="24"/>
      </w:rPr>
      <w:fldChar w:fldCharType="begin"/>
    </w:r>
    <w:r w:rsidRPr="00527A23">
      <w:rPr>
        <w:rFonts w:ascii="Book Antiqua" w:hAnsi="Book Antiqua"/>
        <w:sz w:val="24"/>
        <w:szCs w:val="24"/>
      </w:rPr>
      <w:instrText xml:space="preserve"> PAGE  \* Arabic  \* MERGEFORMAT </w:instrText>
    </w:r>
    <w:r w:rsidRPr="00527A23">
      <w:rPr>
        <w:rFonts w:ascii="Book Antiqua" w:hAnsi="Book Antiqua"/>
        <w:sz w:val="24"/>
        <w:szCs w:val="24"/>
      </w:rPr>
      <w:fldChar w:fldCharType="separate"/>
    </w:r>
    <w:r w:rsidR="00F76A70">
      <w:rPr>
        <w:rFonts w:ascii="Book Antiqua" w:hAnsi="Book Antiqua"/>
        <w:noProof/>
        <w:sz w:val="24"/>
        <w:szCs w:val="24"/>
      </w:rPr>
      <w:t>12</w:t>
    </w:r>
    <w:r w:rsidRPr="00527A23">
      <w:rPr>
        <w:rFonts w:ascii="Book Antiqua" w:hAnsi="Book Antiqua"/>
        <w:sz w:val="24"/>
        <w:szCs w:val="24"/>
      </w:rPr>
      <w:fldChar w:fldCharType="end"/>
    </w:r>
    <w:r w:rsidR="004B4F27">
      <w:rPr>
        <w:rFonts w:ascii="Book Antiqua" w:hAnsi="Book Antiqua"/>
        <w:sz w:val="24"/>
        <w:szCs w:val="24"/>
      </w:rPr>
      <w:t xml:space="preserve"> </w:t>
    </w:r>
    <w:r w:rsidRPr="00527A23">
      <w:rPr>
        <w:rFonts w:ascii="Book Antiqua" w:hAnsi="Book Antiqua"/>
        <w:sz w:val="24"/>
        <w:szCs w:val="24"/>
      </w:rPr>
      <w:t>/</w:t>
    </w:r>
    <w:r w:rsidR="004B4F27">
      <w:rPr>
        <w:rFonts w:ascii="Book Antiqua" w:hAnsi="Book Antiqua"/>
        <w:sz w:val="24"/>
        <w:szCs w:val="24"/>
      </w:rPr>
      <w:t xml:space="preserve"> </w:t>
    </w:r>
    <w:r w:rsidRPr="00527A23">
      <w:rPr>
        <w:rFonts w:ascii="Book Antiqua" w:hAnsi="Book Antiqua"/>
        <w:sz w:val="24"/>
        <w:szCs w:val="24"/>
      </w:rPr>
      <w:fldChar w:fldCharType="begin"/>
    </w:r>
    <w:r w:rsidRPr="00527A23">
      <w:rPr>
        <w:rFonts w:ascii="Book Antiqua" w:hAnsi="Book Antiqua"/>
        <w:sz w:val="24"/>
        <w:szCs w:val="24"/>
      </w:rPr>
      <w:instrText xml:space="preserve"> NUMPAGES   \* MERGEFORMAT </w:instrText>
    </w:r>
    <w:r w:rsidRPr="00527A23">
      <w:rPr>
        <w:rFonts w:ascii="Book Antiqua" w:hAnsi="Book Antiqua"/>
        <w:sz w:val="24"/>
        <w:szCs w:val="24"/>
      </w:rPr>
      <w:fldChar w:fldCharType="separate"/>
    </w:r>
    <w:r w:rsidR="00F76A70">
      <w:rPr>
        <w:rFonts w:ascii="Book Antiqua" w:hAnsi="Book Antiqua"/>
        <w:noProof/>
        <w:sz w:val="24"/>
        <w:szCs w:val="24"/>
      </w:rPr>
      <w:t>12</w:t>
    </w:r>
    <w:r w:rsidRPr="00527A23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16ED" w14:textId="77777777" w:rsidR="00296602" w:rsidRDefault="00296602" w:rsidP="00527A23">
      <w:r>
        <w:separator/>
      </w:r>
    </w:p>
  </w:footnote>
  <w:footnote w:type="continuationSeparator" w:id="0">
    <w:p w14:paraId="1645035F" w14:textId="77777777" w:rsidR="00296602" w:rsidRDefault="00296602" w:rsidP="0052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5C84"/>
    <w:rsid w:val="00065866"/>
    <w:rsid w:val="00081367"/>
    <w:rsid w:val="00145713"/>
    <w:rsid w:val="00187D8B"/>
    <w:rsid w:val="002063E3"/>
    <w:rsid w:val="00227DDC"/>
    <w:rsid w:val="00296602"/>
    <w:rsid w:val="002C0D1C"/>
    <w:rsid w:val="00314B36"/>
    <w:rsid w:val="003353FE"/>
    <w:rsid w:val="00426977"/>
    <w:rsid w:val="00466B58"/>
    <w:rsid w:val="004B4F27"/>
    <w:rsid w:val="004C12D5"/>
    <w:rsid w:val="004D0C4E"/>
    <w:rsid w:val="004F7FA5"/>
    <w:rsid w:val="0050384F"/>
    <w:rsid w:val="00507CE4"/>
    <w:rsid w:val="00527A23"/>
    <w:rsid w:val="005C4F8E"/>
    <w:rsid w:val="00606C21"/>
    <w:rsid w:val="00620DF7"/>
    <w:rsid w:val="006455A0"/>
    <w:rsid w:val="00766751"/>
    <w:rsid w:val="007A703D"/>
    <w:rsid w:val="007B2986"/>
    <w:rsid w:val="00805A4F"/>
    <w:rsid w:val="00851467"/>
    <w:rsid w:val="009253FD"/>
    <w:rsid w:val="00943F9E"/>
    <w:rsid w:val="00A123CE"/>
    <w:rsid w:val="00A45012"/>
    <w:rsid w:val="00A7244D"/>
    <w:rsid w:val="00A77B3E"/>
    <w:rsid w:val="00A82D94"/>
    <w:rsid w:val="00AC1B69"/>
    <w:rsid w:val="00B0570E"/>
    <w:rsid w:val="00B15A2C"/>
    <w:rsid w:val="00B30A16"/>
    <w:rsid w:val="00B505AE"/>
    <w:rsid w:val="00B8741A"/>
    <w:rsid w:val="00C647F9"/>
    <w:rsid w:val="00C73F1F"/>
    <w:rsid w:val="00CA2A55"/>
    <w:rsid w:val="00CA5CF8"/>
    <w:rsid w:val="00CB7931"/>
    <w:rsid w:val="00CD7E3D"/>
    <w:rsid w:val="00D03FAD"/>
    <w:rsid w:val="00D302C5"/>
    <w:rsid w:val="00D471A5"/>
    <w:rsid w:val="00D973CD"/>
    <w:rsid w:val="00E357C3"/>
    <w:rsid w:val="00E822F6"/>
    <w:rsid w:val="00EA3420"/>
    <w:rsid w:val="00F10A6A"/>
    <w:rsid w:val="00F76A70"/>
    <w:rsid w:val="00F8522C"/>
    <w:rsid w:val="00F9506D"/>
    <w:rsid w:val="00FB221B"/>
    <w:rsid w:val="00FC6B66"/>
    <w:rsid w:val="00F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5C360"/>
  <w15:docId w15:val="{169AAD33-D163-2749-A616-5101DD3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52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522C"/>
    <w:rPr>
      <w:sz w:val="18"/>
      <w:szCs w:val="18"/>
    </w:rPr>
  </w:style>
  <w:style w:type="character" w:styleId="CommentReference">
    <w:name w:val="annotation reference"/>
    <w:basedOn w:val="DefaultParagraphFont"/>
    <w:rsid w:val="00F8522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qFormat/>
    <w:rsid w:val="00F8522C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852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85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22C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527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27A23"/>
    <w:rPr>
      <w:sz w:val="18"/>
      <w:szCs w:val="18"/>
    </w:rPr>
  </w:style>
  <w:style w:type="paragraph" w:styleId="Footer">
    <w:name w:val="footer"/>
    <w:basedOn w:val="Normal"/>
    <w:link w:val="FooterChar"/>
    <w:rsid w:val="00527A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27A23"/>
    <w:rPr>
      <w:sz w:val="18"/>
      <w:szCs w:val="18"/>
    </w:rPr>
  </w:style>
  <w:style w:type="paragraph" w:styleId="Revision">
    <w:name w:val="Revision"/>
    <w:hidden/>
    <w:uiPriority w:val="99"/>
    <w:semiHidden/>
    <w:rsid w:val="00065866"/>
    <w:rPr>
      <w:sz w:val="24"/>
      <w:szCs w:val="24"/>
    </w:rPr>
  </w:style>
  <w:style w:type="character" w:customStyle="1" w:styleId="jlqj4b">
    <w:name w:val="jlqj4b"/>
    <w:basedOn w:val="DefaultParagraphFont"/>
    <w:rsid w:val="00805A4F"/>
  </w:style>
  <w:style w:type="character" w:styleId="Hyperlink">
    <w:name w:val="Hyperlink"/>
    <w:uiPriority w:val="99"/>
    <w:semiHidden/>
    <w:unhideWhenUsed/>
    <w:rsid w:val="00F10A6A"/>
    <w:rPr>
      <w:rFonts w:ascii="Times New Roman" w:hAnsi="Times New Roman" w:cs="Times New Roman" w:hint="default"/>
      <w:color w:val="0000FF"/>
      <w:u w:val="single"/>
    </w:rPr>
  </w:style>
  <w:style w:type="character" w:customStyle="1" w:styleId="Char">
    <w:name w:val="纯文本 Char"/>
    <w:link w:val="PlainText1"/>
    <w:locked/>
    <w:rsid w:val="00F10A6A"/>
    <w:rPr>
      <w:rFonts w:ascii="SimSun" w:eastAsia="SimSun" w:hAnsi="Courier New" w:cs="Courier New"/>
      <w:szCs w:val="21"/>
    </w:rPr>
  </w:style>
  <w:style w:type="paragraph" w:customStyle="1" w:styleId="PlainText1">
    <w:name w:val="Plain Text1"/>
    <w:basedOn w:val="Normal"/>
    <w:link w:val="Char"/>
    <w:rsid w:val="00F10A6A"/>
    <w:pPr>
      <w:widowControl w:val="0"/>
      <w:jc w:val="both"/>
    </w:pPr>
    <w:rPr>
      <w:rFonts w:ascii="SimSun" w:eastAsia="SimSun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3152</Words>
  <Characters>17967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4</cp:revision>
  <dcterms:created xsi:type="dcterms:W3CDTF">2022-04-26T17:02:00Z</dcterms:created>
  <dcterms:modified xsi:type="dcterms:W3CDTF">2022-04-26T17:07:00Z</dcterms:modified>
</cp:coreProperties>
</file>