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FC1BE" w14:textId="77777777" w:rsidR="00540214" w:rsidRDefault="00DF66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BC86632" w14:textId="77777777" w:rsidR="00540214" w:rsidRDefault="00DF66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66888</w:t>
      </w:r>
    </w:p>
    <w:p w14:paraId="520573A4" w14:textId="77777777" w:rsidR="00540214" w:rsidRDefault="00DF66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6322E93" w14:textId="77777777" w:rsidR="00540214" w:rsidRDefault="00540214">
      <w:pPr>
        <w:spacing w:line="360" w:lineRule="auto"/>
        <w:jc w:val="both"/>
      </w:pPr>
    </w:p>
    <w:p w14:paraId="3E3188A1" w14:textId="77777777" w:rsidR="00540214" w:rsidRDefault="00DF66A4">
      <w:pPr>
        <w:spacing w:line="360" w:lineRule="auto"/>
        <w:jc w:val="both"/>
        <w:rPr>
          <w:lang w:eastAsia="zh-CN"/>
        </w:rPr>
      </w:pPr>
      <w:r>
        <w:rPr>
          <w:rFonts w:ascii="Book Antiqua" w:eastAsia="Book Antiqua" w:hAnsi="Book Antiqua" w:cs="Book Antiqua"/>
          <w:b/>
          <w:bCs/>
          <w:color w:val="000000"/>
        </w:rPr>
        <w:t>Successful treatment of gastrointestinal infection-induced septic shock using the oXiris</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hemofilter: A case report</w:t>
      </w:r>
    </w:p>
    <w:p w14:paraId="0D53706B" w14:textId="77777777" w:rsidR="00540214" w:rsidRDefault="00540214">
      <w:pPr>
        <w:spacing w:line="360" w:lineRule="auto"/>
        <w:jc w:val="both"/>
      </w:pPr>
    </w:p>
    <w:p w14:paraId="550C69E0" w14:textId="77777777" w:rsidR="00540214" w:rsidRDefault="00DF66A4">
      <w:pPr>
        <w:spacing w:line="360" w:lineRule="auto"/>
        <w:jc w:val="both"/>
      </w:pPr>
      <w:r>
        <w:rPr>
          <w:rFonts w:ascii="Book Antiqua" w:eastAsia="Book Antiqua" w:hAnsi="Book Antiqua" w:cs="Book Antiqua"/>
          <w:color w:val="000000"/>
        </w:rPr>
        <w:t>Li</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Y </w:t>
      </w:r>
      <w:r>
        <w:rPr>
          <w:rFonts w:ascii="Book Antiqua" w:hAnsi="Book Antiqua" w:cs="Book Antiqua" w:hint="eastAsia"/>
          <w:bCs/>
          <w:i/>
          <w:color w:val="000000"/>
          <w:lang w:eastAsia="zh-CN"/>
        </w:rPr>
        <w:t>et al</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oXiris</w:t>
      </w:r>
      <w:r>
        <w:rPr>
          <w:rFonts w:ascii="Book Antiqua" w:eastAsia="Book Antiqua" w:hAnsi="Book Antiqua" w:cs="Book Antiqua"/>
          <w:bCs/>
          <w:color w:val="000000"/>
          <w:szCs w:val="30"/>
          <w:vertAlign w:val="superscript"/>
        </w:rPr>
        <w:t>®</w:t>
      </w:r>
      <w:r>
        <w:rPr>
          <w:rFonts w:ascii="Book Antiqua" w:eastAsia="Book Antiqua" w:hAnsi="Book Antiqua" w:cs="Book Antiqua"/>
          <w:bCs/>
          <w:color w:val="000000"/>
        </w:rPr>
        <w:t xml:space="preserve"> for treatment of septic AKI</w:t>
      </w:r>
    </w:p>
    <w:p w14:paraId="58468845" w14:textId="77777777" w:rsidR="00540214" w:rsidRDefault="00540214">
      <w:pPr>
        <w:spacing w:line="360" w:lineRule="auto"/>
        <w:jc w:val="both"/>
      </w:pPr>
    </w:p>
    <w:p w14:paraId="24E6AD5D" w14:textId="77777777" w:rsidR="00540214" w:rsidRDefault="00DF66A4">
      <w:pPr>
        <w:spacing w:line="360" w:lineRule="auto"/>
        <w:jc w:val="both"/>
      </w:pPr>
      <w:r>
        <w:rPr>
          <w:rFonts w:ascii="Book Antiqua" w:eastAsia="Book Antiqua" w:hAnsi="Book Antiqua" w:cs="Book Antiqua"/>
          <w:color w:val="000000"/>
        </w:rPr>
        <w:t>Yu Li, Xiao-Jun Ji, Dan-Yang Jing, Zheng-Hui Huang, Mei-Li Duan</w:t>
      </w:r>
    </w:p>
    <w:p w14:paraId="40958AA6" w14:textId="77777777" w:rsidR="00540214" w:rsidRDefault="00540214">
      <w:pPr>
        <w:spacing w:line="360" w:lineRule="auto"/>
        <w:jc w:val="both"/>
      </w:pPr>
    </w:p>
    <w:p w14:paraId="43F4CF2E" w14:textId="77777777" w:rsidR="00540214" w:rsidRDefault="00DF66A4">
      <w:pPr>
        <w:spacing w:line="360" w:lineRule="auto"/>
        <w:jc w:val="both"/>
      </w:pPr>
      <w:r>
        <w:rPr>
          <w:rFonts w:ascii="Book Antiqua" w:eastAsia="Book Antiqua" w:hAnsi="Book Antiqua" w:cs="Book Antiqua"/>
          <w:b/>
          <w:bCs/>
          <w:color w:val="000000"/>
        </w:rPr>
        <w:t xml:space="preserve">Yu Li, Xiao-Jun Ji, Dan-Yang Jing, Zheng-Hui Huang, Mei-Li Duan, </w:t>
      </w:r>
      <w:r>
        <w:rPr>
          <w:rFonts w:ascii="Book Antiqua" w:eastAsia="Book Antiqua" w:hAnsi="Book Antiqua" w:cs="Book Antiqua"/>
          <w:color w:val="000000"/>
        </w:rPr>
        <w:t>Department of Intensive Care Unit, Beijing Friendship Hospital, Capital Medical University, Beijing 100050, China</w:t>
      </w:r>
    </w:p>
    <w:p w14:paraId="21BCFF7D" w14:textId="77777777" w:rsidR="00540214" w:rsidRDefault="00540214">
      <w:pPr>
        <w:spacing w:line="360" w:lineRule="auto"/>
        <w:jc w:val="both"/>
      </w:pPr>
    </w:p>
    <w:p w14:paraId="6AA227D6" w14:textId="77777777" w:rsidR="00540214" w:rsidRDefault="00DF66A4">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 </w:t>
      </w:r>
      <w:r>
        <w:rPr>
          <w:rFonts w:ascii="Book Antiqua" w:eastAsia="Book Antiqua" w:hAnsi="Book Antiqua" w:cs="Book Antiqua"/>
          <w:color w:val="000000"/>
        </w:rPr>
        <w:t>was the patient’s competent physician, reviewed the literature, and contributed to manuscript drafting; Ji</w:t>
      </w:r>
      <w:r>
        <w:rPr>
          <w:rFonts w:ascii="Book Antiqua" w:hAnsi="Book Antiqua" w:cs="Book Antiqua" w:hint="eastAsia"/>
          <w:color w:val="000000"/>
          <w:lang w:eastAsia="zh-CN"/>
        </w:rPr>
        <w:t xml:space="preserve"> XJ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patient’s attending physician and contributed to manuscript drafting; Jing </w:t>
      </w:r>
      <w:r>
        <w:rPr>
          <w:rFonts w:ascii="Book Antiqua" w:hAnsi="Book Antiqua" w:cs="Book Antiqua" w:hint="eastAsia"/>
          <w:color w:val="000000"/>
          <w:lang w:eastAsia="zh-CN"/>
        </w:rPr>
        <w:t xml:space="preserve">DY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ZH </w:t>
      </w:r>
      <w:r>
        <w:rPr>
          <w:rFonts w:ascii="Book Antiqua" w:eastAsia="Book Antiqua" w:hAnsi="Book Antiqua" w:cs="Book Antiqua"/>
          <w:color w:val="000000"/>
        </w:rPr>
        <w:t xml:space="preserve">obtained informed consent; Duan </w:t>
      </w:r>
      <w:r>
        <w:rPr>
          <w:rFonts w:ascii="Book Antiqua" w:hAnsi="Book Antiqua" w:cs="Book Antiqua" w:hint="eastAsia"/>
          <w:color w:val="000000"/>
          <w:lang w:eastAsia="zh-CN"/>
        </w:rPr>
        <w:t xml:space="preserve">ML </w:t>
      </w:r>
      <w:r>
        <w:rPr>
          <w:rFonts w:ascii="Book Antiqua" w:eastAsia="Book Antiqua" w:hAnsi="Book Antiqua" w:cs="Book Antiqua"/>
          <w:color w:val="000000"/>
        </w:rPr>
        <w:t>was responsible for the revision of the manuscript; all authors gave final approval for the submitted version.</w:t>
      </w:r>
    </w:p>
    <w:p w14:paraId="69DF3D3E" w14:textId="77777777" w:rsidR="00540214" w:rsidRDefault="00540214">
      <w:pPr>
        <w:spacing w:line="360" w:lineRule="auto"/>
        <w:jc w:val="both"/>
      </w:pPr>
    </w:p>
    <w:p w14:paraId="343D6112" w14:textId="77777777" w:rsidR="00540214" w:rsidRDefault="00DF66A4">
      <w:pPr>
        <w:spacing w:line="360" w:lineRule="auto"/>
        <w:jc w:val="both"/>
      </w:pPr>
      <w:r>
        <w:rPr>
          <w:rFonts w:ascii="Book Antiqua" w:eastAsia="Book Antiqua" w:hAnsi="Book Antiqua" w:cs="Book Antiqua"/>
          <w:b/>
          <w:bCs/>
          <w:color w:val="000000"/>
        </w:rPr>
        <w:t xml:space="preserve">Corresponding author: Mei-Li Duan, MD, PhD, Chief Doctor, Professor, </w:t>
      </w:r>
      <w:r>
        <w:rPr>
          <w:rFonts w:ascii="Book Antiqua" w:eastAsia="Book Antiqua" w:hAnsi="Book Antiqua" w:cs="Book Antiqua"/>
          <w:color w:val="000000"/>
        </w:rPr>
        <w:t>Department of Intensive Care Unit, Beijing Friendship Hospital Capital Medical University, No. 95 Yong'an Road, Xicheng District, Beijing 100050, China. 13001058598@163.com</w:t>
      </w:r>
    </w:p>
    <w:p w14:paraId="31C1B872" w14:textId="77777777" w:rsidR="00540214" w:rsidRDefault="00540214">
      <w:pPr>
        <w:spacing w:line="360" w:lineRule="auto"/>
        <w:jc w:val="both"/>
      </w:pPr>
    </w:p>
    <w:p w14:paraId="6FCDBD23" w14:textId="77777777" w:rsidR="00540214" w:rsidRDefault="00DF66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 2021</w:t>
      </w:r>
    </w:p>
    <w:p w14:paraId="42DDCBBF" w14:textId="77777777" w:rsidR="00540214" w:rsidRDefault="00DF66A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51DE24BE" w14:textId="6A819BEB" w:rsidR="00540214" w:rsidRDefault="00DF66A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027FA">
        <w:rPr>
          <w:rFonts w:ascii="Book Antiqua" w:eastAsia="宋体" w:hAnsi="Book Antiqua" w:hint="eastAsia"/>
          <w:color w:val="000000" w:themeColor="text1"/>
        </w:rPr>
        <w:t>Au</w:t>
      </w:r>
      <w:r w:rsidR="00A027FA">
        <w:rPr>
          <w:rFonts w:ascii="Book Antiqua" w:eastAsia="宋体" w:hAnsi="Book Antiqua"/>
          <w:color w:val="000000" w:themeColor="text1"/>
        </w:rPr>
        <w:t>gust</w:t>
      </w:r>
      <w:r w:rsidR="00A027FA" w:rsidRPr="00F06907">
        <w:rPr>
          <w:rFonts w:ascii="Book Antiqua" w:eastAsia="宋体" w:hAnsi="Book Antiqua"/>
          <w:color w:val="000000" w:themeColor="text1"/>
        </w:rPr>
        <w:t xml:space="preserve"> </w:t>
      </w:r>
      <w:r w:rsidR="00A027FA">
        <w:rPr>
          <w:rFonts w:ascii="Book Antiqua" w:eastAsia="宋体" w:hAnsi="Book Antiqua"/>
          <w:color w:val="000000" w:themeColor="text1"/>
        </w:rPr>
        <w:t>16</w:t>
      </w:r>
      <w:r w:rsidR="00A027FA" w:rsidRPr="00F06907">
        <w:rPr>
          <w:rFonts w:ascii="Book Antiqua" w:eastAsia="宋体" w:hAnsi="Book Antiqua"/>
          <w:color w:val="000000" w:themeColor="text1"/>
        </w:rPr>
        <w:t>, 2021</w:t>
      </w:r>
      <w:bookmarkEnd w:id="0"/>
      <w:bookmarkEnd w:id="1"/>
      <w:bookmarkEnd w:id="2"/>
    </w:p>
    <w:p w14:paraId="52347C5E" w14:textId="1F9892AA" w:rsidR="00540214" w:rsidRPr="007F1B90" w:rsidRDefault="00DF66A4">
      <w:pPr>
        <w:spacing w:line="360" w:lineRule="auto"/>
        <w:jc w:val="both"/>
      </w:pPr>
      <w:r>
        <w:rPr>
          <w:rFonts w:ascii="Book Antiqua" w:eastAsia="Book Antiqua" w:hAnsi="Book Antiqua" w:cs="Book Antiqua"/>
          <w:b/>
          <w:bCs/>
          <w:color w:val="000000"/>
        </w:rPr>
        <w:t xml:space="preserve">Published online: </w:t>
      </w:r>
      <w:r w:rsidR="007F1B90" w:rsidRPr="007F1B90">
        <w:rPr>
          <w:rFonts w:ascii="Book Antiqua" w:eastAsia="宋体" w:hAnsi="Book Antiqua"/>
          <w:color w:val="000000" w:themeColor="text1"/>
        </w:rPr>
        <w:t>September 26</w:t>
      </w:r>
      <w:r w:rsidR="007F1B90" w:rsidRPr="00F06907">
        <w:rPr>
          <w:rFonts w:ascii="Book Antiqua" w:eastAsia="宋体" w:hAnsi="Book Antiqua"/>
          <w:color w:val="000000" w:themeColor="text1"/>
        </w:rPr>
        <w:t>, 2021</w:t>
      </w:r>
    </w:p>
    <w:p w14:paraId="4293F8D7" w14:textId="77777777" w:rsidR="00540214" w:rsidRDefault="00540214">
      <w:pPr>
        <w:spacing w:line="360" w:lineRule="auto"/>
        <w:jc w:val="both"/>
        <w:sectPr w:rsidR="00540214">
          <w:footerReference w:type="default" r:id="rId8"/>
          <w:pgSz w:w="12240" w:h="15840"/>
          <w:pgMar w:top="1440" w:right="1440" w:bottom="1440" w:left="1440" w:header="720" w:footer="720" w:gutter="0"/>
          <w:cols w:space="720"/>
          <w:docGrid w:linePitch="360"/>
        </w:sectPr>
      </w:pPr>
    </w:p>
    <w:p w14:paraId="41BE3004" w14:textId="77777777" w:rsidR="00540214" w:rsidRDefault="00DF66A4">
      <w:pPr>
        <w:spacing w:line="360" w:lineRule="auto"/>
        <w:jc w:val="both"/>
      </w:pPr>
      <w:r>
        <w:rPr>
          <w:rFonts w:ascii="Book Antiqua" w:eastAsia="Book Antiqua" w:hAnsi="Book Antiqua" w:cs="Book Antiqua"/>
          <w:b/>
          <w:color w:val="000000"/>
        </w:rPr>
        <w:lastRenderedPageBreak/>
        <w:t>Abstract</w:t>
      </w:r>
    </w:p>
    <w:p w14:paraId="3844D01C" w14:textId="77777777" w:rsidR="00540214" w:rsidRDefault="00DF66A4">
      <w:pPr>
        <w:spacing w:line="360" w:lineRule="auto"/>
        <w:jc w:val="both"/>
      </w:pPr>
      <w:r>
        <w:rPr>
          <w:rFonts w:ascii="Book Antiqua" w:eastAsia="Book Antiqua" w:hAnsi="Book Antiqua" w:cs="Book Antiqua"/>
          <w:color w:val="000000"/>
        </w:rPr>
        <w:t>BACKGROUND</w:t>
      </w:r>
    </w:p>
    <w:p w14:paraId="42F0A707" w14:textId="77777777" w:rsidR="00540214" w:rsidRDefault="00DF66A4">
      <w:pPr>
        <w:spacing w:line="360" w:lineRule="auto"/>
        <w:jc w:val="both"/>
      </w:pPr>
      <w:r>
        <w:rPr>
          <w:rFonts w:ascii="Book Antiqua" w:eastAsia="Book Antiqua" w:hAnsi="Book Antiqua" w:cs="Book Antiqua"/>
          <w:color w:val="000000"/>
        </w:rPr>
        <w:t>Septic shock leads to multiple organ failure, and bacterial endotoxins and endogenous cytokines play essential roles in the pathogenesis.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can efficiently adsorb endotoxins and cytokines.</w:t>
      </w:r>
    </w:p>
    <w:p w14:paraId="25447DC1" w14:textId="77777777" w:rsidR="00540214" w:rsidRDefault="00540214">
      <w:pPr>
        <w:spacing w:line="360" w:lineRule="auto"/>
        <w:jc w:val="both"/>
      </w:pPr>
    </w:p>
    <w:p w14:paraId="4F991028" w14:textId="77777777" w:rsidR="00540214" w:rsidRDefault="00DF66A4">
      <w:pPr>
        <w:spacing w:line="360" w:lineRule="auto"/>
        <w:jc w:val="both"/>
      </w:pPr>
      <w:r>
        <w:rPr>
          <w:rFonts w:ascii="Book Antiqua" w:eastAsia="Book Antiqua" w:hAnsi="Book Antiqua" w:cs="Book Antiqua"/>
          <w:color w:val="000000"/>
        </w:rPr>
        <w:t>CASE SUMMARY</w:t>
      </w:r>
    </w:p>
    <w:p w14:paraId="3E0DAD77" w14:textId="77777777" w:rsidR="00540214" w:rsidRDefault="00DF66A4">
      <w:pPr>
        <w:spacing w:line="360" w:lineRule="auto"/>
        <w:jc w:val="both"/>
      </w:pPr>
      <w:r>
        <w:rPr>
          <w:rFonts w:ascii="Book Antiqua" w:eastAsia="Book Antiqua" w:hAnsi="Book Antiqua" w:cs="Book Antiqua"/>
          <w:color w:val="000000"/>
        </w:rPr>
        <w:t>We admitted a critically ill 59 year-old male patient with gastrointestinal septic shock due to infection by a Gram-negative bacterium and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acute kidney injury (AKI). Prior to intensive care unit admission, the patient reported intermittent diarrhea and decreased urine output. His blood pressure was 70/40 mmHg, necessitating fluid resuscitation and large doses of noradrenaline. Based on the results of a blood culture and the presence of hypotension, oliguria, and hypoxemia, we diagnosed septic shock, AKI, and multiple organ dysfunction. We administered continuous renal replacement therapy (CRRT) with an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for 72 h</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intermittent continuous</w:t>
      </w:r>
      <w:r>
        <w:rPr>
          <w:rFonts w:ascii="Book Antiqua" w:hAnsi="Book Antiqua" w:cs="Book Antiqua" w:hint="eastAsia"/>
          <w:color w:val="000000"/>
          <w:lang w:eastAsia="zh-CN"/>
        </w:rPr>
        <w:t xml:space="preserve"> </w:t>
      </w:r>
      <w:r>
        <w:rPr>
          <w:rFonts w:ascii="Book Antiqua" w:eastAsia="Book Antiqua" w:hAnsi="Book Antiqua" w:cs="Book Antiqua"/>
          <w:color w:val="000000"/>
        </w:rPr>
        <w:t>veno-venous hemodiafiltration (CVVHDF), and changed the filter every 12 h. After his hemodynamic parameters were stable, we used a traditional filter (AN69 hemofilter) with intermittent CVVHDF. The 72 h CRRT with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led to stabilization of his vital signs, marked reductions in disease severity scores, and decreased levels of procalcitonin, endotoxin, and inflammatory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8 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CRRT, his kidney function had completely recovered.</w:t>
      </w:r>
    </w:p>
    <w:p w14:paraId="2DC48D64" w14:textId="77777777" w:rsidR="00540214" w:rsidRDefault="00540214">
      <w:pPr>
        <w:spacing w:line="360" w:lineRule="auto"/>
        <w:jc w:val="both"/>
      </w:pPr>
    </w:p>
    <w:p w14:paraId="68710307" w14:textId="77777777" w:rsidR="00540214" w:rsidRDefault="00DF66A4">
      <w:pPr>
        <w:spacing w:line="360" w:lineRule="auto"/>
        <w:jc w:val="both"/>
      </w:pPr>
      <w:r>
        <w:rPr>
          <w:rFonts w:ascii="Book Antiqua" w:eastAsia="Book Antiqua" w:hAnsi="Book Antiqua" w:cs="Book Antiqua"/>
          <w:color w:val="000000"/>
        </w:rPr>
        <w:t>CONCLUSION</w:t>
      </w:r>
    </w:p>
    <w:p w14:paraId="528E0B3E" w14:textId="77777777" w:rsidR="00540214" w:rsidRDefault="00DF66A4">
      <w:pPr>
        <w:spacing w:line="360" w:lineRule="auto"/>
        <w:jc w:val="both"/>
      </w:pPr>
      <w:r>
        <w:rPr>
          <w:rFonts w:ascii="Book Antiqua" w:eastAsia="Book Antiqua" w:hAnsi="Book Antiqua" w:cs="Book Antiqua"/>
          <w:color w:val="000000"/>
        </w:rPr>
        <w:t>We conclude that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combined with appropriate antibacterial therapy was an effective treatment for this patient with gastrointestinal septic shock.</w:t>
      </w:r>
    </w:p>
    <w:p w14:paraId="2E523259" w14:textId="77777777" w:rsidR="00540214" w:rsidRDefault="00540214">
      <w:pPr>
        <w:spacing w:line="360" w:lineRule="auto"/>
        <w:jc w:val="both"/>
      </w:pPr>
    </w:p>
    <w:p w14:paraId="22625E98" w14:textId="77777777" w:rsidR="00540214" w:rsidRDefault="00DF66A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Sepsis; Septic shock; Acute kidney injury; Continuous renal replacement therapy;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Case report</w:t>
      </w:r>
    </w:p>
    <w:p w14:paraId="63B4F822" w14:textId="77777777" w:rsidR="00001E67" w:rsidRDefault="00001E67" w:rsidP="00001E67">
      <w:pPr>
        <w:spacing w:line="360" w:lineRule="auto"/>
        <w:jc w:val="both"/>
        <w:rPr>
          <w:lang w:eastAsia="zh-CN"/>
        </w:rPr>
      </w:pPr>
    </w:p>
    <w:p w14:paraId="30A01A27" w14:textId="77777777" w:rsidR="00001E67" w:rsidRPr="00026CB8" w:rsidRDefault="00001E67" w:rsidP="00001E6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2D3B407" w14:textId="77777777" w:rsidR="00540214" w:rsidRDefault="00540214">
      <w:pPr>
        <w:spacing w:line="360" w:lineRule="auto"/>
        <w:jc w:val="both"/>
      </w:pPr>
    </w:p>
    <w:p w14:paraId="59C056D9" w14:textId="60823694" w:rsidR="00123F21" w:rsidRDefault="00123F21" w:rsidP="001754A7">
      <w:pPr>
        <w:adjustRightInd w:val="0"/>
        <w:snapToGrid w:val="0"/>
        <w:spacing w:line="360" w:lineRule="auto"/>
        <w:rPr>
          <w:rFonts w:ascii="Book Antiqua" w:hAnsi="Book Antiqua" w:cs="Book Antiqua" w:hint="eastAsia"/>
          <w:lang w:val="pt-BR" w:eastAsia="zh-CN"/>
        </w:rPr>
      </w:pPr>
      <w:r w:rsidRPr="00123F21">
        <w:rPr>
          <w:rFonts w:ascii="Book Antiqua" w:hAnsi="Book Antiqua" w:cs="Book Antiqua" w:hint="eastAsia"/>
          <w:b/>
          <w:color w:val="000000"/>
          <w:lang w:eastAsia="zh-CN"/>
        </w:rPr>
        <w:t xml:space="preserve">Citation: </w:t>
      </w:r>
      <w:r w:rsidR="00DF66A4">
        <w:rPr>
          <w:rFonts w:ascii="Book Antiqua" w:eastAsia="Book Antiqua" w:hAnsi="Book Antiqua" w:cs="Book Antiqua"/>
          <w:color w:val="000000"/>
        </w:rPr>
        <w:t>Li Y, Ji XJ, Jing DY, Huang ZH, Duan ML. Successful treatment of gastrointestinal infection-induced septic shock using the oXiris</w:t>
      </w:r>
      <w:r w:rsidR="00DF66A4">
        <w:rPr>
          <w:rFonts w:ascii="Book Antiqua" w:eastAsia="Book Antiqua" w:hAnsi="Book Antiqua" w:cs="Book Antiqua"/>
          <w:color w:val="000000"/>
          <w:vertAlign w:val="superscript"/>
        </w:rPr>
        <w:t>®</w:t>
      </w:r>
      <w:r w:rsidR="00DF66A4">
        <w:rPr>
          <w:rFonts w:ascii="Book Antiqua" w:eastAsia="Book Antiqua" w:hAnsi="Book Antiqua" w:cs="Book Antiqua"/>
          <w:color w:val="000000"/>
        </w:rPr>
        <w:t xml:space="preserve"> hemofilter: A case report. </w:t>
      </w:r>
      <w:r w:rsidR="00DF66A4">
        <w:rPr>
          <w:rFonts w:ascii="Book Antiqua" w:eastAsia="Book Antiqua" w:hAnsi="Book Antiqua" w:cs="Book Antiqua"/>
          <w:i/>
          <w:iCs/>
          <w:color w:val="000000"/>
        </w:rPr>
        <w:t>World J Clin Cases</w:t>
      </w:r>
      <w:r w:rsidR="00DF66A4">
        <w:rPr>
          <w:rFonts w:ascii="Book Antiqua" w:eastAsia="Book Antiqua" w:hAnsi="Book Antiqua" w:cs="Book Antiqua"/>
          <w:color w:val="000000"/>
        </w:rPr>
        <w:t xml:space="preserve"> </w:t>
      </w:r>
      <w:bookmarkStart w:id="3" w:name="_Hlk56867303"/>
      <w:r w:rsidR="001754A7" w:rsidRPr="00D2753A">
        <w:rPr>
          <w:rFonts w:ascii="Book Antiqua" w:eastAsia="Book Antiqua" w:hAnsi="Book Antiqua" w:cs="Book Antiqua"/>
          <w:lang w:val="pt-BR"/>
        </w:rPr>
        <w:t>2021; 9(</w:t>
      </w:r>
      <w:r w:rsidR="001754A7">
        <w:rPr>
          <w:rFonts w:ascii="Book Antiqua" w:eastAsia="Book Antiqua" w:hAnsi="Book Antiqua" w:cs="Book Antiqua"/>
          <w:lang w:val="pt-BR"/>
        </w:rPr>
        <w:t>27</w:t>
      </w:r>
      <w:r w:rsidR="001754A7" w:rsidRPr="00D2753A">
        <w:rPr>
          <w:rFonts w:ascii="Book Antiqua" w:eastAsia="Book Antiqua" w:hAnsi="Book Antiqua" w:cs="Book Antiqua"/>
          <w:lang w:val="pt-BR"/>
        </w:rPr>
        <w:t xml:space="preserve">): </w:t>
      </w:r>
      <w:r w:rsidRPr="00123F21">
        <w:rPr>
          <w:rFonts w:ascii="Book Antiqua" w:eastAsia="Book Antiqua" w:hAnsi="Book Antiqua" w:cs="Book Antiqua"/>
          <w:lang w:val="pt-BR"/>
        </w:rPr>
        <w:t>8157-8163</w:t>
      </w:r>
      <w:r w:rsidR="001754A7" w:rsidRPr="00D2753A">
        <w:rPr>
          <w:rFonts w:ascii="Book Antiqua" w:eastAsia="Book Antiqua" w:hAnsi="Book Antiqua" w:cs="Book Antiqua"/>
          <w:lang w:val="pt-BR"/>
        </w:rPr>
        <w:t xml:space="preserve"> </w:t>
      </w:r>
    </w:p>
    <w:p w14:paraId="57DAE6DF" w14:textId="77777777" w:rsidR="00123F21" w:rsidRDefault="001754A7" w:rsidP="001754A7">
      <w:pPr>
        <w:adjustRightInd w:val="0"/>
        <w:snapToGrid w:val="0"/>
        <w:spacing w:line="360" w:lineRule="auto"/>
        <w:rPr>
          <w:rFonts w:ascii="Book Antiqua" w:hAnsi="Book Antiqua" w:cs="Book Antiqua" w:hint="eastAsia"/>
          <w:lang w:val="pt-BR" w:eastAsia="zh-CN"/>
        </w:rPr>
      </w:pPr>
      <w:r w:rsidRPr="00123F21">
        <w:rPr>
          <w:rFonts w:ascii="Book Antiqua" w:eastAsia="Book Antiqua" w:hAnsi="Book Antiqua" w:cs="Book Antiqua"/>
          <w:b/>
          <w:lang w:val="pt-BR"/>
        </w:rPr>
        <w:t>URL:</w:t>
      </w:r>
      <w:r w:rsidRPr="00D2753A">
        <w:rPr>
          <w:rFonts w:ascii="Book Antiqua" w:eastAsia="Book Antiqua" w:hAnsi="Book Antiqua" w:cs="Book Antiqua"/>
          <w:lang w:val="pt-BR"/>
        </w:rPr>
        <w:t xml:space="preserve"> https://www.wjgnet.com/2307-8960/full/v9/i</w:t>
      </w:r>
      <w:r>
        <w:rPr>
          <w:rFonts w:ascii="Book Antiqua" w:eastAsia="Book Antiqua" w:hAnsi="Book Antiqua" w:cs="Book Antiqua"/>
          <w:lang w:val="pt-BR"/>
        </w:rPr>
        <w:t>27</w:t>
      </w:r>
      <w:r w:rsidRPr="00D2753A">
        <w:rPr>
          <w:rFonts w:ascii="Book Antiqua" w:eastAsia="Book Antiqua" w:hAnsi="Book Antiqua" w:cs="Book Antiqua"/>
          <w:lang w:val="pt-BR"/>
        </w:rPr>
        <w:t>/</w:t>
      </w:r>
      <w:r w:rsidR="00123F21" w:rsidRPr="00123F21">
        <w:rPr>
          <w:rFonts w:ascii="Book Antiqua" w:eastAsia="Book Antiqua" w:hAnsi="Book Antiqua" w:cs="Book Antiqua"/>
          <w:lang w:val="pt-BR"/>
        </w:rPr>
        <w:t>8157</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28D1F032" w14:textId="03D7DC39" w:rsidR="001754A7" w:rsidRPr="00D2753A" w:rsidRDefault="001754A7" w:rsidP="001754A7">
      <w:pPr>
        <w:adjustRightInd w:val="0"/>
        <w:snapToGrid w:val="0"/>
        <w:spacing w:line="360" w:lineRule="auto"/>
        <w:rPr>
          <w:rFonts w:ascii="Book Antiqua" w:hAnsi="Book Antiqua" w:cs="Book Antiqua"/>
          <w:lang w:val="pt-BR"/>
        </w:rPr>
      </w:pPr>
      <w:r w:rsidRPr="00123F21">
        <w:rPr>
          <w:rFonts w:ascii="Book Antiqua" w:eastAsia="Book Antiqua" w:hAnsi="Book Antiqua" w:cs="Book Antiqua"/>
          <w:b/>
          <w:lang w:val="pt-BR"/>
        </w:rPr>
        <w:t xml:space="preserve">DOI: </w:t>
      </w:r>
      <w:r w:rsidRPr="00D2753A">
        <w:rPr>
          <w:rFonts w:ascii="Book Antiqua" w:eastAsia="Book Antiqua" w:hAnsi="Book Antiqua" w:cs="Book Antiqua"/>
          <w:lang w:val="pt-BR"/>
        </w:rPr>
        <w:t>https://dx.doi.org/10.12998/wjcc.v9.i</w:t>
      </w:r>
      <w:r>
        <w:rPr>
          <w:rFonts w:ascii="Book Antiqua" w:eastAsia="Book Antiqua" w:hAnsi="Book Antiqua" w:cs="Book Antiqua"/>
          <w:lang w:val="pt-BR"/>
        </w:rPr>
        <w:t>27</w:t>
      </w:r>
      <w:r w:rsidRPr="00D2753A">
        <w:rPr>
          <w:rFonts w:ascii="Book Antiqua" w:eastAsia="Book Antiqua" w:hAnsi="Book Antiqua" w:cs="Book Antiqua"/>
          <w:lang w:val="pt-BR"/>
        </w:rPr>
        <w:t>.</w:t>
      </w:r>
      <w:r w:rsidR="00123F21" w:rsidRPr="00123F21">
        <w:rPr>
          <w:rFonts w:ascii="Book Antiqua" w:eastAsia="Book Antiqua" w:hAnsi="Book Antiqua" w:cs="Book Antiqua"/>
          <w:lang w:val="pt-BR"/>
        </w:rPr>
        <w:t>8157</w:t>
      </w:r>
    </w:p>
    <w:bookmarkEnd w:id="3"/>
    <w:p w14:paraId="7D65DA6B" w14:textId="18F87BA5" w:rsidR="00540214" w:rsidRPr="001754A7" w:rsidRDefault="00540214">
      <w:pPr>
        <w:spacing w:line="360" w:lineRule="auto"/>
        <w:jc w:val="both"/>
        <w:rPr>
          <w:lang w:val="pt-BR"/>
        </w:rPr>
      </w:pPr>
    </w:p>
    <w:p w14:paraId="47794377" w14:textId="77777777" w:rsidR="00540214" w:rsidRDefault="00DF66A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Septic shock results in multiple organ failure and is associated with a high mortality rate, and patients with septic acute kidney injury (AKI) have an even greater risk of mortality. We report the successful treatment of a patient with gastrointestinal septic AKI using continuous renal replacement therapy (CRRT) with an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These results suggest that early use of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with CCRT may be useful for other patients with gastrointestinal septic AKI.</w:t>
      </w:r>
    </w:p>
    <w:p w14:paraId="121E0B2B" w14:textId="77777777" w:rsidR="00540214" w:rsidRDefault="00DF66A4">
      <w:pPr>
        <w:spacing w:line="360" w:lineRule="auto"/>
        <w:jc w:val="both"/>
      </w:pPr>
      <w:r>
        <w:br w:type="page"/>
      </w:r>
      <w:r>
        <w:rPr>
          <w:rFonts w:ascii="Book Antiqua" w:eastAsia="Book Antiqua" w:hAnsi="Book Antiqua" w:cs="Book Antiqua"/>
          <w:b/>
          <w:caps/>
          <w:color w:val="000000"/>
          <w:u w:val="single"/>
        </w:rPr>
        <w:t>INTRODUCTION</w:t>
      </w:r>
    </w:p>
    <w:p w14:paraId="259F296B" w14:textId="77777777" w:rsidR="00540214" w:rsidRDefault="00DF66A4">
      <w:pPr>
        <w:spacing w:line="360" w:lineRule="auto"/>
        <w:jc w:val="both"/>
      </w:pPr>
      <w:r>
        <w:rPr>
          <w:rFonts w:ascii="Book Antiqua" w:eastAsia="Book Antiqua" w:hAnsi="Book Antiqua" w:cs="Book Antiqua"/>
          <w:color w:val="000000"/>
        </w:rPr>
        <w:t>Acute kidney injury (AKI) is a common and severe complication that can occur in patients with sepsis. The incidence and death rate from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has increased significantly during recent years. Patients with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who have additional complications, such as pulmonary edema, hypoxemia, and acute respiratory distress syndrome, have an even greater risk of mortality. Although there has been significant progress in the development anti-infective treatments and technologies that support organ function during recent years, patients with sepsis still have a death rate as high as 25</w:t>
      </w:r>
      <w:r>
        <w:rPr>
          <w:rFonts w:ascii="Book Antiqua" w:hAnsi="Book Antiqua" w:cs="Book Antiqua" w:hint="eastAsia"/>
          <w:color w:val="000000"/>
          <w:lang w:eastAsia="zh-CN"/>
        </w:rPr>
        <w:t>%</w:t>
      </w:r>
      <w:r>
        <w:rPr>
          <w:rFonts w:ascii="Book Antiqua" w:eastAsia="Book Antiqua" w:hAnsi="Book Antiqua" w:cs="Book Antiqua"/>
          <w:color w:val="000000"/>
        </w:rPr>
        <w:t xml:space="preserve"> to 30%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Sepsis is the leading cause of AKI in intensive care unit (ICU) patients. Bagshaw </w:t>
      </w:r>
      <w:r>
        <w:rPr>
          <w:rFonts w:ascii="Book Antiqua" w:eastAsia="Book Antiqua" w:hAnsi="Book Antiqua" w:cs="Book Antiqua"/>
          <w:i/>
          <w:iCs/>
          <w:color w:val="000000"/>
        </w:rPr>
        <w:t>et al</w:t>
      </w:r>
      <w:r>
        <w:rPr>
          <w:rFonts w:ascii="Book Antiqua" w:hAnsi="Book Antiqua" w:cs="Book Antiqua" w:hint="eastAsia"/>
          <w:color w:val="000000"/>
          <w:szCs w:val="20"/>
          <w:vertAlign w:val="superscript"/>
          <w:lang w:eastAsia="zh-CN"/>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 patients with septic AKI had longer hospitalizations and a higher in-hospital case-fatality rate than those with non-septic AKI. Several studies</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3,4</w:t>
      </w:r>
      <w:r>
        <w:rPr>
          <w:rFonts w:ascii="Book Antiqua" w:hAnsi="Book Antiqua" w:cs="Book Antiqua" w:hint="eastAsia"/>
          <w:color w:val="000000"/>
          <w:szCs w:val="20"/>
          <w:vertAlign w:val="superscript"/>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that patients receiving dialysis </w:t>
      </w:r>
      <w:r>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continuous renal replacement therapy (CRRT) may have improved prognosis. These blood purification treatments provide benefit by adsorption of endotoxins and inflammatory mediators.</w:t>
      </w:r>
    </w:p>
    <w:p w14:paraId="6604BB92" w14:textId="77777777" w:rsidR="00540214" w:rsidRDefault="00DF66A4">
      <w:pPr>
        <w:spacing w:line="360" w:lineRule="auto"/>
        <w:ind w:firstLineChars="100" w:firstLine="240"/>
        <w:jc w:val="both"/>
      </w:pPr>
      <w:r>
        <w:rPr>
          <w:rFonts w:ascii="Book Antiqua" w:eastAsia="Book Antiqua" w:hAnsi="Book Antiqua" w:cs="Book Antiqua"/>
          <w:color w:val="000000"/>
        </w:rPr>
        <w:t>Adsorption is the essential effect of CRRT, especially in treating sepsis, and it is more effective than diffusion and convection techniques. The AN69 hemofilter has an outstanding ability to adsorb inflammatory factors, and removal of endotoxins by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a huge step forward in CRRT adsorption therapy</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5</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an innovative product based on the AN69 hydrogel structure and AN69ST. The base membrane material (acrylic and sodium methyl sulfonate polymers) adsorbs inflammatory mediators and the improved polyethylenimine (PEI) coating adsorbs endotoxins. Filtration using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thus block the excessive inflammatory responses characteristic of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Here, we present the successful treatment of a patient who had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and a gastrointestinal infection using CCRT with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p>
    <w:p w14:paraId="5E9CB7BD" w14:textId="77777777" w:rsidR="00540214" w:rsidRDefault="00540214">
      <w:pPr>
        <w:spacing w:line="360" w:lineRule="auto"/>
        <w:jc w:val="both"/>
        <w:rPr>
          <w:lang w:eastAsia="zh-CN"/>
        </w:rPr>
      </w:pPr>
    </w:p>
    <w:p w14:paraId="3D41B67C" w14:textId="77777777" w:rsidR="00540214" w:rsidRDefault="00DF66A4">
      <w:pPr>
        <w:spacing w:line="360" w:lineRule="auto"/>
        <w:jc w:val="both"/>
      </w:pPr>
      <w:r>
        <w:rPr>
          <w:rFonts w:ascii="Book Antiqua" w:eastAsia="Book Antiqua" w:hAnsi="Book Antiqua" w:cs="Book Antiqua"/>
          <w:b/>
          <w:caps/>
          <w:color w:val="000000"/>
          <w:u w:val="single"/>
        </w:rPr>
        <w:t>CASE PRESENTATION</w:t>
      </w:r>
    </w:p>
    <w:p w14:paraId="1D02914F" w14:textId="77777777" w:rsidR="00540214" w:rsidRDefault="00DF66A4">
      <w:pPr>
        <w:spacing w:line="360" w:lineRule="auto"/>
        <w:jc w:val="both"/>
      </w:pPr>
      <w:r>
        <w:rPr>
          <w:rFonts w:ascii="Book Antiqua" w:eastAsia="Book Antiqua" w:hAnsi="Book Antiqua" w:cs="Book Antiqua"/>
          <w:b/>
          <w:i/>
          <w:color w:val="000000"/>
        </w:rPr>
        <w:t>Chief complaints</w:t>
      </w:r>
    </w:p>
    <w:p w14:paraId="068D4A83" w14:textId="77777777" w:rsidR="00540214" w:rsidRDefault="00DF66A4">
      <w:pPr>
        <w:spacing w:line="360" w:lineRule="auto"/>
        <w:jc w:val="both"/>
        <w:rPr>
          <w:lang w:eastAsia="zh-CN"/>
        </w:rPr>
      </w:pPr>
      <w:r>
        <w:rPr>
          <w:rFonts w:ascii="Book Antiqua" w:eastAsia="Book Antiqua" w:hAnsi="Book Antiqua" w:cs="Book Antiqua"/>
          <w:color w:val="000000"/>
        </w:rPr>
        <w:t>A 59-year-old man was admitted to the hospital with intermittent diarrhea for the previous 5 d, which developed soon after eating food that he believed was contaminated. He also had reduced urine volume for the previous 3 d (Table 1).</w:t>
      </w:r>
    </w:p>
    <w:p w14:paraId="757029A7" w14:textId="77777777" w:rsidR="00540214" w:rsidRDefault="00540214">
      <w:pPr>
        <w:spacing w:line="360" w:lineRule="auto"/>
        <w:jc w:val="both"/>
      </w:pPr>
    </w:p>
    <w:p w14:paraId="6AFACFFF" w14:textId="77777777" w:rsidR="00540214" w:rsidRDefault="00DF66A4">
      <w:pPr>
        <w:spacing w:line="360" w:lineRule="auto"/>
        <w:jc w:val="both"/>
      </w:pPr>
      <w:r>
        <w:rPr>
          <w:rFonts w:ascii="Book Antiqua" w:eastAsia="Book Antiqua" w:hAnsi="Book Antiqua" w:cs="Book Antiqua"/>
          <w:b/>
          <w:i/>
          <w:color w:val="000000"/>
        </w:rPr>
        <w:t>History of present illness</w:t>
      </w:r>
    </w:p>
    <w:p w14:paraId="330A4BDE" w14:textId="77777777" w:rsidR="00540214" w:rsidRDefault="00DF66A4">
      <w:pPr>
        <w:spacing w:line="360" w:lineRule="auto"/>
        <w:jc w:val="both"/>
        <w:rPr>
          <w:lang w:eastAsia="zh-CN"/>
        </w:rPr>
      </w:pPr>
      <w:r>
        <w:rPr>
          <w:rFonts w:ascii="Book Antiqua" w:eastAsia="Book Antiqua" w:hAnsi="Book Antiqua" w:cs="Book Antiqua"/>
          <w:color w:val="000000"/>
        </w:rPr>
        <w:t>The patient reported initially experiencing diarrhea with water-like stools more than 10 times</w:t>
      </w:r>
      <w:r>
        <w:rPr>
          <w:rFonts w:ascii="Book Antiqua" w:hAnsi="Book Antiqua" w:cs="Book Antiqua" w:hint="eastAsia"/>
          <w:color w:val="000000"/>
          <w:lang w:eastAsia="zh-CN"/>
        </w:rPr>
        <w:t>/</w:t>
      </w:r>
      <w:r>
        <w:rPr>
          <w:rFonts w:ascii="Book Antiqua" w:eastAsia="Book Antiqua" w:hAnsi="Book Antiqua" w:cs="Book Antiqua"/>
          <w:color w:val="000000"/>
        </w:rPr>
        <w:t>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were accompanied by abdominal pain, nausea, and vomiting. This was followed by a decreased production of dark-colored urine (50</w:t>
      </w:r>
      <w:r>
        <w:rPr>
          <w:rFonts w:ascii="Book Antiqua" w:hAnsi="Book Antiqua" w:cs="Book Antiqua" w:hint="eastAsia"/>
          <w:color w:val="000000"/>
          <w:lang w:eastAsia="zh-CN"/>
        </w:rPr>
        <w:t>-</w:t>
      </w:r>
      <w:r>
        <w:rPr>
          <w:rFonts w:ascii="Book Antiqua" w:eastAsia="Book Antiqua" w:hAnsi="Book Antiqua" w:cs="Book Antiqua"/>
          <w:color w:val="000000"/>
        </w:rPr>
        <w:t>100 mL/d), fatigue, and limb weakness. He was transferred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ICU</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further management.</w:t>
      </w:r>
    </w:p>
    <w:p w14:paraId="2D0D6296" w14:textId="77777777" w:rsidR="00540214" w:rsidRDefault="00540214">
      <w:pPr>
        <w:spacing w:line="360" w:lineRule="auto"/>
        <w:jc w:val="both"/>
      </w:pPr>
    </w:p>
    <w:p w14:paraId="758BCD49" w14:textId="77777777" w:rsidR="00540214" w:rsidRDefault="00DF66A4">
      <w:pPr>
        <w:spacing w:line="360" w:lineRule="auto"/>
        <w:jc w:val="both"/>
      </w:pPr>
      <w:r>
        <w:rPr>
          <w:rFonts w:ascii="Book Antiqua" w:eastAsia="Book Antiqua" w:hAnsi="Book Antiqua" w:cs="Book Antiqua"/>
          <w:b/>
          <w:i/>
          <w:color w:val="000000"/>
        </w:rPr>
        <w:t>History of past illness</w:t>
      </w:r>
    </w:p>
    <w:p w14:paraId="0F4F5D96" w14:textId="77777777" w:rsidR="00540214" w:rsidRDefault="00DF66A4">
      <w:pPr>
        <w:spacing w:line="360" w:lineRule="auto"/>
        <w:jc w:val="both"/>
        <w:rPr>
          <w:lang w:eastAsia="zh-CN"/>
        </w:rPr>
      </w:pPr>
      <w:r>
        <w:rPr>
          <w:rFonts w:ascii="Book Antiqua" w:eastAsia="Book Antiqua" w:hAnsi="Book Antiqua" w:cs="Book Antiqua"/>
          <w:color w:val="000000"/>
        </w:rPr>
        <w:t>The patient did not have any history of past illnesses.</w:t>
      </w:r>
    </w:p>
    <w:p w14:paraId="72C604E7" w14:textId="77777777" w:rsidR="00540214" w:rsidRDefault="00540214">
      <w:pPr>
        <w:spacing w:line="360" w:lineRule="auto"/>
        <w:jc w:val="both"/>
      </w:pPr>
    </w:p>
    <w:p w14:paraId="31B701B6" w14:textId="77777777" w:rsidR="00540214" w:rsidRDefault="00DF66A4">
      <w:pPr>
        <w:spacing w:line="360" w:lineRule="auto"/>
        <w:jc w:val="both"/>
      </w:pPr>
      <w:r>
        <w:rPr>
          <w:rFonts w:ascii="Book Antiqua" w:eastAsia="Book Antiqua" w:hAnsi="Book Antiqua" w:cs="Book Antiqua"/>
          <w:b/>
          <w:i/>
          <w:color w:val="000000"/>
        </w:rPr>
        <w:t>Personal and family history</w:t>
      </w:r>
    </w:p>
    <w:p w14:paraId="54C97D41" w14:textId="77777777" w:rsidR="00540214" w:rsidRDefault="00DF66A4">
      <w:pPr>
        <w:spacing w:line="360" w:lineRule="auto"/>
        <w:jc w:val="both"/>
      </w:pPr>
      <w:r>
        <w:rPr>
          <w:rFonts w:ascii="Book Antiqua" w:eastAsia="Book Antiqua" w:hAnsi="Book Antiqua" w:cs="Book Antiqua"/>
          <w:color w:val="000000"/>
        </w:rPr>
        <w:t xml:space="preserve">The patient </w:t>
      </w:r>
      <w:r>
        <w:rPr>
          <w:rFonts w:ascii="Book Antiqua" w:hAnsi="Book Antiqua" w:cs="Book Antiqua" w:hint="eastAsia"/>
          <w:color w:val="000000"/>
          <w:lang w:eastAsia="zh-CN"/>
        </w:rPr>
        <w:t>ha</w:t>
      </w:r>
      <w:r w:rsidR="00C22B56">
        <w:rPr>
          <w:rFonts w:ascii="Book Antiqua" w:hAnsi="Book Antiqua" w:cs="Book Antiqua" w:hint="eastAsia"/>
          <w:color w:val="000000"/>
          <w:lang w:eastAsia="zh-CN"/>
        </w:rPr>
        <w:t>s</w:t>
      </w:r>
      <w:r>
        <w:rPr>
          <w:rFonts w:ascii="Book Antiqua" w:hAnsi="Book Antiqua" w:cs="Book Antiqua" w:hint="eastAsia"/>
          <w:color w:val="000000"/>
          <w:lang w:eastAsia="zh-CN"/>
        </w:rPr>
        <w:t xml:space="preserve"> n</w:t>
      </w:r>
      <w:r>
        <w:rPr>
          <w:rFonts w:ascii="Book Antiqua" w:eastAsia="Book Antiqua" w:hAnsi="Book Antiqua" w:cs="Book Antiqua"/>
          <w:color w:val="000000"/>
        </w:rPr>
        <w:t>o</w:t>
      </w:r>
      <w:r>
        <w:rPr>
          <w:rFonts w:ascii="Book Antiqua" w:hAnsi="Book Antiqua" w:cs="Book Antiqua" w:hint="eastAsia"/>
          <w:color w:val="000000"/>
          <w:lang w:eastAsia="zh-CN"/>
        </w:rPr>
        <w:t xml:space="preserve"> special</w:t>
      </w:r>
      <w:r>
        <w:t xml:space="preserve"> </w:t>
      </w:r>
      <w:r>
        <w:rPr>
          <w:rFonts w:ascii="Book Antiqua" w:hAnsi="Book Antiqua" w:cs="Book Antiqua" w:hint="eastAsia"/>
          <w:color w:val="000000"/>
          <w:lang w:eastAsia="zh-CN"/>
        </w:rPr>
        <w:t>p</w:t>
      </w:r>
      <w:r>
        <w:rPr>
          <w:rFonts w:ascii="Book Antiqua" w:hAnsi="Book Antiqua" w:cs="Book Antiqua"/>
          <w:color w:val="000000"/>
          <w:lang w:eastAsia="zh-CN"/>
        </w:rPr>
        <w:t>ersonal and family history</w:t>
      </w:r>
      <w:r>
        <w:rPr>
          <w:rFonts w:ascii="Book Antiqua" w:eastAsia="Book Antiqua" w:hAnsi="Book Antiqua" w:cs="Book Antiqua"/>
          <w:color w:val="000000"/>
        </w:rPr>
        <w:t>.</w:t>
      </w:r>
    </w:p>
    <w:p w14:paraId="50D71428" w14:textId="77777777" w:rsidR="00540214" w:rsidRDefault="00540214">
      <w:pPr>
        <w:spacing w:line="360" w:lineRule="auto"/>
        <w:jc w:val="both"/>
      </w:pPr>
    </w:p>
    <w:p w14:paraId="662D31CC" w14:textId="77777777" w:rsidR="00540214" w:rsidRDefault="00DF66A4">
      <w:pPr>
        <w:spacing w:line="360" w:lineRule="auto"/>
        <w:jc w:val="both"/>
      </w:pPr>
      <w:r>
        <w:rPr>
          <w:rFonts w:ascii="Book Antiqua" w:eastAsia="Book Antiqua" w:hAnsi="Book Antiqua" w:cs="Book Antiqua"/>
          <w:b/>
          <w:i/>
          <w:color w:val="000000"/>
        </w:rPr>
        <w:t>Physical examination</w:t>
      </w:r>
    </w:p>
    <w:p w14:paraId="6EDC5532" w14:textId="77777777" w:rsidR="00540214" w:rsidRDefault="00DF66A4">
      <w:pPr>
        <w:spacing w:line="360" w:lineRule="auto"/>
        <w:jc w:val="both"/>
      </w:pPr>
      <w:r>
        <w:rPr>
          <w:rFonts w:ascii="Book Antiqua" w:eastAsia="Book Antiqua" w:hAnsi="Book Antiqua" w:cs="Book Antiqua"/>
          <w:color w:val="000000"/>
        </w:rPr>
        <w:t>Examination on admission showed that his temperature was 38.5</w:t>
      </w:r>
      <w:r>
        <w:rPr>
          <w:rFonts w:ascii="Book Antiqua" w:hAnsi="Book Antiqua" w:cs="Book Antiqua" w:hint="eastAsia"/>
          <w:color w:val="000000"/>
          <w:lang w:eastAsia="zh-CN"/>
        </w:rPr>
        <w:t xml:space="preserve"> </w:t>
      </w:r>
      <w:r>
        <w:rPr>
          <w:rFonts w:ascii="Book Antiqua" w:eastAsia="Book Antiqua" w:hAnsi="Book Antiqua" w:cs="Book Antiqua"/>
          <w:color w:val="000000"/>
        </w:rPr>
        <w:t>°C, pulse was 128 beats</w:t>
      </w:r>
      <w:r>
        <w:rPr>
          <w:rFonts w:ascii="Book Antiqua" w:hAnsi="Book Antiqua" w:cs="Book Antiqua" w:hint="eastAsia"/>
          <w:color w:val="000000"/>
          <w:lang w:eastAsia="zh-CN"/>
        </w:rPr>
        <w:t>/</w:t>
      </w:r>
      <w:r>
        <w:rPr>
          <w:rFonts w:ascii="Book Antiqua" w:eastAsia="Book Antiqua" w:hAnsi="Book Antiqua" w:cs="Book Antiqua"/>
          <w:color w:val="000000"/>
        </w:rPr>
        <w:t>min, respiration was 22 breaths</w:t>
      </w:r>
      <w:r>
        <w:rPr>
          <w:rFonts w:ascii="Book Antiqua" w:hAnsi="Book Antiqua" w:cs="Book Antiqua" w:hint="eastAsia"/>
          <w:color w:val="000000"/>
          <w:lang w:eastAsia="zh-CN"/>
        </w:rPr>
        <w:t>/</w:t>
      </w:r>
      <w:r>
        <w:rPr>
          <w:rFonts w:ascii="Book Antiqua" w:eastAsia="Book Antiqua" w:hAnsi="Book Antiqua" w:cs="Book Antiqua"/>
          <w:color w:val="000000"/>
        </w:rPr>
        <w:t>min, and blood pressure was 70/40 mmHg. There was no evidence of lung or cardiac abnormalities. His abdomen was slightly puffy and soft, with upper abdominal pressure, and he experienced back pain and bowel “chirping” 5</w:t>
      </w:r>
      <w:r>
        <w:rPr>
          <w:rFonts w:ascii="Book Antiqua" w:hAnsi="Book Antiqua" w:cs="Book Antiqua" w:hint="eastAsia"/>
          <w:color w:val="000000"/>
          <w:lang w:eastAsia="zh-CN"/>
        </w:rPr>
        <w:t>-</w:t>
      </w:r>
      <w:r>
        <w:rPr>
          <w:rFonts w:ascii="Book Antiqua" w:eastAsia="Book Antiqua" w:hAnsi="Book Antiqua" w:cs="Book Antiqua"/>
          <w:color w:val="000000"/>
        </w:rPr>
        <w:t>6 times/min.</w:t>
      </w:r>
    </w:p>
    <w:p w14:paraId="15BD4332" w14:textId="77777777" w:rsidR="00540214" w:rsidRDefault="00540214">
      <w:pPr>
        <w:spacing w:line="360" w:lineRule="auto"/>
        <w:jc w:val="both"/>
        <w:rPr>
          <w:lang w:eastAsia="zh-CN"/>
        </w:rPr>
      </w:pPr>
    </w:p>
    <w:p w14:paraId="18C79B86" w14:textId="77777777" w:rsidR="00540214" w:rsidRDefault="00DF66A4">
      <w:pPr>
        <w:spacing w:line="360" w:lineRule="auto"/>
        <w:jc w:val="both"/>
      </w:pPr>
      <w:r>
        <w:rPr>
          <w:rFonts w:ascii="Book Antiqua" w:eastAsia="Book Antiqua" w:hAnsi="Book Antiqua" w:cs="Book Antiqua"/>
          <w:b/>
          <w:i/>
          <w:color w:val="000000"/>
        </w:rPr>
        <w:t>Laboratory examinations</w:t>
      </w:r>
    </w:p>
    <w:p w14:paraId="3CA62CA9" w14:textId="77777777" w:rsidR="00540214" w:rsidRDefault="00DF66A4">
      <w:pPr>
        <w:spacing w:line="360" w:lineRule="auto"/>
        <w:jc w:val="both"/>
      </w:pPr>
      <w:r>
        <w:rPr>
          <w:rFonts w:ascii="Book Antiqua" w:eastAsia="Book Antiqua" w:hAnsi="Book Antiqua" w:cs="Book Antiqua"/>
          <w:color w:val="000000"/>
        </w:rPr>
        <w:t>His hemoglobin level was 18.3 g/dL, the total white blood cell count was 21.4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there were 71.9% neutral granulocytes, and the platelet count was 169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patient also had metabolic acidosis, with a blood gas pH of 7.35, PCO</w:t>
      </w:r>
      <w:r>
        <w:rPr>
          <w:rFonts w:ascii="Book Antiqua" w:eastAsia="Book Antiqua" w:hAnsi="Book Antiqua" w:cs="Book Antiqua"/>
          <w:color w:val="000000"/>
          <w:szCs w:val="3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of 30 mmHg, PO</w:t>
      </w:r>
      <w:r>
        <w:rPr>
          <w:rFonts w:ascii="Book Antiqua" w:eastAsia="Book Antiqua" w:hAnsi="Book Antiqua" w:cs="Book Antiqua"/>
          <w:color w:val="000000"/>
          <w:szCs w:val="3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of 66 mmHg (FiO</w:t>
      </w:r>
      <w:r>
        <w:rPr>
          <w:rFonts w:ascii="Book Antiqua" w:eastAsia="Book Antiqua" w:hAnsi="Book Antiqua" w:cs="Book Antiqua"/>
          <w:color w:val="000000"/>
          <w:szCs w:val="30"/>
          <w:vertAlign w:val="subscript"/>
        </w:rPr>
        <w:t>2</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60%),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110 mmHg, bicarbonate of 16.6 mmol/L, a base excess of </w:t>
      </w:r>
      <w:r>
        <w:rPr>
          <w:rFonts w:ascii="Book Antiqua" w:hAnsi="Book Antiqua" w:cs="Book Antiqua" w:hint="eastAsia"/>
          <w:color w:val="000000"/>
          <w:lang w:eastAsia="zh-CN"/>
        </w:rPr>
        <w:t>-</w:t>
      </w:r>
      <w:r>
        <w:rPr>
          <w:rFonts w:ascii="Book Antiqua" w:eastAsia="Book Antiqua" w:hAnsi="Book Antiqua" w:cs="Book Antiqua"/>
          <w:color w:val="000000"/>
        </w:rPr>
        <w:t>9.0 mmol/L, and lactate of 3.5 mmol/L. The aspartate aminotransferase (ASP) was 573.1 U/L, alanine aminotransferase was 47 U/L, total bilirubin was 7.58 µmol/L, serum creatinine (SCr) was 708.8 µmol/L, urea was 20.48 mmol/L, and albumin was 26.9 g/L. The prothrombin time was 12.5 s, activated partial thromboplastin time was 31.3 s, international normalized ratio was 1.08, and procalcitonin (PCT) was 32.60 ng/mL. Because the ASP was highly elevated and the AST was moderately elevated, we conducted tests to determine the possible cause. All tests for hepatitis (HBsAg, HBsAb, HBeAg, HBeAb, HBcAb, and HCV) were negative, as were all tests for autoimmune hepatitis (antinuclear antibodies, smooth muscle antigen, soluble liver antigen antibodies, liver-kidney microsome-1, and other autoantibodies).</w:t>
      </w:r>
    </w:p>
    <w:p w14:paraId="4E0C2616" w14:textId="77777777" w:rsidR="00540214" w:rsidRDefault="00DF66A4">
      <w:pPr>
        <w:spacing w:line="360" w:lineRule="auto"/>
        <w:ind w:firstLineChars="100" w:firstLine="240"/>
        <w:jc w:val="both"/>
      </w:pPr>
      <w:r>
        <w:rPr>
          <w:rFonts w:ascii="Book Antiqua" w:eastAsia="Book Antiqua" w:hAnsi="Book Antiqua" w:cs="Book Antiqua"/>
          <w:i/>
          <w:iCs/>
          <w:color w:val="000000"/>
        </w:rPr>
        <w:t>Salmonella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were not detected in a stool culture, and the tests for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A toxin B were also negative. Most fecal cocci were Gram-negative bacilli, and there were a few Gram-positive.</w:t>
      </w:r>
    </w:p>
    <w:p w14:paraId="431DF9E7" w14:textId="77777777" w:rsidR="00540214" w:rsidRDefault="00DF66A4">
      <w:pPr>
        <w:spacing w:line="360" w:lineRule="auto"/>
        <w:ind w:firstLineChars="100" w:firstLine="240"/>
        <w:jc w:val="both"/>
      </w:pPr>
      <w:r>
        <w:rPr>
          <w:rFonts w:ascii="Book Antiqua" w:eastAsia="Book Antiqua" w:hAnsi="Book Antiqua" w:cs="Book Antiqua"/>
          <w:color w:val="000000"/>
        </w:rPr>
        <w:t xml:space="preserve">Empirical treatment with meropenem began within 1 h of admission, and blood cultures were obtained. The blood culture showed </w:t>
      </w:r>
      <w:r>
        <w:rPr>
          <w:rFonts w:ascii="Book Antiqua" w:eastAsia="Book Antiqua" w:hAnsi="Book Antiqua" w:cs="Book Antiqua"/>
          <w:i/>
          <w:iCs/>
          <w:color w:val="000000"/>
        </w:rPr>
        <w:t>Klebsiella pneumonia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was sensitive to meropenem, so we continued its use.</w:t>
      </w:r>
    </w:p>
    <w:p w14:paraId="7008D993" w14:textId="77777777" w:rsidR="00540214" w:rsidRDefault="00540214">
      <w:pPr>
        <w:spacing w:line="360" w:lineRule="auto"/>
        <w:jc w:val="both"/>
      </w:pPr>
    </w:p>
    <w:p w14:paraId="1E8FC142" w14:textId="77777777" w:rsidR="00540214" w:rsidRDefault="00DF66A4">
      <w:pPr>
        <w:spacing w:line="360" w:lineRule="auto"/>
        <w:jc w:val="both"/>
      </w:pPr>
      <w:r>
        <w:rPr>
          <w:rFonts w:ascii="Book Antiqua" w:eastAsia="Book Antiqua" w:hAnsi="Book Antiqua" w:cs="Book Antiqua"/>
          <w:b/>
          <w:caps/>
          <w:color w:val="000000"/>
          <w:u w:val="single"/>
        </w:rPr>
        <w:t>FINAL DIAGNOSIS</w:t>
      </w:r>
    </w:p>
    <w:p w14:paraId="0BF5C756" w14:textId="77777777" w:rsidR="00540214" w:rsidRDefault="00DF66A4">
      <w:pPr>
        <w:spacing w:line="360" w:lineRule="auto"/>
        <w:jc w:val="both"/>
      </w:pPr>
      <w:r>
        <w:rPr>
          <w:rFonts w:ascii="Book Antiqua" w:eastAsia="Book Antiqua" w:hAnsi="Book Antiqua" w:cs="Book Antiqua"/>
          <w:color w:val="000000"/>
        </w:rPr>
        <w:t>According to the Third International Consensus Definitions for Sepsis and Septic Shock (Sepsis-3)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6</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we diagnosed the patient as having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w:t>
      </w:r>
      <w:r>
        <w:rPr>
          <w:rFonts w:ascii="Book Antiqua" w:eastAsia="Book Antiqua" w:hAnsi="Book Antiqua" w:cs="Book Antiqua"/>
          <w:i/>
          <w:iCs/>
          <w:color w:val="000000"/>
        </w:rPr>
        <w:t>pneumoniae</w:t>
      </w:r>
      <w:r>
        <w:rPr>
          <w:rFonts w:ascii="Book Antiqua" w:eastAsia="Book Antiqua" w:hAnsi="Book Antiqua" w:cs="Book Antiqua"/>
          <w:color w:val="000000"/>
        </w:rPr>
        <w:t xml:space="preserve"> bacteraemia,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septic shock,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septic AKI. His Acute Physiology and Chronic Health Evaluation (APACHE II) score was 18 points, with a 42.9% risk of death, and his Sequential Organ Failure Assessment (SOFA) score was 10.</w:t>
      </w:r>
    </w:p>
    <w:p w14:paraId="6EECF738" w14:textId="77777777" w:rsidR="00540214" w:rsidRDefault="00540214">
      <w:pPr>
        <w:spacing w:line="360" w:lineRule="auto"/>
        <w:jc w:val="both"/>
      </w:pPr>
    </w:p>
    <w:p w14:paraId="13D51C67" w14:textId="77777777" w:rsidR="00540214" w:rsidRDefault="00DF66A4">
      <w:pPr>
        <w:spacing w:line="360" w:lineRule="auto"/>
        <w:jc w:val="both"/>
      </w:pPr>
      <w:r>
        <w:rPr>
          <w:rFonts w:ascii="Book Antiqua" w:eastAsia="Book Antiqua" w:hAnsi="Book Antiqua" w:cs="Book Antiqua"/>
          <w:b/>
          <w:caps/>
          <w:color w:val="000000"/>
          <w:u w:val="single"/>
        </w:rPr>
        <w:t>TREATMENT</w:t>
      </w:r>
    </w:p>
    <w:p w14:paraId="71AF5509" w14:textId="77777777" w:rsidR="00540214" w:rsidRDefault="00DF66A4">
      <w:pPr>
        <w:spacing w:line="360" w:lineRule="auto"/>
        <w:jc w:val="both"/>
        <w:rPr>
          <w:lang w:eastAsia="zh-CN"/>
        </w:rPr>
      </w:pPr>
      <w:r>
        <w:rPr>
          <w:rFonts w:ascii="Book Antiqua" w:eastAsia="Book Antiqua" w:hAnsi="Book Antiqua" w:cs="Book Antiqua"/>
          <w:color w:val="000000"/>
        </w:rPr>
        <w:t>The patient was in critical condition. To treat the sepsis-induced hypoperfusion, we administered 2500 mL of intravenous crystalloid fluid within the first 3 h and established invasive dynamic hemodynamic monitoring. Following the initial fluid resuscitation, we performed frequent reassessment of his hemodynamic status to guide administration of additional fluids. The patient's blood pressure increased slightly to 80/55 mmHg, and we administered noradrenaline to achieve the initial target mean arterial pressure of 65 mmHg.</w:t>
      </w:r>
    </w:p>
    <w:p w14:paraId="6E5E2E42" w14:textId="77777777" w:rsidR="00540214" w:rsidRDefault="00DF66A4">
      <w:pPr>
        <w:spacing w:line="360" w:lineRule="auto"/>
        <w:ind w:firstLineChars="100" w:firstLine="240"/>
        <w:jc w:val="both"/>
      </w:pPr>
      <w:r>
        <w:rPr>
          <w:rFonts w:ascii="Book Antiqua" w:eastAsia="Book Antiqua" w:hAnsi="Book Antiqua" w:cs="Book Antiqua"/>
          <w:color w:val="000000"/>
        </w:rPr>
        <w:t>We also initiated CRRT using an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r>
        <w:rPr>
          <w:rFonts w:ascii="Book Antiqua" w:hAnsi="Book Antiqua" w:cs="Book Antiqua" w:hint="eastAsia"/>
          <w:color w:val="000000"/>
          <w:lang w:eastAsia="zh-CN"/>
        </w:rPr>
        <w:t xml:space="preserve"> </w:t>
      </w:r>
      <w:r>
        <w:rPr>
          <w:rFonts w:ascii="Book Antiqua" w:eastAsia="Book Antiqua" w:hAnsi="Book Antiqua" w:cs="Book Antiqua"/>
          <w:color w:val="000000"/>
        </w:rPr>
        <w:t>(Baxter, Deerfield, IL</w:t>
      </w:r>
      <w:r>
        <w:rPr>
          <w:rFonts w:ascii="Book Antiqua" w:hAnsi="Book Antiqua" w:cs="Book Antiqua" w:hint="eastAsia"/>
          <w:color w:val="000000"/>
          <w:lang w:eastAsia="zh-CN"/>
        </w:rPr>
        <w:t>, United States</w:t>
      </w:r>
      <w:r>
        <w:rPr>
          <w:rFonts w:ascii="Book Antiqua" w:eastAsia="Book Antiqua" w:hAnsi="Book Antiqua" w:cs="Book Antiqua"/>
          <w:color w:val="000000"/>
        </w:rPr>
        <w:t>), which is designed for removal of cytokines adsorption of endotoxins, using a Prismaflex version 8.0 machine (Gambro Industries, Meyzieu, France). A vascular path was established using a 12-French double-lumen catheter in the right femoral vein. The prescription was set up as pre-dilution. The mode of CRRT was continuous</w:t>
      </w:r>
      <w:r>
        <w:rPr>
          <w:rFonts w:ascii="Book Antiqua" w:hAnsi="Book Antiqua" w:cs="Book Antiqua" w:hint="eastAsia"/>
          <w:color w:val="000000"/>
          <w:lang w:eastAsia="zh-CN"/>
        </w:rPr>
        <w:t xml:space="preserve"> </w:t>
      </w:r>
      <w:r>
        <w:rPr>
          <w:rFonts w:ascii="Book Antiqua" w:eastAsia="Book Antiqua" w:hAnsi="Book Antiqua" w:cs="Book Antiqua"/>
          <w:color w:val="000000"/>
        </w:rPr>
        <w:t>veno-venous hemodiafiltration (CVVHDF) at 30 mL/kg</w:t>
      </w:r>
      <w:r>
        <w:rPr>
          <w:rFonts w:ascii="Book Antiqua" w:hAnsi="Book Antiqua" w:cs="Book Antiqua" w:hint="eastAsia"/>
          <w:color w:val="000000"/>
          <w:lang w:eastAsia="zh-CN"/>
        </w:rPr>
        <w:t xml:space="preserve"> per </w:t>
      </w:r>
      <w:r>
        <w:rPr>
          <w:rFonts w:ascii="Book Antiqua" w:eastAsia="Book Antiqua" w:hAnsi="Book Antiqua" w:cs="Book Antiqua"/>
          <w:color w:val="000000"/>
        </w:rPr>
        <w:t>h</w:t>
      </w:r>
      <w:r>
        <w:rPr>
          <w:rFonts w:ascii="Book Antiqua" w:hAnsi="Book Antiqua" w:cs="Book Antiqua" w:hint="eastAsia"/>
          <w:color w:val="000000"/>
          <w:lang w:eastAsia="zh-CN"/>
        </w:rPr>
        <w:t>our</w:t>
      </w:r>
      <w:r>
        <w:rPr>
          <w:rFonts w:ascii="Book Antiqua" w:eastAsia="Book Antiqua" w:hAnsi="Book Antiqua" w:cs="Book Antiqua"/>
          <w:color w:val="000000"/>
        </w:rPr>
        <w:t>, and the CRRT machine was primed with normal heparinized saline and regional citrate for anticoagulation. The blood flow rate was 150 L/min. The hemofiltration prescription was adjusted based on electrolyte and acid-base results and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was changed every 12 h to ensure adsorption efficacy. Except for mild hypocalcemia, which required intravenous calcium supplementation, the patient experienced no significant complications.</w:t>
      </w:r>
    </w:p>
    <w:p w14:paraId="2E217AB6" w14:textId="77777777" w:rsidR="00540214" w:rsidRDefault="00540214">
      <w:pPr>
        <w:spacing w:line="360" w:lineRule="auto"/>
        <w:jc w:val="both"/>
        <w:rPr>
          <w:lang w:eastAsia="zh-CN"/>
        </w:rPr>
      </w:pPr>
    </w:p>
    <w:p w14:paraId="556D5EC6" w14:textId="77777777" w:rsidR="00540214" w:rsidRDefault="00DF66A4">
      <w:pPr>
        <w:spacing w:line="360" w:lineRule="auto"/>
        <w:jc w:val="both"/>
      </w:pPr>
      <w:r>
        <w:rPr>
          <w:rFonts w:ascii="Book Antiqua" w:eastAsia="Book Antiqua" w:hAnsi="Book Antiqua" w:cs="Book Antiqua"/>
          <w:b/>
          <w:caps/>
          <w:color w:val="000000"/>
          <w:u w:val="single"/>
        </w:rPr>
        <w:t>OUTCOME AND FOLLOW-UP</w:t>
      </w:r>
    </w:p>
    <w:p w14:paraId="5FD9B6C8" w14:textId="77777777" w:rsidR="00540214" w:rsidRDefault="00DF66A4">
      <w:pPr>
        <w:spacing w:line="360" w:lineRule="auto"/>
        <w:jc w:val="both"/>
      </w:pPr>
      <w:r>
        <w:rPr>
          <w:rFonts w:ascii="Book Antiqua" w:eastAsia="Book Antiqua" w:hAnsi="Book Antiqua" w:cs="Book Antiqua"/>
          <w:color w:val="000000"/>
        </w:rPr>
        <w:t>After administering meropenem and CRRT with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filter for 72 h, the patient's vital signs were stable, and the infection was well controlled. We also reduced the noradrenaline infusion to a minimum of 0.05 µg/kg</w:t>
      </w:r>
      <w:r>
        <w:rPr>
          <w:rFonts w:ascii="Book Antiqua" w:hAnsi="Book Antiqua" w:cs="Book Antiqua" w:hint="eastAsia"/>
          <w:color w:val="000000"/>
          <w:lang w:eastAsia="zh-CN"/>
        </w:rPr>
        <w:t xml:space="preserve"> per </w:t>
      </w:r>
      <w:r>
        <w:rPr>
          <w:rFonts w:ascii="Book Antiqua" w:eastAsia="Book Antiqua" w:hAnsi="Book Antiqua" w:cs="Book Antiqua"/>
          <w:color w:val="000000"/>
        </w:rPr>
        <w:t>min</w:t>
      </w:r>
      <w:r>
        <w:rPr>
          <w:rFonts w:ascii="Book Antiqua" w:hAnsi="Book Antiqua" w:cs="Book Antiqua" w:hint="eastAsia"/>
          <w:color w:val="000000"/>
          <w:lang w:eastAsia="zh-CN"/>
        </w:rPr>
        <w:t>ute</w:t>
      </w:r>
      <w:r>
        <w:rPr>
          <w:rFonts w:ascii="Book Antiqua" w:eastAsia="Book Antiqua" w:hAnsi="Book Antiqua" w:cs="Book Antiqua"/>
          <w:color w:val="000000"/>
        </w:rPr>
        <w:t xml:space="preserve"> during the CRRT, and stopped it at 65 h after initiation of treatment (Figure 1A). After 6 h, the lactate level was 2.1 mmol/L and lactate clearance rate was 40%. At that time, inflammation-related parameters </w:t>
      </w:r>
      <w:r>
        <w:rPr>
          <w:rFonts w:ascii="Book Antiqua" w:hAnsi="Book Antiqua" w:cs="Book Antiqua" w:hint="eastAsia"/>
          <w:color w:val="000000"/>
          <w:lang w:eastAsia="zh-CN"/>
        </w:rPr>
        <w:t>[</w:t>
      </w:r>
      <w:r>
        <w:rPr>
          <w:rFonts w:ascii="Book Antiqua" w:eastAsia="Book Antiqua" w:hAnsi="Book Antiqua" w:cs="Book Antiqua"/>
          <w:color w:val="000000"/>
        </w:rPr>
        <w:t xml:space="preserve">endotoxin, interleukin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-6, and IL-10</w:t>
      </w:r>
      <w:r>
        <w:rPr>
          <w:rFonts w:ascii="Book Antiqua" w:hAnsi="Book Antiqua" w:cs="Book Antiqua" w:hint="eastAsia"/>
          <w:color w:val="000000"/>
          <w:lang w:eastAsia="zh-CN"/>
        </w:rPr>
        <w:t>]</w:t>
      </w:r>
      <w:r>
        <w:rPr>
          <w:rFonts w:ascii="Book Antiqua" w:eastAsia="Book Antiqua" w:hAnsi="Book Antiqua" w:cs="Book Antiqua"/>
          <w:color w:val="000000"/>
        </w:rPr>
        <w:t xml:space="preserve"> had markedly declined (Figure 1B</w:t>
      </w:r>
      <w:r>
        <w:rPr>
          <w:rFonts w:ascii="Book Antiqua" w:hAnsi="Book Antiqua" w:cs="Book Antiqua" w:hint="eastAsia"/>
          <w:color w:val="000000"/>
          <w:lang w:eastAsia="zh-CN"/>
        </w:rPr>
        <w:t>-</w:t>
      </w:r>
      <w:r>
        <w:rPr>
          <w:rFonts w:ascii="Book Antiqua" w:eastAsia="Book Antiqua" w:hAnsi="Book Antiqua" w:cs="Book Antiqua"/>
          <w:color w:val="000000"/>
        </w:rPr>
        <w:t>D). In addition, the PCT level decreased from 32.60 ng/mL to 4.98 ng/mL during the 72 h treatment period (Figure 2A). His urine volume gradually increased over the course of 10 d</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2B). Over the course of 3 d, his SCr gradually decreased from 708.8</w:t>
      </w:r>
      <w:r>
        <w:rPr>
          <w:rFonts w:ascii="Book Antiqua" w:hAnsi="Book Antiqua" w:cs="Book Antiqua" w:hint="eastAsia"/>
          <w:color w:val="000000"/>
          <w:lang w:eastAsia="zh-CN"/>
        </w:rPr>
        <w:t xml:space="preserve"> </w:t>
      </w:r>
      <w:r>
        <w:rPr>
          <w:rFonts w:ascii="Book Antiqua" w:eastAsia="Book Antiqua" w:hAnsi="Book Antiqua" w:cs="Book Antiqua"/>
          <w:color w:val="000000"/>
        </w:rPr>
        <w:t>µmol/L to 241 µmol/L, his SOFA score decreased from 10 to 3 (Figure 2C), and his APACHE II score decreased from 18 to 6 (Figure 2D). After he was hemodynamically stable, we changed to a traditional filter (AN69 hemofilter) and used intermittent CVVHDF. We discontinued CRRT after the recovery of kidney function on day 20. After 25 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treatment in the ICU, there was significant amelioration of the septic shock, and we discharged the patient. The patient's kidney function eventually returned to normal.</w:t>
      </w:r>
    </w:p>
    <w:p w14:paraId="3E46033A" w14:textId="77777777" w:rsidR="00540214" w:rsidRDefault="00540214">
      <w:pPr>
        <w:spacing w:line="360" w:lineRule="auto"/>
        <w:jc w:val="both"/>
        <w:rPr>
          <w:lang w:eastAsia="zh-CN"/>
        </w:rPr>
      </w:pPr>
    </w:p>
    <w:p w14:paraId="1EF6A97B" w14:textId="77777777" w:rsidR="00540214" w:rsidRDefault="00DF66A4">
      <w:pPr>
        <w:spacing w:line="360" w:lineRule="auto"/>
        <w:jc w:val="both"/>
      </w:pPr>
      <w:r>
        <w:rPr>
          <w:rFonts w:ascii="Book Antiqua" w:eastAsia="Book Antiqua" w:hAnsi="Book Antiqua" w:cs="Book Antiqua"/>
          <w:b/>
          <w:caps/>
          <w:color w:val="000000"/>
          <w:u w:val="single"/>
        </w:rPr>
        <w:t>DISCUSSION</w:t>
      </w:r>
    </w:p>
    <w:p w14:paraId="77D08C40" w14:textId="77777777" w:rsidR="00540214" w:rsidRDefault="00DF66A4">
      <w:pPr>
        <w:spacing w:line="360" w:lineRule="auto"/>
        <w:jc w:val="both"/>
      </w:pPr>
      <w:r>
        <w:rPr>
          <w:rFonts w:ascii="Book Antiqua" w:eastAsia="Book Antiqua" w:hAnsi="Book Antiqua" w:cs="Book Antiqua"/>
          <w:color w:val="000000"/>
        </w:rPr>
        <w:t>The Sepsis-3 criteria consider sepsis to be caused by a dysregulated host response to infection, and defines it as a life-threatening organ dysfunction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As a subset of sepsis, septic shock leads to circulatory and cellular/metabolic abnormalities and substantially increases the risk of death</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Endotoxins are lipopolysaccharides expressed on the outer membranes of Gram-negative bacteria (including </w:t>
      </w:r>
      <w:r>
        <w:rPr>
          <w:rFonts w:ascii="Book Antiqua" w:eastAsia="Book Antiqua" w:hAnsi="Book Antiqua" w:cs="Book Antiqua"/>
          <w:i/>
          <w:iCs/>
          <w:color w:val="000000"/>
        </w:rPr>
        <w:t>Klebsiella pneumoniae</w:t>
      </w:r>
      <w:r>
        <w:rPr>
          <w:rFonts w:ascii="Book Antiqua" w:eastAsia="Book Antiqua" w:hAnsi="Book Antiqua" w:cs="Book Antiqua"/>
          <w:color w:val="000000"/>
        </w:rPr>
        <w:t>) that activate the release of cytokines when recognized by immune cells. Cytokines play an important role in the pathogenesis of sepsis, septic shock, and multiple organ failure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Removal of endotoxins and inflammatory mediators from circulation can modulate inflammatory responses and alleviate organ damage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6A178C6" w14:textId="77777777" w:rsidR="00540214" w:rsidRDefault="00DF66A4">
      <w:pPr>
        <w:spacing w:line="360" w:lineRule="auto"/>
        <w:ind w:firstLineChars="100" w:firstLine="240"/>
        <w:jc w:val="both"/>
        <w:rPr>
          <w:lang w:eastAsia="zh-CN"/>
        </w:rPr>
      </w:pPr>
      <w:r>
        <w:rPr>
          <w:rFonts w:ascii="Book Antiqua" w:eastAsia="Book Antiqua" w:hAnsi="Book Antiqua" w:cs="Book Antiqua"/>
          <w:color w:val="000000"/>
        </w:rPr>
        <w:t>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a modified AN69ST membrane that can bind endotoxins and cytokines. Compared with the standard AN69ST hemofilter,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has 3-times more PEI surface coating and 10-times more immobilized heparin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 of a porcine model of septic shock reported that use of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for 6 h of hemofiltration treatment led to greater decreases in the endotoxin level and greater improvements in hemodynamic parameters than a standard AN69 hemofilter</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Shum </w:t>
      </w:r>
      <w:r>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9</w:t>
      </w:r>
      <w:r>
        <w:rPr>
          <w:rFonts w:ascii="Book Antiqua" w:hAnsi="Book Antiqua" w:cs="Book Antiqua" w:hint="eastAsia"/>
          <w:color w:val="000000"/>
          <w:vertAlign w:val="superscript"/>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used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with CVVH in 6 patients with septic AKI and compared them with 24 historical controls matched for disease severity who received CVVH with conventional filters. Their results confirmed that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 was associated with increased blood pressure, a reduced requirement for vasopressor, and improved organ function. A randomized, crossover, double-blind study showed that CRRT using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effectively removed endotoxins and tumor necrosis factor-α, IL-6, IL-8, and interferon-α during the first filtration treatment of patients with septic shock and AKI</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Moreover,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much less expensive than a polymyxin B-immobilized fiber column, which is widely used to remove blood endotoxins for treatment of patients with endotoxemia and septic shock</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5,11,12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recent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described a patient with abdominal septic shock who received CRRT with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membrane. A limitation of this previous case report is that the blood concentrations of inflammatory mediators and endotoxin were not measured. Because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was designed to adsorb endotoxins and inflammatory mediators, we dynamically monitored the levels of endotoxin, IL-6, and IL-10.</w:t>
      </w:r>
    </w:p>
    <w:p w14:paraId="4BA311C8" w14:textId="77777777" w:rsidR="00540214" w:rsidRDefault="00DF66A4">
      <w:pPr>
        <w:spacing w:line="360" w:lineRule="auto"/>
        <w:ind w:firstLineChars="100" w:firstLine="240"/>
        <w:jc w:val="both"/>
      </w:pPr>
      <w:r>
        <w:rPr>
          <w:rFonts w:ascii="Book Antiqua" w:eastAsia="Book Antiqua" w:hAnsi="Book Antiqua" w:cs="Book Antiqua"/>
          <w:color w:val="000000"/>
        </w:rPr>
        <w:t xml:space="preserve">Our patient developed severe </w:t>
      </w:r>
      <w:r>
        <w:rPr>
          <w:rFonts w:ascii="Book Antiqua" w:eastAsia="Book Antiqua" w:hAnsi="Book Antiqua" w:cs="Book Antiqua"/>
          <w:color w:val="000000"/>
          <w:u w:color="0000EE"/>
        </w:rPr>
        <w:t>gastrointestinal</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septic shock and septic AKI</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experiencing diarrhea for 5 d, and was admitted to the ICU while in critical condition. Rapid rehydration during the early stages of shock and appropriate antibiotic treatment was critical. Moreover, our use of CVVHDF with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for 72 h led to significant decreases in the levels of inflammatory factors and endotoxin. Because the meropenem killed the bacteria and the oXiris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removed endotoxin and inflammatory mediators, this led to reduced the inflammation and allowed recovery from this acute illness.</w:t>
      </w:r>
    </w:p>
    <w:p w14:paraId="49EDF4EE" w14:textId="77777777" w:rsidR="00540214" w:rsidRDefault="00540214">
      <w:pPr>
        <w:spacing w:line="360" w:lineRule="auto"/>
        <w:jc w:val="both"/>
        <w:rPr>
          <w:lang w:eastAsia="zh-CN"/>
        </w:rPr>
      </w:pPr>
    </w:p>
    <w:p w14:paraId="48DA2F0B" w14:textId="77777777" w:rsidR="00540214" w:rsidRDefault="00DF66A4">
      <w:pPr>
        <w:spacing w:line="360" w:lineRule="auto"/>
        <w:jc w:val="both"/>
      </w:pPr>
      <w:r>
        <w:rPr>
          <w:rFonts w:ascii="Book Antiqua" w:eastAsia="Book Antiqua" w:hAnsi="Book Antiqua" w:cs="Book Antiqua"/>
          <w:b/>
          <w:caps/>
          <w:color w:val="000000"/>
          <w:u w:val="single"/>
        </w:rPr>
        <w:t>CONCLUSION</w:t>
      </w:r>
    </w:p>
    <w:p w14:paraId="754B9801" w14:textId="77777777" w:rsidR="00540214" w:rsidRDefault="00DF66A4">
      <w:pPr>
        <w:spacing w:line="360" w:lineRule="auto"/>
        <w:jc w:val="both"/>
        <w:rPr>
          <w:lang w:eastAsia="zh-CN"/>
        </w:rPr>
      </w:pPr>
      <w:r>
        <w:rPr>
          <w:rFonts w:ascii="Book Antiqua" w:eastAsia="Book Antiqua" w:hAnsi="Book Antiqua" w:cs="Book Antiqua"/>
          <w:color w:val="000000"/>
        </w:rPr>
        <w:t>The results from our use of the oXiris</w:t>
      </w:r>
      <w:r w:rsidRPr="00A027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to treat septic AKI are encouraging, because they indicate this filter has potential therapeutic benefits by removing endotoxins and cytokines from patients with sepsis. However, this was a case report of a single patient, so randomized controlled trials are needed to confirm the benefits of the oXiris</w:t>
      </w:r>
      <w:r w:rsidRPr="00A027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before its routine for patients with sepsis and septic shock. Nonetheless, our results are encouraging, because they indicate the potential therapeutic benefits of removing endotoxins and cytokines from patients with sepsis.</w:t>
      </w:r>
    </w:p>
    <w:p w14:paraId="7013447D" w14:textId="77777777" w:rsidR="00540214" w:rsidRDefault="00540214">
      <w:pPr>
        <w:spacing w:line="360" w:lineRule="auto"/>
        <w:jc w:val="both"/>
        <w:rPr>
          <w:lang w:eastAsia="zh-CN"/>
        </w:rPr>
      </w:pPr>
    </w:p>
    <w:p w14:paraId="2E375F6E" w14:textId="77777777" w:rsidR="00540214" w:rsidRDefault="00DF66A4">
      <w:pPr>
        <w:spacing w:line="360" w:lineRule="auto"/>
        <w:jc w:val="both"/>
      </w:pPr>
      <w:r>
        <w:rPr>
          <w:rFonts w:ascii="Book Antiqua" w:eastAsia="Book Antiqua" w:hAnsi="Book Antiqua" w:cs="Book Antiqua"/>
          <w:b/>
          <w:color w:val="000000"/>
        </w:rPr>
        <w:t>REFERENCES</w:t>
      </w:r>
    </w:p>
    <w:p w14:paraId="1D54C7B8" w14:textId="77777777" w:rsidR="00540214" w:rsidRDefault="00DF66A4">
      <w:pPr>
        <w:spacing w:line="360" w:lineRule="auto"/>
        <w:jc w:val="both"/>
      </w:pPr>
      <w:bookmarkStart w:id="4"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Cecconi M</w:t>
      </w:r>
      <w:r>
        <w:rPr>
          <w:rFonts w:ascii="Book Antiqua" w:eastAsia="Book Antiqua" w:hAnsi="Book Antiqua" w:cs="Book Antiqua"/>
          <w:color w:val="000000"/>
        </w:rPr>
        <w:t xml:space="preserve">, Evans L, Levy M, Rhodes A. Sepsis and septic shock.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75-87 [PMID: 29937192 DOI: 10.1016/S0140-6736(18)30696-2]</w:t>
      </w:r>
    </w:p>
    <w:p w14:paraId="587E9FA1" w14:textId="77777777" w:rsidR="00540214" w:rsidRDefault="00DF66A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Bagshaw SM</w:t>
      </w:r>
      <w:r>
        <w:rPr>
          <w:rFonts w:ascii="Book Antiqua" w:eastAsia="Book Antiqua" w:hAnsi="Book Antiqua" w:cs="Book Antiqua"/>
          <w:color w:val="000000"/>
        </w:rPr>
        <w:t xml:space="preserve">, Uchino S, Bellomo R, Morimatsu H, Morgera S, Schetz M, Tan I, Bouman C, Macedo E, Gibney N, Tolwani A, Oudemans-van Straaten HM, Ronco C, Kellum JA; Beginning and Ending Supportive Therapy for the Kidney (BEST Kidney) Investigators. Septic acute kidney injury in critically ill patients: clinical characteristics and outcomes.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431-439 [PMID: 17699448 DOI: 10.2215/CJN.03681106]</w:t>
      </w:r>
    </w:p>
    <w:p w14:paraId="0CBECFC3" w14:textId="77777777" w:rsidR="00540214" w:rsidRDefault="00DF66A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Rimmelé T</w:t>
      </w:r>
      <w:r>
        <w:rPr>
          <w:rFonts w:ascii="Book Antiqua" w:eastAsia="Book Antiqua" w:hAnsi="Book Antiqua" w:cs="Book Antiqua"/>
          <w:color w:val="000000"/>
        </w:rPr>
        <w:t xml:space="preserve">, Assadi A, Cattenoz M, Desebbe O, Lambert C, Boselli E, Goudable J, Etienne J, Chassard D, Bricca G, Allaouchiche B. High-volume haemofiltration with a new haemofiltration membrane having enhanced adsorption properties in septic pigs.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421-427 [PMID: 18799607 DOI: 10.1093/ndt/gfn518]</w:t>
      </w:r>
    </w:p>
    <w:p w14:paraId="0F353160" w14:textId="77777777" w:rsidR="00540214" w:rsidRDefault="00DF66A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Perazella MA, Bellomo R, de Cal M, Polanco N, Corradi V, Lentini P, Nalesso F, Ueno T, Ranieri VM, Ronco C. Effectiveness of polymyxin B-immobilized fiber column in sepsis: a systematic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R47 [PMID: 17448226 DOI: 10.1186/cc5780]</w:t>
      </w:r>
    </w:p>
    <w:p w14:paraId="06B3F8EF" w14:textId="77777777" w:rsidR="00540214" w:rsidRDefault="00DF66A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Monard C</w:t>
      </w:r>
      <w:r>
        <w:rPr>
          <w:rFonts w:ascii="Book Antiqua" w:eastAsia="Book Antiqua" w:hAnsi="Book Antiqua" w:cs="Book Antiqua"/>
          <w:color w:val="000000"/>
        </w:rPr>
        <w:t xml:space="preserve">, Rimmelé T, Ronco C. Extracorporeal Blood Purification Therapies for Sepsis.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2019; </w:t>
      </w:r>
      <w:r>
        <w:rPr>
          <w:rFonts w:ascii="Book Antiqua" w:eastAsia="Book Antiqua" w:hAnsi="Book Antiqua" w:cs="Book Antiqua"/>
          <w:b/>
          <w:bCs/>
          <w:color w:val="000000"/>
        </w:rPr>
        <w:t>47 Suppl 3</w:t>
      </w:r>
      <w:r>
        <w:rPr>
          <w:rFonts w:ascii="Book Antiqua" w:eastAsia="Book Antiqua" w:hAnsi="Book Antiqua" w:cs="Book Antiqua"/>
          <w:color w:val="000000"/>
        </w:rPr>
        <w:t>: 1-14 [PMID: 30974444 DOI: 10.1159/000499520]</w:t>
      </w:r>
    </w:p>
    <w:p w14:paraId="4161A01F" w14:textId="77777777" w:rsidR="00540214" w:rsidRDefault="00DF66A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5948A10C" w14:textId="77777777" w:rsidR="00540214" w:rsidRDefault="00DF66A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Marshall JC</w:t>
      </w:r>
      <w:r>
        <w:rPr>
          <w:rFonts w:ascii="Book Antiqua" w:eastAsia="Book Antiqua" w:hAnsi="Book Antiqua" w:cs="Book Antiqua"/>
          <w:color w:val="000000"/>
        </w:rPr>
        <w:t xml:space="preserve">. Endotoxin in the pathogenesis of sepsis. </w:t>
      </w:r>
      <w:r>
        <w:rPr>
          <w:rFonts w:ascii="Book Antiqua" w:eastAsia="Book Antiqua" w:hAnsi="Book Antiqua" w:cs="Book Antiqua"/>
          <w:i/>
          <w:iCs/>
          <w:color w:val="000000"/>
        </w:rPr>
        <w:t>Contrib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167</w:t>
      </w:r>
      <w:r>
        <w:rPr>
          <w:rFonts w:ascii="Book Antiqua" w:eastAsia="Book Antiqua" w:hAnsi="Book Antiqua" w:cs="Book Antiqua"/>
          <w:color w:val="000000"/>
        </w:rPr>
        <w:t>: 1-13 [PMID: 20519894 DOI: 10.1159/000315914]</w:t>
      </w:r>
    </w:p>
    <w:p w14:paraId="525736C1" w14:textId="77777777" w:rsidR="00540214" w:rsidRDefault="00DF66A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Malard B</w:t>
      </w:r>
      <w:r>
        <w:rPr>
          <w:rFonts w:ascii="Book Antiqua" w:eastAsia="Book Antiqua" w:hAnsi="Book Antiqua" w:cs="Book Antiqua"/>
          <w:color w:val="000000"/>
        </w:rPr>
        <w:t xml:space="preserve">, Lambert C, Kellum JA. In vitro comparison of the adsorption of inflammatory mediators by blood purification devices. </w:t>
      </w:r>
      <w:r>
        <w:rPr>
          <w:rFonts w:ascii="Book Antiqua" w:eastAsia="Book Antiqua" w:hAnsi="Book Antiqua" w:cs="Book Antiqua"/>
          <w:i/>
          <w:iCs/>
          <w:color w:val="000000"/>
        </w:rPr>
        <w:t>Intensive Care Med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12 [PMID: 29728790 DOI: 10.1186/s40635-018-0177-2]</w:t>
      </w:r>
    </w:p>
    <w:p w14:paraId="76DC6B71" w14:textId="77777777" w:rsidR="00540214" w:rsidRDefault="00DF66A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Shum HP</w:t>
      </w:r>
      <w:r>
        <w:rPr>
          <w:rFonts w:ascii="Book Antiqua" w:eastAsia="Book Antiqua" w:hAnsi="Book Antiqua" w:cs="Book Antiqua"/>
          <w:color w:val="000000"/>
        </w:rPr>
        <w:t xml:space="preserve">, Chan KC, Kwan MC, Yan WW. Application of endotoxin and cytokine adsorption haemofilter in septic acute kidney injury due to Gram-negative bacterial infection.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491-497 [PMID: 23650198 DOI: 10.12809/hkmj133910]</w:t>
      </w:r>
    </w:p>
    <w:p w14:paraId="0112CC62" w14:textId="77777777" w:rsidR="00540214" w:rsidRDefault="00DF66A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Broman ME</w:t>
      </w:r>
      <w:r>
        <w:rPr>
          <w:rFonts w:ascii="Book Antiqua" w:eastAsia="Book Antiqua" w:hAnsi="Book Antiqua" w:cs="Book Antiqua"/>
          <w:color w:val="000000"/>
        </w:rPr>
        <w:t xml:space="preserve">, Hansson F, Vincent JL, Bodelsson M. Endotoxin and cytokine reducing properties of the oXiris membrane in patients with septic shock: A randomized crossover double-blind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e0220444 [PMID: 31369593 DOI: 10.1371/journal.pone.0220444]</w:t>
      </w:r>
    </w:p>
    <w:p w14:paraId="493788AB" w14:textId="77777777" w:rsidR="00540214" w:rsidRDefault="00DF66A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Antonelli M, Fumagalli R, Foltran F, Brienza N, Donati A, Malcangi V, Petrini F, Volta G, Bobbio Pallavicini FM, Rottoli F, Giunta F, Ronco C. Early use of polymyxin B hemoperfusion in abdominal septic shock: the EUPHAS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2445-2452 [PMID: 19531784 DOI: 10.1001/jama.2009.856]</w:t>
      </w:r>
    </w:p>
    <w:p w14:paraId="7282E362" w14:textId="77777777" w:rsidR="00540214" w:rsidRDefault="00DF66A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Ronco C</w:t>
      </w:r>
      <w:r>
        <w:rPr>
          <w:rFonts w:ascii="Book Antiqua" w:eastAsia="Book Antiqua" w:hAnsi="Book Antiqua" w:cs="Book Antiqua"/>
          <w:color w:val="000000"/>
        </w:rPr>
        <w:t xml:space="preserve">, Klein DJ. Polymyxin B hemoperfusion: a mechanistic perspective.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309 [PMID: 25043934 DOI: 10.1186/cc13912]</w:t>
      </w:r>
    </w:p>
    <w:bookmarkEnd w:id="4"/>
    <w:p w14:paraId="225A150C" w14:textId="77777777" w:rsidR="00540214" w:rsidRDefault="00540214">
      <w:pPr>
        <w:spacing w:line="360" w:lineRule="auto"/>
        <w:jc w:val="both"/>
        <w:sectPr w:rsidR="00540214">
          <w:pgSz w:w="12240" w:h="15840"/>
          <w:pgMar w:top="1440" w:right="1440" w:bottom="1440" w:left="1440" w:header="720" w:footer="720" w:gutter="0"/>
          <w:cols w:space="720"/>
          <w:docGrid w:linePitch="360"/>
        </w:sectPr>
      </w:pPr>
    </w:p>
    <w:p w14:paraId="74E63D4E" w14:textId="77777777" w:rsidR="00540214" w:rsidRDefault="00DF66A4">
      <w:pPr>
        <w:spacing w:line="360" w:lineRule="auto"/>
        <w:jc w:val="both"/>
      </w:pPr>
      <w:r>
        <w:rPr>
          <w:rFonts w:ascii="Book Antiqua" w:eastAsia="Book Antiqua" w:hAnsi="Book Antiqua" w:cs="Book Antiqua"/>
          <w:b/>
          <w:color w:val="000000"/>
        </w:rPr>
        <w:t>Footnotes</w:t>
      </w:r>
    </w:p>
    <w:p w14:paraId="3FCAD245" w14:textId="77777777" w:rsidR="00540214" w:rsidRDefault="00DF66A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2F1817F" w14:textId="77777777" w:rsidR="00540214" w:rsidRDefault="00540214">
      <w:pPr>
        <w:spacing w:line="360" w:lineRule="auto"/>
        <w:jc w:val="both"/>
      </w:pPr>
    </w:p>
    <w:p w14:paraId="6601DC92" w14:textId="77777777" w:rsidR="00540214" w:rsidRDefault="00DF66A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conflicts of interest.</w:t>
      </w:r>
    </w:p>
    <w:p w14:paraId="7077BB68" w14:textId="77777777" w:rsidR="00540214" w:rsidRDefault="00540214">
      <w:pPr>
        <w:spacing w:line="360" w:lineRule="auto"/>
        <w:jc w:val="both"/>
      </w:pPr>
    </w:p>
    <w:p w14:paraId="3C5D73FA" w14:textId="77777777" w:rsidR="00540214" w:rsidRPr="00F80B9B" w:rsidRDefault="00DF66A4">
      <w:pPr>
        <w:spacing w:line="360" w:lineRule="auto"/>
        <w:jc w:val="both"/>
        <w:rPr>
          <w:lang w:eastAsia="zh-CN"/>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8370693" w14:textId="77777777" w:rsidR="00540214" w:rsidRDefault="00540214">
      <w:pPr>
        <w:spacing w:line="360" w:lineRule="auto"/>
        <w:jc w:val="both"/>
      </w:pPr>
    </w:p>
    <w:p w14:paraId="22041D8E" w14:textId="77777777" w:rsidR="00540214" w:rsidRDefault="00DF66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E967F" w14:textId="77777777" w:rsidR="00540214" w:rsidRDefault="00540214">
      <w:pPr>
        <w:spacing w:line="360" w:lineRule="auto"/>
        <w:jc w:val="both"/>
      </w:pPr>
    </w:p>
    <w:p w14:paraId="66104BAB" w14:textId="77777777" w:rsidR="00540214" w:rsidRDefault="00DF66A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A33CE8B" w14:textId="77777777" w:rsidR="00540214" w:rsidRDefault="00540214">
      <w:pPr>
        <w:spacing w:line="360" w:lineRule="auto"/>
        <w:jc w:val="both"/>
      </w:pPr>
    </w:p>
    <w:p w14:paraId="508761CB" w14:textId="77777777" w:rsidR="00540214" w:rsidRDefault="00DF66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 2021</w:t>
      </w:r>
    </w:p>
    <w:p w14:paraId="74BF8488" w14:textId="77777777" w:rsidR="00540214" w:rsidRDefault="00DF66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65F82D28" w14:textId="77777777" w:rsidR="00711042" w:rsidRDefault="00DF66A4" w:rsidP="00711042">
      <w:pPr>
        <w:spacing w:line="360" w:lineRule="auto"/>
        <w:jc w:val="both"/>
      </w:pPr>
      <w:r>
        <w:rPr>
          <w:rFonts w:ascii="Book Antiqua" w:eastAsia="Book Antiqua" w:hAnsi="Book Antiqua" w:cs="Book Antiqua"/>
          <w:b/>
          <w:color w:val="000000"/>
        </w:rPr>
        <w:t xml:space="preserve">Article in press: </w:t>
      </w:r>
      <w:r w:rsidR="00711042">
        <w:rPr>
          <w:rFonts w:ascii="Book Antiqua" w:eastAsia="宋体" w:hAnsi="Book Antiqua" w:hint="eastAsia"/>
          <w:color w:val="000000" w:themeColor="text1"/>
        </w:rPr>
        <w:t>Au</w:t>
      </w:r>
      <w:r w:rsidR="00711042">
        <w:rPr>
          <w:rFonts w:ascii="Book Antiqua" w:eastAsia="宋体" w:hAnsi="Book Antiqua"/>
          <w:color w:val="000000" w:themeColor="text1"/>
        </w:rPr>
        <w:t>gust</w:t>
      </w:r>
      <w:r w:rsidR="00711042" w:rsidRPr="00F06907">
        <w:rPr>
          <w:rFonts w:ascii="Book Antiqua" w:eastAsia="宋体" w:hAnsi="Book Antiqua"/>
          <w:color w:val="000000" w:themeColor="text1"/>
        </w:rPr>
        <w:t xml:space="preserve"> </w:t>
      </w:r>
      <w:r w:rsidR="00711042">
        <w:rPr>
          <w:rFonts w:ascii="Book Antiqua" w:eastAsia="宋体" w:hAnsi="Book Antiqua"/>
          <w:color w:val="000000" w:themeColor="text1"/>
        </w:rPr>
        <w:t>16</w:t>
      </w:r>
      <w:r w:rsidR="00711042" w:rsidRPr="00F06907">
        <w:rPr>
          <w:rFonts w:ascii="Book Antiqua" w:eastAsia="宋体" w:hAnsi="Book Antiqua"/>
          <w:color w:val="000000" w:themeColor="text1"/>
        </w:rPr>
        <w:t>, 2021</w:t>
      </w:r>
    </w:p>
    <w:p w14:paraId="72AB93CD" w14:textId="7CE938C9" w:rsidR="00540214" w:rsidRDefault="00540214">
      <w:pPr>
        <w:spacing w:line="360" w:lineRule="auto"/>
        <w:jc w:val="both"/>
      </w:pPr>
    </w:p>
    <w:p w14:paraId="3B521DE1" w14:textId="77777777" w:rsidR="00540214" w:rsidRDefault="00DF66A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585104B2" w14:textId="77777777" w:rsidR="00540214" w:rsidRDefault="00DF66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2E1734" w14:textId="77777777" w:rsidR="00540214" w:rsidRDefault="00DF66A4">
      <w:pPr>
        <w:spacing w:line="360" w:lineRule="auto"/>
        <w:jc w:val="both"/>
      </w:pPr>
      <w:r>
        <w:rPr>
          <w:rFonts w:ascii="Book Antiqua" w:eastAsia="Book Antiqua" w:hAnsi="Book Antiqua" w:cs="Book Antiqua"/>
          <w:b/>
          <w:color w:val="000000"/>
        </w:rPr>
        <w:t>Peer-review report’s scientific quality classification</w:t>
      </w:r>
    </w:p>
    <w:p w14:paraId="7E3CE700" w14:textId="77777777" w:rsidR="00540214" w:rsidRDefault="00DF66A4">
      <w:pPr>
        <w:spacing w:line="360" w:lineRule="auto"/>
        <w:jc w:val="both"/>
      </w:pPr>
      <w:r>
        <w:rPr>
          <w:rFonts w:ascii="Book Antiqua" w:eastAsia="Book Antiqua" w:hAnsi="Book Antiqua" w:cs="Book Antiqua"/>
          <w:color w:val="000000"/>
        </w:rPr>
        <w:t>Grade A (Excellent): A</w:t>
      </w:r>
    </w:p>
    <w:p w14:paraId="0176E54A" w14:textId="77777777" w:rsidR="00540214" w:rsidRDefault="00DF66A4">
      <w:pPr>
        <w:spacing w:line="360" w:lineRule="auto"/>
        <w:jc w:val="both"/>
      </w:pPr>
      <w:r>
        <w:rPr>
          <w:rFonts w:ascii="Book Antiqua" w:eastAsia="Book Antiqua" w:hAnsi="Book Antiqua" w:cs="Book Antiqua"/>
          <w:color w:val="000000"/>
        </w:rPr>
        <w:t>Grade B (Very good): B</w:t>
      </w:r>
    </w:p>
    <w:p w14:paraId="4946E5C7" w14:textId="77777777" w:rsidR="00540214" w:rsidRDefault="00DF66A4">
      <w:pPr>
        <w:spacing w:line="360" w:lineRule="auto"/>
        <w:jc w:val="both"/>
      </w:pPr>
      <w:r>
        <w:rPr>
          <w:rFonts w:ascii="Book Antiqua" w:eastAsia="Book Antiqua" w:hAnsi="Book Antiqua" w:cs="Book Antiqua"/>
          <w:color w:val="000000"/>
        </w:rPr>
        <w:t>Grade C (Good): C</w:t>
      </w:r>
    </w:p>
    <w:p w14:paraId="3FE9EF57" w14:textId="77777777" w:rsidR="00540214" w:rsidRDefault="00DF66A4">
      <w:pPr>
        <w:spacing w:line="360" w:lineRule="auto"/>
        <w:jc w:val="both"/>
      </w:pPr>
      <w:r>
        <w:rPr>
          <w:rFonts w:ascii="Book Antiqua" w:eastAsia="Book Antiqua" w:hAnsi="Book Antiqua" w:cs="Book Antiqua"/>
          <w:color w:val="000000"/>
        </w:rPr>
        <w:t>Grade D (Fair): 0</w:t>
      </w:r>
    </w:p>
    <w:p w14:paraId="0C8FBF11" w14:textId="77777777" w:rsidR="00540214" w:rsidRDefault="00DF66A4">
      <w:pPr>
        <w:spacing w:line="360" w:lineRule="auto"/>
        <w:jc w:val="both"/>
      </w:pPr>
      <w:r>
        <w:rPr>
          <w:rFonts w:ascii="Book Antiqua" w:eastAsia="Book Antiqua" w:hAnsi="Book Antiqua" w:cs="Book Antiqua"/>
          <w:color w:val="000000"/>
        </w:rPr>
        <w:t>Grade E (Poor): 0</w:t>
      </w:r>
    </w:p>
    <w:p w14:paraId="01A19638" w14:textId="77777777" w:rsidR="00540214" w:rsidRDefault="00540214">
      <w:pPr>
        <w:spacing w:line="360" w:lineRule="auto"/>
        <w:jc w:val="both"/>
      </w:pPr>
    </w:p>
    <w:p w14:paraId="2F0C87CF" w14:textId="1551A6B7" w:rsidR="00540214" w:rsidRDefault="00DF66A4">
      <w:pPr>
        <w:spacing w:line="360" w:lineRule="auto"/>
        <w:jc w:val="both"/>
        <w:sectPr w:rsidR="0054021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Hsu YC, Inal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D4A54" w:rsidRPr="0032266B">
        <w:rPr>
          <w:rFonts w:ascii="Book Antiqua" w:eastAsia="Book Antiqua" w:hAnsi="Book Antiqua" w:cs="Book Antiqua"/>
          <w:bCs/>
          <w:color w:val="000000"/>
        </w:rPr>
        <w:t>A</w:t>
      </w:r>
      <w:r w:rsidR="001D4A54">
        <w:rPr>
          <w:rFonts w:ascii="Book Antiqua" w:eastAsia="Book Antiqua" w:hAnsi="Book Antiqua" w:cs="Book Antiqua"/>
          <w:b/>
          <w:color w:val="000000"/>
        </w:rPr>
        <w:t xml:space="preserve"> P-Editor: </w:t>
      </w:r>
      <w:r w:rsidR="001D4A54" w:rsidRPr="000835DA">
        <w:rPr>
          <w:rFonts w:ascii="Book Antiqua" w:eastAsia="Book Antiqua" w:hAnsi="Book Antiqua" w:cs="Book Antiqua"/>
          <w:bCs/>
          <w:color w:val="000000"/>
        </w:rPr>
        <w:t>Wang LYT</w:t>
      </w:r>
    </w:p>
    <w:p w14:paraId="0EC2E326" w14:textId="77777777" w:rsidR="00540214" w:rsidRDefault="00DF66A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590EAB4" w14:textId="77777777" w:rsidR="00540214" w:rsidRDefault="00DF66A4">
      <w:pPr>
        <w:spacing w:line="360" w:lineRule="auto"/>
        <w:jc w:val="both"/>
        <w:rPr>
          <w:lang w:eastAsia="zh-CN"/>
        </w:rPr>
      </w:pPr>
      <w:r>
        <w:rPr>
          <w:noProof/>
          <w:lang w:eastAsia="zh-CN"/>
        </w:rPr>
        <w:drawing>
          <wp:inline distT="0" distB="0" distL="0" distR="0" wp14:anchorId="06DD682E" wp14:editId="76F24FD9">
            <wp:extent cx="5486400" cy="3067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3067685"/>
                    </a:xfrm>
                    <a:prstGeom prst="rect">
                      <a:avLst/>
                    </a:prstGeom>
                  </pic:spPr>
                </pic:pic>
              </a:graphicData>
            </a:graphic>
          </wp:inline>
        </w:drawing>
      </w:r>
    </w:p>
    <w:p w14:paraId="0388DEF0" w14:textId="7C46156A" w:rsidR="00540214" w:rsidRDefault="00DF66A4">
      <w:pPr>
        <w:spacing w:line="360" w:lineRule="auto"/>
        <w:jc w:val="both"/>
        <w:rPr>
          <w:rFonts w:ascii="Book Antiqua" w:hAnsi="Book Antiqua" w:cs="Book Antiqua"/>
          <w:bCs/>
          <w:color w:val="000000"/>
          <w:lang w:eastAsia="zh-CN"/>
        </w:rPr>
      </w:pPr>
      <w:r w:rsidRPr="00A027FA">
        <w:rPr>
          <w:rFonts w:ascii="Book Antiqua" w:eastAsia="Book Antiqua" w:hAnsi="Book Antiqua" w:cs="Book Antiqua"/>
          <w:b/>
          <w:bCs/>
          <w:color w:val="000000"/>
        </w:rPr>
        <w:t>Figure 1</w:t>
      </w:r>
      <w:r w:rsidRPr="00A027FA">
        <w:rPr>
          <w:rFonts w:ascii="Book Antiqua" w:hAnsi="Book Antiqua" w:cs="Book Antiqua" w:hint="eastAsia"/>
          <w:b/>
          <w:bCs/>
          <w:color w:val="000000"/>
          <w:lang w:eastAsia="zh-CN"/>
        </w:rPr>
        <w:t xml:space="preserve"> </w:t>
      </w:r>
      <w:r w:rsidRPr="00A027FA">
        <w:rPr>
          <w:rFonts w:ascii="Book Antiqua" w:eastAsia="Book Antiqua" w:hAnsi="Book Antiqua" w:cs="Book Antiqua"/>
          <w:b/>
          <w:bCs/>
          <w:color w:val="000000"/>
        </w:rPr>
        <w:t xml:space="preserve">Noradrenaline dose, and levels of endotoxin, </w:t>
      </w:r>
      <w:r w:rsidR="00A027FA" w:rsidRPr="00A027FA">
        <w:rPr>
          <w:rFonts w:ascii="Book Antiqua" w:hAnsi="Book Antiqua" w:cs="Book Antiqua"/>
          <w:b/>
          <w:bCs/>
          <w:color w:val="000000"/>
          <w:lang w:eastAsia="zh-CN"/>
        </w:rPr>
        <w:t>interleukin</w:t>
      </w:r>
      <w:r w:rsidRPr="00A027FA">
        <w:rPr>
          <w:rFonts w:ascii="Book Antiqua" w:eastAsia="Book Antiqua" w:hAnsi="Book Antiqua" w:cs="Book Antiqua"/>
          <w:b/>
          <w:bCs/>
          <w:color w:val="000000"/>
        </w:rPr>
        <w:t xml:space="preserve">-6 and </w:t>
      </w:r>
      <w:r w:rsidR="00A027FA" w:rsidRPr="00A027FA">
        <w:rPr>
          <w:rFonts w:ascii="Book Antiqua" w:hAnsi="Book Antiqua" w:cs="Book Antiqua"/>
          <w:b/>
          <w:bCs/>
          <w:color w:val="000000"/>
          <w:lang w:eastAsia="zh-CN"/>
        </w:rPr>
        <w:t>interleukin</w:t>
      </w:r>
      <w:r w:rsidR="00A027FA" w:rsidRPr="00A027FA">
        <w:rPr>
          <w:rFonts w:ascii="Book Antiqua" w:eastAsia="Book Antiqua" w:hAnsi="Book Antiqua" w:cs="Book Antiqua"/>
          <w:b/>
          <w:bCs/>
          <w:color w:val="000000"/>
        </w:rPr>
        <w:t>-</w:t>
      </w:r>
      <w:r w:rsidRPr="00A027FA">
        <w:rPr>
          <w:rFonts w:ascii="Book Antiqua" w:eastAsia="Book Antiqua" w:hAnsi="Book Antiqua" w:cs="Book Antiqua"/>
          <w:b/>
          <w:bCs/>
          <w:color w:val="000000"/>
        </w:rPr>
        <w:t xml:space="preserve">10 during </w:t>
      </w:r>
      <w:r w:rsidR="00A027FA">
        <w:rPr>
          <w:rFonts w:ascii="Book Antiqua" w:hAnsi="Book Antiqua" w:cs="Book Antiqua"/>
          <w:b/>
          <w:bCs/>
          <w:color w:val="000000"/>
          <w:lang w:eastAsia="zh-CN"/>
        </w:rPr>
        <w:t>c</w:t>
      </w:r>
      <w:r w:rsidR="00A027FA" w:rsidRPr="00A027FA">
        <w:rPr>
          <w:rFonts w:ascii="Book Antiqua" w:eastAsia="Book Antiqua" w:hAnsi="Book Antiqua" w:cs="Book Antiqua"/>
          <w:b/>
          <w:bCs/>
          <w:color w:val="000000"/>
        </w:rPr>
        <w:t>ontinuous veno-venous hemodiafiltration</w:t>
      </w:r>
      <w:r w:rsidRPr="00A027FA">
        <w:rPr>
          <w:rFonts w:ascii="Book Antiqua" w:eastAsia="Book Antiqua" w:hAnsi="Book Antiqua" w:cs="Book Antiqua"/>
          <w:b/>
          <w:bCs/>
          <w:color w:val="000000"/>
        </w:rPr>
        <w:t xml:space="preserve"> with the oXiris</w:t>
      </w:r>
      <w:r w:rsidRPr="00A027FA">
        <w:rPr>
          <w:rFonts w:ascii="Book Antiqua" w:eastAsia="Book Antiqua" w:hAnsi="Book Antiqua" w:cs="Book Antiqua"/>
          <w:b/>
          <w:bCs/>
          <w:color w:val="000000"/>
          <w:vertAlign w:val="superscript"/>
        </w:rPr>
        <w:t>®</w:t>
      </w:r>
      <w:r w:rsidRPr="00A027FA">
        <w:rPr>
          <w:rFonts w:ascii="Book Antiqua" w:eastAsia="Book Antiqua" w:hAnsi="Book Antiqua" w:cs="Book Antiqua"/>
          <w:b/>
          <w:bCs/>
          <w:color w:val="000000"/>
        </w:rPr>
        <w:t xml:space="preserve"> filter. </w:t>
      </w:r>
      <w:r>
        <w:rPr>
          <w:rFonts w:ascii="Book Antiqua" w:hAnsi="Book Antiqua" w:cs="Book Antiqua" w:hint="eastAsia"/>
          <w:bCs/>
          <w:color w:val="000000"/>
          <w:lang w:eastAsia="zh-CN"/>
        </w:rPr>
        <w:t xml:space="preserve">A: </w:t>
      </w:r>
      <w:r>
        <w:rPr>
          <w:rFonts w:ascii="Book Antiqua" w:hAnsi="Book Antiqua" w:cs="Book Antiqua"/>
          <w:bCs/>
          <w:color w:val="000000"/>
          <w:lang w:eastAsia="zh-CN"/>
        </w:rPr>
        <w:t>Noradrenaline dose</w:t>
      </w:r>
      <w:r>
        <w:rPr>
          <w:rFonts w:ascii="Book Antiqua" w:hAnsi="Book Antiqua" w:cs="Book Antiqua" w:hint="eastAsia"/>
          <w:bCs/>
          <w:color w:val="000000"/>
          <w:lang w:eastAsia="zh-CN"/>
        </w:rPr>
        <w:t>; B:</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E</w:t>
      </w:r>
      <w:r>
        <w:rPr>
          <w:rFonts w:ascii="Book Antiqua" w:eastAsia="Book Antiqua" w:hAnsi="Book Antiqua" w:cs="Book Antiqua"/>
          <w:bCs/>
          <w:color w:val="000000"/>
        </w:rPr>
        <w:t>ndotoxin</w:t>
      </w:r>
      <w:r>
        <w:rPr>
          <w:rFonts w:ascii="Book Antiqua" w:hAnsi="Book Antiqua" w:cs="Book Antiqua" w:hint="eastAsia"/>
          <w:bCs/>
          <w:color w:val="000000"/>
          <w:lang w:eastAsia="zh-CN"/>
        </w:rPr>
        <w:t>; C:</w:t>
      </w:r>
      <w:r>
        <w:rPr>
          <w:rFonts w:ascii="Book Antiqua" w:eastAsia="Book Antiqua" w:hAnsi="Book Antiqua" w:cs="Book Antiqua"/>
          <w:bCs/>
          <w:color w:val="000000"/>
        </w:rPr>
        <w:t xml:space="preserve"> </w:t>
      </w:r>
      <w:r w:rsidR="00A027FA">
        <w:rPr>
          <w:rFonts w:ascii="Book Antiqua" w:hAnsi="Book Antiqua" w:cs="Book Antiqua" w:hint="eastAsia"/>
          <w:bCs/>
          <w:color w:val="000000"/>
          <w:lang w:eastAsia="zh-CN"/>
        </w:rPr>
        <w:t>I</w:t>
      </w:r>
      <w:r w:rsidR="00A027FA">
        <w:rPr>
          <w:rFonts w:ascii="Book Antiqua" w:hAnsi="Book Antiqua" w:cs="Book Antiqua"/>
          <w:bCs/>
          <w:color w:val="000000"/>
          <w:lang w:eastAsia="zh-CN"/>
        </w:rPr>
        <w:t>nterleukin</w:t>
      </w:r>
      <w:r>
        <w:rPr>
          <w:rFonts w:ascii="Book Antiqua" w:eastAsia="Book Antiqua" w:hAnsi="Book Antiqua" w:cs="Book Antiqua"/>
          <w:bCs/>
          <w:color w:val="000000"/>
        </w:rPr>
        <w:t>-6</w:t>
      </w:r>
      <w:r>
        <w:rPr>
          <w:rFonts w:ascii="Book Antiqua" w:hAnsi="Book Antiqua" w:cs="Book Antiqua" w:hint="eastAsia"/>
          <w:bCs/>
          <w:color w:val="000000"/>
          <w:lang w:eastAsia="zh-CN"/>
        </w:rPr>
        <w:t xml:space="preserve">; D: </w:t>
      </w:r>
      <w:r w:rsidR="00A027FA">
        <w:rPr>
          <w:rFonts w:ascii="Book Antiqua" w:hAnsi="Book Antiqua" w:cs="Book Antiqua" w:hint="eastAsia"/>
          <w:bCs/>
          <w:color w:val="000000"/>
          <w:lang w:eastAsia="zh-CN"/>
        </w:rPr>
        <w:t>I</w:t>
      </w:r>
      <w:r w:rsidR="00A027FA">
        <w:rPr>
          <w:rFonts w:ascii="Book Antiqua" w:hAnsi="Book Antiqua" w:cs="Book Antiqua"/>
          <w:bCs/>
          <w:color w:val="000000"/>
          <w:lang w:eastAsia="zh-CN"/>
        </w:rPr>
        <w:t>nterleukin</w:t>
      </w:r>
      <w:r>
        <w:rPr>
          <w:rFonts w:ascii="Book Antiqua" w:eastAsia="Book Antiqua" w:hAnsi="Book Antiqua" w:cs="Book Antiqua"/>
          <w:bCs/>
          <w:color w:val="000000"/>
        </w:rPr>
        <w:t>-</w:t>
      </w:r>
      <w:r>
        <w:rPr>
          <w:rFonts w:ascii="Book Antiqua" w:hAnsi="Book Antiqua" w:cs="Book Antiqua" w:hint="eastAsia"/>
          <w:bCs/>
          <w:color w:val="000000"/>
          <w:lang w:eastAsia="zh-CN"/>
        </w:rPr>
        <w:t>10. IL: I</w:t>
      </w:r>
      <w:r>
        <w:rPr>
          <w:rFonts w:ascii="Book Antiqua" w:hAnsi="Book Antiqua" w:cs="Book Antiqua"/>
          <w:bCs/>
          <w:color w:val="000000"/>
          <w:lang w:eastAsia="zh-CN"/>
        </w:rPr>
        <w:t>nterleukin</w:t>
      </w:r>
      <w:r>
        <w:rPr>
          <w:rFonts w:ascii="Book Antiqua" w:hAnsi="Book Antiqua" w:cs="Book Antiqua" w:hint="eastAsia"/>
          <w:bCs/>
          <w:color w:val="000000"/>
          <w:lang w:eastAsia="zh-CN"/>
        </w:rPr>
        <w:t>.</w:t>
      </w:r>
    </w:p>
    <w:p w14:paraId="34DD4965" w14:textId="77777777" w:rsidR="00540214" w:rsidRDefault="00DF66A4">
      <w:pPr>
        <w:spacing w:line="360" w:lineRule="auto"/>
        <w:jc w:val="both"/>
        <w:rPr>
          <w:lang w:eastAsia="zh-CN"/>
        </w:rPr>
      </w:pPr>
      <w:r>
        <w:rPr>
          <w:rFonts w:ascii="Book Antiqua" w:hAnsi="Book Antiqua" w:cs="Book Antiqua"/>
          <w:bCs/>
          <w:color w:val="000000"/>
          <w:lang w:eastAsia="zh-CN"/>
        </w:rPr>
        <w:br w:type="page"/>
      </w:r>
      <w:r>
        <w:rPr>
          <w:noProof/>
          <w:lang w:eastAsia="zh-CN"/>
        </w:rPr>
        <w:drawing>
          <wp:inline distT="0" distB="0" distL="0" distR="0" wp14:anchorId="48EE3F4D" wp14:editId="76FF5665">
            <wp:extent cx="5486400" cy="3796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86400" cy="3796665"/>
                    </a:xfrm>
                    <a:prstGeom prst="rect">
                      <a:avLst/>
                    </a:prstGeom>
                  </pic:spPr>
                </pic:pic>
              </a:graphicData>
            </a:graphic>
          </wp:inline>
        </w:drawing>
      </w:r>
    </w:p>
    <w:p w14:paraId="285587FA" w14:textId="23E0DA0F" w:rsidR="00540214" w:rsidRDefault="00DF66A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Procalcitonin level, urine output, Sequential Organ Failure Assessment score, and </w:t>
      </w:r>
      <w:r w:rsidR="00A027FA" w:rsidRPr="00A027FA">
        <w:rPr>
          <w:rFonts w:ascii="Book Antiqua" w:eastAsia="Book Antiqua" w:hAnsi="Book Antiqua" w:cs="Book Antiqua"/>
          <w:b/>
          <w:bCs/>
          <w:color w:val="000000"/>
        </w:rPr>
        <w:t>Acute Physiology and Chronic Health Evaluation</w:t>
      </w:r>
      <w:r>
        <w:rPr>
          <w:rFonts w:ascii="Book Antiqua" w:eastAsia="Book Antiqua" w:hAnsi="Book Antiqua" w:cs="Book Antiqua"/>
          <w:b/>
          <w:bCs/>
          <w:color w:val="000000"/>
        </w:rPr>
        <w:t xml:space="preserve"> score during continuous veno-venous hemodiafiltration with the oXiris</w:t>
      </w:r>
      <w:r>
        <w:rPr>
          <w:rFonts w:ascii="Book Antiqua" w:eastAsia="Book Antiqua" w:hAnsi="Book Antiqua" w:cs="Book Antiqua"/>
          <w:b/>
          <w:bCs/>
          <w:color w:val="000000"/>
          <w:vertAlign w:val="superscript"/>
        </w:rPr>
        <w:t>®</w:t>
      </w:r>
      <w:r>
        <w:rPr>
          <w:rFonts w:ascii="Book Antiqua" w:eastAsia="Book Antiqua" w:hAnsi="Book Antiqua" w:cs="Book Antiqua"/>
          <w:b/>
          <w:bCs/>
          <w:color w:val="000000"/>
        </w:rPr>
        <w:t xml:space="preserve"> hemofilter (0</w:t>
      </w:r>
      <w:r>
        <w:rPr>
          <w:rFonts w:ascii="Book Antiqua" w:hAnsi="Book Antiqua" w:cs="Book Antiqua" w:hint="eastAsia"/>
          <w:b/>
          <w:bCs/>
          <w:color w:val="000000"/>
          <w:lang w:eastAsia="zh-CN"/>
        </w:rPr>
        <w:t>-</w:t>
      </w:r>
      <w:r>
        <w:rPr>
          <w:rFonts w:ascii="Book Antiqua" w:eastAsia="Book Antiqua" w:hAnsi="Book Antiqua" w:cs="Book Antiqua"/>
          <w:b/>
          <w:bCs/>
          <w:color w:val="000000"/>
        </w:rPr>
        <w:t>72 h) and then with a traditional filter (AN69 membrane).</w:t>
      </w:r>
      <w:r>
        <w:rPr>
          <w:rFonts w:ascii="Book Antiqua" w:hAnsi="Book Antiqua" w:cs="Book Antiqua" w:hint="eastAsia"/>
          <w:bCs/>
          <w:color w:val="000000"/>
          <w:lang w:eastAsia="zh-CN"/>
        </w:rPr>
        <w:t xml:space="preserve"> A: </w:t>
      </w:r>
      <w:r>
        <w:rPr>
          <w:rFonts w:ascii="Book Antiqua" w:eastAsia="Book Antiqua" w:hAnsi="Book Antiqua" w:cs="Book Antiqua"/>
          <w:bCs/>
          <w:color w:val="000000"/>
        </w:rPr>
        <w:t>Procalcitonin level</w:t>
      </w:r>
      <w:r>
        <w:rPr>
          <w:rFonts w:ascii="Book Antiqua" w:hAnsi="Book Antiqua" w:cs="Book Antiqua" w:hint="eastAsia"/>
          <w:bCs/>
          <w:color w:val="000000"/>
          <w:lang w:eastAsia="zh-CN"/>
        </w:rPr>
        <w:t>; B: U</w:t>
      </w:r>
      <w:r>
        <w:rPr>
          <w:rFonts w:ascii="Book Antiqua" w:eastAsia="Book Antiqua" w:hAnsi="Book Antiqua" w:cs="Book Antiqua"/>
          <w:bCs/>
          <w:color w:val="000000"/>
        </w:rPr>
        <w:t>rine output</w:t>
      </w:r>
      <w:r>
        <w:rPr>
          <w:rFonts w:ascii="Book Antiqua" w:hAnsi="Book Antiqua" w:cs="Book Antiqua" w:hint="eastAsia"/>
          <w:bCs/>
          <w:color w:val="000000"/>
          <w:lang w:eastAsia="zh-CN"/>
        </w:rPr>
        <w:t xml:space="preserve">; C: </w:t>
      </w:r>
      <w:r w:rsidR="00A027FA">
        <w:rPr>
          <w:rFonts w:ascii="Book Antiqua" w:eastAsia="Book Antiqua" w:hAnsi="Book Antiqua" w:cs="Book Antiqua"/>
          <w:color w:val="000000"/>
        </w:rPr>
        <w:t>Sequential Organ Failure Assessment</w:t>
      </w:r>
      <w:r>
        <w:rPr>
          <w:rFonts w:ascii="Book Antiqua" w:eastAsia="Book Antiqua" w:hAnsi="Book Antiqua" w:cs="Book Antiqua"/>
          <w:bCs/>
          <w:color w:val="000000"/>
        </w:rPr>
        <w:t xml:space="preserve"> score</w:t>
      </w:r>
      <w:r>
        <w:rPr>
          <w:rFonts w:ascii="Book Antiqua" w:hAnsi="Book Antiqua" w:cs="Book Antiqua" w:hint="eastAsia"/>
          <w:bCs/>
          <w:color w:val="000000"/>
          <w:lang w:eastAsia="zh-CN"/>
        </w:rPr>
        <w:t xml:space="preserve">; D: </w:t>
      </w:r>
      <w:r w:rsidR="00A027FA">
        <w:rPr>
          <w:rFonts w:ascii="Book Antiqua" w:eastAsia="Book Antiqua" w:hAnsi="Book Antiqua" w:cs="Book Antiqua"/>
          <w:color w:val="000000"/>
        </w:rPr>
        <w:t>Acute Physiology and Chronic Health Evaluation</w:t>
      </w:r>
      <w:r>
        <w:rPr>
          <w:rFonts w:ascii="Book Antiqua" w:eastAsia="Book Antiqua" w:hAnsi="Book Antiqua" w:cs="Book Antiqua"/>
          <w:bCs/>
          <w:color w:val="000000"/>
        </w:rPr>
        <w:t xml:space="preserve"> score</w:t>
      </w:r>
      <w:r>
        <w:rPr>
          <w:rFonts w:ascii="Book Antiqua" w:hAnsi="Book Antiqua" w:cs="Book Antiqua" w:hint="eastAsia"/>
          <w:bCs/>
          <w:color w:val="000000"/>
          <w:lang w:eastAsia="zh-CN"/>
        </w:rPr>
        <w:t xml:space="preserve">. PCT: </w:t>
      </w:r>
      <w:r>
        <w:rPr>
          <w:rFonts w:ascii="Book Antiqua" w:eastAsia="Book Antiqua" w:hAnsi="Book Antiqua" w:cs="Book Antiqua"/>
          <w:bCs/>
          <w:color w:val="000000"/>
        </w:rPr>
        <w:t>Procalcitonin</w:t>
      </w:r>
      <w:r>
        <w:rPr>
          <w:rFonts w:ascii="Book Antiqua" w:hAnsi="Book Antiqua" w:cs="Book Antiqua" w:hint="eastAsia"/>
          <w:bCs/>
          <w:color w:val="000000"/>
          <w:lang w:eastAsia="zh-CN"/>
        </w:rPr>
        <w:t xml:space="preserve">; SOFA: </w:t>
      </w:r>
      <w:r>
        <w:rPr>
          <w:rFonts w:ascii="Book Antiqua" w:eastAsia="Book Antiqua" w:hAnsi="Book Antiqua" w:cs="Book Antiqua"/>
          <w:color w:val="000000"/>
        </w:rPr>
        <w:t>Sequential Organ Failure Assessment</w:t>
      </w:r>
      <w:r>
        <w:rPr>
          <w:rFonts w:ascii="Book Antiqua" w:hAnsi="Book Antiqua" w:cs="Book Antiqua" w:hint="eastAsia"/>
          <w:color w:val="000000"/>
          <w:lang w:eastAsia="zh-CN"/>
        </w:rPr>
        <w:t xml:space="preserve">; </w:t>
      </w:r>
      <w:r>
        <w:rPr>
          <w:rFonts w:ascii="Book Antiqua" w:eastAsia="Book Antiqua" w:hAnsi="Book Antiqua" w:cs="Book Antiqua"/>
          <w:bCs/>
          <w:color w:val="000000"/>
        </w:rPr>
        <w:t>APACHE II</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Acute Physiology and Chronic Health Evaluation</w:t>
      </w:r>
      <w:r>
        <w:rPr>
          <w:rFonts w:ascii="Book Antiqua" w:hAnsi="Book Antiqua" w:cs="Book Antiqua" w:hint="eastAsia"/>
          <w:color w:val="000000"/>
          <w:lang w:eastAsia="zh-CN"/>
        </w:rPr>
        <w:t>.</w:t>
      </w:r>
    </w:p>
    <w:p w14:paraId="744E44F4" w14:textId="77777777" w:rsidR="00540214" w:rsidRDefault="00DF66A4">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Demographic and clinical characteristics of the patient</w:t>
      </w:r>
    </w:p>
    <w:tbl>
      <w:tblPr>
        <w:tblW w:w="0" w:type="auto"/>
        <w:tblLayout w:type="fixed"/>
        <w:tblLook w:val="04A0" w:firstRow="1" w:lastRow="0" w:firstColumn="1" w:lastColumn="0" w:noHBand="0" w:noVBand="1"/>
      </w:tblPr>
      <w:tblGrid>
        <w:gridCol w:w="4261"/>
        <w:gridCol w:w="4261"/>
      </w:tblGrid>
      <w:tr w:rsidR="00540214" w14:paraId="2BC5F4C5" w14:textId="77777777">
        <w:tc>
          <w:tcPr>
            <w:tcW w:w="8522" w:type="dxa"/>
            <w:gridSpan w:val="2"/>
            <w:tcBorders>
              <w:top w:val="single" w:sz="4" w:space="0" w:color="auto"/>
              <w:bottom w:val="single" w:sz="4" w:space="0" w:color="auto"/>
            </w:tcBorders>
            <w:shd w:val="clear" w:color="auto" w:fill="auto"/>
          </w:tcPr>
          <w:p w14:paraId="79B83B40" w14:textId="77777777" w:rsidR="00540214" w:rsidRDefault="00DF66A4">
            <w:pPr>
              <w:spacing w:line="360" w:lineRule="auto"/>
              <w:jc w:val="both"/>
              <w:rPr>
                <w:rFonts w:ascii="Book Antiqua" w:eastAsia="MinionPro-Regular" w:hAnsi="Book Antiqua"/>
                <w:color w:val="231F20"/>
                <w:lang w:bidi="ar"/>
              </w:rPr>
            </w:pPr>
            <w:r>
              <w:rPr>
                <w:rFonts w:ascii="Book Antiqua" w:hAnsi="Book Antiqua" w:cs="Book Antiqua"/>
                <w:b/>
                <w:color w:val="000000"/>
                <w:lang w:eastAsia="zh-CN"/>
              </w:rPr>
              <w:t>Demographic and clinical characteristics</w:t>
            </w:r>
          </w:p>
        </w:tc>
      </w:tr>
      <w:tr w:rsidR="00540214" w14:paraId="0B9E75E8" w14:textId="77777777">
        <w:tc>
          <w:tcPr>
            <w:tcW w:w="4261" w:type="dxa"/>
            <w:tcBorders>
              <w:top w:val="single" w:sz="4" w:space="0" w:color="auto"/>
            </w:tcBorders>
            <w:shd w:val="clear" w:color="auto" w:fill="auto"/>
          </w:tcPr>
          <w:p w14:paraId="644C0068"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Age</w:t>
            </w:r>
          </w:p>
        </w:tc>
        <w:tc>
          <w:tcPr>
            <w:tcW w:w="4261" w:type="dxa"/>
            <w:tcBorders>
              <w:top w:val="single" w:sz="4" w:space="0" w:color="auto"/>
            </w:tcBorders>
            <w:shd w:val="clear" w:color="auto" w:fill="auto"/>
          </w:tcPr>
          <w:p w14:paraId="52B883A0"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59 y</w:t>
            </w:r>
            <w:r>
              <w:rPr>
                <w:rFonts w:ascii="Book Antiqua" w:hAnsi="Book Antiqua" w:hint="eastAsia"/>
                <w:color w:val="231F20"/>
                <w:lang w:eastAsia="zh-CN" w:bidi="ar"/>
              </w:rPr>
              <w:t>r</w:t>
            </w:r>
          </w:p>
        </w:tc>
      </w:tr>
      <w:tr w:rsidR="00540214" w14:paraId="72F10807" w14:textId="77777777">
        <w:tc>
          <w:tcPr>
            <w:tcW w:w="4261" w:type="dxa"/>
            <w:shd w:val="clear" w:color="auto" w:fill="auto"/>
          </w:tcPr>
          <w:p w14:paraId="591E0485" w14:textId="77777777" w:rsidR="00540214" w:rsidRDefault="00DF66A4">
            <w:pPr>
              <w:spacing w:line="360" w:lineRule="auto"/>
              <w:jc w:val="both"/>
              <w:rPr>
                <w:rFonts w:ascii="Book Antiqua" w:hAnsi="Book Antiqua"/>
              </w:rPr>
            </w:pPr>
            <w:r>
              <w:rPr>
                <w:rFonts w:ascii="Book Antiqua" w:eastAsia="MinionPro-Regular" w:hAnsi="Book Antiqua"/>
                <w:color w:val="231F20"/>
                <w:lang w:bidi="ar"/>
              </w:rPr>
              <w:t>Gender</w:t>
            </w:r>
          </w:p>
        </w:tc>
        <w:tc>
          <w:tcPr>
            <w:tcW w:w="4261" w:type="dxa"/>
            <w:shd w:val="clear" w:color="auto" w:fill="auto"/>
          </w:tcPr>
          <w:p w14:paraId="6FA047D7" w14:textId="77777777" w:rsidR="00540214" w:rsidRDefault="00DF66A4">
            <w:pPr>
              <w:spacing w:line="360" w:lineRule="auto"/>
              <w:jc w:val="both"/>
              <w:rPr>
                <w:rFonts w:ascii="Book Antiqua" w:hAnsi="Book Antiqua"/>
              </w:rPr>
            </w:pPr>
            <w:r>
              <w:rPr>
                <w:rFonts w:ascii="Book Antiqua" w:eastAsia="MinionPro-Regular" w:hAnsi="Book Antiqua"/>
                <w:color w:val="231F20"/>
                <w:lang w:bidi="ar"/>
              </w:rPr>
              <w:t>Male</w:t>
            </w:r>
          </w:p>
        </w:tc>
      </w:tr>
      <w:tr w:rsidR="00540214" w14:paraId="79EC7491" w14:textId="77777777">
        <w:tc>
          <w:tcPr>
            <w:tcW w:w="4261" w:type="dxa"/>
            <w:shd w:val="clear" w:color="auto" w:fill="auto"/>
          </w:tcPr>
          <w:p w14:paraId="23CDD760"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 xml:space="preserve">Major </w:t>
            </w:r>
            <w:r>
              <w:rPr>
                <w:rFonts w:ascii="Book Antiqua" w:hAnsi="Book Antiqua" w:hint="eastAsia"/>
                <w:color w:val="231F20"/>
                <w:lang w:eastAsia="zh-CN" w:bidi="ar"/>
              </w:rPr>
              <w:t>c</w:t>
            </w:r>
            <w:r>
              <w:rPr>
                <w:rFonts w:ascii="Book Antiqua" w:eastAsia="MinionPro-Regular" w:hAnsi="Book Antiqua"/>
                <w:color w:val="231F20"/>
                <w:lang w:bidi="ar"/>
              </w:rPr>
              <w:t>linical diagnoses</w:t>
            </w:r>
          </w:p>
        </w:tc>
        <w:tc>
          <w:tcPr>
            <w:tcW w:w="4261" w:type="dxa"/>
            <w:shd w:val="clear" w:color="auto" w:fill="auto"/>
          </w:tcPr>
          <w:p w14:paraId="2ACC47D5"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iCs/>
                <w:color w:val="231F20"/>
                <w:lang w:bidi="ar"/>
              </w:rPr>
              <w:t xml:space="preserve">Klebsiella pneumoniae </w:t>
            </w:r>
            <w:r>
              <w:rPr>
                <w:rFonts w:ascii="Book Antiqua" w:eastAsia="MinionPro-Regular" w:hAnsi="Book Antiqua"/>
                <w:color w:val="231F20"/>
                <w:lang w:bidi="ar"/>
              </w:rPr>
              <w:t>bacteraemia</w:t>
            </w:r>
            <w:r>
              <w:rPr>
                <w:rFonts w:ascii="Book Antiqua" w:hAnsi="Book Antiqua" w:hint="eastAsia"/>
                <w:color w:val="231F20"/>
                <w:lang w:eastAsia="zh-CN" w:bidi="ar"/>
              </w:rPr>
              <w:t xml:space="preserve">; </w:t>
            </w:r>
            <w:r>
              <w:rPr>
                <w:rFonts w:ascii="Book Antiqua" w:eastAsia="MinionPro-Regular" w:hAnsi="Book Antiqua"/>
                <w:color w:val="231F20"/>
                <w:lang w:bidi="ar"/>
              </w:rPr>
              <w:t>Sepsis</w:t>
            </w:r>
            <w:r>
              <w:rPr>
                <w:rFonts w:ascii="Book Antiqua" w:hAnsi="Book Antiqua" w:hint="eastAsia"/>
                <w:color w:val="231F20"/>
                <w:lang w:eastAsia="zh-CN" w:bidi="ar"/>
              </w:rPr>
              <w:t xml:space="preserve">; </w:t>
            </w:r>
            <w:r>
              <w:rPr>
                <w:rFonts w:ascii="Book Antiqua" w:eastAsia="MinionPro-Regular" w:hAnsi="Book Antiqua"/>
                <w:color w:val="231F20"/>
                <w:lang w:bidi="ar"/>
              </w:rPr>
              <w:t>Septic shock</w:t>
            </w:r>
            <w:r>
              <w:rPr>
                <w:rFonts w:ascii="Book Antiqua" w:hAnsi="Book Antiqua" w:hint="eastAsia"/>
                <w:color w:val="231F20"/>
                <w:lang w:eastAsia="zh-CN" w:bidi="ar"/>
              </w:rPr>
              <w:t xml:space="preserve">; </w:t>
            </w:r>
            <w:r>
              <w:rPr>
                <w:rFonts w:ascii="Book Antiqua" w:eastAsia="MinionPro-Regular" w:hAnsi="Book Antiqua"/>
                <w:color w:val="231F20"/>
                <w:lang w:bidi="ar"/>
              </w:rPr>
              <w:t>Acute kidney injury</w:t>
            </w:r>
          </w:p>
        </w:tc>
      </w:tr>
      <w:tr w:rsidR="00540214" w14:paraId="45A311D2" w14:textId="77777777">
        <w:tc>
          <w:tcPr>
            <w:tcW w:w="4261" w:type="dxa"/>
            <w:shd w:val="clear" w:color="auto" w:fill="auto"/>
          </w:tcPr>
          <w:p w14:paraId="7F40D5BC"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Broad-spectrum antimicrobials</w:t>
            </w:r>
          </w:p>
        </w:tc>
        <w:tc>
          <w:tcPr>
            <w:tcW w:w="4261" w:type="dxa"/>
            <w:shd w:val="clear" w:color="auto" w:fill="auto"/>
          </w:tcPr>
          <w:p w14:paraId="75547F43"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Yes</w:t>
            </w:r>
          </w:p>
        </w:tc>
      </w:tr>
      <w:tr w:rsidR="00540214" w14:paraId="657D362E" w14:textId="77777777">
        <w:tc>
          <w:tcPr>
            <w:tcW w:w="4261" w:type="dxa"/>
            <w:shd w:val="clear" w:color="auto" w:fill="auto"/>
          </w:tcPr>
          <w:p w14:paraId="1BEF6F19"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oXiris</w:t>
            </w:r>
            <w:r>
              <w:rPr>
                <w:rFonts w:ascii="Book Antiqua" w:eastAsia="MinionPro-Regular" w:hAnsi="Book Antiqua"/>
                <w:color w:val="231F20"/>
                <w:vertAlign w:val="superscript"/>
                <w:lang w:bidi="ar"/>
              </w:rPr>
              <w:t>®</w:t>
            </w:r>
            <w:r>
              <w:rPr>
                <w:rFonts w:ascii="Book Antiqua" w:eastAsia="MinionPro-Regular" w:hAnsi="Book Antiqua"/>
                <w:color w:val="231F20"/>
                <w:lang w:bidi="ar"/>
              </w:rPr>
              <w:t xml:space="preserve"> prescription mode</w:t>
            </w:r>
          </w:p>
        </w:tc>
        <w:tc>
          <w:tcPr>
            <w:tcW w:w="4261" w:type="dxa"/>
            <w:shd w:val="clear" w:color="auto" w:fill="auto"/>
          </w:tcPr>
          <w:p w14:paraId="4B85C256"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CVVHDF, 72 h</w:t>
            </w:r>
          </w:p>
        </w:tc>
      </w:tr>
      <w:tr w:rsidR="00540214" w14:paraId="5F62F493" w14:textId="77777777">
        <w:tc>
          <w:tcPr>
            <w:tcW w:w="4261" w:type="dxa"/>
            <w:shd w:val="clear" w:color="auto" w:fill="auto"/>
          </w:tcPr>
          <w:p w14:paraId="0F9473DB"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Dose, mL/kg</w:t>
            </w:r>
            <w:r>
              <w:rPr>
                <w:rFonts w:ascii="Book Antiqua" w:hAnsi="Book Antiqua" w:hint="eastAsia"/>
                <w:color w:val="231F20"/>
                <w:lang w:eastAsia="zh-CN" w:bidi="ar"/>
              </w:rPr>
              <w:t xml:space="preserve"> per </w:t>
            </w:r>
            <w:r>
              <w:rPr>
                <w:rFonts w:ascii="Book Antiqua" w:eastAsia="MinionPro-Regular" w:hAnsi="Book Antiqua"/>
                <w:color w:val="231F20"/>
                <w:lang w:bidi="ar"/>
              </w:rPr>
              <w:t>h</w:t>
            </w:r>
            <w:r>
              <w:rPr>
                <w:rFonts w:ascii="Book Antiqua" w:hAnsi="Book Antiqua" w:hint="eastAsia"/>
                <w:color w:val="231F20"/>
                <w:lang w:eastAsia="zh-CN" w:bidi="ar"/>
              </w:rPr>
              <w:t>our</w:t>
            </w:r>
          </w:p>
        </w:tc>
        <w:tc>
          <w:tcPr>
            <w:tcW w:w="4261" w:type="dxa"/>
            <w:shd w:val="clear" w:color="auto" w:fill="auto"/>
          </w:tcPr>
          <w:p w14:paraId="4D2D56AC"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30</w:t>
            </w:r>
          </w:p>
        </w:tc>
      </w:tr>
      <w:tr w:rsidR="00540214" w14:paraId="66BE7797" w14:textId="77777777">
        <w:tc>
          <w:tcPr>
            <w:tcW w:w="4261" w:type="dxa"/>
            <w:shd w:val="clear" w:color="auto" w:fill="auto"/>
          </w:tcPr>
          <w:p w14:paraId="724DA169"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Anticoagulation</w:t>
            </w:r>
          </w:p>
        </w:tc>
        <w:tc>
          <w:tcPr>
            <w:tcW w:w="4261" w:type="dxa"/>
            <w:shd w:val="clear" w:color="auto" w:fill="auto"/>
          </w:tcPr>
          <w:p w14:paraId="27363C92"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R</w:t>
            </w:r>
            <w:r>
              <w:rPr>
                <w:rFonts w:ascii="Book Antiqua" w:eastAsia="MinionPro-Regular" w:hAnsi="Book Antiqua"/>
                <w:color w:val="231F20"/>
                <w:lang w:val="zh-CN" w:bidi="ar"/>
              </w:rPr>
              <w:t>egional</w:t>
            </w:r>
            <w:r>
              <w:rPr>
                <w:rFonts w:ascii="Book Antiqua" w:eastAsia="MinionPro-Regular" w:hAnsi="Book Antiqua"/>
                <w:color w:val="231F20"/>
                <w:lang w:bidi="ar"/>
              </w:rPr>
              <w:t xml:space="preserve"> citrate anticoagulation</w:t>
            </w:r>
          </w:p>
        </w:tc>
      </w:tr>
      <w:tr w:rsidR="00540214" w14:paraId="47E8BCA1" w14:textId="77777777">
        <w:tc>
          <w:tcPr>
            <w:tcW w:w="4261" w:type="dxa"/>
            <w:shd w:val="clear" w:color="auto" w:fill="auto"/>
          </w:tcPr>
          <w:p w14:paraId="33FED1CB"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ICU survival</w:t>
            </w:r>
          </w:p>
        </w:tc>
        <w:tc>
          <w:tcPr>
            <w:tcW w:w="4261" w:type="dxa"/>
            <w:shd w:val="clear" w:color="auto" w:fill="auto"/>
          </w:tcPr>
          <w:p w14:paraId="51C32ED7"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Yes</w:t>
            </w:r>
          </w:p>
        </w:tc>
      </w:tr>
      <w:tr w:rsidR="00540214" w14:paraId="4C60E4B5" w14:textId="77777777">
        <w:tc>
          <w:tcPr>
            <w:tcW w:w="4261" w:type="dxa"/>
            <w:tcBorders>
              <w:bottom w:val="single" w:sz="4" w:space="0" w:color="auto"/>
            </w:tcBorders>
            <w:shd w:val="clear" w:color="auto" w:fill="auto"/>
          </w:tcPr>
          <w:p w14:paraId="4699541D"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Hospital survival</w:t>
            </w:r>
          </w:p>
        </w:tc>
        <w:tc>
          <w:tcPr>
            <w:tcW w:w="4261" w:type="dxa"/>
            <w:tcBorders>
              <w:bottom w:val="single" w:sz="4" w:space="0" w:color="auto"/>
            </w:tcBorders>
            <w:shd w:val="clear" w:color="auto" w:fill="auto"/>
          </w:tcPr>
          <w:p w14:paraId="033CBE65"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Yes</w:t>
            </w:r>
          </w:p>
        </w:tc>
      </w:tr>
    </w:tbl>
    <w:p w14:paraId="3C32E08D" w14:textId="422571BF" w:rsidR="00001E67" w:rsidRDefault="00DF66A4">
      <w:pPr>
        <w:spacing w:line="360" w:lineRule="auto"/>
        <w:jc w:val="both"/>
        <w:rPr>
          <w:rFonts w:ascii="Book Antiqua" w:hAnsi="Book Antiqua" w:cs="Book Antiqua"/>
          <w:color w:val="000000"/>
          <w:lang w:eastAsia="zh-CN"/>
        </w:rPr>
      </w:pPr>
      <w:r>
        <w:rPr>
          <w:rFonts w:ascii="Book Antiqua" w:eastAsia="MinionPro-Regular" w:hAnsi="Book Antiqua"/>
          <w:color w:val="231F20"/>
          <w:lang w:bidi="ar"/>
        </w:rPr>
        <w:t>CVVHDF</w:t>
      </w:r>
      <w:r>
        <w:rPr>
          <w:rFonts w:ascii="Book Antiqua" w:hAnsi="Book Antiqua" w:hint="eastAsia"/>
          <w:color w:val="231F20"/>
          <w:lang w:eastAsia="zh-CN" w:bidi="ar"/>
        </w:rPr>
        <w:t>:</w:t>
      </w:r>
      <w:r>
        <w:rPr>
          <w:rFonts w:ascii="Book Antiqua" w:eastAsia="MinionPro-Regular" w:hAnsi="Book Antiqua"/>
          <w:color w:val="231F20"/>
          <w:lang w:bidi="ar"/>
        </w:rPr>
        <w:t xml:space="preserve"> Continuous veno-venous hemodiafiltration</w:t>
      </w:r>
      <w:r>
        <w:rPr>
          <w:rFonts w:ascii="Book Antiqua" w:hAnsi="Book Antiqua" w:hint="eastAsia"/>
          <w:color w:val="231F20"/>
          <w:lang w:eastAsia="zh-CN" w:bidi="ar"/>
        </w:rPr>
        <w:t xml:space="preserve">; ICU: </w:t>
      </w:r>
      <w:r>
        <w:rPr>
          <w:rFonts w:ascii="Book Antiqua" w:hAnsi="Book Antiqua" w:cs="Book Antiqua" w:hint="eastAsia"/>
          <w:color w:val="000000"/>
          <w:lang w:eastAsia="zh-CN"/>
        </w:rPr>
        <w:t>I</w:t>
      </w:r>
      <w:r>
        <w:rPr>
          <w:rFonts w:ascii="Book Antiqua" w:eastAsia="Book Antiqua" w:hAnsi="Book Antiqua" w:cs="Book Antiqua"/>
          <w:color w:val="000000"/>
        </w:rPr>
        <w:t>ntensive care unit</w:t>
      </w:r>
      <w:r>
        <w:rPr>
          <w:rFonts w:ascii="Book Antiqua" w:hAnsi="Book Antiqua" w:cs="Book Antiqua" w:hint="eastAsia"/>
          <w:color w:val="000000"/>
          <w:lang w:eastAsia="zh-CN"/>
        </w:rPr>
        <w:t>.</w:t>
      </w:r>
    </w:p>
    <w:p w14:paraId="31898960" w14:textId="77777777" w:rsidR="00001E67" w:rsidRDefault="00001E67">
      <w:pPr>
        <w:rPr>
          <w:rFonts w:ascii="Book Antiqua" w:hAnsi="Book Antiqua" w:cs="Book Antiqua"/>
          <w:color w:val="000000"/>
          <w:lang w:eastAsia="zh-CN"/>
        </w:rPr>
      </w:pPr>
      <w:r>
        <w:rPr>
          <w:rFonts w:ascii="Book Antiqua" w:hAnsi="Book Antiqua" w:cs="Book Antiqua"/>
          <w:color w:val="000000"/>
          <w:lang w:eastAsia="zh-CN"/>
        </w:rPr>
        <w:br w:type="page"/>
      </w:r>
    </w:p>
    <w:p w14:paraId="64C341BD" w14:textId="77777777" w:rsidR="00001E67" w:rsidRDefault="00001E67" w:rsidP="00001E67">
      <w:pPr>
        <w:jc w:val="center"/>
        <w:rPr>
          <w:rFonts w:ascii="Book Antiqua" w:hAnsi="Book Antiqua"/>
          <w:lang w:eastAsia="zh-CN"/>
        </w:rPr>
      </w:pPr>
      <w:bookmarkStart w:id="5" w:name="OLE_LINK2"/>
    </w:p>
    <w:p w14:paraId="31BDD963" w14:textId="77777777" w:rsidR="00001E67" w:rsidRDefault="00001E67" w:rsidP="00001E67">
      <w:pPr>
        <w:jc w:val="center"/>
        <w:rPr>
          <w:rFonts w:ascii="Book Antiqua" w:hAnsi="Book Antiqua"/>
          <w:lang w:eastAsia="zh-CN"/>
        </w:rPr>
      </w:pPr>
    </w:p>
    <w:p w14:paraId="5B4969C1" w14:textId="77777777" w:rsidR="00001E67" w:rsidRDefault="00001E67" w:rsidP="00001E67">
      <w:pPr>
        <w:jc w:val="center"/>
        <w:rPr>
          <w:rFonts w:ascii="Book Antiqua" w:hAnsi="Book Antiqua"/>
          <w:lang w:eastAsia="zh-CN"/>
        </w:rPr>
      </w:pPr>
    </w:p>
    <w:p w14:paraId="2A6AF332" w14:textId="77777777" w:rsidR="00001E67" w:rsidRDefault="00001E67" w:rsidP="00001E67">
      <w:pPr>
        <w:jc w:val="center"/>
        <w:rPr>
          <w:rFonts w:ascii="Book Antiqua" w:hAnsi="Book Antiqua"/>
          <w:lang w:eastAsia="zh-CN"/>
        </w:rPr>
      </w:pPr>
    </w:p>
    <w:p w14:paraId="64009616" w14:textId="77777777" w:rsidR="00001E67" w:rsidRDefault="00001E67" w:rsidP="00001E67">
      <w:pPr>
        <w:jc w:val="center"/>
        <w:rPr>
          <w:rFonts w:ascii="Book Antiqua" w:hAnsi="Book Antiqua"/>
          <w:lang w:eastAsia="zh-CN"/>
        </w:rPr>
      </w:pPr>
    </w:p>
    <w:p w14:paraId="058AAA6E" w14:textId="77777777" w:rsidR="00001E67" w:rsidRDefault="00001E67" w:rsidP="00001E67">
      <w:pPr>
        <w:jc w:val="center"/>
        <w:rPr>
          <w:rFonts w:ascii="Book Antiqua" w:hAnsi="Book Antiqua"/>
          <w:lang w:eastAsia="zh-CN"/>
        </w:rPr>
      </w:pPr>
      <w:r>
        <w:rPr>
          <w:rFonts w:ascii="Book Antiqua" w:hAnsi="Book Antiqua"/>
          <w:noProof/>
          <w:lang w:eastAsia="zh-CN"/>
        </w:rPr>
        <w:drawing>
          <wp:inline distT="0" distB="0" distL="0" distR="0" wp14:anchorId="5BC34D8A" wp14:editId="6E8287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B8E8AC" w14:textId="77777777" w:rsidR="00001E67" w:rsidRDefault="00001E67" w:rsidP="00001E67">
      <w:pPr>
        <w:jc w:val="center"/>
        <w:rPr>
          <w:rFonts w:ascii="Book Antiqua" w:hAnsi="Book Antiqua"/>
          <w:lang w:eastAsia="zh-CN"/>
        </w:rPr>
      </w:pPr>
    </w:p>
    <w:p w14:paraId="57C2D67D" w14:textId="77777777" w:rsidR="00001E67" w:rsidRPr="00763D22" w:rsidRDefault="00001E67" w:rsidP="00001E6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8AB689A" w14:textId="77777777" w:rsidR="00001E67" w:rsidRPr="00763D22" w:rsidRDefault="00001E67" w:rsidP="00001E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D8CB11" w14:textId="77777777" w:rsidR="00001E67" w:rsidRPr="00763D22" w:rsidRDefault="00001E67" w:rsidP="00001E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F30CF7" w14:textId="77777777" w:rsidR="00001E67" w:rsidRPr="00763D22" w:rsidRDefault="00001E67" w:rsidP="00001E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4525A4" w14:textId="77777777" w:rsidR="00001E67" w:rsidRPr="00763D22" w:rsidRDefault="00001E67" w:rsidP="00001E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C1CA1C" w14:textId="77777777" w:rsidR="00001E67" w:rsidRPr="00763D22" w:rsidRDefault="00001E67" w:rsidP="00001E6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4738398" w14:textId="77777777" w:rsidR="00001E67" w:rsidRDefault="00001E67" w:rsidP="00001E67">
      <w:pPr>
        <w:jc w:val="center"/>
        <w:rPr>
          <w:rFonts w:ascii="Book Antiqua" w:hAnsi="Book Antiqua"/>
          <w:lang w:eastAsia="zh-CN"/>
        </w:rPr>
      </w:pPr>
    </w:p>
    <w:p w14:paraId="5E8C1597" w14:textId="77777777" w:rsidR="00001E67" w:rsidRDefault="00001E67" w:rsidP="00001E67">
      <w:pPr>
        <w:jc w:val="center"/>
        <w:rPr>
          <w:rFonts w:ascii="Book Antiqua" w:hAnsi="Book Antiqua"/>
          <w:lang w:eastAsia="zh-CN"/>
        </w:rPr>
      </w:pPr>
    </w:p>
    <w:p w14:paraId="3F25249D" w14:textId="77777777" w:rsidR="00001E67" w:rsidRDefault="00001E67" w:rsidP="00001E67">
      <w:pPr>
        <w:jc w:val="center"/>
        <w:rPr>
          <w:rFonts w:ascii="Book Antiqua" w:hAnsi="Book Antiqua"/>
          <w:lang w:eastAsia="zh-CN"/>
        </w:rPr>
      </w:pPr>
    </w:p>
    <w:p w14:paraId="0EFA5DF3" w14:textId="77777777" w:rsidR="00001E67" w:rsidRDefault="00001E67" w:rsidP="00001E67">
      <w:pPr>
        <w:jc w:val="center"/>
        <w:rPr>
          <w:rFonts w:ascii="Book Antiqua" w:hAnsi="Book Antiqua"/>
          <w:lang w:eastAsia="zh-CN"/>
        </w:rPr>
      </w:pPr>
      <w:r>
        <w:rPr>
          <w:rFonts w:ascii="Book Antiqua" w:hAnsi="Book Antiqua"/>
          <w:noProof/>
          <w:lang w:eastAsia="zh-CN"/>
        </w:rPr>
        <w:drawing>
          <wp:inline distT="0" distB="0" distL="0" distR="0" wp14:anchorId="20A0365D" wp14:editId="3D5249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F2EE9F" w14:textId="77777777" w:rsidR="00001E67" w:rsidRDefault="00001E67" w:rsidP="00001E67">
      <w:pPr>
        <w:jc w:val="center"/>
        <w:rPr>
          <w:rFonts w:ascii="Book Antiqua" w:hAnsi="Book Antiqua"/>
          <w:lang w:eastAsia="zh-CN"/>
        </w:rPr>
      </w:pPr>
    </w:p>
    <w:p w14:paraId="43B91E35" w14:textId="77777777" w:rsidR="00001E67" w:rsidRDefault="00001E67" w:rsidP="00001E67">
      <w:pPr>
        <w:jc w:val="center"/>
        <w:rPr>
          <w:rFonts w:ascii="Book Antiqua" w:hAnsi="Book Antiqua"/>
          <w:lang w:eastAsia="zh-CN"/>
        </w:rPr>
      </w:pPr>
    </w:p>
    <w:p w14:paraId="2FC8A5EE" w14:textId="77777777" w:rsidR="00001E67" w:rsidRDefault="00001E67" w:rsidP="00001E67">
      <w:pPr>
        <w:jc w:val="center"/>
        <w:rPr>
          <w:rFonts w:ascii="Book Antiqua" w:hAnsi="Book Antiqua"/>
          <w:lang w:eastAsia="zh-CN"/>
        </w:rPr>
      </w:pPr>
    </w:p>
    <w:p w14:paraId="3F926AA9" w14:textId="77777777" w:rsidR="00001E67" w:rsidRDefault="00001E67" w:rsidP="00001E67">
      <w:pPr>
        <w:jc w:val="center"/>
        <w:rPr>
          <w:rFonts w:ascii="Book Antiqua" w:hAnsi="Book Antiqua"/>
          <w:lang w:eastAsia="zh-CN"/>
        </w:rPr>
      </w:pPr>
    </w:p>
    <w:p w14:paraId="6F12AF02" w14:textId="77777777" w:rsidR="00001E67" w:rsidRDefault="00001E67" w:rsidP="00001E67">
      <w:pPr>
        <w:jc w:val="center"/>
        <w:rPr>
          <w:rFonts w:ascii="Book Antiqua" w:hAnsi="Book Antiqua"/>
          <w:lang w:eastAsia="zh-CN"/>
        </w:rPr>
      </w:pPr>
    </w:p>
    <w:p w14:paraId="3AD0C2DB" w14:textId="77777777" w:rsidR="00001E67" w:rsidRDefault="00001E67" w:rsidP="00001E67">
      <w:pPr>
        <w:jc w:val="center"/>
        <w:rPr>
          <w:rFonts w:ascii="Book Antiqua" w:hAnsi="Book Antiqua"/>
          <w:lang w:eastAsia="zh-CN"/>
        </w:rPr>
      </w:pPr>
    </w:p>
    <w:p w14:paraId="75D03162" w14:textId="77777777" w:rsidR="00001E67" w:rsidRDefault="00001E67" w:rsidP="00001E67">
      <w:pPr>
        <w:jc w:val="center"/>
        <w:rPr>
          <w:rFonts w:ascii="Book Antiqua" w:hAnsi="Book Antiqua"/>
          <w:lang w:eastAsia="zh-CN"/>
        </w:rPr>
      </w:pPr>
    </w:p>
    <w:p w14:paraId="4F037709" w14:textId="77777777" w:rsidR="00001E67" w:rsidRDefault="00001E67" w:rsidP="00001E67">
      <w:pPr>
        <w:jc w:val="center"/>
        <w:rPr>
          <w:rFonts w:ascii="Book Antiqua" w:hAnsi="Book Antiqua"/>
          <w:lang w:eastAsia="zh-CN"/>
        </w:rPr>
      </w:pPr>
    </w:p>
    <w:p w14:paraId="52FA6677" w14:textId="77777777" w:rsidR="00001E67" w:rsidRDefault="00001E67" w:rsidP="00001E67">
      <w:pPr>
        <w:jc w:val="center"/>
        <w:rPr>
          <w:rFonts w:ascii="Book Antiqua" w:hAnsi="Book Antiqua"/>
          <w:lang w:eastAsia="zh-CN"/>
        </w:rPr>
      </w:pPr>
    </w:p>
    <w:p w14:paraId="6B39C708" w14:textId="77777777" w:rsidR="00001E67" w:rsidRPr="00763D22" w:rsidRDefault="00001E67" w:rsidP="00001E67">
      <w:pPr>
        <w:jc w:val="right"/>
        <w:rPr>
          <w:rFonts w:ascii="Book Antiqua" w:hAnsi="Book Antiqua"/>
          <w:color w:val="000000" w:themeColor="text1"/>
          <w:lang w:eastAsia="zh-CN"/>
        </w:rPr>
      </w:pPr>
    </w:p>
    <w:p w14:paraId="22957C03" w14:textId="77777777" w:rsidR="00001E67" w:rsidRPr="00763D22" w:rsidRDefault="00001E67" w:rsidP="00001E6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p>
    <w:p w14:paraId="7B27D50E" w14:textId="77777777" w:rsidR="00540214" w:rsidRPr="00001E67" w:rsidRDefault="00540214">
      <w:pPr>
        <w:spacing w:line="360" w:lineRule="auto"/>
        <w:jc w:val="both"/>
        <w:rPr>
          <w:rFonts w:ascii="Book Antiqua" w:hAnsi="Book Antiqua" w:cs="Book Antiqua"/>
          <w:b/>
          <w:color w:val="000000"/>
          <w:lang w:eastAsia="zh-CN"/>
        </w:rPr>
      </w:pPr>
      <w:bookmarkStart w:id="6" w:name="_GoBack"/>
      <w:bookmarkEnd w:id="6"/>
    </w:p>
    <w:sectPr w:rsidR="00540214" w:rsidRPr="00001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7BEF" w14:textId="77777777" w:rsidR="00EA2C9B" w:rsidRDefault="00EA2C9B">
      <w:r>
        <w:separator/>
      </w:r>
    </w:p>
  </w:endnote>
  <w:endnote w:type="continuationSeparator" w:id="0">
    <w:p w14:paraId="76D65D10" w14:textId="77777777" w:rsidR="00EA2C9B" w:rsidRDefault="00EA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ionPro-Regular">
    <w:altName w:val="Cambria"/>
    <w:panose1 w:val="02040503050306020203"/>
    <w:charset w:val="00"/>
    <w:family w:val="roman"/>
    <w:pitch w:val="default"/>
    <w:sig w:usb0="00000000"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69185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0A74E4F9" w14:textId="77777777" w:rsidR="00540214" w:rsidRDefault="00DF66A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EA2C9B">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EA2C9B">
              <w:rPr>
                <w:rFonts w:ascii="Book Antiqua" w:hAnsi="Book Antiqua"/>
                <w:bCs/>
                <w:noProof/>
                <w:sz w:val="24"/>
                <w:szCs w:val="24"/>
              </w:rPr>
              <w:t>1</w:t>
            </w:r>
            <w:r>
              <w:rPr>
                <w:rFonts w:ascii="Book Antiqua" w:hAnsi="Book Antiqua"/>
                <w:bCs/>
                <w:sz w:val="24"/>
                <w:szCs w:val="24"/>
              </w:rPr>
              <w:fldChar w:fldCharType="end"/>
            </w:r>
          </w:p>
        </w:sdtContent>
      </w:sdt>
    </w:sdtContent>
  </w:sdt>
  <w:p w14:paraId="4180E306" w14:textId="77777777" w:rsidR="00540214" w:rsidRDefault="00540214">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8271" w14:textId="77777777" w:rsidR="00EA2C9B" w:rsidRDefault="00EA2C9B">
      <w:r>
        <w:separator/>
      </w:r>
    </w:p>
  </w:footnote>
  <w:footnote w:type="continuationSeparator" w:id="0">
    <w:p w14:paraId="099AD6B0" w14:textId="77777777" w:rsidR="00EA2C9B" w:rsidRDefault="00EA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E67"/>
    <w:rsid w:val="000349DF"/>
    <w:rsid w:val="00123F21"/>
    <w:rsid w:val="001754A7"/>
    <w:rsid w:val="001D4A54"/>
    <w:rsid w:val="003364BD"/>
    <w:rsid w:val="00390F53"/>
    <w:rsid w:val="004A2C7D"/>
    <w:rsid w:val="004F5F6A"/>
    <w:rsid w:val="00540214"/>
    <w:rsid w:val="00554700"/>
    <w:rsid w:val="005C455A"/>
    <w:rsid w:val="006147F1"/>
    <w:rsid w:val="006376DA"/>
    <w:rsid w:val="006E5D8C"/>
    <w:rsid w:val="00711042"/>
    <w:rsid w:val="007F1B90"/>
    <w:rsid w:val="009F5C6F"/>
    <w:rsid w:val="00A027FA"/>
    <w:rsid w:val="00A77B3E"/>
    <w:rsid w:val="00B1150C"/>
    <w:rsid w:val="00BA3A57"/>
    <w:rsid w:val="00C22B56"/>
    <w:rsid w:val="00C723B5"/>
    <w:rsid w:val="00CA2A55"/>
    <w:rsid w:val="00CD43BF"/>
    <w:rsid w:val="00DF66A4"/>
    <w:rsid w:val="00EA2C9B"/>
    <w:rsid w:val="00F80B9B"/>
    <w:rsid w:val="00FD70B8"/>
    <w:rsid w:val="2C4D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2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123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123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3214</Words>
  <Characters>18325</Characters>
  <Application>Microsoft Office Word</Application>
  <DocSecurity>0</DocSecurity>
  <Lines>152</Lines>
  <Paragraphs>42</Paragraphs>
  <ScaleCrop>false</ScaleCrop>
  <Company>HP Inc.</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15</cp:revision>
  <dcterms:created xsi:type="dcterms:W3CDTF">2021-08-13T07:43:00Z</dcterms:created>
  <dcterms:modified xsi:type="dcterms:W3CDTF">2021-09-14T02:59:00Z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D83F44FC2F2F4D4CB07E65D5FC492F72</vt:lpwstr>
  </property>
</Properties>
</file>