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9366" w14:textId="5B89DCA1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Name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of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Journal: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color w:val="000000"/>
        </w:rPr>
        <w:t>Artificial</w:t>
      </w:r>
      <w:r w:rsidR="00C5068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color w:val="000000"/>
        </w:rPr>
        <w:t>Intelligence</w:t>
      </w:r>
      <w:r w:rsidR="00C5068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color w:val="000000"/>
        </w:rPr>
        <w:t>in</w:t>
      </w:r>
      <w:r w:rsidR="00C5068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color w:val="000000"/>
        </w:rPr>
        <w:t>Gastrointestinal</w:t>
      </w:r>
      <w:r w:rsidR="00C5068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color w:val="000000"/>
        </w:rPr>
        <w:t>Endoscopy</w:t>
      </w:r>
    </w:p>
    <w:p w14:paraId="0F518DDE" w14:textId="5DC13C88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Manuscript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NO: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67597</w:t>
      </w:r>
    </w:p>
    <w:p w14:paraId="46BC4102" w14:textId="288746AB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Manuscript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Type: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OPINION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REVIEW</w:t>
      </w:r>
    </w:p>
    <w:p w14:paraId="3F16CEE1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0B6FD1" w14:textId="6F69210D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assisted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disease</w:t>
      </w:r>
    </w:p>
    <w:p w14:paraId="76CD9C35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EEA40D" w14:textId="3874BD2A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Lo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Artificial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intelligence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inflammatory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</w:p>
    <w:p w14:paraId="061857E0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EFD4FC" w14:textId="48A9EBDA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Bobby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Lo,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Johan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Burisch</w:t>
      </w:r>
    </w:p>
    <w:p w14:paraId="01CAB2A0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3346F7" w14:textId="5C5D99C8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Bobby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Lo,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Johan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Burisch,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Gastrounit,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Medical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Section,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Copenhagen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University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Hospital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Hvidovre,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Hvidovre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2650,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Denmark</w:t>
      </w:r>
    </w:p>
    <w:p w14:paraId="42365D54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A74A10" w14:textId="54AF6F8E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Bobby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Lo,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Johan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Burisch,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Copenhagen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Centre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Inflammatory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Children,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Adolescents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Adults,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Copenhagen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University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Hospital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Hvidovre,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Hvidovre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2650,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Denmark</w:t>
      </w:r>
    </w:p>
    <w:p w14:paraId="3ED12CE4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401F0" w14:textId="6CDE9099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Burisch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J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authors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made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significant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contribution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research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described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manuscript;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B8211E">
        <w:rPr>
          <w:rFonts w:ascii="Book Antiqua" w:eastAsia="Book Antiqua" w:hAnsi="Book Antiqua" w:cs="Book Antiqua"/>
          <w:color w:val="000000"/>
        </w:rPr>
        <w:t>a</w:t>
      </w:r>
      <w:r w:rsidRPr="00B04807">
        <w:rPr>
          <w:rFonts w:ascii="Book Antiqua" w:eastAsia="Book Antiqua" w:hAnsi="Book Antiqua" w:cs="Book Antiqua"/>
          <w:color w:val="000000"/>
        </w:rPr>
        <w:t>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authors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approved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manuscript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authorship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list.</w:t>
      </w:r>
    </w:p>
    <w:p w14:paraId="09BB4F99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E95A59" w14:textId="75DB9A58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Bobby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Lo,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Gastrounit,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Medical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Section,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Copenhagen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University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Hospital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Hvidovre,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Kettegård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30,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Hvidovre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2650,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Denmark.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bobby_lo@protonmail.com</w:t>
      </w:r>
    </w:p>
    <w:p w14:paraId="203C0A43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625E9E" w14:textId="7940E7AE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April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28,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2021</w:t>
      </w:r>
    </w:p>
    <w:p w14:paraId="6AD4A8AA" w14:textId="6235A41E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June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27,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2021</w:t>
      </w:r>
    </w:p>
    <w:p w14:paraId="7B5776B8" w14:textId="21AEB661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B8211E">
        <w:rPr>
          <w:rFonts w:ascii="Book Antiqua" w:eastAsia="宋体" w:hAnsi="Book Antiqua" w:hint="eastAsia"/>
          <w:color w:val="000000" w:themeColor="text1"/>
        </w:rPr>
        <w:t>Au</w:t>
      </w:r>
      <w:r w:rsidR="00B8211E">
        <w:rPr>
          <w:rFonts w:ascii="Book Antiqua" w:eastAsia="宋体" w:hAnsi="Book Antiqua"/>
          <w:color w:val="000000" w:themeColor="text1"/>
        </w:rPr>
        <w:t>gust</w:t>
      </w:r>
      <w:r w:rsidR="00C50688">
        <w:rPr>
          <w:rFonts w:ascii="Book Antiqua" w:eastAsia="宋体" w:hAnsi="Book Antiqua"/>
          <w:color w:val="000000" w:themeColor="text1"/>
        </w:rPr>
        <w:t xml:space="preserve"> </w:t>
      </w:r>
      <w:r w:rsidR="00B8211E">
        <w:rPr>
          <w:rFonts w:ascii="Book Antiqua" w:eastAsia="宋体" w:hAnsi="Book Antiqua"/>
          <w:color w:val="000000" w:themeColor="text1"/>
        </w:rPr>
        <w:t>16</w:t>
      </w:r>
      <w:r w:rsidR="00B8211E" w:rsidRPr="00F06907">
        <w:rPr>
          <w:rFonts w:ascii="Book Antiqua" w:eastAsia="宋体" w:hAnsi="Book Antiqua"/>
          <w:color w:val="000000" w:themeColor="text1"/>
        </w:rPr>
        <w:t>,</w:t>
      </w:r>
      <w:r w:rsidR="00C50688">
        <w:rPr>
          <w:rFonts w:ascii="Book Antiqua" w:eastAsia="宋体" w:hAnsi="Book Antiqua"/>
          <w:color w:val="000000" w:themeColor="text1"/>
        </w:rPr>
        <w:t xml:space="preserve"> </w:t>
      </w:r>
      <w:r w:rsidR="00B8211E" w:rsidRPr="00F06907">
        <w:rPr>
          <w:rFonts w:ascii="Book Antiqua" w:eastAsia="宋体" w:hAnsi="Book Antiqua"/>
          <w:color w:val="000000" w:themeColor="text1"/>
        </w:rPr>
        <w:t>2021</w:t>
      </w:r>
      <w:bookmarkEnd w:id="0"/>
      <w:bookmarkEnd w:id="1"/>
      <w:bookmarkEnd w:id="2"/>
    </w:p>
    <w:p w14:paraId="65725F83" w14:textId="2F869C45" w:rsidR="00A77B3E" w:rsidRPr="008765F0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65F0" w:rsidRPr="008765F0">
        <w:rPr>
          <w:rFonts w:ascii="Book Antiqua" w:eastAsia="Book Antiqua" w:hAnsi="Book Antiqua" w:cs="Book Antiqua"/>
          <w:bCs/>
          <w:color w:val="000000"/>
        </w:rPr>
        <w:t>August</w:t>
      </w:r>
      <w:r w:rsidR="00C5068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765F0" w:rsidRPr="008765F0">
        <w:rPr>
          <w:rFonts w:ascii="Book Antiqua" w:eastAsia="Book Antiqua" w:hAnsi="Book Antiqua" w:cs="Book Antiqua"/>
          <w:bCs/>
          <w:color w:val="000000"/>
        </w:rPr>
        <w:t>28,</w:t>
      </w:r>
      <w:r w:rsidR="00C5068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765F0" w:rsidRPr="008765F0">
        <w:rPr>
          <w:rFonts w:ascii="Book Antiqua" w:eastAsia="Book Antiqua" w:hAnsi="Book Antiqua" w:cs="Book Antiqua"/>
          <w:bCs/>
          <w:color w:val="000000"/>
        </w:rPr>
        <w:t>2021</w:t>
      </w:r>
    </w:p>
    <w:p w14:paraId="6FC7095E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0480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F40C0" w14:textId="77777777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23EB47" w14:textId="1F80F0A8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Assessment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activity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difficult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inflammatory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B8211E">
        <w:rPr>
          <w:rFonts w:ascii="Book Antiqua" w:eastAsia="Book Antiqua" w:hAnsi="Book Antiqua" w:cs="Book Antiqua"/>
          <w:color w:val="000000"/>
        </w:rPr>
        <w:t>(IBD)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[comprises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Crohn</w:t>
      </w:r>
      <w:r w:rsidR="00596BBB">
        <w:rPr>
          <w:rFonts w:ascii="Book Antiqua" w:eastAsia="Book Antiqua" w:hAnsi="Book Antiqua" w:cs="Book Antiqua"/>
          <w:color w:val="000000"/>
        </w:rPr>
        <w:t>'</w:t>
      </w:r>
      <w:r w:rsidR="00596BBB" w:rsidRPr="00B04807">
        <w:rPr>
          <w:rFonts w:ascii="Book Antiqua" w:eastAsia="Book Antiqua" w:hAnsi="Book Antiqua" w:cs="Book Antiqua"/>
          <w:color w:val="000000"/>
        </w:rPr>
        <w:t>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(CD)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ulcerative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colitis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(UC)].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currently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foundation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grading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pivotal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initiation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certain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Yet,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disharmony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found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experts;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reassessed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same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expert.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Some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demonstrated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flipping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coin.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greatest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achieved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consensus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physicians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activity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reached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Kappa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value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0.77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77%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agreement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adjustment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chance/accident).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unsatisf</w:t>
      </w:r>
      <w:r w:rsidR="000A5CBD">
        <w:rPr>
          <w:rFonts w:ascii="Book Antiqua" w:eastAsia="Book Antiqua" w:hAnsi="Book Antiqua" w:cs="Book Antiqua"/>
          <w:color w:val="000000"/>
        </w:rPr>
        <w:t>actory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dealing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risk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surgery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progression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without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proper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care.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Lately,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across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medical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specialities,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computer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assistance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become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increasingly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interesting.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Especially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after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emanation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machine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learning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–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colloquially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referred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artificial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intelligence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(AI).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Compared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other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analy</w:t>
      </w:r>
      <w:r w:rsidR="000A5CBD">
        <w:rPr>
          <w:rFonts w:ascii="Book Antiqua" w:eastAsia="Book Antiqua" w:hAnsi="Book Antiqua" w:cs="Book Antiqua"/>
          <w:color w:val="000000"/>
        </w:rPr>
        <w:t>sis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strengths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capability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derive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complex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relatively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small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dataset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ability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learn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optimi</w:t>
      </w:r>
      <w:r w:rsidR="00596BBB">
        <w:rPr>
          <w:rFonts w:ascii="Book Antiqua" w:eastAsia="Book Antiqua" w:hAnsi="Book Antiqua" w:cs="Book Antiqua"/>
          <w:color w:val="000000"/>
        </w:rPr>
        <w:t>s</w:t>
      </w:r>
      <w:r w:rsidR="00596BBB" w:rsidRPr="00B04807">
        <w:rPr>
          <w:rFonts w:ascii="Book Antiqua" w:eastAsia="Book Antiqua" w:hAnsi="Book Antiqua" w:cs="Book Antiqua"/>
          <w:color w:val="000000"/>
        </w:rPr>
        <w:t>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predictions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inputs.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therefore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evident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hopes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remove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inconsistency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humans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standardi</w:t>
      </w:r>
      <w:r w:rsidR="00596BBB">
        <w:rPr>
          <w:rFonts w:ascii="Book Antiqua" w:eastAsia="Book Antiqua" w:hAnsi="Book Antiqua" w:cs="Book Antiqua"/>
          <w:color w:val="000000"/>
        </w:rPr>
        <w:t>s</w:t>
      </w:r>
      <w:r w:rsidR="00596BBB" w:rsidRPr="00B04807">
        <w:rPr>
          <w:rFonts w:ascii="Book Antiqua" w:eastAsia="Book Antiqua" w:hAnsi="Book Antiqua" w:cs="Book Antiqua"/>
          <w:color w:val="000000"/>
        </w:rPr>
        <w:t>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across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educational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levels,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nationalities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resources.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manifested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handful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mainly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applied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capsule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due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place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great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inconsistency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same.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opinion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review,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explore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published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utili</w:t>
      </w:r>
      <w:r w:rsidR="00596BBB">
        <w:rPr>
          <w:rFonts w:ascii="Book Antiqua" w:eastAsia="Book Antiqua" w:hAnsi="Book Antiqua" w:cs="Book Antiqua"/>
          <w:color w:val="000000"/>
        </w:rPr>
        <w:t>s</w:t>
      </w:r>
      <w:r w:rsidR="00596BBB" w:rsidRPr="00B04807">
        <w:rPr>
          <w:rFonts w:ascii="Book Antiqua" w:eastAsia="Book Antiqua" w:hAnsi="Book Antiqua" w:cs="Book Antiqua"/>
          <w:color w:val="000000"/>
        </w:rPr>
        <w:t>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examples),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0A5CBD">
        <w:rPr>
          <w:rFonts w:ascii="Book Antiqua" w:eastAsia="Book Antiqua" w:hAnsi="Book Antiqua" w:cs="Book Antiqua"/>
          <w:color w:val="000000"/>
        </w:rPr>
        <w:t>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discuss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possibilities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offer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IBD.</w:t>
      </w:r>
    </w:p>
    <w:p w14:paraId="3A05E15A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A31C61" w14:textId="1C48964B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21"/>
      <w:r w:rsidRPr="00B04807">
        <w:rPr>
          <w:rFonts w:ascii="Book Antiqua" w:eastAsia="Book Antiqua" w:hAnsi="Book Antiqua" w:cs="Book Antiqua"/>
          <w:color w:val="000000"/>
        </w:rPr>
        <w:t>Inflammatory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B8211E">
        <w:rPr>
          <w:rFonts w:ascii="Book Antiqua" w:eastAsia="Book Antiqua" w:hAnsi="Book Antiqua" w:cs="Book Antiqua"/>
          <w:color w:val="000000"/>
        </w:rPr>
        <w:t>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Artificial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intelligence</w:t>
      </w:r>
      <w:r w:rsidR="00B8211E">
        <w:rPr>
          <w:rFonts w:ascii="Book Antiqua" w:eastAsia="Book Antiqua" w:hAnsi="Book Antiqua" w:cs="Book Antiqua"/>
          <w:color w:val="000000"/>
        </w:rPr>
        <w:t>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Deep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learning</w:t>
      </w:r>
      <w:r w:rsidR="00B8211E">
        <w:rPr>
          <w:rFonts w:ascii="Book Antiqua" w:eastAsia="Book Antiqua" w:hAnsi="Book Antiqua" w:cs="Book Antiqua"/>
          <w:color w:val="000000"/>
        </w:rPr>
        <w:t>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Endoscopy</w:t>
      </w:r>
      <w:r w:rsidR="00B8211E">
        <w:rPr>
          <w:rFonts w:ascii="Book Antiqua" w:eastAsia="Book Antiqua" w:hAnsi="Book Antiqua" w:cs="Book Antiqua"/>
          <w:color w:val="000000"/>
        </w:rPr>
        <w:t>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B8211E">
        <w:rPr>
          <w:rFonts w:ascii="Book Antiqua" w:eastAsia="Book Antiqua" w:hAnsi="Book Antiqua" w:cs="Book Antiqua"/>
          <w:color w:val="000000"/>
        </w:rPr>
        <w:t>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Machine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B8211E">
        <w:rPr>
          <w:rFonts w:ascii="Book Antiqua" w:eastAsia="Book Antiqua" w:hAnsi="Book Antiqua" w:cs="Book Antiqua"/>
          <w:color w:val="000000"/>
        </w:rPr>
        <w:t>l</w:t>
      </w:r>
      <w:r w:rsidRPr="00B04807">
        <w:rPr>
          <w:rFonts w:ascii="Book Antiqua" w:eastAsia="Book Antiqua" w:hAnsi="Book Antiqua" w:cs="Book Antiqua"/>
          <w:color w:val="000000"/>
        </w:rPr>
        <w:t>earning</w:t>
      </w:r>
      <w:bookmarkEnd w:id="3"/>
    </w:p>
    <w:p w14:paraId="3D6250C7" w14:textId="77777777" w:rsidR="00BD6F62" w:rsidRDefault="00BD6F62" w:rsidP="00BD6F62">
      <w:pPr>
        <w:rPr>
          <w:rFonts w:asciiTheme="minorEastAsia" w:hAnsiTheme="minorEastAsia"/>
          <w:b/>
        </w:rPr>
      </w:pPr>
    </w:p>
    <w:p w14:paraId="7FC1C63F" w14:textId="77777777" w:rsidR="00BD6F62" w:rsidRDefault="00BD6F62" w:rsidP="00BD6F62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2284712F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EFE049" w14:textId="6B71A6FF" w:rsidR="00893451" w:rsidRDefault="00893451" w:rsidP="00923FA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="00923FAA" w:rsidRPr="00B04807">
        <w:rPr>
          <w:rFonts w:ascii="Book Antiqua" w:eastAsia="Book Antiqua" w:hAnsi="Book Antiqua" w:cs="Book Antiqua"/>
          <w:color w:val="000000"/>
        </w:rPr>
        <w:t>Lo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B,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Burisch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J.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Artificial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intelligence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assisted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assessment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activity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inflammatory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disease.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i/>
          <w:iCs/>
          <w:color w:val="000000"/>
        </w:rPr>
        <w:t>Intell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923FAA" w:rsidRPr="00B04807">
        <w:rPr>
          <w:rFonts w:ascii="Book Antiqua" w:eastAsia="Book Antiqua" w:hAnsi="Book Antiqua" w:cs="Book Antiqua"/>
          <w:color w:val="000000"/>
        </w:rPr>
        <w:t>2021;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2159EA" w:rsidRPr="002159EA">
        <w:rPr>
          <w:rFonts w:ascii="Book Antiqua" w:eastAsia="Book Antiqua" w:hAnsi="Book Antiqua" w:cs="Book Antiqua"/>
          <w:color w:val="000000"/>
        </w:rPr>
        <w:t>2(4):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14779">
        <w:rPr>
          <w:rFonts w:ascii="Book Antiqua" w:hAnsi="Book Antiqua"/>
          <w:color w:val="000000"/>
        </w:rPr>
        <w:t>95</w:t>
      </w:r>
      <w:r w:rsidR="002159EA" w:rsidRPr="002159EA">
        <w:rPr>
          <w:rFonts w:ascii="Book Antiqua" w:eastAsia="Book Antiqua" w:hAnsi="Book Antiqua" w:cs="Book Antiqua"/>
          <w:color w:val="000000"/>
        </w:rPr>
        <w:t>-</w:t>
      </w:r>
      <w:r w:rsidR="00F9516A">
        <w:rPr>
          <w:rFonts w:ascii="Book Antiqua" w:hAnsi="Book Antiqua"/>
          <w:color w:val="000000"/>
        </w:rPr>
        <w:t>102</w:t>
      </w:r>
      <w:r w:rsidR="00F9516A" w:rsidRPr="002159EA">
        <w:rPr>
          <w:rFonts w:ascii="Book Antiqua" w:eastAsia="Book Antiqua" w:hAnsi="Book Antiqua" w:cs="Book Antiqua"/>
          <w:color w:val="000000"/>
        </w:rPr>
        <w:t xml:space="preserve"> </w:t>
      </w:r>
    </w:p>
    <w:p w14:paraId="0CF467D9" w14:textId="4414344C" w:rsidR="00893451" w:rsidRDefault="002159EA" w:rsidP="00923FA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D6F62">
        <w:rPr>
          <w:rFonts w:ascii="Book Antiqua" w:eastAsia="Book Antiqua" w:hAnsi="Book Antiqua" w:cs="Book Antiqua"/>
          <w:b/>
          <w:bCs/>
          <w:color w:val="000000"/>
        </w:rPr>
        <w:t>URL:</w:t>
      </w:r>
      <w:r w:rsidR="00C50688" w:rsidRPr="00BD6F6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3451" w:rsidRPr="00893451">
        <w:rPr>
          <w:rFonts w:ascii="Book Antiqua" w:eastAsia="Book Antiqua" w:hAnsi="Book Antiqua" w:cs="Book Antiqua"/>
          <w:color w:val="000000"/>
        </w:rPr>
        <w:t>https://www.wjgnet.com/2689-7164/full/v2/i4/</w:t>
      </w:r>
      <w:r w:rsidR="00893451" w:rsidRPr="00893451">
        <w:rPr>
          <w:rFonts w:ascii="Book Antiqua" w:hAnsi="Book Antiqua"/>
          <w:color w:val="000000"/>
        </w:rPr>
        <w:t>95</w:t>
      </w:r>
      <w:r w:rsidR="00893451" w:rsidRPr="00893451">
        <w:rPr>
          <w:rFonts w:ascii="Book Antiqua" w:eastAsia="Book Antiqua" w:hAnsi="Book Antiqua" w:cs="Book Antiqua"/>
          <w:color w:val="000000"/>
        </w:rPr>
        <w:t>.htm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</w:p>
    <w:p w14:paraId="11B79D35" w14:textId="13D6C94D" w:rsidR="00A77B3E" w:rsidRDefault="002159EA" w:rsidP="00923FA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D6F62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6B7A13">
        <w:rPr>
          <w:rFonts w:ascii="Book Antiqua" w:eastAsia="Book Antiqua" w:hAnsi="Book Antiqua" w:cs="Book Antiqua"/>
        </w:rPr>
        <w:t>https://dx.doi.org/10.</w:t>
      </w:r>
      <w:r w:rsidR="00491E57">
        <w:rPr>
          <w:rFonts w:ascii="Book Antiqua" w:eastAsia="Book Antiqua" w:hAnsi="Book Antiqua" w:cs="Book Antiqua"/>
        </w:rPr>
        <w:t>37126</w:t>
      </w:r>
      <w:r w:rsidR="006B7A13">
        <w:rPr>
          <w:rFonts w:ascii="Book Antiqua" w:eastAsia="Book Antiqua" w:hAnsi="Book Antiqua" w:cs="Book Antiqua"/>
        </w:rPr>
        <w:t>/aige.v2.i4.</w:t>
      </w:r>
      <w:r w:rsidR="00014779">
        <w:rPr>
          <w:rFonts w:ascii="Book Antiqua" w:hAnsi="Book Antiqua"/>
          <w:color w:val="000000"/>
        </w:rPr>
        <w:t>95</w:t>
      </w:r>
    </w:p>
    <w:p w14:paraId="54DD681C" w14:textId="77777777" w:rsidR="002159EA" w:rsidRPr="002159EA" w:rsidRDefault="002159E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C16A616" w14:textId="69211BBB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Artificial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intelligence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(AI)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rise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inflammatory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(IBD).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far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promising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others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combination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carried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out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moderate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room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research.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availability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standardi</w:t>
      </w:r>
      <w:r w:rsidR="00596BBB">
        <w:rPr>
          <w:rFonts w:ascii="Book Antiqua" w:eastAsia="Book Antiqua" w:hAnsi="Book Antiqua" w:cs="Book Antiqua"/>
          <w:color w:val="000000"/>
        </w:rPr>
        <w:t>s</w:t>
      </w:r>
      <w:r w:rsidR="00596BBB" w:rsidRPr="00B04807">
        <w:rPr>
          <w:rFonts w:ascii="Book Antiqua" w:eastAsia="Book Antiqua" w:hAnsi="Book Antiqua" w:cs="Book Antiqua"/>
          <w:color w:val="000000"/>
        </w:rPr>
        <w:t>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seem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biggest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AI's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breakthrough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International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consensus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required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optimi</w:t>
      </w:r>
      <w:r w:rsidR="00596BBB">
        <w:rPr>
          <w:rFonts w:ascii="Book Antiqua" w:eastAsia="Book Antiqua" w:hAnsi="Book Antiqua" w:cs="Book Antiqua"/>
          <w:color w:val="000000"/>
        </w:rPr>
        <w:t>s</w:t>
      </w:r>
      <w:r w:rsidR="00596BBB" w:rsidRPr="00B04807">
        <w:rPr>
          <w:rFonts w:ascii="Book Antiqua" w:eastAsia="Book Antiqua" w:hAnsi="Book Antiqua" w:cs="Book Antiqua"/>
          <w:color w:val="000000"/>
        </w:rPr>
        <w:t>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research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0A5CBD">
        <w:rPr>
          <w:rFonts w:ascii="Book Antiqua" w:eastAsia="Book Antiqua" w:hAnsi="Book Antiqua" w:cs="Book Antiqua"/>
          <w:color w:val="000000"/>
        </w:rPr>
        <w:t>AI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1BEE7DCD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5CD2DA" w14:textId="77777777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F11C392" w14:textId="638A4603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inflammatory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(IBD),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mainly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consist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Crohn</w:t>
      </w:r>
      <w:r w:rsidR="00596BBB">
        <w:rPr>
          <w:rFonts w:ascii="Book Antiqua" w:eastAsia="Book Antiqua" w:hAnsi="Book Antiqua" w:cs="Book Antiqua"/>
          <w:color w:val="000000"/>
        </w:rPr>
        <w:t>'</w:t>
      </w:r>
      <w:r w:rsidR="00596BBB" w:rsidRPr="00B04807">
        <w:rPr>
          <w:rFonts w:ascii="Book Antiqua" w:eastAsia="Book Antiqua" w:hAnsi="Book Antiqua" w:cs="Book Antiqua"/>
          <w:color w:val="000000"/>
        </w:rPr>
        <w:t>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(CD)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ulcerative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colitis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(UC),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idiopathic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immune-mediated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usually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affecting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young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adults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578891BA" w14:textId="15DECB3F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Currently,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considered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gold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standard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located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terminal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ileum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and/or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activity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scoring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systems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Mayo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Subscore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(MES)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Index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Despite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widespread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easy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indices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suffer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moderate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high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inter-observer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reduces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credibility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scores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demonstrated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trials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one-third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deemed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eligible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inclusion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based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291772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inclusion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criteria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after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reassessment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central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associated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noteworthy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inter-observer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variation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2D4B76AC" w14:textId="43705AA3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lastRenderedPageBreak/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Index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Simple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currently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indices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demonstrated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varying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observer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central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improving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inter-observer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variation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[9–11]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Capsule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(CE)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small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scored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Lewis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score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widely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interobserver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agreement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parameters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index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fluctuates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widely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(kappa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0.37-0.83)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43145FC1" w14:textId="49D70653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interobserver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variations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risk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misclassification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exploration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artificial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intelligence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(AI)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assisted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assessment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04807">
        <w:rPr>
          <w:rFonts w:ascii="Book Antiqua" w:eastAsia="Book Antiqua" w:hAnsi="Book Antiqua" w:cs="Book Antiqua"/>
          <w:color w:val="000000"/>
        </w:rPr>
        <w:t>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especially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cancer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detection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depending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mimics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human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brain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interconnected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neurons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information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given;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contrast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human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brain,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theoretically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unlimited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291772">
        <w:rPr>
          <w:rFonts w:ascii="Book Antiqua" w:eastAsia="Book Antiqua" w:hAnsi="Book Antiqua" w:cs="Book Antiqua"/>
          <w:color w:val="000000"/>
        </w:rPr>
        <w:t>number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variables.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remains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limited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although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6E1DA3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6E1DA3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receiv</w:t>
      </w:r>
      <w:r w:rsidR="00291772">
        <w:rPr>
          <w:rFonts w:ascii="Book Antiqua" w:eastAsia="Book Antiqua" w:hAnsi="Book Antiqua" w:cs="Book Antiqua"/>
          <w:color w:val="000000"/>
        </w:rPr>
        <w:t>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increasing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attention.</w:t>
      </w:r>
      <w:r w:rsidR="00C50688">
        <w:rPr>
          <w:rFonts w:ascii="Book Antiqua" w:eastAsia="Book Antiqua" w:hAnsi="Book Antiqua" w:cs="Book Antiqua"/>
          <w:color w:val="000000"/>
        </w:rPr>
        <w:t xml:space="preserve"> 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following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review,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291772">
        <w:rPr>
          <w:rFonts w:ascii="Book Antiqua" w:eastAsia="Book Antiqua" w:hAnsi="Book Antiqua" w:cs="Book Antiqua"/>
          <w:color w:val="000000"/>
        </w:rPr>
        <w:t>discuss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AI-assisted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activity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perspective,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faces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unexplored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potential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help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physicians.</w:t>
      </w:r>
    </w:p>
    <w:p w14:paraId="7FAA3C96" w14:textId="77777777" w:rsidR="00A77B3E" w:rsidRPr="00B04807" w:rsidRDefault="00A77B3E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40E33FA7" w14:textId="6C58EED0" w:rsidR="00A77B3E" w:rsidRPr="00B04807" w:rsidRDefault="00C50688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B224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Crohn’s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B224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</w:p>
    <w:p w14:paraId="690DB891" w14:textId="063ECAEF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examined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many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modalities.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terms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-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especially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camera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takes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2-4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frames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second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approximate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transit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time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250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total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approximately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60000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images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entails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time-consuming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whereby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trained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person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subsequently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review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assisted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physicians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endoscopists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filtering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non-informative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images,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291772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series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computer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believes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interest.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year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2000,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identify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polyps/tumours,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ulcers,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celiac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hookworms,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angioectasia,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bleeding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focus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small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bowel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lesions,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erosions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ulceration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majority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examined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listed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parameters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convolutional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neural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network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-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deep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lastRenderedPageBreak/>
        <w:t>learning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shown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effective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recognition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[18,20]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Overall,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shown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&gt;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90%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considered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close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perfect.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majority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conducted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retrospectively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prospective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wanted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demonstrate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potential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practice.</w:t>
      </w:r>
    </w:p>
    <w:p w14:paraId="4E6E76C8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CFA3E7" w14:textId="78AB713B" w:rsidR="00A77B3E" w:rsidRPr="00B04807" w:rsidRDefault="00C50688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B224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Ulcerative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B224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colitis</w:t>
      </w:r>
    </w:p>
    <w:p w14:paraId="7ECFDF88" w14:textId="0E75D451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Due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involving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easier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color w:val="000000"/>
        </w:rPr>
        <w:t>categori</w:t>
      </w:r>
      <w:r w:rsidR="00596BBB">
        <w:rPr>
          <w:rFonts w:ascii="Book Antiqua" w:eastAsia="Book Antiqua" w:hAnsi="Book Antiqua" w:cs="Book Antiqua"/>
          <w:color w:val="000000"/>
        </w:rPr>
        <w:t>s</w:t>
      </w:r>
      <w:r w:rsidR="00596BBB" w:rsidRPr="00B04807">
        <w:rPr>
          <w:rFonts w:ascii="Book Antiqua" w:eastAsia="Book Antiqua" w:hAnsi="Book Antiqua" w:cs="Book Antiqua"/>
          <w:color w:val="000000"/>
        </w:rPr>
        <w:t>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according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extent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inflammation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Accordingly,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advances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regarding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tools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developed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achieved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56%–77%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according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291772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Index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comparable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experts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[22–27]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majority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convolutional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neural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network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categorize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taken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during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sigmoidoscopy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according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Recently,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also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investigated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applicability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videos;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demonstrating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promising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under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receiv</w:t>
      </w:r>
      <w:r w:rsidR="00DC6A0F">
        <w:rPr>
          <w:rFonts w:ascii="Book Antiqua" w:eastAsia="Book Antiqua" w:hAnsi="Book Antiqua" w:cs="Book Antiqua"/>
          <w:color w:val="000000"/>
        </w:rPr>
        <w:t>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operating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characteristic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curve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(AUROC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AUC)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&gt;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90%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[24,26,27]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07BF661C" w14:textId="6D929706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Currently,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available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distinguish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different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levels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sufficient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under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great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development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expected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years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distinguish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different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levels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satisfactory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eliminate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inter-observer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variance</w:t>
      </w:r>
      <w:r w:rsidR="00DC6A0F">
        <w:rPr>
          <w:rFonts w:ascii="Book Antiqua" w:eastAsia="Book Antiqua" w:hAnsi="Book Antiqua" w:cs="Book Antiqua"/>
          <w:color w:val="000000"/>
        </w:rPr>
        <w:t>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standardize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academic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54BD03D5" w14:textId="20682688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Few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further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examined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model's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relation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histological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findings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endocytoscopy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support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vector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machine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achieved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approx</w:t>
      </w:r>
      <w:r w:rsidR="00DC6A0F">
        <w:rPr>
          <w:rFonts w:ascii="Book Antiqua" w:eastAsia="Book Antiqua" w:hAnsi="Book Antiqua" w:cs="Book Antiqua"/>
          <w:color w:val="000000"/>
        </w:rPr>
        <w:t>imately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90%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histological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findings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considered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excellent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Endocytoscopy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integral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method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Furthermore,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al</w:t>
      </w:r>
      <w:r w:rsidRPr="00B04807">
        <w:rPr>
          <w:rFonts w:ascii="Book Antiqua" w:eastAsia="Book Antiqua" w:hAnsi="Book Antiqua" w:cs="Book Antiqua"/>
          <w:color w:val="000000"/>
        </w:rPr>
        <w:t>though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group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utilize</w:t>
      </w:r>
      <w:r w:rsidR="00DC6A0F">
        <w:rPr>
          <w:rFonts w:ascii="Book Antiqua" w:eastAsia="Book Antiqua" w:hAnsi="Book Antiqua" w:cs="Book Antiqua"/>
          <w:color w:val="000000"/>
        </w:rPr>
        <w:t>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training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set,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training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optimizing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lastRenderedPageBreak/>
        <w:t>described,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reader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uncertainty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regard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B04807">
        <w:rPr>
          <w:rFonts w:ascii="Book Antiqua" w:eastAsia="Book Antiqua" w:hAnsi="Book Antiqua" w:cs="Book Antiqua"/>
          <w:color w:val="000000"/>
        </w:rPr>
        <w:t>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selection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tuning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Finally,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samples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divided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inflammation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remission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might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simplified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considering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histological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findings.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Similar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demonstrated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Takenaka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white-light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same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Ultimately,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validated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independent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cohort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analyzed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independent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experts,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order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performance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compared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another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population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point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view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different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experts.</w:t>
      </w:r>
    </w:p>
    <w:p w14:paraId="7248DD0A" w14:textId="77777777" w:rsidR="00A77B3E" w:rsidRPr="00B04807" w:rsidRDefault="00A77B3E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054C097" w14:textId="07982836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C5068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5068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difficulties</w:t>
      </w:r>
    </w:p>
    <w:p w14:paraId="7E6D59B6" w14:textId="7018ABA3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previously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mentioned,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shown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great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potential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shown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level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physicians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classify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especially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Uniformity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approach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procedure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make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tools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credible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hopefully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discrepancy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observational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i</w:t>
      </w:r>
      <w:r w:rsidRPr="00B04807">
        <w:rPr>
          <w:rFonts w:ascii="Book Antiqua" w:eastAsia="Book Antiqua" w:hAnsi="Book Antiqua" w:cs="Book Antiqua"/>
          <w:color w:val="000000"/>
        </w:rPr>
        <w:t>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crucial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developed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purposes,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implemented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quickly,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reducing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gap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research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practice.</w:t>
      </w:r>
    </w:p>
    <w:p w14:paraId="44179ADF" w14:textId="2A1B76E9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Besides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also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investigated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Waljee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two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databases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</w:t>
      </w:r>
      <w:r w:rsidR="00D56D96">
        <w:rPr>
          <w:rFonts w:ascii="Book Antiqua" w:eastAsia="Book Antiqua" w:hAnsi="Book Antiqua" w:cs="Book Antiqua"/>
          <w:color w:val="000000"/>
        </w:rPr>
        <w:t>-reactive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protein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&lt;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5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mg/L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after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42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ustekinumab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steroid-free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remission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after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52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vedolizumab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respectively.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DC6A0F">
        <w:rPr>
          <w:rFonts w:ascii="Book Antiqua" w:eastAsia="Book Antiqua" w:hAnsi="Book Antiqua" w:cs="Book Antiqua"/>
          <w:color w:val="000000"/>
        </w:rPr>
        <w:t>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combination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demographic,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biochemical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random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patients'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course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after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initiation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achieved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42%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69%,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respectively.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Furthermore,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same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group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investigated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effect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vedolizumab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C6A0F">
        <w:rPr>
          <w:rFonts w:ascii="Book Antiqua" w:eastAsia="Book Antiqua" w:hAnsi="Book Antiqua" w:cs="Book Antiqua"/>
          <w:color w:val="000000"/>
        </w:rPr>
        <w:t>patients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random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achieved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58%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corticosteroid-free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remission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after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52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wk.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grouping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together,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Biasci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transcriptomic</w:t>
      </w:r>
      <w:r w:rsidR="00D56D96">
        <w:rPr>
          <w:rFonts w:ascii="Book Antiqua" w:eastAsia="Book Antiqua" w:hAnsi="Book Antiqua" w:cs="Book Antiqua"/>
          <w:color w:val="000000"/>
        </w:rPr>
        <w:t>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identify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blood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sample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panel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17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genes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sensitivity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specificity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approximately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73%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lastRenderedPageBreak/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patients'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risk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escalating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1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year.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5-year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Choi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demonstrated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sensitivity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specificity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71%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risk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biologics.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contrast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Biasci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B04807">
        <w:rPr>
          <w:rFonts w:ascii="Book Antiqua" w:eastAsia="Book Antiqua" w:hAnsi="Book Antiqua" w:cs="Book Antiqua"/>
          <w:color w:val="000000"/>
        </w:rPr>
        <w:t>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utilized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demographical,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common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laboratory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markers.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Furthermore,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Waljee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6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="00C5068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attempted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twice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predict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effect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1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year,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79%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87%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72%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80%,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respectively.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limitation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findings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presented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total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stratified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according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type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Despite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D56D96">
        <w:rPr>
          <w:rFonts w:ascii="Book Antiqua" w:eastAsia="Book Antiqua" w:hAnsi="Book Antiqua" w:cs="Book Antiqua"/>
          <w:color w:val="000000"/>
        </w:rPr>
        <w:t>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efforts,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below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80%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considered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insufficient.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Furthermore,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above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80%,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taken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perspective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sensitivity,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specificity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achieve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overall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picture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model's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performance.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Unfortunately,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majority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some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measures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validity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commonly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reported.</w:t>
      </w:r>
    </w:p>
    <w:p w14:paraId="589D2B50" w14:textId="77777777" w:rsidR="00A77B3E" w:rsidRPr="00B04807" w:rsidRDefault="00A77B3E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0936EC9" w14:textId="7517C0AB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C5068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AREAS</w:t>
      </w:r>
    </w:p>
    <w:p w14:paraId="530DDCE0" w14:textId="23755918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uncommon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some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undergo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lengthy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diagnostic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before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definite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diagnosis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made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physicians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over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under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treatments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major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consequences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attempted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distinguish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histology,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genetic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markers,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biochemical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markers,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factors,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omics,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combination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D56D96">
        <w:rPr>
          <w:rFonts w:ascii="Book Antiqua" w:eastAsia="Book Antiqua" w:hAnsi="Book Antiqua" w:cs="Book Antiqua"/>
          <w:color w:val="000000"/>
        </w:rPr>
        <w:t>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modalities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[40–43]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shown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acceptable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&gt;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80%.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should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emphasized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always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many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validation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necessarily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(unseen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exposing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overfitting.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our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knowledge,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applied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practice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real-life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warranted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their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efficacy.</w:t>
      </w:r>
    </w:p>
    <w:p w14:paraId="55DF5EA2" w14:textId="2DD5FD72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our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knowledge,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other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explored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connection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published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date.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particular,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complexity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lastRenderedPageBreak/>
        <w:t>developing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remains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untouched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during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colonoscopy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could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due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patchy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patches.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Besides,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indices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difficult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time</w:t>
      </w:r>
      <w:r w:rsidR="00D56D96">
        <w:rPr>
          <w:rFonts w:ascii="Book Antiqua" w:eastAsia="Book Antiqua" w:hAnsi="Book Antiqua" w:cs="Book Antiqua"/>
          <w:color w:val="000000"/>
        </w:rPr>
        <w:t>-</w:t>
      </w:r>
      <w:r w:rsidRPr="00B04807">
        <w:rPr>
          <w:rFonts w:ascii="Book Antiqua" w:eastAsia="Book Antiqua" w:hAnsi="Book Antiqua" w:cs="Book Antiqua"/>
          <w:color w:val="000000"/>
        </w:rPr>
        <w:t>consuming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practice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could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accommodated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developing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scoring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</w:t>
      </w:r>
      <w:r w:rsidR="00D56D96">
        <w:rPr>
          <w:rFonts w:ascii="Book Antiqua" w:eastAsia="Book Antiqua" w:hAnsi="Book Antiqua" w:cs="Book Antiqua"/>
          <w:color w:val="000000"/>
        </w:rPr>
        <w:t>ic</w:t>
      </w:r>
      <w:r w:rsidRPr="00B04807">
        <w:rPr>
          <w:rFonts w:ascii="Book Antiqua" w:eastAsia="Book Antiqua" w:hAnsi="Book Antiqua" w:cs="Book Antiqua"/>
          <w:color w:val="000000"/>
        </w:rPr>
        <w:t>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based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allowing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possibility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whole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rather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segmented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currently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used.</w:t>
      </w:r>
    </w:p>
    <w:p w14:paraId="753E3DD9" w14:textId="5F5638D1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addition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such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ultrasound,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D56D96">
        <w:rPr>
          <w:rFonts w:ascii="Book Antiqua" w:eastAsia="Book Antiqua" w:hAnsi="Book Antiqua" w:cs="Book Antiqua"/>
          <w:color w:val="000000"/>
        </w:rPr>
        <w:t>m</w:t>
      </w:r>
      <w:r w:rsidRPr="00B04807">
        <w:rPr>
          <w:rFonts w:ascii="Book Antiqua" w:eastAsia="Book Antiqua" w:hAnsi="Book Antiqua" w:cs="Book Antiqua"/>
          <w:color w:val="000000"/>
        </w:rPr>
        <w:t>agnetic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resonance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imaging,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computed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tomography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obvious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opportunities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development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tools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6FD7953B" w14:textId="6C8AA3CD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Unfortunately,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also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issues.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First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foremost,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paradigm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shift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needed;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medical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professional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computer-aided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assessment.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first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foremost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require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doctors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accept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technology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difficult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understand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latest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architectures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deep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learning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black-box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appears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input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output)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100%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possible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account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happens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black-box,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mistrust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might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arise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clinicians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toward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Despite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different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ways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explaining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black-box,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mathematically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illustratively,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possible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estimate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process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3C84EBC0" w14:textId="513EB9EE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Secondly,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medical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education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reorganized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focus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interpretation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critical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medical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experienced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similar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paradigm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shift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before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introduction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World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Wide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Web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equal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knowledge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physicians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doctors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ultimate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definitive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truth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explain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symptoms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connected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diagnosis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courses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likely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organization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medical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education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connection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require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interdisciplinary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involvement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others,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bioinformatics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computer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scientists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equip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doctors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interpret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critically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models'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output.</w:t>
      </w:r>
    </w:p>
    <w:p w14:paraId="5254ED34" w14:textId="4367C974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lastRenderedPageBreak/>
        <w:t>Thirdly,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larger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amounts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needed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–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previously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accustomed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developing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amount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needed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significantly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relation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outcome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specific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number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required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exists.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resource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demanding,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estimate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adjusted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clinically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possible.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recent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years,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cross-border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collaborations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formed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make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large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amounts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available.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However,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rarely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freely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available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quality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also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critical</w:t>
      </w:r>
      <w:r w:rsidR="00FB390B">
        <w:rPr>
          <w:rFonts w:ascii="Book Antiqua" w:eastAsia="Book Antiqua" w:hAnsi="Book Antiqua" w:cs="Book Antiqua"/>
          <w:color w:val="000000"/>
        </w:rPr>
        <w:t>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workflow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equipment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markedly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between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nations.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therefore,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encourage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everyone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make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partially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accessible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-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good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example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HyperKvasir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dataset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1F1CD689" w14:textId="4C92F0D1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Finally,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international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standards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regarding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still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relatively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unexploited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territory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great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variation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both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despite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calls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uniformity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good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example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disease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patients.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Often,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reported,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misleading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sensitivity,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specificity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modest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B04807"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due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fact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AUC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measure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how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true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positive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separated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rest,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measures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B04807">
        <w:rPr>
          <w:rFonts w:ascii="Book Antiqua" w:eastAsia="Book Antiqua" w:hAnsi="Book Antiqua" w:cs="Book Antiqua"/>
          <w:color w:val="000000"/>
        </w:rPr>
        <w:t>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hint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actual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performance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wanted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parameters,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vary.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example,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calculating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sensitivity,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specificity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each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class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rather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overall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sensitivity,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specificity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accuracy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entire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index.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therefore,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encourage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articles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minimum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must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information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parameters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described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Table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1.</w:t>
      </w:r>
    </w:p>
    <w:p w14:paraId="305EF5CD" w14:textId="2CF31B86" w:rsidR="00A77B3E" w:rsidRPr="00B04807" w:rsidRDefault="00923FAA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addition,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international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journals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should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standards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required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previous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methods,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B04807">
        <w:rPr>
          <w:rFonts w:ascii="Book Antiqua" w:eastAsia="Book Antiqua" w:hAnsi="Book Antiqua" w:cs="Book Antiqua"/>
          <w:color w:val="000000"/>
        </w:rPr>
        <w:t>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STARD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guidelines,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seems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outdated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should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updated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technological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reality</w:t>
      </w:r>
      <w:r w:rsidRPr="00B04807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04807">
        <w:rPr>
          <w:rFonts w:ascii="Book Antiqua" w:eastAsia="Book Antiqua" w:hAnsi="Book Antiqua" w:cs="Book Antiqua"/>
          <w:color w:val="000000"/>
        </w:rPr>
        <w:t>.</w:t>
      </w:r>
    </w:p>
    <w:p w14:paraId="46087D82" w14:textId="77777777" w:rsidR="00A77B3E" w:rsidRPr="00B04807" w:rsidRDefault="00A77B3E" w:rsidP="00923FAA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4EC3BB5E" w14:textId="77777777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5F7E881" w14:textId="13855416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AI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rise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Endoscopic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evaluation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far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promising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Studies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others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combination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several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modalities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have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lastRenderedPageBreak/>
        <w:t>been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carried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out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moderate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results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leaving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room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research.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Data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availability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standardization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reporting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of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new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models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seem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biggest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challenges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AI's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breakthrough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IBD.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International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consensus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field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required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optimize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research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AI.</w:t>
      </w:r>
    </w:p>
    <w:p w14:paraId="529F7128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62B55B" w14:textId="360B80DC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REFERENCES</w:t>
      </w:r>
    </w:p>
    <w:p w14:paraId="36313A5C" w14:textId="7B52CF9F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4" w:name="OLE_LINK20"/>
      <w:r w:rsidRPr="002B5EAC">
        <w:rPr>
          <w:rFonts w:ascii="Book Antiqua" w:hAnsi="Book Antiqua"/>
          <w:color w:val="201F35"/>
        </w:rPr>
        <w:t>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Torres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J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Mehandru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Colombel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Peyrin-Biroulet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Lancet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389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1741-1755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27914655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10.1016/S0140-6736(16)31711-1]</w:t>
      </w:r>
    </w:p>
    <w:p w14:paraId="1998A53B" w14:textId="608310C5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Ungaro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R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Mehandru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Allen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Peyrin-Biroulet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Colombel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JF.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Lancet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389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1756-1770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27914657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10.1016/S0140-6736(16)32126-2]</w:t>
      </w:r>
    </w:p>
    <w:p w14:paraId="100778B1" w14:textId="31FA5C2B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Magro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F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Gionchetti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Eliakim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Ardizzone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Armuzzi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Barreiro-de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Acosta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Burisch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Gecse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Hart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Hindryckx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Langner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Limdi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Pellino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Zagórowicz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Raine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Harbord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Rieder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European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="00596BBB"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Organisation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[ECCO].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Third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European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Evidence-based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Consensus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Management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Part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Definitions,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Diagnosis,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Extra-intestinal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Manifestations,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Pregnancy,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Cancer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Surveillance,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Surgery,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Ileo-anal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Pouch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Disorders.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Crohns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11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649-670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28158501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10.1093/ecco-jcc/jjx008]</w:t>
      </w:r>
    </w:p>
    <w:p w14:paraId="09ADD0E2" w14:textId="756F17BD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Peyrin-Biroulet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L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Sandborn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Sands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Reinisch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Bemelman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Bryant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RV,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D'Haens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Dotan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Dubinsky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Feagan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Fiorino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Gearry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Krishnareddy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Lakatos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Loftus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EV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Marteau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Munkholm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Murdoch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Ordás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Panaccione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Riddell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Ruel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Rubin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Samaan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Siegel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Silverberg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Stoker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Schreiber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Travis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Assche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Danese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Panes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Bouguen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O'Donnell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Pariente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Winer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Hanauer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Colombel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JF.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Selecting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Therapeutic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Targets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(STRIDE):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Determining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Therapeutic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Goals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Treat-to-Target.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Am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2015;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110</w:t>
      </w:r>
      <w:r w:rsidR="002159EA"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="002159EA" w:rsidRPr="002B5EAC">
        <w:rPr>
          <w:rFonts w:ascii="Book Antiqua" w:hAnsi="Book Antiqua"/>
          <w:color w:val="201F35"/>
        </w:rPr>
        <w:t>1324-1338</w:t>
      </w:r>
      <w:r w:rsidR="00C50688" w:rsidRPr="002B5EAC">
        <w:rPr>
          <w:rFonts w:ascii="Book Antiqua" w:hAnsi="Book Antiqua" w:hint="eastAsi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26303131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10.1038/ajg.2015.233]</w:t>
      </w:r>
    </w:p>
    <w:p w14:paraId="6C331284" w14:textId="03874956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Peyrin-Biroulet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L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Panés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Sandborn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Vermeire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Danese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Feagan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Colombel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Hanauer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Rycroft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Defining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Severity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Diseases: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Current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Future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Directions.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Clin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Hepatol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2016;</w:t>
      </w:r>
      <w:r w:rsidR="00C50688" w:rsidRPr="002B5EAC">
        <w:rPr>
          <w:rFonts w:ascii="Book Antiqua" w:hAnsi="Book Antiqua" w:hint="eastAsi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14</w:t>
      </w:r>
      <w:r w:rsidR="002159EA"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 w:hint="eastAsia"/>
          <w:color w:val="201F35"/>
        </w:rPr>
        <w:t xml:space="preserve"> </w:t>
      </w:r>
      <w:r w:rsidR="002159EA" w:rsidRPr="002B5EAC">
        <w:rPr>
          <w:rFonts w:ascii="Book Antiqua" w:hAnsi="Book Antiqua"/>
          <w:color w:val="201F35"/>
        </w:rPr>
        <w:t>348-354.e17</w:t>
      </w:r>
      <w:r w:rsidR="00C50688" w:rsidRPr="002B5EAC">
        <w:rPr>
          <w:rFonts w:ascii="Book Antiqua" w:hAnsi="Book Antiqua" w:hint="eastAsi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26071941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10.1016/j.cgh.2015.06.001]</w:t>
      </w:r>
    </w:p>
    <w:p w14:paraId="7E5A366E" w14:textId="41B28FD7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lastRenderedPageBreak/>
        <w:t>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Mohammed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Vashist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N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Samaan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Mosli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Parker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MacDonald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Nelson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Feagan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Khanna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Jairath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scoring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indices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evaluation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activity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Cochrane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Database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Syst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Rev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2018;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CD011450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29338066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10.1002/14651858.CD011450.pub2]</w:t>
      </w:r>
    </w:p>
    <w:p w14:paraId="65E70A20" w14:textId="606B1522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Samaan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MA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Mosli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Sandborn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Feagan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</w:t>
      </w:r>
      <w:r w:rsidRPr="002B5EAC">
        <w:rPr>
          <w:rFonts w:ascii="Times New Roman" w:hAnsi="Times New Roman" w:cs="Times New Roman"/>
          <w:color w:val="201F35"/>
        </w:rPr>
        <w:t>ʼ</w:t>
      </w:r>
      <w:r w:rsidRPr="002B5EAC">
        <w:rPr>
          <w:rFonts w:ascii="Book Antiqua" w:hAnsi="Book Antiqua"/>
          <w:color w:val="201F35"/>
        </w:rPr>
        <w:t>Haens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Dubcenco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Baker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Levesque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BG.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systematic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review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measurement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healing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clinical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trials: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recommendations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implications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future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research.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Inflamm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Bowel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Dis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2014;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20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1465-1471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24831558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10.1097/MIB.0000000000000046]</w:t>
      </w:r>
    </w:p>
    <w:p w14:paraId="6B7C6AAE" w14:textId="1F8A6380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Feagan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BG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Sandborn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D'Haens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Pola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McDonald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JWD,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Rutgeerts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Munkholm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Mittmann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Wong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Donner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Shackelton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Gilgen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Nelson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Vandervoort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Fahmy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Loftus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EV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Panaccione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Travis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Assche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Vermeire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Levesque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BG.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role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centralized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reading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randomized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controlled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mesalamine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Gastroenterology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2013;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145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149-157.e2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23528626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10.1053/j.gastro.2013.03.025]</w:t>
      </w:r>
    </w:p>
    <w:p w14:paraId="1F15751F" w14:textId="484F8E05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Daperno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Comberlato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Bossa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Biancone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Bonanomi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Cassinotti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Cosintino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Lombardi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Mangiarotti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Papa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Pica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Rizzello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D'Incà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Orlando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Inter-observer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agreement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scoring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systems: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preliminary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report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ongoing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study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from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Italian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Group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(IG-IBD).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Dig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Liver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Dis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2014;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46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969-973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25154049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10.1016/j.dld.2014.07.010]</w:t>
      </w:r>
    </w:p>
    <w:p w14:paraId="153AECEC" w14:textId="7BBCA1C2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Daperno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Comberlato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Bossa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Armuzzi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Biancone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Bonanomi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Cassinotti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Cosintino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Lombardi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Mangiarotti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Papa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Pica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Grassano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Pagana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D'Incà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Orlando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Rizzello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IGIBDEndo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Group.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Training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Programs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Scoring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Systems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Significant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Increase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Interobserver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Agreement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Among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Community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Gastroenterologists.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Crohns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11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556-561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28453758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10.1093/ecco-jcc/jjw181]</w:t>
      </w:r>
    </w:p>
    <w:p w14:paraId="109FD83A" w14:textId="388C38A1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Rutgeerts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P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Reinisch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Colombel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Sandborn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D'Haens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Petersson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Q,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Iezzi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Thakkar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RB.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Agreement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site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central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readings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ileocolonoscopic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scores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lastRenderedPageBreak/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comparison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data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from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EXTEND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trial.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2016;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83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188-197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26234693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10.1016/j.gie.2015.06.018]</w:t>
      </w:r>
    </w:p>
    <w:p w14:paraId="5F36EF47" w14:textId="2C85174D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Gralnek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IM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Defranchis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Seidman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Leighton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Legnani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Lewis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Development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capsule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scoring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index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small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mucosal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change.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Aliment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Pharmacol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Ther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2008;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27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146-154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17956598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10.1111/j.1365-2036.2007.03556.x]</w:t>
      </w:r>
    </w:p>
    <w:p w14:paraId="59865833" w14:textId="6FB04012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Cotter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J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Castro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Magalhães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Moreira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Rosa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Validation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Lewis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score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evaluation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small-bowel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activity.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Endoscopy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2015;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47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330-335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25412092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10.1055/s-0034-1390894]</w:t>
      </w:r>
    </w:p>
    <w:p w14:paraId="11F27B77" w14:textId="5D948F48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Esaki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Washio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Morishita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Sakamoto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Fuyuno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Hirano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Umeno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Kitazono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Matsumoto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Suzuki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Su1262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inter-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intra-observer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variation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capsule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findings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="00596BBB"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case-control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study.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2018;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87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AB302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10.1016/j.gie.2018.04.1649]</w:t>
      </w:r>
    </w:p>
    <w:p w14:paraId="1E773D07" w14:textId="51351566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Buch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VH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Ahmed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Maruthappu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Artificial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intelligence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medicine: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current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trends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future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possibilities.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Br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Gen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Pract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2018;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68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143-144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29472224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10.3399/bjgp18X695213]</w:t>
      </w:r>
    </w:p>
    <w:p w14:paraId="5F6D033E" w14:textId="4B8953A4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Wang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P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X,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Berzin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Glissen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Brown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Guo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Xiong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Song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Effect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deep-learning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computer-aided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detection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system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adenoma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detection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during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colonoscopy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(CADe-DB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trial):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double-blind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randomised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study.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Lancet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Hepatol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5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343-351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31981517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10.1016/S2468-1253(19)30411-X]</w:t>
      </w:r>
    </w:p>
    <w:p w14:paraId="74224939" w14:textId="0EC16FB2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Wang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Y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X,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Nie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Application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artificial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intelligence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therapy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colorectal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cancer.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Am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Cancer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Res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10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3575-3598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33294256]</w:t>
      </w:r>
    </w:p>
    <w:p w14:paraId="625FF888" w14:textId="6C3D280D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Yang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YJ</w:t>
      </w:r>
      <w:r w:rsidRPr="002B5EAC">
        <w:rPr>
          <w:rFonts w:ascii="Book Antiqua" w:hAnsi="Book Antiqua"/>
          <w:color w:val="201F35"/>
        </w:rPr>
        <w:t>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Future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Capsule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Endoscopy: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Role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Artificial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Intelligence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Other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Technical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Advancements.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Clin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53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387-394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32668529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10.5946/ce.2020.133]</w:t>
      </w:r>
    </w:p>
    <w:p w14:paraId="16CE57BE" w14:textId="02A887E2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19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Klang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E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Barash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Margalit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Soffer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Shimon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Albshesh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Ben-Horin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Amitai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Eliakim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Kopylov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Deep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algorithms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automated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detection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lastRenderedPageBreak/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video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capsule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91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606-613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31743689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10.1016/j.gie.2019.11.012]</w:t>
      </w:r>
    </w:p>
    <w:p w14:paraId="0508E1CE" w14:textId="38248BB1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Soffer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Klang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Shimon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Nachmias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Eliakim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Ben-Horin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Kopylov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Barash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Deep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wireless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capsule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endoscopy: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systematic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review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meta-analysis.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92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831-839.e8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32334015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10.1016/j.gie.2020.04.039]</w:t>
      </w:r>
    </w:p>
    <w:p w14:paraId="40CB3DC7" w14:textId="7572DF2A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Satsangi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J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Silverberg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Vermeire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Colombel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JF.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Montreal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classification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controversies,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consensus,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implications.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Gut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2006;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55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749-753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16698746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10.1136/gut.2005.082909]</w:t>
      </w:r>
    </w:p>
    <w:p w14:paraId="500DDFFF" w14:textId="40987D2F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Stidham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RW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Bishu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Higgins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PDR,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Nallamothu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Waljee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AK.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Performance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Deep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Model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Human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Reviewers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Grading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Severity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JAMA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Netw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Open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2019;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2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e193963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31099869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10.1001/jamanetworkopen.2019.3963]</w:t>
      </w:r>
    </w:p>
    <w:p w14:paraId="3F571846" w14:textId="4CC94727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Ozawa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T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Ishihara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Fujishiro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Saito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Kumagai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Shichijo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Aoyama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Tada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Novel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computer-assisted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system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activity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2019;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89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416-421.e1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30367878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10.1016/j.gie.2018.10.020]</w:t>
      </w:r>
    </w:p>
    <w:p w14:paraId="0B4AF8B8" w14:textId="59623682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Gottlieb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Requa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Karnes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Chandra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Gudivada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Shen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Rael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Arora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Ninh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McGill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Central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Reading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Clinical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Videos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Neural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Networks.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Gastroenterology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2021;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160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710-719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33098883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10.1053/j.gastro.2020.10.024]</w:t>
      </w:r>
    </w:p>
    <w:p w14:paraId="563462AA" w14:textId="68104ECA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Gutierrez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Becker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B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Arcadu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Thalhammer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Gamez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Serna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Feehan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Drawnel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Prunotto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Training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deploying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deep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model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severity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grading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multicenter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clinical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data.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Ther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Adv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2021;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14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2631774521990623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33718871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10.1177/2631774521990623]</w:t>
      </w:r>
    </w:p>
    <w:p w14:paraId="32B9F9F6" w14:textId="14A0C1CC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Yao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H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Najarian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Gryak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Bishu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Waljee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Wilkins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Stidham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RW.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Fully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automated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activity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assessment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2021;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93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728-736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32810479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10.1016/j.gie.2020.08.011]</w:t>
      </w:r>
    </w:p>
    <w:p w14:paraId="23B722EB" w14:textId="4567EB5C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lastRenderedPageBreak/>
        <w:t>27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Alammari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A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Islam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ABMR,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Tavanapong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Wong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Groen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PC.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Classification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severity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colonoscopy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videos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CNN.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ICIME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Proceedings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9th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International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Conference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Information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Management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Engineering;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Oct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9-11;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Barcelona,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Spain.</w:t>
      </w:r>
      <w:r w:rsidR="00C50688" w:rsidRPr="002B5EAC">
        <w:rPr>
          <w:rFonts w:ascii="Book Antiqua" w:hAnsi="Book Antiqua"/>
        </w:rPr>
        <w:t xml:space="preserve"> </w:t>
      </w:r>
      <w:r w:rsidRPr="002B5EAC">
        <w:rPr>
          <w:rFonts w:ascii="Book Antiqua" w:hAnsi="Book Antiqua"/>
          <w:color w:val="201F35"/>
        </w:rPr>
        <w:t>Barcelona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Spain,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139</w:t>
      </w:r>
      <w:r w:rsidR="00B8211E" w:rsidRPr="002B5EAC">
        <w:rPr>
          <w:rFonts w:ascii="Book Antiqua" w:hAnsi="Book Antiqua"/>
          <w:color w:val="201F35"/>
        </w:rPr>
        <w:t>-</w:t>
      </w:r>
      <w:r w:rsidRPr="002B5EAC">
        <w:rPr>
          <w:rFonts w:ascii="Book Antiqua" w:hAnsi="Book Antiqua"/>
          <w:color w:val="201F35"/>
        </w:rPr>
        <w:t>44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10.1145/3149572.3149613]</w:t>
      </w:r>
    </w:p>
    <w:p w14:paraId="43C34EF6" w14:textId="0C7539A1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Lo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B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Bendtsen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Igel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Vind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Burisch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Deep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Surpasses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Gastrointestinal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Experts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Classifying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Severity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Preprint.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Available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from: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SSRN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Electron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Journal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10.2139/ssrn.3824683]</w:t>
      </w:r>
    </w:p>
    <w:p w14:paraId="36B9190C" w14:textId="758BD8D1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29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Maeda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Y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Kudo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Mori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Misawa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Ogata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Sasanuma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Wakamura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Oda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Mori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Ohtsuka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Fully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automated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diagnostic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system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artificial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intelligence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endocytoscopy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identify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presence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histologic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associated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(with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video).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Gastrointest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Endosc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2019;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89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408-415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30268542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10.1016/j.gie.2018.09.024]</w:t>
      </w:r>
    </w:p>
    <w:p w14:paraId="7602A77D" w14:textId="2D9A9649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Takenaka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Ohtsuka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Fujii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Negi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Suzuki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Shimizu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Oshima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Akiyama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Motobayashi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Nagahori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Saito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Matsuoka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Watanabe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Development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Validation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Deep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Neural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Network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Accurate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Evaluation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Images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From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Gastroenterology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158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2150-2157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32060000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10.1053/j.gastro.2020.02.012]</w:t>
      </w:r>
    </w:p>
    <w:p w14:paraId="5EE06736" w14:textId="62AF9864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Salleron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J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Danese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D'Agay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Peyrin-Biroulet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Effectiveness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Research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Necessity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Methodological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Challenge.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Crohns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2016;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10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1096-1102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26944416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10.1093/ecco-jcc/jjw068]</w:t>
      </w:r>
    </w:p>
    <w:p w14:paraId="61E465BF" w14:textId="73EB8955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Waljee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AK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Wallace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Cohen-Mekelburg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Sauder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Stidham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Higgins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PDR.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Development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Validation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Machine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Models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Prediction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Remission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Moderate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Severe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JAMA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Netw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Open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2019;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2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e193721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31074823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10.1001/jamanetworkopen.2019.3721]</w:t>
      </w:r>
    </w:p>
    <w:p w14:paraId="12203624" w14:textId="2D877805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Waljee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AK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Sauder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Govani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Stidham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Higgins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PDR.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Predicting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Corticosteroid-Free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Biologic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Remission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Vedolizumab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lastRenderedPageBreak/>
        <w:t>Disease.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Inflamm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Bowel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Dis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2018;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24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1185-1192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29668915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10.1093/ibd/izy031]</w:t>
      </w:r>
    </w:p>
    <w:p w14:paraId="78C9D02D" w14:textId="7198C775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Waljee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AK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Sauder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Govani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Stidham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Higgins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PDR.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Predicting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corticosteroid-free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remission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vedolizumab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Aliment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Pharmacol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Ther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2018;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47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763-772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29359519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10.1111/apt.14510]</w:t>
      </w:r>
    </w:p>
    <w:p w14:paraId="71444B07" w14:textId="64B3AF91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Biasci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D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Noor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Pombal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Hou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Lewis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Ahmad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Hart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Parkes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McKinney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Lyons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Smith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KGC.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blood-based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prognostic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biomarker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IBD.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Gut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2019;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68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1386-1395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31030191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10.1136/gutjnl-2019-318343]</w:t>
      </w:r>
    </w:p>
    <w:p w14:paraId="63FF2EF9" w14:textId="155ED70B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Choi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YI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Park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Chung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Kim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KO,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Cho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Kim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Kim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Park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Kim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YJ.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Development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Machine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Model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Predict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5-Year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Risk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Starting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Biologic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Agents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(IBD):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K-CDM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Network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Study.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Clin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Med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9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3427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33114505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10.3390/jcm9113427]</w:t>
      </w:r>
    </w:p>
    <w:p w14:paraId="4FB9E1CB" w14:textId="6215759B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Waljee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AK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Lipson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Wiitala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Zhang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Wallace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Govani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Stidham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Hayward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Higgins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PDR.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Predicting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Hospitalization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Outpatient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Corticosteroid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Machine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Inflamm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Bowel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Dis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24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45-53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29272474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10.1093/ibd/izx007]</w:t>
      </w:r>
    </w:p>
    <w:p w14:paraId="291812B2" w14:textId="60452B58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Waljee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AK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Joyce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Wang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Saxena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Hart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Zhu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Higgins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PD.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Algorithms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outperform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metabolite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tests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predicting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response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patients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thiopurines.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Clin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Hepatol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8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143-150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19835986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10.1016/j.cgh.2009.09.031]</w:t>
      </w:r>
    </w:p>
    <w:p w14:paraId="1B920A5D" w14:textId="463E0F09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39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Vind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I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Jess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Knudsen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Pedersen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Elkjaer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Bak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Andersen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Wewer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Nørregaard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Moesgaard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Bendtsen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Munkholm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DCCD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study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group.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Increasing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incidences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decreasing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surgery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rates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Copenhagen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City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County,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2003-2005: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population-based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study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from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Danish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database.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Am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Gastroenterol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2006;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101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1274-1282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16771949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10.1111/j.1572-0241.2006.00552.x]</w:t>
      </w:r>
    </w:p>
    <w:p w14:paraId="4CA44124" w14:textId="1DBEB7F5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lastRenderedPageBreak/>
        <w:t>40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Li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J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Qian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JM.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Artificial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intelligence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current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status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opportunities.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Chin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Med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(Engl)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133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757-759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32132365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10.1097/CM9.0000000000000714]</w:t>
      </w:r>
    </w:p>
    <w:p w14:paraId="5463D420" w14:textId="25DB5A40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Mossotto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E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Ashton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Coelho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Beattie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MacArthur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Ennis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Classification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Paediatric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using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Machine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Sci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Rep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2017;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7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2427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28546534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10.1038/s41598-017-02606-2]</w:t>
      </w:r>
    </w:p>
    <w:p w14:paraId="14CDA57F" w14:textId="2D55CDDB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42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Douglas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GM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Hansen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Jones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CMA,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Dunn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Comeau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Bielawski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Tayler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El-Omar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Russell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Hold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Langille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MGI,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Limbergen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Multi-omics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differentially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classify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state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treatment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outcome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pediatric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Crohn's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Microbiome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2018;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6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29335008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10.1186/s40168-018-0398-3]</w:t>
      </w:r>
    </w:p>
    <w:p w14:paraId="3052B2C2" w14:textId="1F45A9A2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Duttagupta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R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DiRienzo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Jiang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Bowers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Gollub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Kao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Kearney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Rudolph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Dawany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Showe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Stamato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Getts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Jones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KW.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Genome-wide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maps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circulating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miRNA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biomarkers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ulcerative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colitis.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PLoS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One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2012;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7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e31241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22359580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10.1371/journal.pone.0031241]</w:t>
      </w:r>
    </w:p>
    <w:p w14:paraId="6FA08A1A" w14:textId="7C43F559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44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Sandberg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K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Yarger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Saeed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Updates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management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inflammatory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bowel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disease.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Curr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Probl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Pediatr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Adolesc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Health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Care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50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100785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32402535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10.1016/j.cppeds.2020.100785]</w:t>
      </w:r>
    </w:p>
    <w:p w14:paraId="7CDEE82D" w14:textId="5616320E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Oppenheim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</w:t>
      </w:r>
      <w:r w:rsidRPr="002B5EAC">
        <w:rPr>
          <w:rFonts w:ascii="Book Antiqua" w:hAnsi="Book Antiqua"/>
          <w:color w:val="201F35"/>
        </w:rPr>
        <w:t>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Stephen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Hawking: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Artificial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intelligence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could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greatest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disaster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human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history.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[cited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2021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Apr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11].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hAnsi="Book Antiqua"/>
          <w:color w:val="201F35"/>
        </w:rPr>
        <w:t>Available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from: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https://www.independent.co.uk/news/people/stephen-hawking-artificial-intelligence-diaster-human-history-leverhulme-centre-cambridge-a7371106.html</w:t>
      </w:r>
    </w:p>
    <w:p w14:paraId="0E7DF35F" w14:textId="64985939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46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eastAsia="Book Antiqua" w:hAnsi="Book Antiqua" w:cs="Book Antiqua"/>
          <w:b/>
          <w:bCs/>
          <w:color w:val="000000"/>
        </w:rPr>
        <w:t>Buhrmester</w:t>
      </w:r>
      <w:r w:rsidR="00C50688" w:rsidRPr="002B5E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b/>
          <w:bCs/>
          <w:color w:val="000000"/>
        </w:rPr>
        <w:t>V,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Münch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D,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Arens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M.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Analysis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of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Explainers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of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Black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Box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Deep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Neural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Networks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for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Computer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Vision: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A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Survey.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2019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Preprint.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Available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from:</w:t>
      </w:r>
      <w:r w:rsidR="00C50688" w:rsidRPr="002B5EAC">
        <w:rPr>
          <w:rFonts w:ascii="Book Antiqua" w:eastAsia="Book Antiqua" w:hAnsi="Book Antiqua" w:cs="Book Antiqua"/>
          <w:color w:val="000000"/>
        </w:rPr>
        <w:t xml:space="preserve"> </w:t>
      </w:r>
      <w:r w:rsidRPr="002B5EAC">
        <w:rPr>
          <w:rFonts w:ascii="Book Antiqua" w:eastAsia="Book Antiqua" w:hAnsi="Book Antiqua" w:cs="Book Antiqua"/>
          <w:color w:val="000000"/>
        </w:rPr>
        <w:t>arXiv:1911.12116</w:t>
      </w:r>
    </w:p>
    <w:p w14:paraId="10EE4214" w14:textId="4558B358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47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Hatcher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M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Heetebry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Information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technology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future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health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care.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Med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Syst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2004;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28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673-688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15615295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10.1023/b:joms.0000044969.66510.d5]</w:t>
      </w:r>
    </w:p>
    <w:p w14:paraId="1F69C672" w14:textId="1CB2E5C1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48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Borgli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H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Thambawita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Smedsrud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PH,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Hicks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Jha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Eskeland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Randel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Pogorelov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Lux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Nguyen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DTD,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Johansen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Griwodz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Stensland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Garcia-Ceja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Schmidt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Hammer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Riegler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Halvorsen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Lange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HyperKvasir,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lastRenderedPageBreak/>
        <w:t>comprehensive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multi-class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image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video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dataset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gastrointestinal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endoscopy.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Sci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Data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7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283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32859981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10.1038/s41597-020-00622-y]</w:t>
      </w:r>
    </w:p>
    <w:p w14:paraId="37EEBA56" w14:textId="6AF94CF3" w:rsidR="00B04807" w:rsidRPr="002B5EAC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49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van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der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Sommen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F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Groof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Struyvenberg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Putten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Boers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Fockens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Schoon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EJ,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Curvers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With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Mori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Y,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Byrne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Bergman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JJGHM.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Machine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learning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GI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endoscopy: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practical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guidance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how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to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interpret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novel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field.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Gut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2020;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69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2035-2045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32393540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10.1136/gutjnl-2019-320466]</w:t>
      </w:r>
    </w:p>
    <w:p w14:paraId="5C6F548D" w14:textId="472D9AFE" w:rsidR="00B04807" w:rsidRPr="00B04807" w:rsidRDefault="00B04807" w:rsidP="00923FA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2B5EAC">
        <w:rPr>
          <w:rFonts w:ascii="Book Antiqua" w:hAnsi="Book Antiqua"/>
          <w:color w:val="201F35"/>
        </w:rPr>
        <w:t>50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Cohen</w:t>
      </w:r>
      <w:r w:rsidR="00C50688" w:rsidRPr="002B5EAC">
        <w:rPr>
          <w:rFonts w:ascii="Book Antiqua" w:hAnsi="Book Antiqua"/>
          <w:b/>
          <w:bCs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JF</w:t>
      </w:r>
      <w:r w:rsidRPr="002B5EAC">
        <w:rPr>
          <w:rFonts w:ascii="Book Antiqua" w:hAnsi="Book Antiqua"/>
          <w:color w:val="201F35"/>
        </w:rPr>
        <w:t>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Korevaar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Altman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DG,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Bruns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Gatsonis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CA,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Hooft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Irwig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Levine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Reitsma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JB,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de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Vet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HC,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Bossuyt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PM.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STARD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2015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guidelines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for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reporting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diagnostic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accuracy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studies: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explanation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and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elaboration.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BMJ</w:t>
      </w:r>
      <w:r w:rsidR="00C50688" w:rsidRPr="002B5EAC">
        <w:rPr>
          <w:rFonts w:ascii="Book Antiqua" w:hAnsi="Book Antiqua"/>
          <w:i/>
          <w:iCs/>
          <w:color w:val="201F35"/>
        </w:rPr>
        <w:t xml:space="preserve"> </w:t>
      </w:r>
      <w:r w:rsidRPr="002B5EAC">
        <w:rPr>
          <w:rFonts w:ascii="Book Antiqua" w:hAnsi="Book Antiqua"/>
          <w:i/>
          <w:iCs/>
          <w:color w:val="201F35"/>
        </w:rPr>
        <w:t>Open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2016;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b/>
          <w:bCs/>
          <w:color w:val="201F35"/>
        </w:rPr>
        <w:t>6</w:t>
      </w:r>
      <w:r w:rsidRPr="002B5EAC">
        <w:rPr>
          <w:rFonts w:ascii="Book Antiqua" w:hAnsi="Book Antiqua"/>
          <w:color w:val="201F35"/>
        </w:rPr>
        <w:t>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e012799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[PMID: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28137831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DOI:</w:t>
      </w:r>
      <w:r w:rsidR="00C50688" w:rsidRPr="002B5EAC">
        <w:rPr>
          <w:rFonts w:ascii="Book Antiqua" w:hAnsi="Book Antiqua"/>
          <w:color w:val="201F35"/>
        </w:rPr>
        <w:t xml:space="preserve"> </w:t>
      </w:r>
      <w:r w:rsidRPr="002B5EAC">
        <w:rPr>
          <w:rFonts w:ascii="Book Antiqua" w:hAnsi="Book Antiqua"/>
          <w:color w:val="201F35"/>
        </w:rPr>
        <w:t>10.1136/bmjopen-2016-012799]</w:t>
      </w:r>
    </w:p>
    <w:bookmarkEnd w:id="4"/>
    <w:p w14:paraId="57D5CB42" w14:textId="0F52325C" w:rsidR="00B04807" w:rsidRPr="00B04807" w:rsidRDefault="00B04807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04807" w:rsidRPr="00B048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E37FBD" w14:textId="77777777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C052B96" w14:textId="57AB5D53" w:rsidR="00A77B3E" w:rsidRDefault="00923FAA" w:rsidP="00923FA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Lo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received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lecture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fee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Janssen-Cilag</w:t>
      </w:r>
      <w:r>
        <w:rPr>
          <w:rFonts w:ascii="Book Antiqua" w:eastAsia="Book Antiqua" w:hAnsi="Book Antiqua" w:cs="Book Antiqua"/>
          <w:color w:val="000000"/>
        </w:rPr>
        <w:t>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Burisch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has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received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consulting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fees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Celgene,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Janssen-Cilag,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AbbVie,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Vifor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Pharma,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Jansen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Ferring;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lecture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fees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Abbvie,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Pfizer,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MSD,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Pharmacosmos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Takeda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Pharma,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unrestricted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grant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support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from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Takeda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Pharma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Tillotts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587D35">
        <w:rPr>
          <w:rFonts w:ascii="Book Antiqua" w:eastAsia="Book Antiqua" w:hAnsi="Book Antiqua" w:cs="Book Antiqua"/>
          <w:color w:val="000000"/>
        </w:rPr>
        <w:t>Pharma.</w:t>
      </w:r>
    </w:p>
    <w:p w14:paraId="439139BA" w14:textId="77777777" w:rsidR="00923FAA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661BCA" w14:textId="51609014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506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article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open-access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article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that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was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selected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in-house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editor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fully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peer-reviewed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external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reviewers.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distributed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accordance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with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Creative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Commons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Attribution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NonCommercial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(CC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BY-NC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4.0)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license,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which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permits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others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to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distribute,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remix,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adapt,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build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upon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work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non-commercially,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license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their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derivative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works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different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terms,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provided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original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work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properly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cited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use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is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non-commercial.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See: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1450FCB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7B9884" w14:textId="062894C4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Manuscript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source: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Invited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manuscript</w:t>
      </w:r>
    </w:p>
    <w:p w14:paraId="0D96DB85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703AE8" w14:textId="7904FD87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Peer-review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started: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April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28,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2021</w:t>
      </w:r>
    </w:p>
    <w:p w14:paraId="3F90BBF6" w14:textId="1875BBE1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First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decision: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June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13,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2021</w:t>
      </w:r>
    </w:p>
    <w:p w14:paraId="2E879294" w14:textId="0B6A31DC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Article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in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press: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65F0">
        <w:rPr>
          <w:rFonts w:ascii="Book Antiqua" w:eastAsia="宋体" w:hAnsi="Book Antiqua" w:hint="eastAsia"/>
          <w:color w:val="000000" w:themeColor="text1"/>
        </w:rPr>
        <w:t>Au</w:t>
      </w:r>
      <w:r w:rsidR="008765F0">
        <w:rPr>
          <w:rFonts w:ascii="Book Antiqua" w:eastAsia="宋体" w:hAnsi="Book Antiqua"/>
          <w:color w:val="000000" w:themeColor="text1"/>
        </w:rPr>
        <w:t>gust</w:t>
      </w:r>
      <w:r w:rsidR="00C50688">
        <w:rPr>
          <w:rFonts w:ascii="Book Antiqua" w:eastAsia="宋体" w:hAnsi="Book Antiqua"/>
          <w:color w:val="000000" w:themeColor="text1"/>
        </w:rPr>
        <w:t xml:space="preserve"> </w:t>
      </w:r>
      <w:r w:rsidR="008765F0">
        <w:rPr>
          <w:rFonts w:ascii="Book Antiqua" w:eastAsia="宋体" w:hAnsi="Book Antiqua"/>
          <w:color w:val="000000" w:themeColor="text1"/>
        </w:rPr>
        <w:t>16</w:t>
      </w:r>
      <w:r w:rsidR="008765F0" w:rsidRPr="00F06907">
        <w:rPr>
          <w:rFonts w:ascii="Book Antiqua" w:eastAsia="宋体" w:hAnsi="Book Antiqua"/>
          <w:color w:val="000000" w:themeColor="text1"/>
        </w:rPr>
        <w:t>,</w:t>
      </w:r>
      <w:r w:rsidR="00C50688">
        <w:rPr>
          <w:rFonts w:ascii="Book Antiqua" w:eastAsia="宋体" w:hAnsi="Book Antiqua"/>
          <w:color w:val="000000" w:themeColor="text1"/>
        </w:rPr>
        <w:t xml:space="preserve"> </w:t>
      </w:r>
      <w:r w:rsidR="008765F0" w:rsidRPr="00F06907">
        <w:rPr>
          <w:rFonts w:ascii="Book Antiqua" w:eastAsia="宋体" w:hAnsi="Book Antiqua"/>
          <w:color w:val="000000" w:themeColor="text1"/>
        </w:rPr>
        <w:t>2021</w:t>
      </w:r>
    </w:p>
    <w:p w14:paraId="220EF2D0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85CE22" w14:textId="0406A886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Specialty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type: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Gastroenterology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and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hepatology</w:t>
      </w:r>
    </w:p>
    <w:p w14:paraId="5241CD82" w14:textId="638D49A0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Country/Territory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of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origin: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Denmark</w:t>
      </w:r>
    </w:p>
    <w:p w14:paraId="4175E84A" w14:textId="3C5CDEFC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Peer-review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6BBB" w:rsidRPr="00B04807">
        <w:rPr>
          <w:rFonts w:ascii="Book Antiqua" w:eastAsia="Book Antiqua" w:hAnsi="Book Antiqua" w:cs="Book Antiqua"/>
          <w:b/>
          <w:color w:val="000000"/>
        </w:rPr>
        <w:t>report</w:t>
      </w:r>
      <w:r w:rsidR="00596BBB">
        <w:rPr>
          <w:rFonts w:ascii="Book Antiqua" w:eastAsia="Book Antiqua" w:hAnsi="Book Antiqua" w:cs="Book Antiqua"/>
          <w:b/>
          <w:color w:val="000000"/>
        </w:rPr>
        <w:t>'</w:t>
      </w:r>
      <w:r w:rsidR="00596BBB" w:rsidRPr="00B04807">
        <w:rPr>
          <w:rFonts w:ascii="Book Antiqua" w:eastAsia="Book Antiqua" w:hAnsi="Book Antiqua" w:cs="Book Antiqua"/>
          <w:b/>
          <w:color w:val="000000"/>
        </w:rPr>
        <w:t>s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scientific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quality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5D4695" w14:textId="15B4972B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Grade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(Excellent):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0</w:t>
      </w:r>
    </w:p>
    <w:p w14:paraId="0C69AAF5" w14:textId="37F847B2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Grade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(Very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good):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B</w:t>
      </w:r>
    </w:p>
    <w:p w14:paraId="4CD030E6" w14:textId="08845C42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Grade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(Good):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</w:t>
      </w:r>
    </w:p>
    <w:p w14:paraId="69F0D4B9" w14:textId="608259C6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Grade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D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(Fair):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0</w:t>
      </w:r>
    </w:p>
    <w:p w14:paraId="571DAFFF" w14:textId="210DA541" w:rsidR="00A77B3E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color w:val="000000"/>
        </w:rPr>
        <w:t>Grade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(Poor):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0</w:t>
      </w:r>
    </w:p>
    <w:p w14:paraId="28F5ADF8" w14:textId="77777777" w:rsidR="00A77B3E" w:rsidRPr="00B04807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1FBEE2" w14:textId="776AB8BC" w:rsidR="00B04807" w:rsidRPr="00B04807" w:rsidRDefault="00923FAA" w:rsidP="00923FA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t>P-Reviewer: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Chabrun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F,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El-Shabrawi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MH,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Kamran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M,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A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S-Editor: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Liu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M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L-Editor: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FB390B">
        <w:rPr>
          <w:rFonts w:ascii="Book Antiqua" w:eastAsia="Book Antiqua" w:hAnsi="Book Antiqua" w:cs="Book Antiqua"/>
          <w:color w:val="000000"/>
        </w:rPr>
        <w:t>Webster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JR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P-Editor: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65F0" w:rsidRPr="008765F0">
        <w:rPr>
          <w:rFonts w:ascii="Book Antiqua" w:eastAsia="Book Antiqua" w:hAnsi="Book Antiqua" w:cs="Book Antiqua"/>
          <w:color w:val="000000"/>
        </w:rPr>
        <w:t>Xing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8765F0" w:rsidRPr="008765F0">
        <w:rPr>
          <w:rFonts w:ascii="Book Antiqua" w:eastAsia="Book Antiqua" w:hAnsi="Book Antiqua" w:cs="Book Antiqua"/>
          <w:color w:val="000000"/>
        </w:rPr>
        <w:t>YX</w:t>
      </w:r>
    </w:p>
    <w:p w14:paraId="0D9498E2" w14:textId="5B5EA18E" w:rsidR="00B04807" w:rsidRPr="00B04807" w:rsidRDefault="00B04807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04807">
        <w:rPr>
          <w:rFonts w:ascii="Book Antiqua" w:eastAsia="Book Antiqua" w:hAnsi="Book Antiqua" w:cs="Book Antiqua"/>
          <w:b/>
          <w:color w:val="000000"/>
        </w:rPr>
        <w:br w:type="page"/>
      </w:r>
      <w:r w:rsidRPr="00B04807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1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Recommendations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for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reporting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of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studies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regarding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artificial</w:t>
      </w:r>
      <w:r w:rsidR="00C506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b/>
          <w:color w:val="000000"/>
        </w:rPr>
        <w:t>intelligence</w:t>
      </w:r>
    </w:p>
    <w:tbl>
      <w:tblPr>
        <w:tblStyle w:val="Gittertabel5-mrk-farve11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7213"/>
      </w:tblGrid>
      <w:tr w:rsidR="00B04807" w:rsidRPr="00B04807" w14:paraId="2A7CBA13" w14:textId="77777777" w:rsidTr="008C5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B9E0E2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  <w:r w:rsidRPr="00B04807">
              <w:rPr>
                <w:rFonts w:ascii="Book Antiqua" w:eastAsia="Times New Roman" w:hAnsi="Book Antiqua"/>
                <w:color w:val="auto"/>
                <w:lang w:eastAsia="da-DK"/>
              </w:rPr>
              <w:t>Section</w:t>
            </w:r>
          </w:p>
        </w:tc>
        <w:tc>
          <w:tcPr>
            <w:tcW w:w="7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F4FC38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auto"/>
                <w:lang w:eastAsia="da-DK"/>
              </w:rPr>
            </w:pPr>
            <w:r w:rsidRPr="00B04807">
              <w:rPr>
                <w:rFonts w:ascii="Book Antiqua" w:eastAsia="Times New Roman" w:hAnsi="Book Antiqua"/>
                <w:color w:val="auto"/>
                <w:lang w:eastAsia="da-DK"/>
              </w:rPr>
              <w:t>Requirements</w:t>
            </w:r>
          </w:p>
        </w:tc>
      </w:tr>
      <w:tr w:rsidR="00B04807" w:rsidRPr="00B04807" w14:paraId="3C378AED" w14:textId="77777777" w:rsidTr="008C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FB3A8E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  <w:r w:rsidRPr="00B04807">
              <w:rPr>
                <w:rFonts w:ascii="Book Antiqua" w:eastAsia="Times New Roman" w:hAnsi="Book Antiqua"/>
                <w:color w:val="auto"/>
                <w:lang w:eastAsia="da-DK"/>
              </w:rPr>
              <w:t>Method</w:t>
            </w:r>
          </w:p>
        </w:tc>
        <w:tc>
          <w:tcPr>
            <w:tcW w:w="72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021048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</w:p>
        </w:tc>
      </w:tr>
      <w:tr w:rsidR="00B04807" w:rsidRPr="00B04807" w14:paraId="448CFF85" w14:textId="77777777" w:rsidTr="008C52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39D967CF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64705580" w14:textId="778EB3A8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Origin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dataset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description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the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acquisition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process</w:t>
            </w:r>
          </w:p>
        </w:tc>
      </w:tr>
      <w:tr w:rsidR="00B04807" w:rsidRPr="00B04807" w14:paraId="7A2B7E64" w14:textId="77777777" w:rsidTr="008C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703359FF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7D106CD1" w14:textId="6555BBB0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Pre-processing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methods</w:t>
            </w:r>
          </w:p>
        </w:tc>
      </w:tr>
      <w:tr w:rsidR="00B04807" w:rsidRPr="00B04807" w14:paraId="2AF34980" w14:textId="77777777" w:rsidTr="008C52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719CB4E4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23D484B1" w14:textId="38C2E73E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Definition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ground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truth</w:t>
            </w:r>
          </w:p>
        </w:tc>
      </w:tr>
      <w:tr w:rsidR="00B04807" w:rsidRPr="00B04807" w14:paraId="7C018382" w14:textId="77777777" w:rsidTr="008C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52578D1D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03CD74AB" w14:textId="53860AA5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Split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data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set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should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include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training,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validation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test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set.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clear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statement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that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the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test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set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not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used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to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tune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hyperparameters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or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the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selection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the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model</w:t>
            </w:r>
          </w:p>
        </w:tc>
      </w:tr>
      <w:tr w:rsidR="00B04807" w:rsidRPr="00B04807" w14:paraId="3327C9B3" w14:textId="77777777" w:rsidTr="008C528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611F05B0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7E2A2DB1" w14:textId="40D85395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Method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architecture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used,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whether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pretrained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or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not,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what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dataset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pretrained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on</w:t>
            </w:r>
          </w:p>
        </w:tc>
      </w:tr>
      <w:tr w:rsidR="00B04807" w:rsidRPr="00B04807" w14:paraId="0025361E" w14:textId="77777777" w:rsidTr="008C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1871AF2C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5C59E7F9" w14:textId="46BFC93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Full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technical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detail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should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be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included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supplementary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files</w:t>
            </w:r>
          </w:p>
        </w:tc>
      </w:tr>
      <w:tr w:rsidR="00B04807" w:rsidRPr="00B04807" w14:paraId="11BF4D49" w14:textId="77777777" w:rsidTr="008C52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2E99DDA3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5FD88DA8" w14:textId="40B3793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Statement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post-selection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analyses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why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these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are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conducted</w:t>
            </w:r>
          </w:p>
        </w:tc>
      </w:tr>
      <w:tr w:rsidR="00B04807" w:rsidRPr="00B04807" w14:paraId="7FF8C73F" w14:textId="77777777" w:rsidTr="008C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7304A888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  <w:r w:rsidRPr="00B04807">
              <w:rPr>
                <w:rFonts w:ascii="Book Antiqua" w:eastAsia="Times New Roman" w:hAnsi="Book Antiqua"/>
                <w:color w:val="auto"/>
                <w:lang w:eastAsia="da-DK"/>
              </w:rPr>
              <w:t>Results</w:t>
            </w:r>
          </w:p>
        </w:tc>
        <w:tc>
          <w:tcPr>
            <w:tcW w:w="7213" w:type="dxa"/>
            <w:shd w:val="clear" w:color="auto" w:fill="auto"/>
            <w:noWrap/>
            <w:hideMark/>
          </w:tcPr>
          <w:p w14:paraId="14C26065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</w:p>
        </w:tc>
      </w:tr>
      <w:tr w:rsidR="00B04807" w:rsidRPr="00B04807" w14:paraId="3DC8906A" w14:textId="77777777" w:rsidTr="008C5281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0600C3CF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6664A2DB" w14:textId="33D89DCF" w:rsidR="00B04807" w:rsidRPr="00B04807" w:rsidRDefault="00B04807" w:rsidP="00FB390B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A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complete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report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all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results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incl</w:t>
            </w:r>
            <w:r w:rsidR="00FB390B">
              <w:rPr>
                <w:rFonts w:ascii="Book Antiqua" w:eastAsia="Times New Roman" w:hAnsi="Book Antiqua"/>
                <w:lang w:eastAsia="da-DK"/>
              </w:rPr>
              <w:t>uding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but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not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restricted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to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AUC,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sensitivity,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specificity,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accuracy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kappa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value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for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the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overall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model's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performance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not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for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selected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tasks</w:t>
            </w:r>
          </w:p>
        </w:tc>
      </w:tr>
      <w:tr w:rsidR="00B04807" w:rsidRPr="00B04807" w14:paraId="53339466" w14:textId="77777777" w:rsidTr="008C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5258F8B7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  <w:r w:rsidRPr="00B04807">
              <w:rPr>
                <w:rFonts w:ascii="Book Antiqua" w:eastAsia="Times New Roman" w:hAnsi="Book Antiqua"/>
                <w:color w:val="auto"/>
                <w:lang w:eastAsia="da-DK"/>
              </w:rPr>
              <w:t>Discussion</w:t>
            </w:r>
          </w:p>
        </w:tc>
        <w:tc>
          <w:tcPr>
            <w:tcW w:w="7213" w:type="dxa"/>
            <w:shd w:val="clear" w:color="auto" w:fill="auto"/>
            <w:noWrap/>
            <w:hideMark/>
          </w:tcPr>
          <w:p w14:paraId="3A4A65E3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</w:p>
        </w:tc>
      </w:tr>
      <w:tr w:rsidR="00B04807" w:rsidRPr="00B04807" w14:paraId="63B345FC" w14:textId="77777777" w:rsidTr="008C52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7CD0EC36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hideMark/>
          </w:tcPr>
          <w:p w14:paraId="7602C7AE" w14:textId="20AD0D76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Risks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of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overfitting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bias</w:t>
            </w:r>
          </w:p>
        </w:tc>
      </w:tr>
      <w:tr w:rsidR="00B04807" w:rsidRPr="00B04807" w14:paraId="6EE72B75" w14:textId="77777777" w:rsidTr="008C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auto"/>
            <w:noWrap/>
            <w:hideMark/>
          </w:tcPr>
          <w:p w14:paraId="6F90C46A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shd w:val="clear" w:color="auto" w:fill="auto"/>
            <w:noWrap/>
            <w:hideMark/>
          </w:tcPr>
          <w:p w14:paraId="1FCBF79E" w14:textId="01F52623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Generalisability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and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cautions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to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take</w:t>
            </w:r>
          </w:p>
        </w:tc>
      </w:tr>
      <w:tr w:rsidR="00B04807" w:rsidRPr="00B04807" w14:paraId="361EB0E5" w14:textId="77777777" w:rsidTr="008C52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7B1726" w14:textId="77777777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auto"/>
                <w:lang w:eastAsia="da-DK"/>
              </w:rPr>
            </w:pP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33D928" w14:textId="788A0671" w:rsidR="00B04807" w:rsidRPr="00B04807" w:rsidRDefault="00B04807" w:rsidP="00923FA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lang w:eastAsia="da-DK"/>
              </w:rPr>
            </w:pPr>
            <w:r w:rsidRPr="00B04807">
              <w:rPr>
                <w:rFonts w:ascii="Book Antiqua" w:eastAsia="Times New Roman" w:hAnsi="Book Antiqua"/>
                <w:lang w:eastAsia="da-DK"/>
              </w:rPr>
              <w:t>Clinical</w:t>
            </w:r>
            <w:r w:rsidR="00C50688">
              <w:rPr>
                <w:rFonts w:ascii="Book Antiqua" w:eastAsia="Times New Roman" w:hAnsi="Book Antiqua"/>
                <w:lang w:eastAsia="da-DK"/>
              </w:rPr>
              <w:t xml:space="preserve"> </w:t>
            </w:r>
            <w:r w:rsidRPr="00B04807">
              <w:rPr>
                <w:rFonts w:ascii="Book Antiqua" w:eastAsia="Times New Roman" w:hAnsi="Book Antiqua"/>
                <w:lang w:eastAsia="da-DK"/>
              </w:rPr>
              <w:t>implementation</w:t>
            </w:r>
          </w:p>
        </w:tc>
      </w:tr>
    </w:tbl>
    <w:p w14:paraId="29481D57" w14:textId="77777777" w:rsidR="00AA2A62" w:rsidRDefault="00B8211E" w:rsidP="00923FA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A2A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 w:hint="eastAsia"/>
          <w:lang w:eastAsia="zh-CN"/>
        </w:rPr>
        <w:t>A</w:t>
      </w:r>
      <w:r>
        <w:rPr>
          <w:rFonts w:ascii="Book Antiqua" w:hAnsi="Book Antiqua"/>
          <w:lang w:eastAsia="zh-CN"/>
        </w:rPr>
        <w:t>UC:</w:t>
      </w:r>
      <w:r w:rsidR="00C50688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B04807">
        <w:rPr>
          <w:rFonts w:ascii="Book Antiqua" w:eastAsia="Book Antiqua" w:hAnsi="Book Antiqua" w:cs="Book Antiqua"/>
          <w:color w:val="000000"/>
        </w:rPr>
        <w:t>rea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under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the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receiv</w:t>
      </w:r>
      <w:r w:rsidR="00FB390B">
        <w:rPr>
          <w:rFonts w:ascii="Book Antiqua" w:eastAsia="Book Antiqua" w:hAnsi="Book Antiqua" w:cs="Book Antiqua"/>
          <w:color w:val="000000"/>
        </w:rPr>
        <w:t>er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operating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="00FB390B">
        <w:rPr>
          <w:rFonts w:ascii="Book Antiqua" w:eastAsia="Book Antiqua" w:hAnsi="Book Antiqua" w:cs="Book Antiqua"/>
          <w:color w:val="000000"/>
        </w:rPr>
        <w:t>characteristic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  <w:r w:rsidRPr="00B04807">
        <w:rPr>
          <w:rFonts w:ascii="Book Antiqua" w:eastAsia="Book Antiqua" w:hAnsi="Book Antiqua" w:cs="Book Antiqua"/>
          <w:color w:val="000000"/>
        </w:rPr>
        <w:t>curve</w:t>
      </w:r>
      <w:r>
        <w:rPr>
          <w:rFonts w:ascii="Book Antiqua" w:eastAsia="Book Antiqua" w:hAnsi="Book Antiqua" w:cs="Book Antiqua"/>
          <w:color w:val="000000"/>
        </w:rPr>
        <w:t>.</w:t>
      </w:r>
      <w:r w:rsidR="00C50688">
        <w:rPr>
          <w:rFonts w:ascii="Book Antiqua" w:eastAsia="Book Antiqua" w:hAnsi="Book Antiqua" w:cs="Book Antiqua"/>
          <w:color w:val="000000"/>
        </w:rPr>
        <w:t xml:space="preserve"> </w:t>
      </w:r>
    </w:p>
    <w:p w14:paraId="3C3292E7" w14:textId="77777777" w:rsidR="00AA2A62" w:rsidRDefault="00AA2A62" w:rsidP="00AA2A62">
      <w:pPr>
        <w:jc w:val="center"/>
        <w:rPr>
          <w:rFonts w:ascii="Book Antiqua" w:hAnsi="Book Antiqua"/>
          <w:sz w:val="21"/>
          <w:szCs w:val="22"/>
        </w:rPr>
      </w:pPr>
    </w:p>
    <w:p w14:paraId="7B3A8619" w14:textId="457097DD" w:rsidR="00AA2A62" w:rsidRDefault="00AA2A62" w:rsidP="00AA2A6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88A00AF" wp14:editId="1802FB55">
            <wp:extent cx="2498725" cy="1435100"/>
            <wp:effectExtent l="0" t="0" r="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79A7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5E42A5DA" w14:textId="77777777" w:rsidR="00AA2A62" w:rsidRDefault="00AA2A62" w:rsidP="00AA2A6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DE18026" w14:textId="77777777" w:rsidR="00AA2A62" w:rsidRDefault="00AA2A62" w:rsidP="00AA2A6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EFE177C" w14:textId="77777777" w:rsidR="00AA2A62" w:rsidRDefault="00AA2A62" w:rsidP="00AA2A6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4D7B62E" w14:textId="77777777" w:rsidR="00AA2A62" w:rsidRDefault="00AA2A62" w:rsidP="00AA2A6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274DD27" w14:textId="77777777" w:rsidR="00AA2A62" w:rsidRDefault="00AA2A62" w:rsidP="00AA2A6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854DDDB" w14:textId="77777777" w:rsidR="00AA2A62" w:rsidRDefault="00AA2A62" w:rsidP="00AA2A62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AD01FB4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4D5D340D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0BA2B3B6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7BD5108D" w14:textId="5A9C08CB" w:rsidR="00AA2A62" w:rsidRDefault="00AA2A62" w:rsidP="00AA2A6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1491836" wp14:editId="744372E7">
            <wp:extent cx="1445895" cy="1435100"/>
            <wp:effectExtent l="0" t="0" r="1905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DD58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7B805700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059699A2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7D908E6D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2DB4DCBE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0E85234B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24A7A58D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4E86D9A1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2657D34D" w14:textId="77777777" w:rsidR="00AA2A62" w:rsidRDefault="00AA2A62" w:rsidP="00AA2A62">
      <w:pPr>
        <w:jc w:val="center"/>
        <w:rPr>
          <w:rFonts w:ascii="Book Antiqua" w:hAnsi="Book Antiqua"/>
        </w:rPr>
      </w:pPr>
    </w:p>
    <w:p w14:paraId="1251F456" w14:textId="77777777" w:rsidR="00AA2A62" w:rsidRDefault="00AA2A62" w:rsidP="00AA2A62">
      <w:pPr>
        <w:jc w:val="right"/>
        <w:rPr>
          <w:rFonts w:ascii="Book Antiqua" w:hAnsi="Book Antiqua"/>
          <w:color w:val="000000" w:themeColor="text1"/>
        </w:rPr>
      </w:pPr>
    </w:p>
    <w:p w14:paraId="6D174608" w14:textId="77777777" w:rsidR="00AA2A62" w:rsidRDefault="00AA2A62" w:rsidP="00AA2A62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35340DD0" w14:textId="37B1564A" w:rsidR="00A77B3E" w:rsidRPr="00AA2A62" w:rsidRDefault="00A77B3E" w:rsidP="00923FAA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AA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8DCD" w14:textId="77777777" w:rsidR="003D03AA" w:rsidRDefault="003D03AA" w:rsidP="00B04807">
      <w:r>
        <w:separator/>
      </w:r>
    </w:p>
  </w:endnote>
  <w:endnote w:type="continuationSeparator" w:id="0">
    <w:p w14:paraId="1F12A99D" w14:textId="77777777" w:rsidR="003D03AA" w:rsidRDefault="003D03AA" w:rsidP="00B0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0673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3FBD59" w14:textId="23CDF4EB" w:rsidR="00923FAA" w:rsidRDefault="00923FAA" w:rsidP="00923FAA">
            <w:pPr>
              <w:pStyle w:val="a5"/>
              <w:jc w:val="right"/>
            </w:pPr>
            <w:r w:rsidRPr="00923FA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5068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23FA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5068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923FA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7AC3F8" w14:textId="77777777" w:rsidR="00923FAA" w:rsidRDefault="00923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6002" w14:textId="77777777" w:rsidR="003D03AA" w:rsidRDefault="003D03AA" w:rsidP="00B04807">
      <w:r>
        <w:separator/>
      </w:r>
    </w:p>
  </w:footnote>
  <w:footnote w:type="continuationSeparator" w:id="0">
    <w:p w14:paraId="7ADDC8D4" w14:textId="77777777" w:rsidR="003D03AA" w:rsidRDefault="003D03AA" w:rsidP="00B0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7MwNzI1MTMwNzNX0lEKTi0uzszPAykwqgUAnmFCOSwAAAA="/>
  </w:docVars>
  <w:rsids>
    <w:rsidRoot w:val="00A77B3E"/>
    <w:rsid w:val="00001E37"/>
    <w:rsid w:val="00014779"/>
    <w:rsid w:val="000842C1"/>
    <w:rsid w:val="000A5CBD"/>
    <w:rsid w:val="001B3A10"/>
    <w:rsid w:val="002159EA"/>
    <w:rsid w:val="00291772"/>
    <w:rsid w:val="002B5EAC"/>
    <w:rsid w:val="003D03AA"/>
    <w:rsid w:val="00491E57"/>
    <w:rsid w:val="004B51A1"/>
    <w:rsid w:val="00596BBB"/>
    <w:rsid w:val="005C1ED8"/>
    <w:rsid w:val="00661CCC"/>
    <w:rsid w:val="00665CD6"/>
    <w:rsid w:val="006B7A13"/>
    <w:rsid w:val="006E1DA3"/>
    <w:rsid w:val="006F1A22"/>
    <w:rsid w:val="007B0DBF"/>
    <w:rsid w:val="008530FB"/>
    <w:rsid w:val="008765F0"/>
    <w:rsid w:val="00893451"/>
    <w:rsid w:val="008D47F7"/>
    <w:rsid w:val="00912086"/>
    <w:rsid w:val="00923FAA"/>
    <w:rsid w:val="009B252E"/>
    <w:rsid w:val="009B481F"/>
    <w:rsid w:val="009D2C22"/>
    <w:rsid w:val="00A77B3E"/>
    <w:rsid w:val="00A83F45"/>
    <w:rsid w:val="00AA2A62"/>
    <w:rsid w:val="00B04807"/>
    <w:rsid w:val="00B22412"/>
    <w:rsid w:val="00B3511B"/>
    <w:rsid w:val="00B8211E"/>
    <w:rsid w:val="00BD6F62"/>
    <w:rsid w:val="00C50688"/>
    <w:rsid w:val="00C839C9"/>
    <w:rsid w:val="00CA2A55"/>
    <w:rsid w:val="00D029AF"/>
    <w:rsid w:val="00D56D96"/>
    <w:rsid w:val="00D9278E"/>
    <w:rsid w:val="00DC6A0F"/>
    <w:rsid w:val="00EF7927"/>
    <w:rsid w:val="00F82283"/>
    <w:rsid w:val="00F9516A"/>
    <w:rsid w:val="00FB390B"/>
    <w:rsid w:val="00FD46D5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41462"/>
  <w15:docId w15:val="{657705D7-0D24-445D-B15F-D137B9D2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04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8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80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0480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Gittertabel5-mrk-farve11">
    <w:name w:val="Gittertabel 5 - mørk - farve 11"/>
    <w:basedOn w:val="a1"/>
    <w:uiPriority w:val="50"/>
    <w:rsid w:val="00B04807"/>
    <w:rPr>
      <w:rFonts w:asciiTheme="minorHAnsi" w:hAnsiTheme="minorHAnsi" w:cstheme="minorBidi"/>
      <w:sz w:val="21"/>
      <w:szCs w:val="21"/>
      <w:lang w:val="en-GB"/>
    </w:rPr>
    <w:tblPr>
      <w:tblStyleRowBandSize w:val="1"/>
      <w:tblStyleColBandSize w:val="1"/>
      <w:tblBorders>
        <w:top w:val="single" w:sz="4" w:space="0" w:color="CAEACE" w:themeColor="background1"/>
        <w:left w:val="single" w:sz="4" w:space="0" w:color="CAEACE" w:themeColor="background1"/>
        <w:bottom w:val="single" w:sz="4" w:space="0" w:color="CAEACE" w:themeColor="background1"/>
        <w:right w:val="single" w:sz="4" w:space="0" w:color="CAEACE" w:themeColor="background1"/>
        <w:insideH w:val="single" w:sz="4" w:space="0" w:color="CAEACE" w:themeColor="background1"/>
        <w:insideV w:val="single" w:sz="4" w:space="0" w:color="CAEACE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CAEACE" w:themeColor="background1"/>
      </w:rPr>
      <w:tblPr/>
      <w:tcPr>
        <w:tcBorders>
          <w:top w:val="single" w:sz="4" w:space="0" w:color="CAEACE" w:themeColor="background1"/>
          <w:left w:val="single" w:sz="4" w:space="0" w:color="CAEACE" w:themeColor="background1"/>
          <w:right w:val="single" w:sz="4" w:space="0" w:color="CAEACE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CAEACE" w:themeColor="background1"/>
      </w:rPr>
      <w:tblPr/>
      <w:tcPr>
        <w:tcBorders>
          <w:left w:val="single" w:sz="4" w:space="0" w:color="CAEACE" w:themeColor="background1"/>
          <w:bottom w:val="single" w:sz="4" w:space="0" w:color="CAEACE" w:themeColor="background1"/>
          <w:right w:val="single" w:sz="4" w:space="0" w:color="CAEACE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CAEACE" w:themeColor="background1"/>
      </w:rPr>
      <w:tblPr/>
      <w:tcPr>
        <w:tcBorders>
          <w:top w:val="single" w:sz="4" w:space="0" w:color="CAEACE" w:themeColor="background1"/>
          <w:left w:val="single" w:sz="4" w:space="0" w:color="CAEACE" w:themeColor="background1"/>
          <w:bottom w:val="single" w:sz="4" w:space="0" w:color="CAEACE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CAEACE" w:themeColor="background1"/>
      </w:rPr>
      <w:tblPr/>
      <w:tcPr>
        <w:tcBorders>
          <w:top w:val="single" w:sz="4" w:space="0" w:color="CAEACE" w:themeColor="background1"/>
          <w:bottom w:val="single" w:sz="4" w:space="0" w:color="CAEACE" w:themeColor="background1"/>
          <w:right w:val="single" w:sz="4" w:space="0" w:color="CAEACE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rsid w:val="000A5CBD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0A5CBD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2159E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3451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665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F3C0-98D4-4BB7-8415-AFB7C6BD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5414</Words>
  <Characters>30866</Characters>
  <Application>Microsoft Office Word</Application>
  <DocSecurity>0</DocSecurity>
  <Lines>257</Lines>
  <Paragraphs>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Wang, Linyutong</cp:lastModifiedBy>
  <cp:revision>19</cp:revision>
  <dcterms:created xsi:type="dcterms:W3CDTF">2021-09-02T08:13:00Z</dcterms:created>
  <dcterms:modified xsi:type="dcterms:W3CDTF">2021-09-06T05:44:00Z</dcterms:modified>
</cp:coreProperties>
</file>