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16C67" w14:textId="77777777"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b/>
          <w:color w:val="000000"/>
        </w:rPr>
        <w:t xml:space="preserve">Name of Journal: </w:t>
      </w:r>
      <w:r w:rsidRPr="000744F4">
        <w:rPr>
          <w:rFonts w:ascii="Book Antiqua" w:eastAsia="Book Antiqua" w:hAnsi="Book Antiqua" w:cs="Book Antiqua"/>
          <w:i/>
          <w:color w:val="000000"/>
        </w:rPr>
        <w:t>World Journal of Meta-Analysis</w:t>
      </w:r>
    </w:p>
    <w:p w14:paraId="16487813" w14:textId="77777777"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b/>
          <w:color w:val="000000"/>
        </w:rPr>
        <w:t xml:space="preserve">Manuscript NO: </w:t>
      </w:r>
      <w:r w:rsidRPr="000744F4">
        <w:rPr>
          <w:rFonts w:ascii="Book Antiqua" w:eastAsia="Book Antiqua" w:hAnsi="Book Antiqua" w:cs="Book Antiqua"/>
          <w:color w:val="000000"/>
        </w:rPr>
        <w:t>67738</w:t>
      </w:r>
    </w:p>
    <w:p w14:paraId="75331D68" w14:textId="77777777"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b/>
          <w:color w:val="000000"/>
        </w:rPr>
        <w:t xml:space="preserve">Manuscript Type: </w:t>
      </w:r>
      <w:r w:rsidRPr="000744F4">
        <w:rPr>
          <w:rFonts w:ascii="Book Antiqua" w:eastAsia="Book Antiqua" w:hAnsi="Book Antiqua" w:cs="Book Antiqua"/>
          <w:color w:val="000000"/>
        </w:rPr>
        <w:t>EDITORIAL</w:t>
      </w:r>
    </w:p>
    <w:p w14:paraId="44FC1AF0" w14:textId="77777777" w:rsidR="009F5BC8" w:rsidRPr="00F12D90" w:rsidRDefault="009F5BC8" w:rsidP="002F5916">
      <w:pPr>
        <w:snapToGrid w:val="0"/>
        <w:spacing w:line="360" w:lineRule="auto"/>
        <w:jc w:val="both"/>
        <w:rPr>
          <w:rFonts w:ascii="Book Antiqua" w:hAnsi="Book Antiqua"/>
        </w:rPr>
      </w:pPr>
    </w:p>
    <w:p w14:paraId="16A24248" w14:textId="77777777"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b/>
          <w:bCs/>
          <w:color w:val="000000"/>
        </w:rPr>
        <w:t>Watch and wait in locally advance rectal cancer: Past, present and future</w:t>
      </w:r>
    </w:p>
    <w:p w14:paraId="69D57681" w14:textId="77777777" w:rsidR="009F5BC8" w:rsidRPr="00F12D90" w:rsidRDefault="009F5BC8" w:rsidP="002F5916">
      <w:pPr>
        <w:snapToGrid w:val="0"/>
        <w:spacing w:line="360" w:lineRule="auto"/>
        <w:jc w:val="both"/>
        <w:rPr>
          <w:rFonts w:ascii="Book Antiqua" w:hAnsi="Book Antiqua"/>
        </w:rPr>
      </w:pPr>
    </w:p>
    <w:p w14:paraId="3D303577" w14:textId="77777777" w:rsidR="009F5BC8" w:rsidRPr="00F12D90" w:rsidRDefault="00A225DB" w:rsidP="002F5916">
      <w:pPr>
        <w:snapToGrid w:val="0"/>
        <w:spacing w:line="360" w:lineRule="auto"/>
        <w:jc w:val="both"/>
        <w:rPr>
          <w:rFonts w:ascii="Book Antiqua" w:hAnsi="Book Antiqua"/>
        </w:rPr>
      </w:pPr>
      <w:r w:rsidRPr="00F12D90">
        <w:rPr>
          <w:rFonts w:ascii="Book Antiqua" w:eastAsia="Book Antiqua" w:hAnsi="Book Antiqua" w:cs="Book Antiqua"/>
          <w:color w:val="000000"/>
        </w:rPr>
        <w:t>Alvarez-Aguilera M</w:t>
      </w:r>
      <w:r w:rsidRPr="00F12D90">
        <w:rPr>
          <w:rFonts w:ascii="Book Antiqua" w:eastAsia="Book Antiqua" w:hAnsi="Book Antiqua" w:cs="Book Antiqua"/>
          <w:i/>
          <w:iCs/>
          <w:color w:val="000000"/>
        </w:rPr>
        <w:t xml:space="preserve"> et al</w:t>
      </w:r>
      <w:r w:rsidRPr="00F12D90">
        <w:rPr>
          <w:rFonts w:ascii="Book Antiqua" w:eastAsia="Book Antiqua" w:hAnsi="Book Antiqua" w:cs="Book Antiqua"/>
          <w:color w:val="000000"/>
        </w:rPr>
        <w:t>. Conservative strategies for rectal cancer</w:t>
      </w:r>
    </w:p>
    <w:p w14:paraId="7D7FE0B5" w14:textId="77777777" w:rsidR="009F5BC8" w:rsidRPr="00F12D90" w:rsidRDefault="009F5BC8" w:rsidP="002F5916">
      <w:pPr>
        <w:snapToGrid w:val="0"/>
        <w:spacing w:line="360" w:lineRule="auto"/>
        <w:jc w:val="both"/>
        <w:rPr>
          <w:rFonts w:ascii="Book Antiqua" w:hAnsi="Book Antiqua"/>
        </w:rPr>
      </w:pPr>
    </w:p>
    <w:p w14:paraId="2DDC6EB9" w14:textId="77777777" w:rsidR="009F5BC8" w:rsidRPr="00F12D90" w:rsidRDefault="00A225DB" w:rsidP="002F5916">
      <w:pPr>
        <w:snapToGrid w:val="0"/>
        <w:spacing w:line="360" w:lineRule="auto"/>
        <w:jc w:val="both"/>
        <w:rPr>
          <w:rFonts w:ascii="Book Antiqua" w:hAnsi="Book Antiqua"/>
        </w:rPr>
      </w:pPr>
      <w:r w:rsidRPr="00F12D90">
        <w:rPr>
          <w:rFonts w:ascii="Book Antiqua" w:eastAsia="Book Antiqua" w:hAnsi="Book Antiqua" w:cs="Book Antiqua"/>
          <w:color w:val="000000"/>
        </w:rPr>
        <w:t>Miriam Alvarez-Aguilera, Rosa M Jimenez-Rodriguez</w:t>
      </w:r>
    </w:p>
    <w:p w14:paraId="7C90897E" w14:textId="77777777" w:rsidR="009F5BC8" w:rsidRPr="00F12D90" w:rsidRDefault="009F5BC8" w:rsidP="002F5916">
      <w:pPr>
        <w:snapToGrid w:val="0"/>
        <w:spacing w:line="360" w:lineRule="auto"/>
        <w:jc w:val="both"/>
        <w:rPr>
          <w:rFonts w:ascii="Book Antiqua" w:hAnsi="Book Antiqua"/>
        </w:rPr>
      </w:pPr>
    </w:p>
    <w:p w14:paraId="4FF7A241" w14:textId="77777777" w:rsidR="009F5BC8" w:rsidRPr="00F12D90" w:rsidRDefault="00A225DB" w:rsidP="002F5916">
      <w:pPr>
        <w:snapToGrid w:val="0"/>
        <w:spacing w:line="360" w:lineRule="auto"/>
        <w:jc w:val="both"/>
        <w:rPr>
          <w:rFonts w:ascii="Book Antiqua" w:hAnsi="Book Antiqua"/>
        </w:rPr>
      </w:pPr>
      <w:r w:rsidRPr="00F12D90">
        <w:rPr>
          <w:rFonts w:ascii="Book Antiqua" w:eastAsia="Book Antiqua" w:hAnsi="Book Antiqua" w:cs="Book Antiqua"/>
          <w:b/>
          <w:bCs/>
          <w:color w:val="000000"/>
        </w:rPr>
        <w:t xml:space="preserve">Miriam Alvarez-Aguilera, Rosa M Jimenez-Rodriguez, </w:t>
      </w:r>
      <w:r w:rsidRPr="00F12D90">
        <w:rPr>
          <w:rFonts w:ascii="Book Antiqua" w:eastAsia="Book Antiqua" w:hAnsi="Book Antiqua" w:cs="Book Antiqua"/>
          <w:color w:val="000000"/>
        </w:rPr>
        <w:t>Departamento de Cirugía, Hospital Universitario Virgen del Rocio, Sevilla 41013, Spain</w:t>
      </w:r>
    </w:p>
    <w:p w14:paraId="6A187EA3" w14:textId="77777777" w:rsidR="009F5BC8" w:rsidRPr="00F12D90" w:rsidRDefault="009F5BC8" w:rsidP="002F5916">
      <w:pPr>
        <w:snapToGrid w:val="0"/>
        <w:spacing w:line="360" w:lineRule="auto"/>
        <w:jc w:val="both"/>
        <w:rPr>
          <w:rFonts w:ascii="Book Antiqua" w:hAnsi="Book Antiqua"/>
        </w:rPr>
      </w:pPr>
    </w:p>
    <w:p w14:paraId="48BF2A0D" w14:textId="77777777"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b/>
          <w:bCs/>
          <w:color w:val="000000"/>
        </w:rPr>
        <w:t xml:space="preserve">Author contributions: </w:t>
      </w:r>
      <w:r w:rsidRPr="000744F4">
        <w:rPr>
          <w:rFonts w:ascii="Book Antiqua" w:eastAsia="Book Antiqua" w:hAnsi="Book Antiqua" w:cs="Book Antiqua"/>
          <w:color w:val="000000"/>
        </w:rPr>
        <w:t>Alvarez-Aguilera M and Jimenez-Rodri</w:t>
      </w:r>
      <w:r w:rsidRPr="00AD3253">
        <w:rPr>
          <w:rFonts w:ascii="Book Antiqua" w:eastAsia="Book Antiqua" w:hAnsi="Book Antiqua" w:cs="Book Antiqua"/>
          <w:color w:val="000000"/>
        </w:rPr>
        <w:t>guez M are responsible for the conception, design and writing of this work; Both authors have contributed equally to this work.</w:t>
      </w:r>
    </w:p>
    <w:p w14:paraId="68BD11B5" w14:textId="77777777" w:rsidR="009F5BC8" w:rsidRPr="00F12D90" w:rsidRDefault="009F5BC8" w:rsidP="002F5916">
      <w:pPr>
        <w:snapToGrid w:val="0"/>
        <w:spacing w:line="360" w:lineRule="auto"/>
        <w:jc w:val="both"/>
        <w:rPr>
          <w:rFonts w:ascii="Book Antiqua" w:hAnsi="Book Antiqua"/>
        </w:rPr>
      </w:pPr>
    </w:p>
    <w:p w14:paraId="385D368E" w14:textId="61263E25"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b/>
          <w:bCs/>
          <w:color w:val="000000"/>
        </w:rPr>
        <w:t>Correspon</w:t>
      </w:r>
      <w:r w:rsidR="000744F4">
        <w:rPr>
          <w:rFonts w:ascii="Book Antiqua" w:eastAsia="Book Antiqua" w:hAnsi="Book Antiqua" w:cs="Book Antiqua"/>
          <w:b/>
          <w:bCs/>
          <w:color w:val="000000"/>
        </w:rPr>
        <w:t>dence to</w:t>
      </w:r>
      <w:r w:rsidRPr="000744F4">
        <w:rPr>
          <w:rFonts w:ascii="Book Antiqua" w:eastAsia="Book Antiqua" w:hAnsi="Book Antiqua" w:cs="Book Antiqua"/>
          <w:b/>
          <w:bCs/>
          <w:color w:val="000000"/>
        </w:rPr>
        <w:t xml:space="preserve">: Rosa M Jimenez-Rodriguez, FEBS, MD, PhD, Associate Professor, Attending Doctor, </w:t>
      </w:r>
      <w:r w:rsidRPr="000744F4">
        <w:rPr>
          <w:rFonts w:ascii="Book Antiqua" w:eastAsia="Book Antiqua" w:hAnsi="Book Antiqua" w:cs="Book Antiqua"/>
          <w:color w:val="000000"/>
        </w:rPr>
        <w:t>Departamento de Cirugía, Hospital Universitario Virgen del Rocio, Manuel Siurot s/n, Sevilla 41013, Spain. ros_j_r@hotmail.com</w:t>
      </w:r>
    </w:p>
    <w:p w14:paraId="6B02AB58" w14:textId="77777777" w:rsidR="009F5BC8" w:rsidRPr="00F12D90" w:rsidRDefault="009F5BC8" w:rsidP="002F5916">
      <w:pPr>
        <w:snapToGrid w:val="0"/>
        <w:spacing w:line="360" w:lineRule="auto"/>
        <w:jc w:val="both"/>
        <w:rPr>
          <w:rFonts w:ascii="Book Antiqua" w:hAnsi="Book Antiqua"/>
        </w:rPr>
      </w:pPr>
    </w:p>
    <w:p w14:paraId="60742CED" w14:textId="77777777"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b/>
          <w:bCs/>
          <w:color w:val="000000"/>
        </w:rPr>
        <w:t xml:space="preserve">Received: </w:t>
      </w:r>
      <w:r w:rsidRPr="000744F4">
        <w:rPr>
          <w:rFonts w:ascii="Book Antiqua" w:eastAsia="Book Antiqua" w:hAnsi="Book Antiqua" w:cs="Book Antiqua"/>
          <w:color w:val="000000"/>
        </w:rPr>
        <w:t>April 30, 2021</w:t>
      </w:r>
    </w:p>
    <w:p w14:paraId="63EC77E8" w14:textId="77777777"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b/>
          <w:bCs/>
          <w:color w:val="000000"/>
        </w:rPr>
        <w:t xml:space="preserve">Revised: </w:t>
      </w:r>
      <w:r w:rsidRPr="000744F4">
        <w:rPr>
          <w:rFonts w:ascii="Book Antiqua" w:eastAsia="Book Antiqua" w:hAnsi="Book Antiqua" w:cs="Book Antiqua"/>
          <w:color w:val="000000"/>
        </w:rPr>
        <w:t>July 27, 2021</w:t>
      </w:r>
    </w:p>
    <w:p w14:paraId="01C0EA22" w14:textId="77777777"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b/>
          <w:bCs/>
          <w:color w:val="000000"/>
        </w:rPr>
        <w:t xml:space="preserve">Accepted: </w:t>
      </w:r>
      <w:r w:rsidR="003060D9" w:rsidRPr="000744F4">
        <w:rPr>
          <w:rFonts w:ascii="Book Antiqua" w:eastAsia="Book Antiqua" w:hAnsi="Book Antiqua" w:cs="Book Antiqua"/>
          <w:bCs/>
          <w:color w:val="000000"/>
        </w:rPr>
        <w:t>August 17, 2021</w:t>
      </w:r>
    </w:p>
    <w:p w14:paraId="60E2CE93" w14:textId="77777777"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b/>
          <w:bCs/>
          <w:color w:val="000000"/>
        </w:rPr>
        <w:t xml:space="preserve">Published online: </w:t>
      </w:r>
    </w:p>
    <w:p w14:paraId="781BCE65" w14:textId="77777777" w:rsidR="009F5BC8" w:rsidRPr="00F12D90" w:rsidRDefault="009F5BC8" w:rsidP="002F5916">
      <w:pPr>
        <w:snapToGrid w:val="0"/>
        <w:spacing w:line="360" w:lineRule="auto"/>
        <w:jc w:val="both"/>
        <w:rPr>
          <w:rFonts w:ascii="Book Antiqua" w:hAnsi="Book Antiqua"/>
        </w:rPr>
        <w:sectPr w:rsidR="009F5BC8" w:rsidRPr="00F12D90">
          <w:footerReference w:type="default" r:id="rId7"/>
          <w:pgSz w:w="12240" w:h="15840"/>
          <w:pgMar w:top="1440" w:right="1440" w:bottom="1440" w:left="1440" w:header="720" w:footer="720" w:gutter="0"/>
          <w:cols w:space="720"/>
          <w:docGrid w:linePitch="360"/>
        </w:sectPr>
      </w:pPr>
    </w:p>
    <w:p w14:paraId="5DC9E63C" w14:textId="77777777"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b/>
          <w:color w:val="000000"/>
        </w:rPr>
        <w:lastRenderedPageBreak/>
        <w:t>Abstract</w:t>
      </w:r>
    </w:p>
    <w:p w14:paraId="25927B38" w14:textId="679A10E9"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color w:val="000000"/>
        </w:rPr>
        <w:t>In rectal cancer, a complete pathological response after neoadjuvant therapy means better rates survival and better rates of local recurrence. Nevertheless, these patients suffer from complications following surgery</w:t>
      </w:r>
      <w:r w:rsidR="000744F4">
        <w:rPr>
          <w:rFonts w:ascii="Book Antiqua" w:eastAsia="Book Antiqua" w:hAnsi="Book Antiqua" w:cs="Book Antiqua"/>
          <w:color w:val="000000"/>
        </w:rPr>
        <w:t xml:space="preserve"> such as l</w:t>
      </w:r>
      <w:r w:rsidRPr="000744F4">
        <w:rPr>
          <w:rFonts w:ascii="Book Antiqua" w:eastAsia="Book Antiqua" w:hAnsi="Book Antiqua" w:cs="Book Antiqua"/>
          <w:color w:val="000000"/>
        </w:rPr>
        <w:t xml:space="preserve">ow anterior resection syndrome, sexual </w:t>
      </w:r>
      <w:proofErr w:type="gramStart"/>
      <w:r w:rsidRPr="000744F4">
        <w:rPr>
          <w:rFonts w:ascii="Book Antiqua" w:eastAsia="Book Antiqua" w:hAnsi="Book Antiqua" w:cs="Book Antiqua"/>
          <w:color w:val="000000"/>
        </w:rPr>
        <w:t>dysfunction</w:t>
      </w:r>
      <w:proofErr w:type="gramEnd"/>
      <w:r w:rsidRPr="000744F4">
        <w:rPr>
          <w:rFonts w:ascii="Book Antiqua" w:eastAsia="Book Antiqua" w:hAnsi="Book Antiqua" w:cs="Book Antiqua"/>
          <w:color w:val="000000"/>
        </w:rPr>
        <w:t xml:space="preserve"> or colostomy for the rest of their lives. Due to this, several groups are working in an organ preservation strategy when a clinical response is diagnosed. This strategy is known as watch and wait. In this editorial, we review the past, present and future perspectives for this conservative management.</w:t>
      </w:r>
    </w:p>
    <w:p w14:paraId="7F8DCAA3" w14:textId="77777777" w:rsidR="009F5BC8" w:rsidRPr="00F12D90" w:rsidRDefault="009F5BC8" w:rsidP="002F5916">
      <w:pPr>
        <w:snapToGrid w:val="0"/>
        <w:spacing w:line="360" w:lineRule="auto"/>
        <w:jc w:val="both"/>
        <w:rPr>
          <w:rFonts w:ascii="Book Antiqua" w:hAnsi="Book Antiqua"/>
        </w:rPr>
      </w:pPr>
    </w:p>
    <w:p w14:paraId="7DA3D15D" w14:textId="463400D1"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b/>
          <w:bCs/>
          <w:color w:val="000000"/>
        </w:rPr>
        <w:t xml:space="preserve">Key Words: </w:t>
      </w:r>
      <w:r w:rsidRPr="000744F4">
        <w:rPr>
          <w:rFonts w:ascii="Book Antiqua" w:eastAsia="Book Antiqua" w:hAnsi="Book Antiqua" w:cs="Book Antiqua"/>
          <w:color w:val="000000"/>
        </w:rPr>
        <w:t>Rectal cancer; Watch and wait; Neoadjuvant treatment</w:t>
      </w:r>
      <w:r w:rsidR="000744F4">
        <w:rPr>
          <w:rFonts w:ascii="Book Antiqua" w:eastAsia="Book Antiqua" w:hAnsi="Book Antiqua" w:cs="Book Antiqua"/>
          <w:color w:val="000000"/>
        </w:rPr>
        <w:t>;</w:t>
      </w:r>
      <w:r w:rsidRPr="000744F4">
        <w:rPr>
          <w:rFonts w:ascii="Book Antiqua" w:eastAsia="Book Antiqua" w:hAnsi="Book Antiqua" w:cs="Book Antiqua"/>
          <w:color w:val="000000"/>
        </w:rPr>
        <w:t xml:space="preserve"> Organ preservation</w:t>
      </w:r>
      <w:r w:rsidR="000744F4">
        <w:rPr>
          <w:rFonts w:ascii="Book Antiqua" w:eastAsia="Book Antiqua" w:hAnsi="Book Antiqua" w:cs="Book Antiqua"/>
          <w:color w:val="000000"/>
        </w:rPr>
        <w:t>;</w:t>
      </w:r>
      <w:r w:rsidRPr="000744F4">
        <w:rPr>
          <w:rFonts w:ascii="Book Antiqua" w:eastAsia="Book Antiqua" w:hAnsi="Book Antiqua" w:cs="Book Antiqua"/>
          <w:color w:val="000000"/>
        </w:rPr>
        <w:t xml:space="preserve"> </w:t>
      </w:r>
      <w:r w:rsidR="000744F4">
        <w:rPr>
          <w:rFonts w:ascii="Book Antiqua" w:eastAsia="Book Antiqua" w:hAnsi="Book Antiqua" w:cs="Book Antiqua"/>
          <w:color w:val="000000"/>
        </w:rPr>
        <w:t>C</w:t>
      </w:r>
      <w:r w:rsidRPr="000744F4">
        <w:rPr>
          <w:rFonts w:ascii="Book Antiqua" w:eastAsia="Book Antiqua" w:hAnsi="Book Antiqua" w:cs="Book Antiqua"/>
          <w:color w:val="000000"/>
        </w:rPr>
        <w:t>omplete response</w:t>
      </w:r>
    </w:p>
    <w:p w14:paraId="10A3CA42" w14:textId="77777777" w:rsidR="009F5BC8" w:rsidRPr="00F12D90" w:rsidRDefault="009F5BC8" w:rsidP="002F5916">
      <w:pPr>
        <w:snapToGrid w:val="0"/>
        <w:spacing w:line="360" w:lineRule="auto"/>
        <w:jc w:val="both"/>
        <w:rPr>
          <w:rFonts w:ascii="Book Antiqua" w:hAnsi="Book Antiqua"/>
        </w:rPr>
      </w:pPr>
    </w:p>
    <w:p w14:paraId="769307FC" w14:textId="77777777" w:rsidR="009F5BC8" w:rsidRPr="00F12D90" w:rsidRDefault="00A225DB" w:rsidP="002F5916">
      <w:pPr>
        <w:snapToGrid w:val="0"/>
        <w:spacing w:line="360" w:lineRule="auto"/>
        <w:jc w:val="both"/>
        <w:rPr>
          <w:rFonts w:ascii="Book Antiqua" w:hAnsi="Book Antiqua"/>
        </w:rPr>
      </w:pPr>
      <w:r w:rsidRPr="00F12D90">
        <w:rPr>
          <w:rFonts w:ascii="Book Antiqua" w:eastAsia="Book Antiqua" w:hAnsi="Book Antiqua" w:cs="Book Antiqua"/>
          <w:color w:val="000000"/>
        </w:rPr>
        <w:t xml:space="preserve">Alvarez-Aguilera M, Jimenez-Rodriguez RM. </w:t>
      </w:r>
      <w:r w:rsidRPr="000744F4">
        <w:rPr>
          <w:rFonts w:ascii="Book Antiqua" w:eastAsia="Book Antiqua" w:hAnsi="Book Antiqua" w:cs="Book Antiqua"/>
          <w:color w:val="000000"/>
        </w:rPr>
        <w:t xml:space="preserve">Watch and wait in locally advance rectal cancer: Past, present and future. </w:t>
      </w:r>
      <w:r w:rsidRPr="000744F4">
        <w:rPr>
          <w:rFonts w:ascii="Book Antiqua" w:eastAsia="Book Antiqua" w:hAnsi="Book Antiqua" w:cs="Book Antiqua"/>
          <w:i/>
          <w:iCs/>
          <w:color w:val="000000"/>
        </w:rPr>
        <w:t>World J Meta-Anal</w:t>
      </w:r>
      <w:r w:rsidRPr="00AD3253">
        <w:rPr>
          <w:rFonts w:ascii="Book Antiqua" w:eastAsia="Book Antiqua" w:hAnsi="Book Antiqua" w:cs="Book Antiqua"/>
          <w:color w:val="000000"/>
        </w:rPr>
        <w:t xml:space="preserve"> 2021; In press</w:t>
      </w:r>
    </w:p>
    <w:p w14:paraId="01A64FBA" w14:textId="77777777" w:rsidR="009F5BC8" w:rsidRPr="00F12D90" w:rsidRDefault="009F5BC8" w:rsidP="002F5916">
      <w:pPr>
        <w:snapToGrid w:val="0"/>
        <w:spacing w:line="360" w:lineRule="auto"/>
        <w:jc w:val="both"/>
        <w:rPr>
          <w:rFonts w:ascii="Book Antiqua" w:hAnsi="Book Antiqua"/>
        </w:rPr>
      </w:pPr>
    </w:p>
    <w:p w14:paraId="644D4BBD" w14:textId="77777777"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b/>
          <w:bCs/>
          <w:color w:val="000000"/>
        </w:rPr>
        <w:t xml:space="preserve">Core Tip: </w:t>
      </w:r>
      <w:r w:rsidRPr="000744F4">
        <w:rPr>
          <w:rFonts w:ascii="Book Antiqua" w:eastAsia="Book Antiqua" w:hAnsi="Book Antiqua" w:cs="Book Antiqua"/>
          <w:color w:val="000000"/>
        </w:rPr>
        <w:t>Organ preservation for rectal cancer after neoadjuvant therapy should be considered for selected patients with clinical complete response after neoadjuvant therapy.</w:t>
      </w:r>
    </w:p>
    <w:p w14:paraId="045F8235" w14:textId="5581786E" w:rsidR="00B131C6" w:rsidRDefault="00B131C6">
      <w:pPr>
        <w:rPr>
          <w:rFonts w:ascii="Book Antiqua" w:hAnsi="Book Antiqua"/>
        </w:rPr>
      </w:pPr>
      <w:r>
        <w:rPr>
          <w:rFonts w:ascii="Book Antiqua" w:hAnsi="Book Antiqua"/>
        </w:rPr>
        <w:br w:type="page"/>
      </w:r>
    </w:p>
    <w:p w14:paraId="5F12E373" w14:textId="77777777"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b/>
          <w:caps/>
          <w:color w:val="000000"/>
          <w:u w:val="single"/>
        </w:rPr>
        <w:lastRenderedPageBreak/>
        <w:t>INTRODUCTION</w:t>
      </w:r>
    </w:p>
    <w:p w14:paraId="72AC9575" w14:textId="54102E9C"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color w:val="000000"/>
        </w:rPr>
        <w:t xml:space="preserve">The treatment for rectal cancer has changed in the last years due to technical advances: from the surgical technique, to stage and to pre and postop treatments. Nowadays, the standard treatment includes neoadjuvant therapy followed by total or subtotal </w:t>
      </w:r>
      <w:proofErr w:type="spellStart"/>
      <w:r w:rsidRPr="000744F4">
        <w:rPr>
          <w:rFonts w:ascii="Book Antiqua" w:eastAsia="Book Antiqua" w:hAnsi="Book Antiqua" w:cs="Book Antiqua"/>
          <w:color w:val="000000"/>
        </w:rPr>
        <w:t>mesorectal</w:t>
      </w:r>
      <w:proofErr w:type="spellEnd"/>
      <w:r w:rsidRPr="000744F4">
        <w:rPr>
          <w:rFonts w:ascii="Book Antiqua" w:eastAsia="Book Antiqua" w:hAnsi="Book Antiqua" w:cs="Book Antiqua"/>
          <w:color w:val="000000"/>
        </w:rPr>
        <w:t xml:space="preserve"> excision and adjuvant </w:t>
      </w:r>
      <w:proofErr w:type="gramStart"/>
      <w:r w:rsidRPr="000744F4">
        <w:rPr>
          <w:rFonts w:ascii="Book Antiqua" w:eastAsia="Book Antiqua" w:hAnsi="Book Antiqua" w:cs="Book Antiqua"/>
          <w:color w:val="000000"/>
        </w:rPr>
        <w:t>therapy</w:t>
      </w:r>
      <w:r w:rsidRPr="000744F4">
        <w:rPr>
          <w:rFonts w:ascii="Book Antiqua" w:eastAsia="Book Antiqua" w:hAnsi="Book Antiqua" w:cs="Book Antiqua"/>
          <w:color w:val="000000"/>
          <w:vertAlign w:val="superscript"/>
        </w:rPr>
        <w:t>[</w:t>
      </w:r>
      <w:proofErr w:type="gramEnd"/>
      <w:r w:rsidRPr="000744F4">
        <w:rPr>
          <w:rFonts w:ascii="Book Antiqua" w:eastAsia="Book Antiqua" w:hAnsi="Book Antiqua" w:cs="Book Antiqua"/>
          <w:color w:val="000000"/>
          <w:vertAlign w:val="superscript"/>
        </w:rPr>
        <w:t>1]</w:t>
      </w:r>
      <w:r w:rsidRPr="000744F4">
        <w:rPr>
          <w:rFonts w:ascii="Book Antiqua" w:eastAsia="Book Antiqua" w:hAnsi="Book Antiqua" w:cs="Book Antiqua"/>
          <w:color w:val="000000"/>
        </w:rPr>
        <w:t xml:space="preserve"> achieving excellent local control rates. Nevertheless, a third of the patients diagnosed with rectal cancer died due to distant metastasis</w:t>
      </w:r>
      <w:r w:rsidRPr="00AD3253">
        <w:rPr>
          <w:rFonts w:ascii="Book Antiqua" w:eastAsia="Book Antiqua" w:hAnsi="Book Antiqua" w:cs="Book Antiqua"/>
          <w:color w:val="000000"/>
          <w:vertAlign w:val="superscript"/>
        </w:rPr>
        <w:t>[2]</w:t>
      </w:r>
      <w:r w:rsidRPr="00AD3253">
        <w:rPr>
          <w:rFonts w:ascii="Book Antiqua" w:eastAsia="Book Antiqua" w:hAnsi="Book Antiqua" w:cs="Book Antiqua"/>
          <w:color w:val="000000"/>
        </w:rPr>
        <w:t>.</w:t>
      </w:r>
    </w:p>
    <w:p w14:paraId="61EE8BCF" w14:textId="2086559D" w:rsidR="009F5BC8" w:rsidRPr="00F12D90" w:rsidRDefault="00A225DB" w:rsidP="002F5916">
      <w:pPr>
        <w:snapToGrid w:val="0"/>
        <w:spacing w:line="360" w:lineRule="auto"/>
        <w:ind w:firstLine="480"/>
        <w:jc w:val="both"/>
        <w:rPr>
          <w:rFonts w:ascii="Book Antiqua" w:hAnsi="Book Antiqua"/>
        </w:rPr>
      </w:pPr>
      <w:r w:rsidRPr="000744F4">
        <w:rPr>
          <w:rFonts w:ascii="Book Antiqua" w:eastAsia="Book Antiqua" w:hAnsi="Book Antiqua" w:cs="Book Antiqua"/>
          <w:color w:val="000000"/>
        </w:rPr>
        <w:t>Moreover, this multimodal treatment still has complications, including those coming from surgery: infections, permanent ostomies, toxicity from chemo and radiotherapy</w:t>
      </w:r>
      <w:r w:rsidR="000744F4">
        <w:rPr>
          <w:rFonts w:ascii="Book Antiqua" w:eastAsia="Book Antiqua" w:hAnsi="Book Antiqua" w:cs="Book Antiqua"/>
          <w:color w:val="000000"/>
        </w:rPr>
        <w:t>,</w:t>
      </w:r>
      <w:r w:rsidRPr="000744F4">
        <w:rPr>
          <w:rFonts w:ascii="Book Antiqua" w:eastAsia="Book Antiqua" w:hAnsi="Book Antiqua" w:cs="Book Antiqua"/>
          <w:color w:val="000000"/>
        </w:rPr>
        <w:t xml:space="preserve"> </w:t>
      </w:r>
      <w:r w:rsidR="000744F4">
        <w:rPr>
          <w:rFonts w:ascii="Book Antiqua" w:eastAsia="Book Antiqua" w:hAnsi="Book Antiqua" w:cs="Book Antiqua"/>
          <w:color w:val="000000"/>
        </w:rPr>
        <w:t>n</w:t>
      </w:r>
      <w:r w:rsidRPr="000744F4">
        <w:rPr>
          <w:rFonts w:ascii="Book Antiqua" w:eastAsia="Book Antiqua" w:hAnsi="Book Antiqua" w:cs="Book Antiqua"/>
          <w:color w:val="000000"/>
        </w:rPr>
        <w:t xml:space="preserve">eurotoxicity or anterior resection syndrome and in some cases even </w:t>
      </w:r>
      <w:proofErr w:type="gramStart"/>
      <w:r w:rsidRPr="000744F4">
        <w:rPr>
          <w:rFonts w:ascii="Book Antiqua" w:eastAsia="Book Antiqua" w:hAnsi="Book Antiqua" w:cs="Book Antiqua"/>
          <w:color w:val="000000"/>
        </w:rPr>
        <w:t>death</w:t>
      </w:r>
      <w:r w:rsidRPr="000744F4">
        <w:rPr>
          <w:rFonts w:ascii="Book Antiqua" w:eastAsia="Book Antiqua" w:hAnsi="Book Antiqua" w:cs="Book Antiqua"/>
          <w:color w:val="000000"/>
          <w:vertAlign w:val="superscript"/>
        </w:rPr>
        <w:t>[</w:t>
      </w:r>
      <w:proofErr w:type="gramEnd"/>
      <w:r w:rsidRPr="000744F4">
        <w:rPr>
          <w:rFonts w:ascii="Book Antiqua" w:eastAsia="Book Antiqua" w:hAnsi="Book Antiqua" w:cs="Book Antiqua"/>
          <w:color w:val="000000"/>
          <w:vertAlign w:val="superscript"/>
        </w:rPr>
        <w:t>3-5]</w:t>
      </w:r>
      <w:r w:rsidRPr="000744F4">
        <w:rPr>
          <w:rFonts w:ascii="Book Antiqua" w:eastAsia="Book Antiqua" w:hAnsi="Book Antiqua" w:cs="Book Antiqua"/>
          <w:color w:val="000000"/>
        </w:rPr>
        <w:t xml:space="preserve">. </w:t>
      </w:r>
    </w:p>
    <w:p w14:paraId="17766A08" w14:textId="77777777" w:rsidR="009F5BC8" w:rsidRPr="00F12D90" w:rsidRDefault="00A225DB" w:rsidP="002F5916">
      <w:pPr>
        <w:snapToGrid w:val="0"/>
        <w:spacing w:line="360" w:lineRule="auto"/>
        <w:ind w:firstLine="480"/>
        <w:jc w:val="both"/>
        <w:rPr>
          <w:rFonts w:ascii="Book Antiqua" w:hAnsi="Book Antiqua"/>
        </w:rPr>
      </w:pPr>
      <w:r w:rsidRPr="000744F4">
        <w:rPr>
          <w:rFonts w:ascii="Book Antiqua" w:eastAsia="Book Antiqua" w:hAnsi="Book Antiqua" w:cs="Book Antiqua"/>
          <w:color w:val="000000"/>
        </w:rPr>
        <w:t>All these adverse effects cause a decrease in the quality of life of our patients. Due to this, current trend is to tailor the treatment regarding the tumor, its size, location stage and molecular characteristics as well as the own patient.</w:t>
      </w:r>
    </w:p>
    <w:p w14:paraId="34CE629D" w14:textId="5C8F1E22" w:rsidR="009F5BC8" w:rsidRPr="00F12D90" w:rsidRDefault="00A225DB" w:rsidP="002F5916">
      <w:pPr>
        <w:snapToGrid w:val="0"/>
        <w:spacing w:line="360" w:lineRule="auto"/>
        <w:ind w:firstLine="480"/>
        <w:jc w:val="both"/>
        <w:rPr>
          <w:rFonts w:ascii="Book Antiqua" w:hAnsi="Book Antiqua"/>
        </w:rPr>
      </w:pPr>
      <w:r w:rsidRPr="000744F4">
        <w:rPr>
          <w:rFonts w:ascii="Book Antiqua" w:eastAsia="Book Antiqua" w:hAnsi="Book Antiqua" w:cs="Book Antiqua"/>
          <w:color w:val="000000"/>
        </w:rPr>
        <w:t xml:space="preserve">An example of this tailored treatment is the PROSPECT </w:t>
      </w:r>
      <w:proofErr w:type="gramStart"/>
      <w:r w:rsidRPr="000744F4">
        <w:rPr>
          <w:rFonts w:ascii="Book Antiqua" w:eastAsia="Book Antiqua" w:hAnsi="Book Antiqua" w:cs="Book Antiqua"/>
          <w:color w:val="000000"/>
        </w:rPr>
        <w:t>trial</w:t>
      </w:r>
      <w:r w:rsidRPr="000744F4">
        <w:rPr>
          <w:rFonts w:ascii="Book Antiqua" w:eastAsia="Book Antiqua" w:hAnsi="Book Antiqua" w:cs="Book Antiqua"/>
          <w:color w:val="000000"/>
          <w:vertAlign w:val="superscript"/>
        </w:rPr>
        <w:t>[</w:t>
      </w:r>
      <w:proofErr w:type="gramEnd"/>
      <w:r w:rsidRPr="000744F4">
        <w:rPr>
          <w:rFonts w:ascii="Book Antiqua" w:eastAsia="Book Antiqua" w:hAnsi="Book Antiqua" w:cs="Book Antiqua"/>
          <w:color w:val="000000"/>
          <w:vertAlign w:val="superscript"/>
        </w:rPr>
        <w:t>6]</w:t>
      </w:r>
      <w:r w:rsidRPr="000744F4">
        <w:rPr>
          <w:rFonts w:ascii="Book Antiqua" w:eastAsia="Book Antiqua" w:hAnsi="Book Antiqua" w:cs="Book Antiqua"/>
          <w:color w:val="000000"/>
        </w:rPr>
        <w:t xml:space="preserve">, a phase </w:t>
      </w:r>
      <w:r w:rsidR="000744F4">
        <w:rPr>
          <w:rFonts w:ascii="Book Antiqua" w:eastAsia="Book Antiqua" w:hAnsi="Book Antiqua" w:cs="Book Antiqua"/>
          <w:color w:val="000000"/>
        </w:rPr>
        <w:t>2/3</w:t>
      </w:r>
      <w:r w:rsidRPr="000744F4">
        <w:rPr>
          <w:rFonts w:ascii="Book Antiqua" w:eastAsia="Book Antiqua" w:hAnsi="Book Antiqua" w:cs="Book Antiqua"/>
          <w:color w:val="000000"/>
        </w:rPr>
        <w:t xml:space="preserve"> clinical trial proposing to suppress systematic preoperative chemoradiotherapy. The authors describe the administration of 6 cycles of FOLFOX as neoadjuvant therapy followed by re-stage of the tumor and selectively use of radio and chemotherapy regarding the response of the tumor.</w:t>
      </w:r>
    </w:p>
    <w:p w14:paraId="6CA9F33B" w14:textId="52DE57E7" w:rsidR="009F5BC8" w:rsidRPr="00F12D90" w:rsidRDefault="00A225DB" w:rsidP="002F5916">
      <w:pPr>
        <w:snapToGrid w:val="0"/>
        <w:spacing w:line="360" w:lineRule="auto"/>
        <w:ind w:firstLine="480"/>
        <w:jc w:val="both"/>
        <w:rPr>
          <w:rFonts w:ascii="Book Antiqua" w:hAnsi="Book Antiqua"/>
        </w:rPr>
      </w:pPr>
      <w:r w:rsidRPr="000744F4">
        <w:rPr>
          <w:rFonts w:ascii="Book Antiqua" w:eastAsia="Book Antiqua" w:hAnsi="Book Antiqua" w:cs="Book Antiqua"/>
          <w:color w:val="000000"/>
        </w:rPr>
        <w:t>Despite the different schemas the final objective of all these preoperative treatments is maximize the number of tumor complete responses because these patients with pathological complete response (pCR) will develop a local recurrence rate of 1% and 95% 5</w:t>
      </w:r>
      <w:r w:rsidR="00B131C6">
        <w:rPr>
          <w:rFonts w:ascii="Book Antiqua" w:eastAsia="Book Antiqua" w:hAnsi="Book Antiqua" w:cs="Book Antiqua"/>
          <w:color w:val="000000"/>
        </w:rPr>
        <w:t>-</w:t>
      </w:r>
      <w:r w:rsidRPr="000744F4">
        <w:rPr>
          <w:rFonts w:ascii="Book Antiqua" w:eastAsia="Book Antiqua" w:hAnsi="Book Antiqua" w:cs="Book Antiqua"/>
          <w:color w:val="000000"/>
        </w:rPr>
        <w:t>year</w:t>
      </w:r>
      <w:r w:rsidR="00B131C6">
        <w:rPr>
          <w:rFonts w:ascii="Book Antiqua" w:eastAsia="Book Antiqua" w:hAnsi="Book Antiqua" w:cs="Book Antiqua"/>
          <w:color w:val="000000"/>
        </w:rPr>
        <w:t xml:space="preserve"> </w:t>
      </w:r>
      <w:proofErr w:type="gramStart"/>
      <w:r w:rsidRPr="000744F4">
        <w:rPr>
          <w:rFonts w:ascii="Book Antiqua" w:eastAsia="Book Antiqua" w:hAnsi="Book Antiqua" w:cs="Book Antiqua"/>
          <w:color w:val="000000"/>
        </w:rPr>
        <w:t>survival</w:t>
      </w:r>
      <w:r w:rsidRPr="000744F4">
        <w:rPr>
          <w:rFonts w:ascii="Book Antiqua" w:eastAsia="Book Antiqua" w:hAnsi="Book Antiqua" w:cs="Book Antiqua"/>
          <w:color w:val="000000"/>
          <w:vertAlign w:val="superscript"/>
        </w:rPr>
        <w:t>[</w:t>
      </w:r>
      <w:proofErr w:type="gramEnd"/>
      <w:r w:rsidRPr="000744F4">
        <w:rPr>
          <w:rFonts w:ascii="Book Antiqua" w:eastAsia="Book Antiqua" w:hAnsi="Book Antiqua" w:cs="Book Antiqua"/>
          <w:color w:val="000000"/>
          <w:vertAlign w:val="superscript"/>
        </w:rPr>
        <w:t>7-10]</w:t>
      </w:r>
      <w:r w:rsidRPr="000744F4">
        <w:rPr>
          <w:rFonts w:ascii="Book Antiqua" w:eastAsia="Book Antiqua" w:hAnsi="Book Antiqua" w:cs="Book Antiqua"/>
          <w:color w:val="000000"/>
        </w:rPr>
        <w:t>. In addition to this, this patients without viable tumor in the specimen could benefit from a non-surgical management thus if we increase the rate in complete responses we will increase the number of patients which could benefit</w:t>
      </w:r>
      <w:r w:rsidRPr="00AD3253">
        <w:rPr>
          <w:rFonts w:ascii="Book Antiqua" w:eastAsia="Book Antiqua" w:hAnsi="Book Antiqua" w:cs="Book Antiqua"/>
          <w:color w:val="000000"/>
        </w:rPr>
        <w:t xml:space="preserve"> from a non-operative management.</w:t>
      </w:r>
    </w:p>
    <w:p w14:paraId="4EE5023D" w14:textId="36DF1442" w:rsidR="009F5BC8" w:rsidRPr="00F12D90" w:rsidRDefault="00A225DB" w:rsidP="002F5916">
      <w:pPr>
        <w:snapToGrid w:val="0"/>
        <w:spacing w:line="360" w:lineRule="auto"/>
        <w:ind w:firstLine="480"/>
        <w:jc w:val="both"/>
        <w:rPr>
          <w:rFonts w:ascii="Book Antiqua" w:hAnsi="Book Antiqua"/>
        </w:rPr>
      </w:pPr>
      <w:r w:rsidRPr="000744F4">
        <w:rPr>
          <w:rFonts w:ascii="Book Antiqua" w:eastAsia="Book Antiqua" w:hAnsi="Book Antiqua" w:cs="Book Antiqua"/>
          <w:color w:val="000000"/>
        </w:rPr>
        <w:t xml:space="preserve">This non-surgical management or watch and wait is not new. Traditionally it has been attempted in frail and old patients with high risk for surgery and with response to the neoadjuvant therapy. We could name this strategy </w:t>
      </w:r>
      <w:r w:rsidRPr="00AD3253">
        <w:rPr>
          <w:rFonts w:ascii="Book Antiqua" w:eastAsia="Book Antiqua" w:hAnsi="Book Antiqua" w:cs="Book Antiqua"/>
          <w:color w:val="000000"/>
        </w:rPr>
        <w:t xml:space="preserve">as a </w:t>
      </w:r>
      <w:r w:rsidR="00AD3253">
        <w:rPr>
          <w:rFonts w:ascii="Book Antiqua" w:eastAsia="Book Antiqua" w:hAnsi="Book Antiqua" w:cs="Book Antiqua"/>
          <w:color w:val="000000"/>
        </w:rPr>
        <w:t>“c</w:t>
      </w:r>
      <w:r w:rsidRPr="000744F4">
        <w:rPr>
          <w:rFonts w:ascii="Book Antiqua" w:eastAsia="Book Antiqua" w:hAnsi="Book Antiqua" w:cs="Book Antiqua"/>
          <w:color w:val="000000"/>
        </w:rPr>
        <w:t>asual watch and wait</w:t>
      </w:r>
      <w:r w:rsidR="00AD3253">
        <w:rPr>
          <w:rFonts w:ascii="Book Antiqua" w:eastAsia="Book Antiqua" w:hAnsi="Book Antiqua" w:cs="Book Antiqua"/>
          <w:color w:val="000000"/>
        </w:rPr>
        <w:t>”</w:t>
      </w:r>
      <w:r w:rsidRPr="00AD3253">
        <w:rPr>
          <w:rFonts w:ascii="Book Antiqua" w:eastAsia="Book Antiqua" w:hAnsi="Book Antiqua" w:cs="Book Antiqua"/>
          <w:color w:val="000000"/>
        </w:rPr>
        <w:t xml:space="preserve"> or </w:t>
      </w:r>
      <w:r w:rsidR="00AD3253">
        <w:rPr>
          <w:rFonts w:ascii="Book Antiqua" w:eastAsia="Book Antiqua" w:hAnsi="Book Antiqua" w:cs="Book Antiqua"/>
          <w:color w:val="000000"/>
        </w:rPr>
        <w:t xml:space="preserve">“watch and wait </w:t>
      </w:r>
      <w:r w:rsidRPr="00AD3253">
        <w:rPr>
          <w:rFonts w:ascii="Book Antiqua" w:eastAsia="Book Antiqua" w:hAnsi="Book Antiqua" w:cs="Book Antiqua"/>
          <w:color w:val="000000"/>
        </w:rPr>
        <w:t>by necessity</w:t>
      </w:r>
      <w:r w:rsidR="00AD3253">
        <w:rPr>
          <w:rFonts w:ascii="Book Antiqua" w:eastAsia="Book Antiqua" w:hAnsi="Book Antiqua" w:cs="Book Antiqua"/>
          <w:color w:val="000000"/>
        </w:rPr>
        <w:t>”</w:t>
      </w:r>
      <w:r w:rsidRPr="00AD3253">
        <w:rPr>
          <w:rFonts w:ascii="Book Antiqua" w:eastAsia="Book Antiqua" w:hAnsi="Book Antiqua" w:cs="Book Antiqua"/>
          <w:color w:val="000000"/>
        </w:rPr>
        <w:t>.</w:t>
      </w:r>
    </w:p>
    <w:p w14:paraId="4293B5E7" w14:textId="7F0C6D71" w:rsidR="009F5BC8" w:rsidRPr="00F12D90" w:rsidRDefault="00A225DB" w:rsidP="002F5916">
      <w:pPr>
        <w:snapToGrid w:val="0"/>
        <w:spacing w:line="360" w:lineRule="auto"/>
        <w:ind w:firstLine="480"/>
        <w:jc w:val="both"/>
        <w:rPr>
          <w:rFonts w:ascii="Book Antiqua" w:hAnsi="Book Antiqua"/>
        </w:rPr>
      </w:pPr>
      <w:r w:rsidRPr="000744F4">
        <w:rPr>
          <w:rFonts w:ascii="Book Antiqua" w:eastAsia="Book Antiqua" w:hAnsi="Book Antiqua" w:cs="Book Antiqua"/>
          <w:color w:val="000000"/>
        </w:rPr>
        <w:lastRenderedPageBreak/>
        <w:t>Recently this strategy has been published as intentional and no</w:t>
      </w:r>
      <w:r w:rsidR="000744F4">
        <w:rPr>
          <w:rFonts w:ascii="Book Antiqua" w:eastAsia="Book Antiqua" w:hAnsi="Book Antiqua" w:cs="Book Antiqua"/>
          <w:color w:val="000000"/>
        </w:rPr>
        <w:t>t</w:t>
      </w:r>
      <w:r w:rsidRPr="000744F4">
        <w:rPr>
          <w:rFonts w:ascii="Book Antiqua" w:eastAsia="Book Antiqua" w:hAnsi="Book Antiqua" w:cs="Book Antiqua"/>
          <w:color w:val="000000"/>
        </w:rPr>
        <w:t xml:space="preserve"> casual watch and wait.</w:t>
      </w:r>
      <w:r w:rsidR="006E3A03" w:rsidRPr="000744F4">
        <w:rPr>
          <w:rFonts w:ascii="Book Antiqua" w:eastAsia="Book Antiqua" w:hAnsi="Book Antiqua" w:cs="Book Antiqua"/>
          <w:color w:val="000000"/>
        </w:rPr>
        <w:t xml:space="preserve"> </w:t>
      </w:r>
      <w:r w:rsidRPr="000744F4">
        <w:rPr>
          <w:rFonts w:ascii="Book Antiqua" w:eastAsia="Book Antiqua" w:hAnsi="Book Antiqua" w:cs="Book Antiqua"/>
          <w:color w:val="000000"/>
        </w:rPr>
        <w:t xml:space="preserve">Habr-Gama </w:t>
      </w:r>
      <w:r w:rsidRPr="000744F4">
        <w:rPr>
          <w:rFonts w:ascii="Book Antiqua" w:eastAsia="Book Antiqua" w:hAnsi="Book Antiqua" w:cs="Book Antiqua"/>
          <w:i/>
          <w:iCs/>
          <w:color w:val="000000"/>
        </w:rPr>
        <w:t>et al</w:t>
      </w:r>
      <w:r w:rsidRPr="000744F4">
        <w:rPr>
          <w:rFonts w:ascii="Book Antiqua" w:eastAsia="Book Antiqua" w:hAnsi="Book Antiqua" w:cs="Book Antiqua"/>
          <w:color w:val="000000"/>
          <w:vertAlign w:val="superscript"/>
        </w:rPr>
        <w:t>[11]</w:t>
      </w:r>
      <w:r w:rsidRPr="00AD3253">
        <w:rPr>
          <w:rFonts w:ascii="Book Antiqua" w:eastAsia="Book Antiqua" w:hAnsi="Book Antiqua" w:cs="Book Antiqua"/>
          <w:color w:val="000000"/>
        </w:rPr>
        <w:t xml:space="preserve"> described in their work in 2004 their results after treating with neoadjuvant therapy, 265 patients with </w:t>
      </w:r>
      <w:r w:rsidRPr="000744F4">
        <w:rPr>
          <w:rFonts w:ascii="Book Antiqua" w:eastAsia="Book Antiqua" w:hAnsi="Book Antiqua" w:cs="Book Antiqua"/>
          <w:color w:val="000000"/>
        </w:rPr>
        <w:t>rectal cancer. These patients were reassessed 8 wk after the end of the neoadjuvant therapy and those with complete clinical response entered into a watch and wait policy. Those patients without complete clinical response underwent surgery. Disease</w:t>
      </w:r>
      <w:r w:rsidR="000744F4">
        <w:rPr>
          <w:rFonts w:ascii="Book Antiqua" w:eastAsia="Book Antiqua" w:hAnsi="Book Antiqua" w:cs="Book Antiqua"/>
          <w:color w:val="000000"/>
        </w:rPr>
        <w:t>-</w:t>
      </w:r>
      <w:r w:rsidRPr="000744F4">
        <w:rPr>
          <w:rFonts w:ascii="Book Antiqua" w:eastAsia="Book Antiqua" w:hAnsi="Book Antiqua" w:cs="Book Antiqua"/>
          <w:color w:val="000000"/>
        </w:rPr>
        <w:t xml:space="preserve">free survival rates were 100% and 92% after 57 mo. In this work, authors reported 2 </w:t>
      </w:r>
      <w:r w:rsidR="000744F4">
        <w:rPr>
          <w:rFonts w:ascii="Book Antiqua" w:eastAsia="Book Antiqua" w:hAnsi="Book Antiqua" w:cs="Book Antiqua"/>
          <w:color w:val="000000"/>
        </w:rPr>
        <w:t>l</w:t>
      </w:r>
      <w:r w:rsidRPr="000744F4">
        <w:rPr>
          <w:rFonts w:ascii="Book Antiqua" w:eastAsia="Book Antiqua" w:hAnsi="Book Antiqua" w:cs="Book Antiqua"/>
          <w:color w:val="000000"/>
        </w:rPr>
        <w:t xml:space="preserve">ocal </w:t>
      </w:r>
      <w:proofErr w:type="spellStart"/>
      <w:r w:rsidRPr="000744F4">
        <w:rPr>
          <w:rFonts w:ascii="Book Antiqua" w:eastAsia="Book Antiqua" w:hAnsi="Book Antiqua" w:cs="Book Antiqua"/>
          <w:color w:val="000000"/>
        </w:rPr>
        <w:t>regrowths</w:t>
      </w:r>
      <w:proofErr w:type="spellEnd"/>
      <w:r w:rsidRPr="000744F4">
        <w:rPr>
          <w:rFonts w:ascii="Book Antiqua" w:eastAsia="Book Antiqua" w:hAnsi="Book Antiqua" w:cs="Book Antiqua"/>
          <w:color w:val="000000"/>
        </w:rPr>
        <w:t xml:space="preserve"> who underwent salvage surgery and stayed alive and disease</w:t>
      </w:r>
      <w:r w:rsidR="000744F4">
        <w:rPr>
          <w:rFonts w:ascii="Book Antiqua" w:eastAsia="Book Antiqua" w:hAnsi="Book Antiqua" w:cs="Book Antiqua"/>
          <w:color w:val="000000"/>
        </w:rPr>
        <w:t>-</w:t>
      </w:r>
      <w:r w:rsidRPr="000744F4">
        <w:rPr>
          <w:rFonts w:ascii="Book Antiqua" w:eastAsia="Book Antiqua" w:hAnsi="Book Antiqua" w:cs="Book Antiqua"/>
          <w:color w:val="000000"/>
        </w:rPr>
        <w:t>free at the end of the study.</w:t>
      </w:r>
    </w:p>
    <w:p w14:paraId="37B62D4B" w14:textId="25801BBD" w:rsidR="009F5BC8" w:rsidRPr="00F12D90" w:rsidRDefault="00A225DB" w:rsidP="002F5916">
      <w:pPr>
        <w:snapToGrid w:val="0"/>
        <w:spacing w:line="360" w:lineRule="auto"/>
        <w:ind w:firstLine="480"/>
        <w:jc w:val="both"/>
        <w:rPr>
          <w:rFonts w:ascii="Book Antiqua" w:hAnsi="Book Antiqua"/>
        </w:rPr>
      </w:pPr>
      <w:r w:rsidRPr="000744F4">
        <w:rPr>
          <w:rFonts w:ascii="Book Antiqua" w:eastAsia="Book Antiqua" w:hAnsi="Book Antiqua" w:cs="Book Antiqua"/>
          <w:color w:val="000000"/>
        </w:rPr>
        <w:t xml:space="preserve">Habr-Gama </w:t>
      </w:r>
      <w:r w:rsidRPr="000744F4">
        <w:rPr>
          <w:rFonts w:ascii="Book Antiqua" w:eastAsia="Book Antiqua" w:hAnsi="Book Antiqua" w:cs="Book Antiqua"/>
          <w:i/>
          <w:iCs/>
          <w:color w:val="000000"/>
        </w:rPr>
        <w:t xml:space="preserve">et </w:t>
      </w:r>
      <w:proofErr w:type="gramStart"/>
      <w:r w:rsidRPr="000744F4">
        <w:rPr>
          <w:rFonts w:ascii="Book Antiqua" w:eastAsia="Book Antiqua" w:hAnsi="Book Antiqua" w:cs="Book Antiqua"/>
          <w:i/>
          <w:iCs/>
          <w:color w:val="000000"/>
        </w:rPr>
        <w:t>al</w:t>
      </w:r>
      <w:r w:rsidRPr="000744F4">
        <w:rPr>
          <w:rFonts w:ascii="Book Antiqua" w:eastAsia="Book Antiqua" w:hAnsi="Book Antiqua" w:cs="Book Antiqua"/>
          <w:color w:val="000000"/>
          <w:vertAlign w:val="superscript"/>
        </w:rPr>
        <w:t>[</w:t>
      </w:r>
      <w:proofErr w:type="gramEnd"/>
      <w:r w:rsidRPr="000744F4">
        <w:rPr>
          <w:rFonts w:ascii="Book Antiqua" w:eastAsia="Book Antiqua" w:hAnsi="Book Antiqua" w:cs="Book Antiqua"/>
          <w:color w:val="000000"/>
          <w:vertAlign w:val="superscript"/>
        </w:rPr>
        <w:t>11]</w:t>
      </w:r>
      <w:r w:rsidRPr="000744F4">
        <w:rPr>
          <w:rFonts w:ascii="Book Antiqua" w:eastAsia="Book Antiqua" w:hAnsi="Book Antiqua" w:cs="Book Antiqua"/>
          <w:color w:val="000000"/>
        </w:rPr>
        <w:t xml:space="preserve"> concluded that in association with a careful follow</w:t>
      </w:r>
      <w:r w:rsidR="00260AE7">
        <w:rPr>
          <w:rFonts w:ascii="Book Antiqua" w:eastAsia="Book Antiqua" w:hAnsi="Book Antiqua" w:cs="Book Antiqua"/>
          <w:color w:val="000000"/>
        </w:rPr>
        <w:t>-</w:t>
      </w:r>
      <w:r w:rsidRPr="000744F4">
        <w:rPr>
          <w:rFonts w:ascii="Book Antiqua" w:eastAsia="Book Antiqua" w:hAnsi="Book Antiqua" w:cs="Book Antiqua"/>
          <w:color w:val="000000"/>
        </w:rPr>
        <w:t>up, watch and wait for rectal cancer is safe and feasible.</w:t>
      </w:r>
    </w:p>
    <w:p w14:paraId="62F46FEF" w14:textId="076162A4" w:rsidR="009F5BC8" w:rsidRPr="00F12D90" w:rsidRDefault="00A225DB" w:rsidP="002F5916">
      <w:pPr>
        <w:snapToGrid w:val="0"/>
        <w:spacing w:line="360" w:lineRule="auto"/>
        <w:ind w:firstLine="480"/>
        <w:jc w:val="both"/>
        <w:rPr>
          <w:rFonts w:ascii="Book Antiqua" w:hAnsi="Book Antiqua"/>
        </w:rPr>
      </w:pPr>
      <w:r w:rsidRPr="000744F4">
        <w:rPr>
          <w:rFonts w:ascii="Book Antiqua" w:eastAsia="Book Antiqua" w:hAnsi="Book Antiqua" w:cs="Book Antiqua"/>
          <w:color w:val="000000"/>
        </w:rPr>
        <w:t xml:space="preserve">More recent studies show pool analysis cases suggesting that </w:t>
      </w:r>
      <w:r w:rsidR="00AD3253">
        <w:rPr>
          <w:rFonts w:ascii="Book Antiqua" w:eastAsia="Book Antiqua" w:hAnsi="Book Antiqua" w:cs="Book Antiqua"/>
          <w:color w:val="000000"/>
        </w:rPr>
        <w:t>w</w:t>
      </w:r>
      <w:r w:rsidRPr="000744F4">
        <w:rPr>
          <w:rFonts w:ascii="Book Antiqua" w:eastAsia="Book Antiqua" w:hAnsi="Book Antiqua" w:cs="Book Antiqua"/>
          <w:color w:val="000000"/>
        </w:rPr>
        <w:t xml:space="preserve">atch and </w:t>
      </w:r>
      <w:r w:rsidR="00AD3253">
        <w:rPr>
          <w:rFonts w:ascii="Book Antiqua" w:eastAsia="Book Antiqua" w:hAnsi="Book Antiqua" w:cs="Book Antiqua"/>
          <w:color w:val="000000"/>
        </w:rPr>
        <w:t>w</w:t>
      </w:r>
      <w:r w:rsidRPr="000744F4">
        <w:rPr>
          <w:rFonts w:ascii="Book Antiqua" w:eastAsia="Book Antiqua" w:hAnsi="Book Antiqua" w:cs="Book Antiqua"/>
          <w:color w:val="000000"/>
        </w:rPr>
        <w:t>ait (WW) i</w:t>
      </w:r>
      <w:r w:rsidR="000744F4">
        <w:rPr>
          <w:rFonts w:ascii="Book Antiqua" w:eastAsia="Book Antiqua" w:hAnsi="Book Antiqua" w:cs="Book Antiqua"/>
          <w:color w:val="000000"/>
        </w:rPr>
        <w:t>s</w:t>
      </w:r>
      <w:r w:rsidRPr="000744F4">
        <w:rPr>
          <w:rFonts w:ascii="Book Antiqua" w:eastAsia="Book Antiqua" w:hAnsi="Book Antiqua" w:cs="Book Antiqua"/>
          <w:color w:val="000000"/>
        </w:rPr>
        <w:t xml:space="preserve"> feasible with similar survival rates to the traditional surgery and regrowth rates lower than 20</w:t>
      </w:r>
      <w:proofErr w:type="gramStart"/>
      <w:r w:rsidRPr="000744F4">
        <w:rPr>
          <w:rFonts w:ascii="Book Antiqua" w:eastAsia="Book Antiqua" w:hAnsi="Book Antiqua" w:cs="Book Antiqua"/>
          <w:color w:val="000000"/>
        </w:rPr>
        <w:t>%</w:t>
      </w:r>
      <w:r w:rsidRPr="000744F4">
        <w:rPr>
          <w:rFonts w:ascii="Book Antiqua" w:eastAsia="Book Antiqua" w:hAnsi="Book Antiqua" w:cs="Book Antiqua"/>
          <w:color w:val="000000"/>
          <w:vertAlign w:val="superscript"/>
        </w:rPr>
        <w:t>[</w:t>
      </w:r>
      <w:proofErr w:type="gramEnd"/>
      <w:r w:rsidRPr="000744F4">
        <w:rPr>
          <w:rFonts w:ascii="Book Antiqua" w:eastAsia="Book Antiqua" w:hAnsi="Book Antiqua" w:cs="Book Antiqua"/>
          <w:color w:val="000000"/>
          <w:vertAlign w:val="superscript"/>
        </w:rPr>
        <w:t>12]</w:t>
      </w:r>
      <w:r w:rsidRPr="000744F4">
        <w:rPr>
          <w:rFonts w:ascii="Book Antiqua" w:eastAsia="Book Antiqua" w:hAnsi="Book Antiqua" w:cs="Book Antiqua"/>
          <w:color w:val="000000"/>
        </w:rPr>
        <w:t>.</w:t>
      </w:r>
    </w:p>
    <w:p w14:paraId="56770DEC" w14:textId="77777777" w:rsidR="009F5BC8" w:rsidRPr="00F12D90" w:rsidRDefault="00A225DB" w:rsidP="002F5916">
      <w:pPr>
        <w:snapToGrid w:val="0"/>
        <w:spacing w:line="360" w:lineRule="auto"/>
        <w:ind w:firstLine="480"/>
        <w:jc w:val="both"/>
        <w:rPr>
          <w:rFonts w:ascii="Book Antiqua" w:hAnsi="Book Antiqua"/>
        </w:rPr>
      </w:pPr>
      <w:r w:rsidRPr="000744F4">
        <w:rPr>
          <w:rFonts w:ascii="Book Antiqua" w:eastAsia="Book Antiqua" w:hAnsi="Book Antiqua" w:cs="Book Antiqua"/>
          <w:color w:val="000000"/>
        </w:rPr>
        <w:t>There is a difference between complete clinical response (cCR) and pCR. The first one is the absence of tumor after neoadjuvant therapy and the second one is the absence of viable tumor cells in the specimen after surgery. And sometimes these 2 options do not overlap. Current test cannot distinguish between tumor cells and fibrosis. In fact, up to 38% patients with an incomplete clinical response show after surgery pathological complete response</w:t>
      </w:r>
      <w:r w:rsidRPr="00B131C6">
        <w:rPr>
          <w:rFonts w:ascii="Book Antiqua" w:eastAsia="Book Antiqua" w:hAnsi="Book Antiqua" w:cs="Book Antiqua"/>
          <w:color w:val="000000"/>
          <w:vertAlign w:val="superscript"/>
        </w:rPr>
        <w:t>[9]</w:t>
      </w:r>
      <w:r w:rsidRPr="000744F4">
        <w:rPr>
          <w:rFonts w:ascii="Book Antiqua" w:eastAsia="Book Antiqua" w:hAnsi="Book Antiqua" w:cs="Book Antiqua"/>
          <w:color w:val="000000"/>
        </w:rPr>
        <w:t>. This is a difficult situation for a patient and for a surgeon who have to choose between planning one or other approach.</w:t>
      </w:r>
    </w:p>
    <w:p w14:paraId="305DF85E" w14:textId="2901F6E8" w:rsidR="009F5BC8" w:rsidRPr="00F12D90" w:rsidRDefault="00A225DB" w:rsidP="002F5916">
      <w:pPr>
        <w:snapToGrid w:val="0"/>
        <w:spacing w:line="360" w:lineRule="auto"/>
        <w:ind w:firstLine="480"/>
        <w:jc w:val="both"/>
        <w:rPr>
          <w:rFonts w:ascii="Book Antiqua" w:hAnsi="Book Antiqua"/>
        </w:rPr>
      </w:pPr>
      <w:r w:rsidRPr="000744F4">
        <w:rPr>
          <w:rFonts w:ascii="Book Antiqua" w:eastAsia="Book Antiqua" w:hAnsi="Book Antiqua" w:cs="Book Antiqua"/>
          <w:color w:val="000000"/>
        </w:rPr>
        <w:t>There are different ways of increasing clinical complete response with the aim of increasing the number of patients who can benefit from a watch and</w:t>
      </w:r>
      <w:r w:rsidRPr="00AD3253">
        <w:rPr>
          <w:rFonts w:ascii="Book Antiqua" w:eastAsia="Book Antiqua" w:hAnsi="Book Antiqua" w:cs="Book Antiqua"/>
          <w:color w:val="000000"/>
        </w:rPr>
        <w:t xml:space="preserve"> wait strategy</w:t>
      </w:r>
      <w:r w:rsidR="00AD3253">
        <w:rPr>
          <w:rFonts w:ascii="Book Antiqua" w:eastAsia="Book Antiqua" w:hAnsi="Book Antiqua" w:cs="Book Antiqua"/>
          <w:color w:val="000000"/>
        </w:rPr>
        <w:t>.</w:t>
      </w:r>
      <w:r w:rsidRPr="00AD3253">
        <w:rPr>
          <w:rFonts w:ascii="Book Antiqua" w:eastAsia="Book Antiqua" w:hAnsi="Book Antiqua" w:cs="Book Antiqua"/>
          <w:color w:val="000000"/>
        </w:rPr>
        <w:t xml:space="preserve"> </w:t>
      </w:r>
      <w:r w:rsidR="00AD3253">
        <w:rPr>
          <w:rFonts w:ascii="Book Antiqua" w:eastAsia="Book Antiqua" w:hAnsi="Book Antiqua" w:cs="Book Antiqua"/>
          <w:color w:val="000000"/>
        </w:rPr>
        <w:t>One strategy is by o</w:t>
      </w:r>
      <w:r w:rsidRPr="00AD3253">
        <w:rPr>
          <w:rFonts w:ascii="Book Antiqua" w:eastAsia="Book Antiqua" w:hAnsi="Book Antiqua" w:cs="Book Antiqua"/>
          <w:color w:val="000000"/>
        </w:rPr>
        <w:t>ptimizing preoperative radiotherapy</w:t>
      </w:r>
      <w:r w:rsidR="00AD3253">
        <w:rPr>
          <w:rFonts w:ascii="Book Antiqua" w:eastAsia="Book Antiqua" w:hAnsi="Book Antiqua" w:cs="Book Antiqua"/>
          <w:color w:val="000000"/>
        </w:rPr>
        <w:t>.</w:t>
      </w:r>
      <w:r w:rsidRPr="00AD3253">
        <w:rPr>
          <w:rFonts w:ascii="Book Antiqua" w:eastAsia="Book Antiqua" w:hAnsi="Book Antiqua" w:cs="Book Antiqua"/>
          <w:color w:val="000000"/>
        </w:rPr>
        <w:t xml:space="preserve"> There are 2 ways of administering radiotherapy</w:t>
      </w:r>
      <w:r w:rsidR="00AD3253">
        <w:rPr>
          <w:rFonts w:ascii="Book Antiqua" w:eastAsia="Book Antiqua" w:hAnsi="Book Antiqua" w:cs="Book Antiqua"/>
          <w:color w:val="000000"/>
        </w:rPr>
        <w:t>:</w:t>
      </w:r>
      <w:r w:rsidRPr="00AD3253">
        <w:rPr>
          <w:rFonts w:ascii="Book Antiqua" w:eastAsia="Book Antiqua" w:hAnsi="Book Antiqua" w:cs="Book Antiqua"/>
          <w:color w:val="000000"/>
        </w:rPr>
        <w:t xml:space="preserve"> short course (25 Gy in 5 fractions) o</w:t>
      </w:r>
      <w:r w:rsidR="000744F4">
        <w:rPr>
          <w:rFonts w:ascii="Book Antiqua" w:eastAsia="Book Antiqua" w:hAnsi="Book Antiqua" w:cs="Book Antiqua"/>
          <w:color w:val="000000"/>
        </w:rPr>
        <w:t>r</w:t>
      </w:r>
      <w:r w:rsidRPr="000744F4">
        <w:rPr>
          <w:rFonts w:ascii="Book Antiqua" w:eastAsia="Book Antiqua" w:hAnsi="Book Antiqua" w:cs="Book Antiqua"/>
          <w:color w:val="000000"/>
        </w:rPr>
        <w:t xml:space="preserve"> long course (2 Gy fractions for in 2 Gy sessions for a total of 40 Gy to 50.4 Gy). Two prospective randomized trials</w:t>
      </w:r>
      <w:r w:rsidRPr="00AD3253">
        <w:rPr>
          <w:rFonts w:ascii="Book Antiqua" w:eastAsia="Book Antiqua" w:hAnsi="Book Antiqua" w:cs="Book Antiqua"/>
          <w:color w:val="000000"/>
          <w:vertAlign w:val="superscript"/>
        </w:rPr>
        <w:t>[13,14]</w:t>
      </w:r>
      <w:r w:rsidRPr="00AD3253">
        <w:rPr>
          <w:rFonts w:ascii="Book Antiqua" w:eastAsia="Book Antiqua" w:hAnsi="Book Antiqua" w:cs="Book Antiqua"/>
          <w:color w:val="000000"/>
        </w:rPr>
        <w:t xml:space="preserve"> analyzed differences between these 2 modalities. The findings suggest there are no differences regarding local recurrences, survival or toxicity but there are differences regarding the rate of complete response in the specimen (0.7% in the short course modality against 16% in patients receiving long course radiotherapy). Other studies such </w:t>
      </w:r>
      <w:r w:rsidR="000744F4">
        <w:rPr>
          <w:rFonts w:ascii="Book Antiqua" w:eastAsia="Book Antiqua" w:hAnsi="Book Antiqua" w:cs="Book Antiqua"/>
          <w:color w:val="000000"/>
        </w:rPr>
        <w:t xml:space="preserve">as </w:t>
      </w:r>
      <w:r w:rsidRPr="000744F4">
        <w:rPr>
          <w:rFonts w:ascii="Book Antiqua" w:eastAsia="Book Antiqua" w:hAnsi="Book Antiqua" w:cs="Book Antiqua"/>
          <w:color w:val="000000"/>
        </w:rPr>
        <w:t xml:space="preserve">the one published by Bujko </w:t>
      </w:r>
      <w:r w:rsidRPr="000744F4">
        <w:rPr>
          <w:rFonts w:ascii="Book Antiqua" w:eastAsia="Book Antiqua" w:hAnsi="Book Antiqua" w:cs="Book Antiqua"/>
          <w:i/>
          <w:iCs/>
          <w:color w:val="000000"/>
        </w:rPr>
        <w:t>et al</w:t>
      </w:r>
      <w:r w:rsidRPr="000744F4">
        <w:rPr>
          <w:rFonts w:ascii="Book Antiqua" w:eastAsia="Book Antiqua" w:hAnsi="Book Antiqua" w:cs="Book Antiqua"/>
          <w:color w:val="000000"/>
          <w:vertAlign w:val="superscript"/>
        </w:rPr>
        <w:t>[13]</w:t>
      </w:r>
      <w:r w:rsidRPr="00AD3253">
        <w:rPr>
          <w:rFonts w:ascii="Book Antiqua" w:eastAsia="Book Antiqua" w:hAnsi="Book Antiqua" w:cs="Book Antiqua"/>
          <w:color w:val="000000"/>
        </w:rPr>
        <w:t xml:space="preserve"> and Cummings </w:t>
      </w:r>
      <w:r w:rsidRPr="00AD3253">
        <w:rPr>
          <w:rFonts w:ascii="Book Antiqua" w:eastAsia="Book Antiqua" w:hAnsi="Book Antiqua" w:cs="Book Antiqua"/>
          <w:i/>
          <w:iCs/>
          <w:color w:val="000000"/>
        </w:rPr>
        <w:t>et al</w:t>
      </w:r>
      <w:r w:rsidRPr="00AD3253">
        <w:rPr>
          <w:rFonts w:ascii="Book Antiqua" w:eastAsia="Book Antiqua" w:hAnsi="Book Antiqua" w:cs="Book Antiqua"/>
          <w:color w:val="000000"/>
          <w:vertAlign w:val="superscript"/>
        </w:rPr>
        <w:t>[15]</w:t>
      </w:r>
      <w:r w:rsidRPr="00AD3253">
        <w:rPr>
          <w:rFonts w:ascii="Book Antiqua" w:eastAsia="Book Antiqua" w:hAnsi="Book Antiqua" w:cs="Book Antiqua"/>
          <w:color w:val="000000"/>
        </w:rPr>
        <w:t xml:space="preserve"> studied the results of the short course in elderly </w:t>
      </w:r>
      <w:r w:rsidRPr="00AD3253">
        <w:rPr>
          <w:rFonts w:ascii="Book Antiqua" w:eastAsia="Book Antiqua" w:hAnsi="Book Antiqua" w:cs="Book Antiqua"/>
          <w:color w:val="000000"/>
        </w:rPr>
        <w:lastRenderedPageBreak/>
        <w:t xml:space="preserve">population. These studies have a very small population, 30 and 20 cases respectively, and both studies concluded that WW is feasible after short course radiotherapy in elderly patients. Other studies such as the RAPIDO </w:t>
      </w:r>
      <w:proofErr w:type="gramStart"/>
      <w:r w:rsidRPr="00AD3253">
        <w:rPr>
          <w:rFonts w:ascii="Book Antiqua" w:eastAsia="Book Antiqua" w:hAnsi="Book Antiqua" w:cs="Book Antiqua"/>
          <w:color w:val="000000"/>
        </w:rPr>
        <w:t>trial</w:t>
      </w:r>
      <w:r w:rsidRPr="00AD3253">
        <w:rPr>
          <w:rFonts w:ascii="Book Antiqua" w:eastAsia="Book Antiqua" w:hAnsi="Book Antiqua" w:cs="Book Antiqua"/>
          <w:color w:val="000000"/>
          <w:vertAlign w:val="superscript"/>
        </w:rPr>
        <w:t>[</w:t>
      </w:r>
      <w:proofErr w:type="gramEnd"/>
      <w:r w:rsidRPr="00AD3253">
        <w:rPr>
          <w:rFonts w:ascii="Book Antiqua" w:eastAsia="Book Antiqua" w:hAnsi="Book Antiqua" w:cs="Book Antiqua"/>
          <w:color w:val="000000"/>
          <w:vertAlign w:val="superscript"/>
        </w:rPr>
        <w:t>16]</w:t>
      </w:r>
      <w:r w:rsidRPr="00AD3253">
        <w:rPr>
          <w:rFonts w:ascii="Book Antiqua" w:eastAsia="Book Antiqua" w:hAnsi="Book Antiqua" w:cs="Book Antiqua"/>
          <w:color w:val="000000"/>
        </w:rPr>
        <w:t xml:space="preserve"> randomize</w:t>
      </w:r>
      <w:r w:rsidR="00AD3253">
        <w:rPr>
          <w:rFonts w:ascii="Book Antiqua" w:eastAsia="Book Antiqua" w:hAnsi="Book Antiqua" w:cs="Book Antiqua"/>
          <w:color w:val="000000"/>
        </w:rPr>
        <w:t>d</w:t>
      </w:r>
      <w:r w:rsidRPr="000744F4">
        <w:rPr>
          <w:rFonts w:ascii="Book Antiqua" w:eastAsia="Book Antiqua" w:hAnsi="Book Antiqua" w:cs="Book Antiqua"/>
          <w:color w:val="000000"/>
        </w:rPr>
        <w:t xml:space="preserve"> all patients to</w:t>
      </w:r>
      <w:r w:rsidR="00AD3253">
        <w:rPr>
          <w:rFonts w:ascii="Book Antiqua" w:eastAsia="Book Antiqua" w:hAnsi="Book Antiqua" w:cs="Book Antiqua"/>
          <w:color w:val="000000"/>
        </w:rPr>
        <w:t xml:space="preserve"> chemoradiotherapy</w:t>
      </w:r>
      <w:r w:rsidRPr="00AD3253">
        <w:rPr>
          <w:rFonts w:ascii="Book Antiqua" w:eastAsia="Book Antiqua" w:hAnsi="Book Antiqua" w:cs="Book Antiqua"/>
          <w:color w:val="000000"/>
        </w:rPr>
        <w:t xml:space="preserve"> </w:t>
      </w:r>
      <w:r w:rsidR="00AD3253">
        <w:rPr>
          <w:rFonts w:ascii="Book Antiqua" w:eastAsia="Book Antiqua" w:hAnsi="Book Antiqua" w:cs="Book Antiqua"/>
          <w:color w:val="000000"/>
        </w:rPr>
        <w:t>(</w:t>
      </w:r>
      <w:r w:rsidRPr="00AD3253">
        <w:rPr>
          <w:rFonts w:ascii="Book Antiqua" w:eastAsia="Book Antiqua" w:hAnsi="Book Antiqua" w:cs="Book Antiqua"/>
          <w:color w:val="000000"/>
        </w:rPr>
        <w:t>CRT</w:t>
      </w:r>
      <w:r w:rsidR="00AD3253">
        <w:rPr>
          <w:rFonts w:ascii="Book Antiqua" w:eastAsia="Book Antiqua" w:hAnsi="Book Antiqua" w:cs="Book Antiqua"/>
          <w:color w:val="000000"/>
        </w:rPr>
        <w:t>)</w:t>
      </w:r>
      <w:r w:rsidRPr="00AD3253">
        <w:rPr>
          <w:rFonts w:ascii="Book Antiqua" w:eastAsia="Book Antiqua" w:hAnsi="Book Antiqua" w:cs="Book Antiqua"/>
          <w:color w:val="000000"/>
        </w:rPr>
        <w:t xml:space="preserve"> followed by surgery and optional adjuvant therapy or to total neoadjuvant therapy including short course radiotherapy, 6 cycles of CapeOx and followed by surgery will show more information about the role of short course radiotherapy in WW.</w:t>
      </w:r>
    </w:p>
    <w:p w14:paraId="200DFBA0" w14:textId="67D4897A" w:rsidR="009F5BC8" w:rsidRPr="00F12D90" w:rsidRDefault="00AD3253" w:rsidP="002F5916">
      <w:pPr>
        <w:snapToGrid w:val="0"/>
        <w:spacing w:line="360" w:lineRule="auto"/>
        <w:ind w:firstLine="480"/>
        <w:jc w:val="both"/>
        <w:rPr>
          <w:rFonts w:ascii="Book Antiqua" w:hAnsi="Book Antiqua"/>
        </w:rPr>
      </w:pPr>
      <w:r>
        <w:rPr>
          <w:rFonts w:ascii="Book Antiqua" w:eastAsia="Book Antiqua" w:hAnsi="Book Antiqua" w:cs="Book Antiqua"/>
          <w:color w:val="000000"/>
        </w:rPr>
        <w:t>As far as i</w:t>
      </w:r>
      <w:r w:rsidR="00A225DB" w:rsidRPr="000744F4">
        <w:rPr>
          <w:rFonts w:ascii="Book Antiqua" w:eastAsia="Book Antiqua" w:hAnsi="Book Antiqua" w:cs="Book Antiqua"/>
          <w:color w:val="000000"/>
        </w:rPr>
        <w:t>ncreasing tumor radio sensibility</w:t>
      </w:r>
      <w:r>
        <w:rPr>
          <w:rFonts w:ascii="Book Antiqua" w:eastAsia="Book Antiqua" w:hAnsi="Book Antiqua" w:cs="Book Antiqua"/>
          <w:color w:val="000000"/>
        </w:rPr>
        <w:t>, the</w:t>
      </w:r>
      <w:r w:rsidR="00A225DB" w:rsidRPr="000744F4">
        <w:rPr>
          <w:rFonts w:ascii="Book Antiqua" w:eastAsia="Book Antiqua" w:hAnsi="Book Antiqua" w:cs="Book Antiqua"/>
          <w:color w:val="000000"/>
        </w:rPr>
        <w:t xml:space="preserve"> German study CAO/ARO/AIO-04</w:t>
      </w:r>
      <w:r w:rsidR="00A225DB" w:rsidRPr="000744F4">
        <w:rPr>
          <w:rFonts w:ascii="Book Antiqua" w:eastAsia="Book Antiqua" w:hAnsi="Book Antiqua" w:cs="Book Antiqua"/>
          <w:color w:val="000000"/>
          <w:vertAlign w:val="superscript"/>
        </w:rPr>
        <w:t>[17]</w:t>
      </w:r>
      <w:r w:rsidR="00A225DB" w:rsidRPr="000744F4">
        <w:rPr>
          <w:rFonts w:ascii="Book Antiqua" w:eastAsia="Book Antiqua" w:hAnsi="Book Antiqua" w:cs="Book Antiqua"/>
          <w:color w:val="000000"/>
        </w:rPr>
        <w:t xml:space="preserve"> demonstrated the benefit of adding </w:t>
      </w:r>
      <w:r>
        <w:rPr>
          <w:rFonts w:ascii="Book Antiqua" w:eastAsia="Book Antiqua" w:hAnsi="Book Antiqua" w:cs="Book Antiqua"/>
          <w:color w:val="000000"/>
        </w:rPr>
        <w:t>o</w:t>
      </w:r>
      <w:r w:rsidR="00A225DB" w:rsidRPr="000744F4">
        <w:rPr>
          <w:rFonts w:ascii="Book Antiqua" w:eastAsia="Book Antiqua" w:hAnsi="Book Antiqua" w:cs="Book Antiqua"/>
          <w:color w:val="000000"/>
        </w:rPr>
        <w:t>xaliplatin to CRT to maximize the outcomes of neoadjuvant therapy in terms of complete pathological response (17</w:t>
      </w:r>
      <w:r w:rsidR="00A225DB" w:rsidRPr="00AD3253">
        <w:rPr>
          <w:rFonts w:ascii="Book Antiqua" w:eastAsia="Book Antiqua" w:hAnsi="Book Antiqua" w:cs="Book Antiqua"/>
          <w:color w:val="000000"/>
        </w:rPr>
        <w:t xml:space="preserve">% </w:t>
      </w:r>
      <w:r w:rsidR="00A225DB" w:rsidRPr="00AD3253">
        <w:rPr>
          <w:rFonts w:ascii="Book Antiqua" w:eastAsia="Book Antiqua" w:hAnsi="Book Antiqua" w:cs="Book Antiqua"/>
          <w:i/>
          <w:iCs/>
          <w:color w:val="000000"/>
        </w:rPr>
        <w:t>vs</w:t>
      </w:r>
      <w:r w:rsidR="00A225DB" w:rsidRPr="00AD3253">
        <w:rPr>
          <w:rFonts w:ascii="Book Antiqua" w:eastAsia="Book Antiqua" w:hAnsi="Book Antiqua" w:cs="Book Antiqua"/>
          <w:color w:val="000000"/>
        </w:rPr>
        <w:t xml:space="preserve"> 13%). This finding was consolidated after the follow</w:t>
      </w:r>
      <w:r w:rsidR="00260AE7">
        <w:rPr>
          <w:rFonts w:ascii="Book Antiqua" w:eastAsia="Book Antiqua" w:hAnsi="Book Antiqua" w:cs="Book Antiqua"/>
          <w:color w:val="000000"/>
        </w:rPr>
        <w:t>-</w:t>
      </w:r>
      <w:r w:rsidR="00A225DB" w:rsidRPr="00AD3253">
        <w:rPr>
          <w:rFonts w:ascii="Book Antiqua" w:eastAsia="Book Antiqua" w:hAnsi="Book Antiqua" w:cs="Book Antiqua"/>
          <w:color w:val="000000"/>
        </w:rPr>
        <w:t xml:space="preserve">up with a 76% </w:t>
      </w:r>
      <w:r w:rsidR="00A225DB" w:rsidRPr="00AD3253">
        <w:rPr>
          <w:rFonts w:ascii="Book Antiqua" w:eastAsia="Book Antiqua" w:hAnsi="Book Antiqua" w:cs="Book Antiqua"/>
          <w:i/>
          <w:iCs/>
          <w:color w:val="000000"/>
        </w:rPr>
        <w:t>vs</w:t>
      </w:r>
      <w:r w:rsidR="00A225DB" w:rsidRPr="00AD3253">
        <w:rPr>
          <w:rFonts w:ascii="Book Antiqua" w:eastAsia="Book Antiqua" w:hAnsi="Book Antiqua" w:cs="Book Antiqua"/>
          <w:color w:val="000000"/>
        </w:rPr>
        <w:t xml:space="preserve"> 71% 3-year </w:t>
      </w:r>
      <w:r>
        <w:rPr>
          <w:rFonts w:ascii="Book Antiqua" w:eastAsia="Book Antiqua" w:hAnsi="Book Antiqua" w:cs="Book Antiqua"/>
          <w:color w:val="000000"/>
        </w:rPr>
        <w:t>disease-free survival (</w:t>
      </w:r>
      <w:r w:rsidR="00A225DB" w:rsidRPr="00AD3253">
        <w:rPr>
          <w:rFonts w:ascii="Book Antiqua" w:eastAsia="Book Antiqua" w:hAnsi="Book Antiqua" w:cs="Book Antiqua"/>
          <w:color w:val="000000"/>
        </w:rPr>
        <w:t>DFS</w:t>
      </w:r>
      <w:r>
        <w:rPr>
          <w:rFonts w:ascii="Book Antiqua" w:eastAsia="Book Antiqua" w:hAnsi="Book Antiqua" w:cs="Book Antiqua"/>
          <w:color w:val="000000"/>
        </w:rPr>
        <w:t>)</w:t>
      </w:r>
      <w:r w:rsidR="00A225DB" w:rsidRPr="00AD3253">
        <w:rPr>
          <w:rFonts w:ascii="Book Antiqua" w:eastAsia="Book Antiqua" w:hAnsi="Book Antiqua" w:cs="Book Antiqua"/>
          <w:color w:val="000000"/>
        </w:rPr>
        <w:t>. Nowadays the RAPIDO trial</w:t>
      </w:r>
      <w:r w:rsidR="00A225DB" w:rsidRPr="00AD3253">
        <w:rPr>
          <w:rFonts w:ascii="Book Antiqua" w:eastAsia="Book Antiqua" w:hAnsi="Book Antiqua" w:cs="Book Antiqua"/>
          <w:color w:val="000000"/>
          <w:vertAlign w:val="superscript"/>
        </w:rPr>
        <w:t>[16]</w:t>
      </w:r>
      <w:r w:rsidR="00A225DB" w:rsidRPr="00AD3253">
        <w:rPr>
          <w:rFonts w:ascii="Book Antiqua" w:eastAsia="Book Antiqua" w:hAnsi="Book Antiqua" w:cs="Book Antiqua"/>
          <w:color w:val="000000"/>
        </w:rPr>
        <w:t xml:space="preserve"> has shown differences in toxicity in the experimental group (84%) but no</w:t>
      </w:r>
      <w:r>
        <w:rPr>
          <w:rFonts w:ascii="Book Antiqua" w:eastAsia="Book Antiqua" w:hAnsi="Book Antiqua" w:cs="Book Antiqua"/>
          <w:color w:val="000000"/>
        </w:rPr>
        <w:t>t</w:t>
      </w:r>
      <w:r w:rsidR="00A225DB" w:rsidRPr="00AD3253">
        <w:rPr>
          <w:rFonts w:ascii="Book Antiqua" w:eastAsia="Book Antiqua" w:hAnsi="Book Antiqua" w:cs="Book Antiqua"/>
          <w:color w:val="000000"/>
        </w:rPr>
        <w:t xml:space="preserve"> in postoperative complications.</w:t>
      </w:r>
    </w:p>
    <w:p w14:paraId="537AFBEB" w14:textId="01A579C7" w:rsidR="009F5BC8" w:rsidRPr="00F12D90" w:rsidRDefault="00AD3253" w:rsidP="002F5916">
      <w:pPr>
        <w:snapToGrid w:val="0"/>
        <w:spacing w:line="360" w:lineRule="auto"/>
        <w:ind w:firstLine="480"/>
        <w:jc w:val="both"/>
        <w:rPr>
          <w:rFonts w:ascii="Book Antiqua" w:hAnsi="Book Antiqua"/>
        </w:rPr>
      </w:pPr>
      <w:r>
        <w:rPr>
          <w:rFonts w:ascii="Book Antiqua" w:eastAsia="Book Antiqua" w:hAnsi="Book Antiqua" w:cs="Book Antiqua"/>
          <w:color w:val="000000"/>
        </w:rPr>
        <w:t>Another aspect is i</w:t>
      </w:r>
      <w:r w:rsidR="00A225DB" w:rsidRPr="000744F4">
        <w:rPr>
          <w:rFonts w:ascii="Book Antiqua" w:eastAsia="Book Antiqua" w:hAnsi="Book Antiqua" w:cs="Book Antiqua"/>
          <w:color w:val="000000"/>
        </w:rPr>
        <w:t>ncreasing waiting time after the end of neoadjuvant therapy</w:t>
      </w:r>
      <w:r>
        <w:rPr>
          <w:rFonts w:ascii="Book Antiqua" w:eastAsia="Book Antiqua" w:hAnsi="Book Antiqua" w:cs="Book Antiqua"/>
          <w:color w:val="000000"/>
        </w:rPr>
        <w:t>.</w:t>
      </w:r>
      <w:r w:rsidR="00A225DB" w:rsidRPr="000744F4">
        <w:rPr>
          <w:rFonts w:ascii="Book Antiqua" w:eastAsia="Book Antiqua" w:hAnsi="Book Antiqua" w:cs="Book Antiqua"/>
          <w:color w:val="000000"/>
        </w:rPr>
        <w:t xml:space="preserve"> Tumor response to radiotherapy depends on the waiting time and sometimes a complete response could be delayed months. Although tumoral damage is produced during radiotherapy the lysis of the cells occurs days and even weeks </w:t>
      </w:r>
      <w:r w:rsidR="00A225DB" w:rsidRPr="00AD3253">
        <w:rPr>
          <w:rFonts w:ascii="Book Antiqua" w:eastAsia="Book Antiqua" w:hAnsi="Book Antiqua" w:cs="Book Antiqua"/>
          <w:color w:val="000000"/>
        </w:rPr>
        <w:t>after the end of the treatment. Surgery delay could increase the rate of pathological complete response from 0%, right after finishing CRT to 11% when the interval is 11 wk</w:t>
      </w:r>
      <w:r w:rsidR="00A225DB" w:rsidRPr="00AD3253">
        <w:rPr>
          <w:rFonts w:ascii="Book Antiqua" w:eastAsia="Book Antiqua" w:hAnsi="Book Antiqua" w:cs="Book Antiqua"/>
          <w:color w:val="000000"/>
          <w:vertAlign w:val="superscript"/>
        </w:rPr>
        <w:t>[15]</w:t>
      </w:r>
      <w:r w:rsidR="00A225DB" w:rsidRPr="00AD3253">
        <w:rPr>
          <w:rFonts w:ascii="Book Antiqua" w:eastAsia="Book Antiqua" w:hAnsi="Book Antiqua" w:cs="Book Antiqua"/>
          <w:color w:val="000000"/>
        </w:rPr>
        <w:t>. From that moment the rate of pathological complete response does not increase.</w:t>
      </w:r>
      <w:r w:rsidR="00A225DB" w:rsidRPr="000744F4">
        <w:rPr>
          <w:rFonts w:ascii="Book Antiqua" w:eastAsia="Book Antiqua" w:hAnsi="Book Antiqua" w:cs="Book Antiqua"/>
          <w:color w:val="000000"/>
        </w:rPr>
        <w:t xml:space="preserve"> Other studies also showed that an increase in complete response rates means a decrease in complication and readmission rates after surgery and similar survival rates.</w:t>
      </w:r>
      <w:r>
        <w:rPr>
          <w:rFonts w:ascii="Book Antiqua" w:eastAsia="Book Antiqua" w:hAnsi="Book Antiqua" w:cs="Book Antiqua"/>
          <w:color w:val="000000"/>
        </w:rPr>
        <w:t xml:space="preserve"> The</w:t>
      </w:r>
      <w:r w:rsidR="00A225DB" w:rsidRPr="00AD3253">
        <w:rPr>
          <w:rFonts w:ascii="Book Antiqua" w:eastAsia="Book Antiqua" w:hAnsi="Book Antiqua" w:cs="Book Antiqua"/>
          <w:color w:val="000000"/>
        </w:rPr>
        <w:t xml:space="preserve"> TiMiSNAR </w:t>
      </w:r>
      <w:proofErr w:type="gramStart"/>
      <w:r w:rsidR="00A225DB" w:rsidRPr="00AD3253">
        <w:rPr>
          <w:rFonts w:ascii="Book Antiqua" w:eastAsia="Book Antiqua" w:hAnsi="Book Antiqua" w:cs="Book Antiqua"/>
          <w:color w:val="000000"/>
        </w:rPr>
        <w:t>trial</w:t>
      </w:r>
      <w:r w:rsidR="00A225DB" w:rsidRPr="00AD3253">
        <w:rPr>
          <w:rFonts w:ascii="Book Antiqua" w:eastAsia="Book Antiqua" w:hAnsi="Book Antiqua" w:cs="Book Antiqua"/>
          <w:color w:val="000000"/>
          <w:vertAlign w:val="superscript"/>
        </w:rPr>
        <w:t>[</w:t>
      </w:r>
      <w:proofErr w:type="gramEnd"/>
      <w:r w:rsidR="00A225DB" w:rsidRPr="00AD3253">
        <w:rPr>
          <w:rFonts w:ascii="Book Antiqua" w:eastAsia="Book Antiqua" w:hAnsi="Book Antiqua" w:cs="Book Antiqua"/>
          <w:color w:val="000000"/>
          <w:vertAlign w:val="superscript"/>
        </w:rPr>
        <w:t>18]</w:t>
      </w:r>
      <w:r w:rsidR="00A225DB" w:rsidRPr="00AD3253">
        <w:rPr>
          <w:rFonts w:ascii="Book Antiqua" w:eastAsia="Book Antiqua" w:hAnsi="Book Antiqua" w:cs="Book Antiqua"/>
          <w:color w:val="000000"/>
        </w:rPr>
        <w:t xml:space="preserve"> included 300 patients divided in 2 groups: </w:t>
      </w:r>
      <w:r>
        <w:rPr>
          <w:rFonts w:ascii="Book Antiqua" w:eastAsia="Book Antiqua" w:hAnsi="Book Antiqua" w:cs="Book Antiqua"/>
          <w:color w:val="000000"/>
        </w:rPr>
        <w:t>t</w:t>
      </w:r>
      <w:r w:rsidR="00A225DB" w:rsidRPr="00AD3253">
        <w:rPr>
          <w:rFonts w:ascii="Book Antiqua" w:eastAsia="Book Antiqua" w:hAnsi="Book Antiqua" w:cs="Book Antiqua"/>
          <w:color w:val="000000"/>
        </w:rPr>
        <w:t>hose receiving surgery 8 wk after surgery and those who underwent surgery 12 wk after CRT to determine when we should diagnose a pCR without affecting oncological outcomes.</w:t>
      </w:r>
    </w:p>
    <w:p w14:paraId="301F5B8F" w14:textId="02E4088A" w:rsidR="009F5BC8" w:rsidRPr="00F12D90" w:rsidRDefault="00AD3253" w:rsidP="002F5916">
      <w:pPr>
        <w:snapToGrid w:val="0"/>
        <w:spacing w:line="360" w:lineRule="auto"/>
        <w:ind w:firstLine="480"/>
        <w:jc w:val="both"/>
        <w:rPr>
          <w:rFonts w:ascii="Book Antiqua" w:hAnsi="Book Antiqua"/>
        </w:rPr>
      </w:pPr>
      <w:r>
        <w:rPr>
          <w:rFonts w:ascii="Book Antiqua" w:eastAsia="Book Antiqua" w:hAnsi="Book Antiqua" w:cs="Book Antiqua"/>
          <w:color w:val="000000"/>
        </w:rPr>
        <w:t>Another strategy is a</w:t>
      </w:r>
      <w:r w:rsidR="00A225DB" w:rsidRPr="000744F4">
        <w:rPr>
          <w:rFonts w:ascii="Book Antiqua" w:eastAsia="Book Antiqua" w:hAnsi="Book Antiqua" w:cs="Book Antiqua"/>
          <w:color w:val="000000"/>
        </w:rPr>
        <w:t>dding chemotherapy to neoadjuvant therapy like induction or consolidation</w:t>
      </w:r>
      <w:r>
        <w:rPr>
          <w:rFonts w:ascii="Book Antiqua" w:eastAsia="Book Antiqua" w:hAnsi="Book Antiqua" w:cs="Book Antiqua"/>
          <w:color w:val="000000"/>
        </w:rPr>
        <w:t>.</w:t>
      </w:r>
      <w:r w:rsidR="00A225DB" w:rsidRPr="000744F4">
        <w:rPr>
          <w:rFonts w:ascii="Book Antiqua" w:eastAsia="Book Antiqua" w:hAnsi="Book Antiqua" w:cs="Book Antiqua"/>
          <w:color w:val="000000"/>
        </w:rPr>
        <w:t xml:space="preserve"> There are studies that analyzed </w:t>
      </w:r>
      <w:r w:rsidR="00A225DB" w:rsidRPr="00AD3253">
        <w:rPr>
          <w:rFonts w:ascii="Book Antiqua" w:eastAsia="Book Antiqua" w:hAnsi="Book Antiqua" w:cs="Book Antiqua"/>
          <w:color w:val="000000"/>
        </w:rPr>
        <w:t>the result of induction or consolidation therapies in patients that also receive the classical schema: CRT and surgery. Consolidation therapy</w:t>
      </w:r>
      <w:r w:rsidR="00A225DB" w:rsidRPr="00AD3253">
        <w:rPr>
          <w:rFonts w:ascii="Book Antiqua" w:eastAsia="Book Antiqua" w:hAnsi="Book Antiqua" w:cs="Book Antiqua"/>
          <w:color w:val="000000"/>
          <w:vertAlign w:val="superscript"/>
        </w:rPr>
        <w:t>[19]</w:t>
      </w:r>
      <w:r w:rsidR="00A225DB" w:rsidRPr="00AD3253">
        <w:rPr>
          <w:rFonts w:ascii="Book Antiqua" w:eastAsia="Book Antiqua" w:hAnsi="Book Antiqua" w:cs="Book Antiqua"/>
          <w:color w:val="000000"/>
        </w:rPr>
        <w:t xml:space="preserve"> has been associated to less toxicity, higher rate of completion and higher rates of pCR (25% </w:t>
      </w:r>
      <w:r w:rsidR="00A225DB" w:rsidRPr="00260AE7">
        <w:rPr>
          <w:rFonts w:ascii="Book Antiqua" w:eastAsia="Book Antiqua" w:hAnsi="Book Antiqua" w:cs="Book Antiqua"/>
          <w:i/>
          <w:iCs/>
          <w:color w:val="000000"/>
        </w:rPr>
        <w:t>vs</w:t>
      </w:r>
      <w:r w:rsidR="00A225DB" w:rsidRPr="00260AE7">
        <w:rPr>
          <w:rFonts w:ascii="Book Antiqua" w:eastAsia="Book Antiqua" w:hAnsi="Book Antiqua" w:cs="Book Antiqua"/>
          <w:color w:val="000000"/>
        </w:rPr>
        <w:t xml:space="preserve"> 17%). Current evidence supports consolidation therapy </w:t>
      </w:r>
      <w:r w:rsidR="00A225DB" w:rsidRPr="00260AE7">
        <w:rPr>
          <w:rFonts w:ascii="Book Antiqua" w:eastAsia="Book Antiqua" w:hAnsi="Book Antiqua" w:cs="Book Antiqua"/>
          <w:color w:val="000000"/>
        </w:rPr>
        <w:lastRenderedPageBreak/>
        <w:t>as more favorable to increase the number of pCR and thus, WW. Nevertheless, we are still waiting the results coming from studies like the OPRA trial</w:t>
      </w:r>
      <w:r w:rsidR="00A225DB" w:rsidRPr="00260AE7">
        <w:rPr>
          <w:rFonts w:ascii="Book Antiqua" w:eastAsia="Book Antiqua" w:hAnsi="Book Antiqua" w:cs="Book Antiqua"/>
          <w:color w:val="000000"/>
          <w:vertAlign w:val="superscript"/>
        </w:rPr>
        <w:t>[20]</w:t>
      </w:r>
      <w:r w:rsidR="00A225DB" w:rsidRPr="00260AE7">
        <w:rPr>
          <w:rFonts w:ascii="Book Antiqua" w:eastAsia="Book Antiqua" w:hAnsi="Book Antiqua" w:cs="Book Antiqua"/>
          <w:color w:val="000000"/>
        </w:rPr>
        <w:t xml:space="preserve"> where patients are randomized to induction or consolidation and surgery or WW.</w:t>
      </w:r>
    </w:p>
    <w:p w14:paraId="3E085A16" w14:textId="77777777" w:rsidR="009F5BC8" w:rsidRPr="00F12D90" w:rsidRDefault="00A225DB" w:rsidP="002F5916">
      <w:pPr>
        <w:snapToGrid w:val="0"/>
        <w:spacing w:line="360" w:lineRule="auto"/>
        <w:ind w:firstLine="480"/>
        <w:jc w:val="both"/>
        <w:rPr>
          <w:rFonts w:ascii="Book Antiqua" w:hAnsi="Book Antiqua"/>
        </w:rPr>
      </w:pPr>
      <w:r w:rsidRPr="000744F4">
        <w:rPr>
          <w:rFonts w:ascii="Book Antiqua" w:eastAsia="Book Antiqua" w:hAnsi="Book Antiqua" w:cs="Book Antiqua"/>
          <w:color w:val="000000"/>
        </w:rPr>
        <w:t>All these strategies increase the rate of pCR and as consequence higher rates of WW. But once we decide we can offer a WW strategy, what should we do?</w:t>
      </w:r>
    </w:p>
    <w:p w14:paraId="6174CF5D" w14:textId="231911C4" w:rsidR="009F5BC8" w:rsidRPr="00F12D90" w:rsidRDefault="00AD3253" w:rsidP="002F5916">
      <w:pPr>
        <w:snapToGrid w:val="0"/>
        <w:spacing w:line="360" w:lineRule="auto"/>
        <w:ind w:firstLine="480"/>
        <w:jc w:val="both"/>
        <w:rPr>
          <w:rFonts w:ascii="Book Antiqua" w:hAnsi="Book Antiqua"/>
        </w:rPr>
      </w:pPr>
      <w:r>
        <w:rPr>
          <w:rFonts w:ascii="Book Antiqua" w:eastAsia="Book Antiqua" w:hAnsi="Book Antiqua" w:cs="Book Antiqua"/>
          <w:color w:val="000000"/>
        </w:rPr>
        <w:t>The first step is to determine the p</w:t>
      </w:r>
      <w:r w:rsidR="00A225DB" w:rsidRPr="000744F4">
        <w:rPr>
          <w:rFonts w:ascii="Book Antiqua" w:eastAsia="Book Antiqua" w:hAnsi="Book Antiqua" w:cs="Book Antiqua"/>
          <w:color w:val="000000"/>
        </w:rPr>
        <w:t>recise stage</w:t>
      </w:r>
      <w:r>
        <w:rPr>
          <w:rFonts w:ascii="Book Antiqua" w:eastAsia="Book Antiqua" w:hAnsi="Book Antiqua" w:cs="Book Antiqua"/>
          <w:color w:val="000000"/>
        </w:rPr>
        <w:t>.</w:t>
      </w:r>
      <w:r w:rsidR="00A225DB" w:rsidRPr="000744F4">
        <w:rPr>
          <w:rFonts w:ascii="Book Antiqua" w:eastAsia="Book Antiqua" w:hAnsi="Book Antiqua" w:cs="Book Antiqua"/>
          <w:color w:val="000000"/>
        </w:rPr>
        <w:t xml:space="preserve"> Stage </w:t>
      </w:r>
      <w:r>
        <w:rPr>
          <w:rFonts w:ascii="Book Antiqua" w:eastAsia="Book Antiqua" w:hAnsi="Book Antiqua" w:cs="Book Antiqua"/>
          <w:color w:val="000000"/>
        </w:rPr>
        <w:t>2</w:t>
      </w:r>
      <w:r w:rsidR="00A225DB" w:rsidRPr="000744F4">
        <w:rPr>
          <w:rFonts w:ascii="Book Antiqua" w:eastAsia="Book Antiqua" w:hAnsi="Book Antiqua" w:cs="Book Antiqua"/>
          <w:color w:val="000000"/>
        </w:rPr>
        <w:t xml:space="preserve"> and </w:t>
      </w:r>
      <w:r>
        <w:rPr>
          <w:rFonts w:ascii="Book Antiqua" w:eastAsia="Book Antiqua" w:hAnsi="Book Antiqua" w:cs="Book Antiqua"/>
          <w:color w:val="000000"/>
        </w:rPr>
        <w:t>3</w:t>
      </w:r>
      <w:r w:rsidR="00A225DB" w:rsidRPr="000744F4">
        <w:rPr>
          <w:rFonts w:ascii="Book Antiqua" w:eastAsia="Book Antiqua" w:hAnsi="Book Antiqua" w:cs="Book Antiqua"/>
          <w:color w:val="000000"/>
        </w:rPr>
        <w:t xml:space="preserve"> tumors will benefit from neoadjuvant treatment, will poss</w:t>
      </w:r>
      <w:r w:rsidR="00A225DB" w:rsidRPr="00AD3253">
        <w:rPr>
          <w:rFonts w:ascii="Book Antiqua" w:eastAsia="Book Antiqua" w:hAnsi="Book Antiqua" w:cs="Book Antiqua"/>
          <w:color w:val="000000"/>
        </w:rPr>
        <w:t xml:space="preserve">ibly respond and will be candidates for a WW strategy. </w:t>
      </w:r>
      <w:r w:rsidR="00260AE7">
        <w:rPr>
          <w:rFonts w:ascii="Book Antiqua" w:eastAsia="Book Antiqua" w:hAnsi="Book Antiqua" w:cs="Book Antiqua"/>
          <w:color w:val="000000"/>
        </w:rPr>
        <w:t>However,</w:t>
      </w:r>
      <w:r w:rsidR="00260AE7" w:rsidRPr="00AD3253">
        <w:rPr>
          <w:rFonts w:ascii="Book Antiqua" w:eastAsia="Book Antiqua" w:hAnsi="Book Antiqua" w:cs="Book Antiqua"/>
          <w:color w:val="000000"/>
        </w:rPr>
        <w:t xml:space="preserve"> </w:t>
      </w:r>
      <w:r w:rsidR="00A225DB" w:rsidRPr="00AD3253">
        <w:rPr>
          <w:rFonts w:ascii="Book Antiqua" w:eastAsia="Book Antiqua" w:hAnsi="Book Antiqua" w:cs="Book Antiqua"/>
          <w:color w:val="000000"/>
        </w:rPr>
        <w:t xml:space="preserve">stage </w:t>
      </w:r>
      <w:r w:rsidR="00260AE7">
        <w:rPr>
          <w:rFonts w:ascii="Book Antiqua" w:eastAsia="Book Antiqua" w:hAnsi="Book Antiqua" w:cs="Book Antiqua"/>
          <w:color w:val="000000"/>
        </w:rPr>
        <w:t>1</w:t>
      </w:r>
      <w:r w:rsidR="00A225DB" w:rsidRPr="00AD3253">
        <w:rPr>
          <w:rFonts w:ascii="Book Antiqua" w:eastAsia="Book Antiqua" w:hAnsi="Book Antiqua" w:cs="Book Antiqua"/>
          <w:color w:val="000000"/>
        </w:rPr>
        <w:t xml:space="preserve"> tumors can also be included. This stage should be done with rectal exam, endoscopy and magnetic resonance imaging </w:t>
      </w:r>
      <w:r w:rsidR="00A225DB" w:rsidRPr="00F12D90">
        <w:rPr>
          <w:rFonts w:ascii="Book Antiqua" w:eastAsia="SimSun" w:hAnsi="Book Antiqua" w:cs="SimSun"/>
          <w:color w:val="000000"/>
          <w:lang w:eastAsia="zh-CN"/>
        </w:rPr>
        <w:t>(</w:t>
      </w:r>
      <w:r w:rsidR="00A225DB" w:rsidRPr="000744F4">
        <w:rPr>
          <w:rFonts w:ascii="Book Antiqua" w:eastAsia="Book Antiqua" w:hAnsi="Book Antiqua" w:cs="Book Antiqua"/>
          <w:color w:val="000000"/>
        </w:rPr>
        <w:t>MRI). Incomplete or complete response will be considered regarding our findings (Table 1).</w:t>
      </w:r>
    </w:p>
    <w:p w14:paraId="594406AA" w14:textId="794251C4" w:rsidR="009F5BC8" w:rsidRPr="00F12D90" w:rsidRDefault="00A225DB" w:rsidP="002F5916">
      <w:pPr>
        <w:snapToGrid w:val="0"/>
        <w:spacing w:line="360" w:lineRule="auto"/>
        <w:ind w:firstLine="480"/>
        <w:jc w:val="both"/>
        <w:rPr>
          <w:rFonts w:ascii="Book Antiqua" w:hAnsi="Book Antiqua"/>
        </w:rPr>
      </w:pPr>
      <w:r w:rsidRPr="000744F4">
        <w:rPr>
          <w:rFonts w:ascii="Book Antiqua" w:eastAsia="Book Antiqua" w:hAnsi="Book Antiqua" w:cs="Book Antiqua"/>
          <w:color w:val="000000"/>
        </w:rPr>
        <w:t>Patient should be trustable and involved with the follow</w:t>
      </w:r>
      <w:r w:rsidR="00260AE7">
        <w:rPr>
          <w:rFonts w:ascii="Book Antiqua" w:eastAsia="Book Antiqua" w:hAnsi="Book Antiqua" w:cs="Book Antiqua"/>
          <w:color w:val="000000"/>
        </w:rPr>
        <w:t>-</w:t>
      </w:r>
      <w:r w:rsidRPr="000744F4">
        <w:rPr>
          <w:rFonts w:ascii="Book Antiqua" w:eastAsia="Book Antiqua" w:hAnsi="Book Antiqua" w:cs="Book Antiqua"/>
          <w:color w:val="000000"/>
        </w:rPr>
        <w:t xml:space="preserve">up, to detect </w:t>
      </w:r>
      <w:proofErr w:type="spellStart"/>
      <w:r w:rsidRPr="000744F4">
        <w:rPr>
          <w:rFonts w:ascii="Book Antiqua" w:eastAsia="Book Antiqua" w:hAnsi="Book Antiqua" w:cs="Book Antiqua"/>
          <w:color w:val="000000"/>
        </w:rPr>
        <w:t>regrowths</w:t>
      </w:r>
      <w:proofErr w:type="spellEnd"/>
      <w:r w:rsidRPr="000744F4">
        <w:rPr>
          <w:rFonts w:ascii="Book Antiqua" w:eastAsia="Book Antiqua" w:hAnsi="Book Antiqua" w:cs="Book Antiqua"/>
          <w:color w:val="000000"/>
        </w:rPr>
        <w:t xml:space="preserve"> and perform surgery if needed. Follow</w:t>
      </w:r>
      <w:r w:rsidR="00260AE7">
        <w:rPr>
          <w:rFonts w:ascii="Book Antiqua" w:eastAsia="Book Antiqua" w:hAnsi="Book Antiqua" w:cs="Book Antiqua"/>
          <w:color w:val="000000"/>
        </w:rPr>
        <w:t>-</w:t>
      </w:r>
      <w:r w:rsidRPr="000744F4">
        <w:rPr>
          <w:rFonts w:ascii="Book Antiqua" w:eastAsia="Book Antiqua" w:hAnsi="Book Antiqua" w:cs="Book Antiqua"/>
          <w:color w:val="000000"/>
        </w:rPr>
        <w:t xml:space="preserve">up should be performed as described in Table 2. </w:t>
      </w:r>
    </w:p>
    <w:p w14:paraId="21C08678" w14:textId="5B48FCAC" w:rsidR="009F5BC8" w:rsidRPr="00F12D90" w:rsidRDefault="00A225DB" w:rsidP="002F5916">
      <w:pPr>
        <w:snapToGrid w:val="0"/>
        <w:spacing w:line="360" w:lineRule="auto"/>
        <w:ind w:firstLine="480"/>
        <w:jc w:val="both"/>
        <w:rPr>
          <w:rFonts w:ascii="Book Antiqua" w:hAnsi="Book Antiqua"/>
        </w:rPr>
      </w:pPr>
      <w:r w:rsidRPr="000744F4">
        <w:rPr>
          <w:rFonts w:ascii="Book Antiqua" w:eastAsia="Book Antiqua" w:hAnsi="Book Antiqua" w:cs="Book Antiqua"/>
          <w:color w:val="000000"/>
        </w:rPr>
        <w:t>A group of patients will have more options of benefit from a WW strategy, for example those with more distal or smaller tumors requiring ultralow anastomosis or abdominoperineal resections. Bigger and circumferential tumors usually develop concentric scars inside the rectum obstructing the assessment of the tumor response. These patients could not be the ideal candidates for a WW program. Those with a higher risk of tumor progression might not be good candidates for this non-surgical management</w:t>
      </w:r>
      <w:r w:rsidR="00260AE7">
        <w:rPr>
          <w:rFonts w:ascii="Book Antiqua" w:eastAsia="Book Antiqua" w:hAnsi="Book Antiqua" w:cs="Book Antiqua"/>
          <w:color w:val="000000"/>
        </w:rPr>
        <w:t xml:space="preserve"> either</w:t>
      </w:r>
      <w:r w:rsidRPr="00260AE7">
        <w:rPr>
          <w:rFonts w:ascii="Book Antiqua" w:eastAsia="Book Antiqua" w:hAnsi="Book Antiqua" w:cs="Book Antiqua"/>
          <w:color w:val="000000"/>
        </w:rPr>
        <w:t xml:space="preserve">. Smith </w:t>
      </w:r>
      <w:r w:rsidRPr="00260AE7">
        <w:rPr>
          <w:rFonts w:ascii="Book Antiqua" w:eastAsia="Book Antiqua" w:hAnsi="Book Antiqua" w:cs="Book Antiqua"/>
          <w:i/>
          <w:iCs/>
          <w:color w:val="000000"/>
        </w:rPr>
        <w:t>et al</w:t>
      </w:r>
      <w:r w:rsidRPr="00260AE7">
        <w:rPr>
          <w:rFonts w:ascii="Book Antiqua" w:eastAsia="Book Antiqua" w:hAnsi="Book Antiqua" w:cs="Book Antiqua"/>
          <w:color w:val="000000"/>
          <w:vertAlign w:val="superscript"/>
        </w:rPr>
        <w:t>[5]</w:t>
      </w:r>
      <w:r w:rsidRPr="00260AE7">
        <w:rPr>
          <w:rFonts w:ascii="Book Antiqua" w:eastAsia="Book Antiqua" w:hAnsi="Book Antiqua" w:cs="Book Antiqua"/>
          <w:color w:val="000000"/>
        </w:rPr>
        <w:t xml:space="preserve"> published a higher risk of distant metastasis in those patients who developed a regrowth (36% </w:t>
      </w:r>
      <w:r w:rsidRPr="00260AE7">
        <w:rPr>
          <w:rFonts w:ascii="Book Antiqua" w:eastAsia="Book Antiqua" w:hAnsi="Book Antiqua" w:cs="Book Antiqua"/>
          <w:i/>
          <w:iCs/>
          <w:color w:val="000000"/>
        </w:rPr>
        <w:t>vs</w:t>
      </w:r>
      <w:r w:rsidRPr="00260AE7">
        <w:rPr>
          <w:rFonts w:ascii="Book Antiqua" w:eastAsia="Book Antiqua" w:hAnsi="Book Antiqua" w:cs="Book Antiqua"/>
          <w:color w:val="000000"/>
        </w:rPr>
        <w:t xml:space="preserve"> 1%</w:t>
      </w:r>
      <w:r w:rsidR="00B131C6">
        <w:rPr>
          <w:rFonts w:ascii="Book Antiqua" w:eastAsia="Book Antiqua" w:hAnsi="Book Antiqua" w:cs="Book Antiqua"/>
          <w:color w:val="000000"/>
        </w:rPr>
        <w:t>,</w:t>
      </w:r>
      <w:r w:rsidRPr="00260AE7">
        <w:rPr>
          <w:rFonts w:ascii="Book Antiqua" w:eastAsia="Book Antiqua" w:hAnsi="Book Antiqua" w:cs="Book Antiqua"/>
          <w:color w:val="000000"/>
        </w:rPr>
        <w:t xml:space="preserve"> </w:t>
      </w:r>
      <w:r w:rsidRPr="00260AE7">
        <w:rPr>
          <w:rFonts w:ascii="Book Antiqua" w:eastAsia="Book Antiqua" w:hAnsi="Book Antiqua" w:cs="Book Antiqua"/>
          <w:i/>
          <w:iCs/>
          <w:color w:val="000000"/>
        </w:rPr>
        <w:t xml:space="preserve">P </w:t>
      </w:r>
      <w:r w:rsidRPr="00260AE7">
        <w:rPr>
          <w:rFonts w:ascii="Book Antiqua" w:eastAsia="Book Antiqua" w:hAnsi="Book Antiqua" w:cs="Book Antiqua"/>
          <w:color w:val="000000"/>
        </w:rPr>
        <w:t>&lt; 0.001). This author declares the higher rate in the regrowth group could be due to delays in surgery or to more aggressive tumors.</w:t>
      </w:r>
    </w:p>
    <w:p w14:paraId="71F373D8" w14:textId="5DC4DA6B" w:rsidR="009F5BC8" w:rsidRPr="00F12D90" w:rsidRDefault="00A225DB" w:rsidP="002F5916">
      <w:pPr>
        <w:snapToGrid w:val="0"/>
        <w:spacing w:line="360" w:lineRule="auto"/>
        <w:ind w:firstLine="480"/>
        <w:jc w:val="both"/>
        <w:rPr>
          <w:rFonts w:ascii="Book Antiqua" w:hAnsi="Book Antiqua"/>
        </w:rPr>
      </w:pPr>
      <w:r w:rsidRPr="000744F4">
        <w:rPr>
          <w:rFonts w:ascii="Book Antiqua" w:eastAsia="Book Antiqua" w:hAnsi="Book Antiqua" w:cs="Book Antiqua"/>
          <w:color w:val="000000"/>
        </w:rPr>
        <w:t>We should begin with neoadjuvant treatment including chemo and radiotherapy and asse</w:t>
      </w:r>
      <w:r w:rsidR="00260AE7">
        <w:rPr>
          <w:rFonts w:ascii="Book Antiqua" w:eastAsia="Book Antiqua" w:hAnsi="Book Antiqua" w:cs="Book Antiqua"/>
          <w:color w:val="000000"/>
        </w:rPr>
        <w:t>s</w:t>
      </w:r>
      <w:r w:rsidRPr="000744F4">
        <w:rPr>
          <w:rFonts w:ascii="Book Antiqua" w:eastAsia="Book Antiqua" w:hAnsi="Book Antiqua" w:cs="Book Antiqua"/>
          <w:color w:val="000000"/>
        </w:rPr>
        <w:t>s after 8-12 wk. At this point, there are different options:</w:t>
      </w:r>
    </w:p>
    <w:p w14:paraId="23B025E6" w14:textId="45DC707A" w:rsidR="009F5BC8" w:rsidRPr="00F12D90" w:rsidRDefault="00A225DB" w:rsidP="002F5916">
      <w:pPr>
        <w:snapToGrid w:val="0"/>
        <w:spacing w:line="360" w:lineRule="auto"/>
        <w:ind w:firstLine="480"/>
        <w:jc w:val="both"/>
        <w:rPr>
          <w:rFonts w:ascii="Book Antiqua" w:hAnsi="Book Antiqua"/>
        </w:rPr>
      </w:pPr>
      <w:proofErr w:type="spellStart"/>
      <w:r w:rsidRPr="000744F4">
        <w:rPr>
          <w:rFonts w:ascii="Book Antiqua" w:eastAsia="Book Antiqua" w:hAnsi="Book Antiqua" w:cs="Book Antiqua"/>
          <w:color w:val="000000"/>
        </w:rPr>
        <w:t>cCR</w:t>
      </w:r>
      <w:proofErr w:type="spellEnd"/>
      <w:r w:rsidRPr="000744F4">
        <w:rPr>
          <w:rFonts w:ascii="Book Antiqua" w:eastAsia="Book Antiqua" w:hAnsi="Book Antiqua" w:cs="Book Antiqua"/>
          <w:color w:val="000000"/>
        </w:rPr>
        <w:t xml:space="preserve">: </w:t>
      </w:r>
      <w:r w:rsidR="00260AE7">
        <w:rPr>
          <w:rFonts w:ascii="Book Antiqua" w:eastAsia="Book Antiqua" w:hAnsi="Book Antiqua" w:cs="Book Antiqua"/>
          <w:color w:val="000000"/>
        </w:rPr>
        <w:t>s</w:t>
      </w:r>
      <w:r w:rsidRPr="000744F4">
        <w:rPr>
          <w:rFonts w:ascii="Book Antiqua" w:eastAsia="Book Antiqua" w:hAnsi="Book Antiqua" w:cs="Book Antiqua"/>
          <w:color w:val="000000"/>
        </w:rPr>
        <w:t>car, telangiectasia, and findings in the MRI suggesting cCR. We could suggest follow</w:t>
      </w:r>
      <w:r w:rsidR="00260AE7">
        <w:rPr>
          <w:rFonts w:ascii="Book Antiqua" w:eastAsia="Book Antiqua" w:hAnsi="Book Antiqua" w:cs="Book Antiqua"/>
          <w:color w:val="000000"/>
        </w:rPr>
        <w:t>-</w:t>
      </w:r>
      <w:r w:rsidRPr="000744F4">
        <w:rPr>
          <w:rFonts w:ascii="Book Antiqua" w:eastAsia="Book Antiqua" w:hAnsi="Book Antiqua" w:cs="Book Antiqua"/>
          <w:color w:val="000000"/>
        </w:rPr>
        <w:t>up.</w:t>
      </w:r>
    </w:p>
    <w:p w14:paraId="37AAA8EB" w14:textId="34D3E1D2" w:rsidR="009F5BC8" w:rsidRPr="00F12D90" w:rsidRDefault="00A225DB" w:rsidP="002F5916">
      <w:pPr>
        <w:snapToGrid w:val="0"/>
        <w:spacing w:line="360" w:lineRule="auto"/>
        <w:ind w:firstLine="480"/>
        <w:jc w:val="both"/>
        <w:rPr>
          <w:rFonts w:ascii="Book Antiqua" w:hAnsi="Book Antiqua"/>
        </w:rPr>
      </w:pPr>
      <w:r w:rsidRPr="000744F4">
        <w:rPr>
          <w:rFonts w:ascii="Book Antiqua" w:eastAsia="Book Antiqua" w:hAnsi="Book Antiqua" w:cs="Book Antiqua"/>
          <w:color w:val="000000"/>
        </w:rPr>
        <w:t xml:space="preserve">Incomplete clinical response: </w:t>
      </w:r>
      <w:r w:rsidR="00260AE7">
        <w:rPr>
          <w:rFonts w:ascii="Book Antiqua" w:eastAsia="Book Antiqua" w:hAnsi="Book Antiqua" w:cs="Book Antiqua"/>
          <w:color w:val="000000"/>
        </w:rPr>
        <w:t>s</w:t>
      </w:r>
      <w:r w:rsidRPr="000744F4">
        <w:rPr>
          <w:rFonts w:ascii="Book Antiqua" w:eastAsia="Book Antiqua" w:hAnsi="Book Antiqua" w:cs="Book Antiqua"/>
          <w:color w:val="000000"/>
        </w:rPr>
        <w:t>urgery.</w:t>
      </w:r>
    </w:p>
    <w:p w14:paraId="291F1A56" w14:textId="53604737" w:rsidR="009F5BC8" w:rsidRPr="00F12D90" w:rsidRDefault="00A225DB" w:rsidP="002F5916">
      <w:pPr>
        <w:snapToGrid w:val="0"/>
        <w:spacing w:line="360" w:lineRule="auto"/>
        <w:ind w:firstLine="480"/>
        <w:jc w:val="both"/>
        <w:rPr>
          <w:rFonts w:ascii="Book Antiqua" w:hAnsi="Book Antiqua"/>
        </w:rPr>
      </w:pPr>
      <w:r w:rsidRPr="000744F4">
        <w:rPr>
          <w:rFonts w:ascii="Book Antiqua" w:eastAsia="Book Antiqua" w:hAnsi="Book Antiqua" w:cs="Book Antiqua"/>
          <w:color w:val="000000"/>
        </w:rPr>
        <w:t xml:space="preserve">Nearly complete clinical complete response: </w:t>
      </w:r>
      <w:r w:rsidR="00260AE7">
        <w:rPr>
          <w:rFonts w:ascii="Book Antiqua" w:eastAsia="Book Antiqua" w:hAnsi="Book Antiqua" w:cs="Book Antiqua"/>
          <w:color w:val="000000"/>
        </w:rPr>
        <w:t>a</w:t>
      </w:r>
      <w:r w:rsidRPr="000744F4">
        <w:rPr>
          <w:rFonts w:ascii="Book Antiqua" w:eastAsia="Book Antiqua" w:hAnsi="Book Antiqua" w:cs="Book Antiqua"/>
          <w:color w:val="000000"/>
        </w:rPr>
        <w:t xml:space="preserve"> follow</w:t>
      </w:r>
      <w:r w:rsidR="00260AE7">
        <w:rPr>
          <w:rFonts w:ascii="Book Antiqua" w:eastAsia="Book Antiqua" w:hAnsi="Book Antiqua" w:cs="Book Antiqua"/>
          <w:color w:val="000000"/>
        </w:rPr>
        <w:t>-</w:t>
      </w:r>
      <w:r w:rsidRPr="000744F4">
        <w:rPr>
          <w:rFonts w:ascii="Book Antiqua" w:eastAsia="Book Antiqua" w:hAnsi="Book Antiqua" w:cs="Book Antiqua"/>
          <w:color w:val="000000"/>
        </w:rPr>
        <w:t>up could be suggest</w:t>
      </w:r>
      <w:r w:rsidR="00260AE7">
        <w:rPr>
          <w:rFonts w:ascii="Book Antiqua" w:eastAsia="Book Antiqua" w:hAnsi="Book Antiqua" w:cs="Book Antiqua"/>
          <w:color w:val="000000"/>
        </w:rPr>
        <w:t>ed</w:t>
      </w:r>
      <w:r w:rsidRPr="000744F4">
        <w:rPr>
          <w:rFonts w:ascii="Book Antiqua" w:eastAsia="Book Antiqua" w:hAnsi="Book Antiqua" w:cs="Book Antiqua"/>
          <w:color w:val="000000"/>
        </w:rPr>
        <w:t xml:space="preserve"> every 6-8 wk if the tumor still responds. If there is a regrowth, we should recommend surgery. </w:t>
      </w:r>
    </w:p>
    <w:p w14:paraId="29421C5A" w14:textId="4BA5AC83" w:rsidR="009F5BC8" w:rsidRPr="00F12D90" w:rsidRDefault="00A225DB" w:rsidP="002F5916">
      <w:pPr>
        <w:snapToGrid w:val="0"/>
        <w:spacing w:line="360" w:lineRule="auto"/>
        <w:ind w:firstLine="480"/>
        <w:jc w:val="both"/>
        <w:rPr>
          <w:rFonts w:ascii="Book Antiqua" w:hAnsi="Book Antiqua"/>
        </w:rPr>
      </w:pPr>
      <w:r w:rsidRPr="000744F4">
        <w:rPr>
          <w:rFonts w:ascii="Book Antiqua" w:eastAsia="Book Antiqua" w:hAnsi="Book Antiqua" w:cs="Book Antiqua"/>
          <w:color w:val="000000"/>
        </w:rPr>
        <w:lastRenderedPageBreak/>
        <w:t>These recommendations are likely to be modified in the next few months with the information obtained from the different ongoing studies described previously, such as</w:t>
      </w:r>
      <w:r w:rsidR="00260AE7">
        <w:rPr>
          <w:rFonts w:ascii="Book Antiqua" w:eastAsia="Book Antiqua" w:hAnsi="Book Antiqua" w:cs="Book Antiqua"/>
          <w:color w:val="000000"/>
        </w:rPr>
        <w:t xml:space="preserve"> the</w:t>
      </w:r>
      <w:r w:rsidRPr="000744F4">
        <w:rPr>
          <w:rFonts w:ascii="Book Antiqua" w:eastAsia="Book Antiqua" w:hAnsi="Book Antiqua" w:cs="Book Antiqua"/>
          <w:color w:val="000000"/>
        </w:rPr>
        <w:t xml:space="preserve"> OPRA</w:t>
      </w:r>
      <w:r w:rsidRPr="000744F4">
        <w:rPr>
          <w:rFonts w:ascii="Book Antiqua" w:eastAsia="Book Antiqua" w:hAnsi="Book Antiqua" w:cs="Book Antiqua"/>
          <w:color w:val="000000"/>
          <w:vertAlign w:val="superscript"/>
        </w:rPr>
        <w:t>[20]</w:t>
      </w:r>
      <w:r w:rsidRPr="000744F4">
        <w:rPr>
          <w:rFonts w:ascii="Book Antiqua" w:eastAsia="Book Antiqua" w:hAnsi="Book Antiqua" w:cs="Book Antiqua"/>
          <w:color w:val="000000"/>
        </w:rPr>
        <w:t xml:space="preserve"> trial, that aim to assess the results of consolidation chemotherapy.</w:t>
      </w:r>
    </w:p>
    <w:p w14:paraId="68466AA1" w14:textId="304512F0" w:rsidR="009F5BC8" w:rsidRPr="00F12D90" w:rsidRDefault="00A225DB" w:rsidP="002F5916">
      <w:pPr>
        <w:snapToGrid w:val="0"/>
        <w:spacing w:line="360" w:lineRule="auto"/>
        <w:ind w:firstLine="480"/>
        <w:jc w:val="both"/>
        <w:rPr>
          <w:rFonts w:ascii="Book Antiqua" w:hAnsi="Book Antiqua"/>
        </w:rPr>
      </w:pPr>
      <w:r w:rsidRPr="000744F4">
        <w:rPr>
          <w:rFonts w:ascii="Book Antiqua" w:eastAsia="Book Antiqua" w:hAnsi="Book Antiqua" w:cs="Book Antiqua"/>
          <w:color w:val="000000"/>
        </w:rPr>
        <w:t xml:space="preserve">As we </w:t>
      </w:r>
      <w:r w:rsidR="00260AE7">
        <w:rPr>
          <w:rFonts w:ascii="Book Antiqua" w:eastAsia="Book Antiqua" w:hAnsi="Book Antiqua" w:cs="Book Antiqua"/>
          <w:color w:val="000000"/>
        </w:rPr>
        <w:t>mentioned</w:t>
      </w:r>
      <w:r w:rsidR="00260AE7" w:rsidRPr="000744F4">
        <w:rPr>
          <w:rFonts w:ascii="Book Antiqua" w:eastAsia="Book Antiqua" w:hAnsi="Book Antiqua" w:cs="Book Antiqua"/>
          <w:color w:val="000000"/>
        </w:rPr>
        <w:t xml:space="preserve"> </w:t>
      </w:r>
      <w:r w:rsidRPr="000744F4">
        <w:rPr>
          <w:rFonts w:ascii="Book Antiqua" w:eastAsia="Book Antiqua" w:hAnsi="Book Antiqua" w:cs="Book Antiqua"/>
          <w:color w:val="000000"/>
        </w:rPr>
        <w:t xml:space="preserve">before, a certain group of patients might experience tumor regrowth during WW follow-up. A variety of studies claim that this scenario </w:t>
      </w:r>
      <w:r w:rsidRPr="00260AE7">
        <w:rPr>
          <w:rFonts w:ascii="Book Antiqua" w:eastAsia="Book Antiqua" w:hAnsi="Book Antiqua" w:cs="Book Antiqua"/>
          <w:color w:val="000000"/>
        </w:rPr>
        <w:t xml:space="preserve">is more likely to show up in the first </w:t>
      </w:r>
      <w:r w:rsidR="00260AE7">
        <w:rPr>
          <w:rFonts w:ascii="Book Antiqua" w:eastAsia="Book Antiqua" w:hAnsi="Book Antiqua" w:cs="Book Antiqua"/>
          <w:color w:val="000000"/>
        </w:rPr>
        <w:t>2</w:t>
      </w:r>
      <w:r w:rsidR="00260AE7" w:rsidRPr="00260AE7">
        <w:rPr>
          <w:rFonts w:ascii="Book Antiqua" w:eastAsia="Book Antiqua" w:hAnsi="Book Antiqua" w:cs="Book Antiqua"/>
          <w:color w:val="000000"/>
        </w:rPr>
        <w:t xml:space="preserve"> </w:t>
      </w:r>
      <w:r w:rsidRPr="00260AE7">
        <w:rPr>
          <w:rFonts w:ascii="Book Antiqua" w:eastAsia="Book Antiqua" w:hAnsi="Book Antiqua" w:cs="Book Antiqua"/>
          <w:color w:val="000000"/>
        </w:rPr>
        <w:t xml:space="preserve">years after neoadjuvant treatment </w:t>
      </w:r>
      <w:r w:rsidR="00260AE7">
        <w:rPr>
          <w:rFonts w:ascii="Book Antiqua" w:eastAsia="Book Antiqua" w:hAnsi="Book Antiqua" w:cs="Book Antiqua"/>
          <w:color w:val="000000"/>
        </w:rPr>
        <w:t xml:space="preserve">rather </w:t>
      </w:r>
      <w:r w:rsidRPr="00260AE7">
        <w:rPr>
          <w:rFonts w:ascii="Book Antiqua" w:eastAsia="Book Antiqua" w:hAnsi="Book Antiqua" w:cs="Book Antiqua"/>
          <w:color w:val="000000"/>
        </w:rPr>
        <w:t xml:space="preserve">than later </w:t>
      </w:r>
      <w:proofErr w:type="gramStart"/>
      <w:r w:rsidRPr="00260AE7">
        <w:rPr>
          <w:rFonts w:ascii="Book Antiqua" w:eastAsia="Book Antiqua" w:hAnsi="Book Antiqua" w:cs="Book Antiqua"/>
          <w:color w:val="000000"/>
        </w:rPr>
        <w:t>on</w:t>
      </w:r>
      <w:r w:rsidRPr="00260AE7">
        <w:rPr>
          <w:rFonts w:ascii="Book Antiqua" w:eastAsia="Book Antiqua" w:hAnsi="Book Antiqua" w:cs="Book Antiqua"/>
          <w:color w:val="000000"/>
          <w:vertAlign w:val="superscript"/>
        </w:rPr>
        <w:t>[</w:t>
      </w:r>
      <w:proofErr w:type="gramEnd"/>
      <w:r w:rsidRPr="00260AE7">
        <w:rPr>
          <w:rFonts w:ascii="Book Antiqua" w:eastAsia="Book Antiqua" w:hAnsi="Book Antiqua" w:cs="Book Antiqua"/>
          <w:color w:val="000000"/>
          <w:vertAlign w:val="superscript"/>
        </w:rPr>
        <w:t>5]</w:t>
      </w:r>
      <w:r w:rsidRPr="00260AE7">
        <w:rPr>
          <w:rFonts w:ascii="Book Antiqua" w:eastAsia="Book Antiqua" w:hAnsi="Book Antiqua" w:cs="Book Antiqua"/>
          <w:color w:val="000000"/>
        </w:rPr>
        <w:t>. After carefully analyzing the graphical representation of these regrowth patterns, only a few patients are at risk of suffering this regrowth</w:t>
      </w:r>
      <w:r w:rsidR="00260AE7">
        <w:rPr>
          <w:rFonts w:ascii="Book Antiqua" w:eastAsia="Book Antiqua" w:hAnsi="Book Antiqua" w:cs="Book Antiqua"/>
          <w:color w:val="000000"/>
        </w:rPr>
        <w:t>.</w:t>
      </w:r>
      <w:r w:rsidRPr="00260AE7">
        <w:rPr>
          <w:rFonts w:ascii="Book Antiqua" w:eastAsia="Book Antiqua" w:hAnsi="Book Antiqua" w:cs="Book Antiqua"/>
          <w:color w:val="000000"/>
        </w:rPr>
        <w:t xml:space="preserve"> </w:t>
      </w:r>
      <w:r w:rsidR="00260AE7">
        <w:rPr>
          <w:rFonts w:ascii="Book Antiqua" w:eastAsia="Book Antiqua" w:hAnsi="Book Antiqua" w:cs="Book Antiqua"/>
          <w:color w:val="000000"/>
        </w:rPr>
        <w:t>N</w:t>
      </w:r>
      <w:r w:rsidRPr="00260AE7">
        <w:rPr>
          <w:rFonts w:ascii="Book Antiqua" w:eastAsia="Book Antiqua" w:hAnsi="Book Antiqua" w:cs="Book Antiqua"/>
          <w:color w:val="000000"/>
        </w:rPr>
        <w:t xml:space="preserve">evertheless, it is certainly hard to determine who </w:t>
      </w:r>
      <w:r w:rsidR="00260AE7">
        <w:rPr>
          <w:rFonts w:ascii="Book Antiqua" w:eastAsia="Book Antiqua" w:hAnsi="Book Antiqua" w:cs="Book Antiqua"/>
          <w:color w:val="000000"/>
        </w:rPr>
        <w:t>will experience this,</w:t>
      </w:r>
      <w:r w:rsidRPr="00260AE7">
        <w:rPr>
          <w:rFonts w:ascii="Book Antiqua" w:eastAsia="Book Antiqua" w:hAnsi="Book Antiqua" w:cs="Book Antiqua"/>
          <w:color w:val="000000"/>
        </w:rPr>
        <w:t xml:space="preserve"> when </w:t>
      </w:r>
      <w:r w:rsidR="00260AE7">
        <w:rPr>
          <w:rFonts w:ascii="Book Antiqua" w:eastAsia="Book Antiqua" w:hAnsi="Book Antiqua" w:cs="Book Antiqua"/>
          <w:color w:val="000000"/>
        </w:rPr>
        <w:t xml:space="preserve">it </w:t>
      </w:r>
      <w:r w:rsidRPr="00260AE7">
        <w:rPr>
          <w:rFonts w:ascii="Book Antiqua" w:eastAsia="Book Antiqua" w:hAnsi="Book Antiqua" w:cs="Book Antiqua"/>
          <w:color w:val="000000"/>
        </w:rPr>
        <w:t>will happen</w:t>
      </w:r>
      <w:r w:rsidR="00260AE7">
        <w:rPr>
          <w:rFonts w:ascii="Book Antiqua" w:eastAsia="Book Antiqua" w:hAnsi="Book Antiqua" w:cs="Book Antiqua"/>
          <w:color w:val="000000"/>
        </w:rPr>
        <w:t>,</w:t>
      </w:r>
      <w:r w:rsidRPr="00260AE7">
        <w:rPr>
          <w:rFonts w:ascii="Book Antiqua" w:eastAsia="Book Antiqua" w:hAnsi="Book Antiqua" w:cs="Book Antiqua"/>
          <w:color w:val="000000"/>
        </w:rPr>
        <w:t xml:space="preserve"> and which follow-up method may be the most effective one (DNAc, biopsies, imaging, </w:t>
      </w:r>
      <w:r w:rsidRPr="00260AE7">
        <w:rPr>
          <w:rFonts w:ascii="Book Antiqua" w:eastAsia="Book Antiqua" w:hAnsi="Book Antiqua" w:cs="Book Antiqua"/>
          <w:i/>
          <w:iCs/>
          <w:color w:val="000000"/>
        </w:rPr>
        <w:t>etc.</w:t>
      </w:r>
      <w:r w:rsidRPr="00260AE7">
        <w:rPr>
          <w:rFonts w:ascii="Book Antiqua" w:eastAsia="Book Antiqua" w:hAnsi="Book Antiqua" w:cs="Book Antiqua"/>
          <w:color w:val="000000"/>
        </w:rPr>
        <w:t>)</w:t>
      </w:r>
    </w:p>
    <w:p w14:paraId="70759CB2" w14:textId="47751225" w:rsidR="009F5BC8" w:rsidRPr="00F12D90" w:rsidRDefault="00A225DB" w:rsidP="002F5916">
      <w:pPr>
        <w:snapToGrid w:val="0"/>
        <w:spacing w:line="360" w:lineRule="auto"/>
        <w:ind w:firstLine="480"/>
        <w:jc w:val="both"/>
        <w:rPr>
          <w:rFonts w:ascii="Book Antiqua" w:hAnsi="Book Antiqua"/>
        </w:rPr>
      </w:pPr>
      <w:r w:rsidRPr="000744F4">
        <w:rPr>
          <w:rFonts w:ascii="Book Antiqua" w:eastAsia="Book Antiqua" w:hAnsi="Book Antiqua" w:cs="Book Antiqua"/>
          <w:color w:val="000000"/>
        </w:rPr>
        <w:t xml:space="preserve">Several authors have published failure rates after a </w:t>
      </w:r>
      <w:r w:rsidR="00260AE7">
        <w:rPr>
          <w:rFonts w:ascii="Book Antiqua" w:eastAsia="Book Antiqua" w:hAnsi="Book Antiqua" w:cs="Book Antiqua"/>
          <w:color w:val="000000"/>
        </w:rPr>
        <w:t>WW</w:t>
      </w:r>
      <w:r w:rsidRPr="000744F4">
        <w:rPr>
          <w:rFonts w:ascii="Book Antiqua" w:eastAsia="Book Antiqua" w:hAnsi="Book Antiqua" w:cs="Book Antiqua"/>
          <w:color w:val="000000"/>
        </w:rPr>
        <w:t xml:space="preserve"> trial reporting a wide range of results, from 3% described by Habr-Gama </w:t>
      </w:r>
      <w:r w:rsidRPr="000744F4">
        <w:rPr>
          <w:rFonts w:ascii="Book Antiqua" w:eastAsia="Book Antiqua" w:hAnsi="Book Antiqua" w:cs="Book Antiqua"/>
          <w:i/>
          <w:iCs/>
          <w:color w:val="000000"/>
        </w:rPr>
        <w:t xml:space="preserve">et </w:t>
      </w:r>
      <w:proofErr w:type="gramStart"/>
      <w:r w:rsidRPr="000744F4">
        <w:rPr>
          <w:rFonts w:ascii="Book Antiqua" w:eastAsia="Book Antiqua" w:hAnsi="Book Antiqua" w:cs="Book Antiqua"/>
          <w:i/>
          <w:iCs/>
          <w:color w:val="000000"/>
        </w:rPr>
        <w:t>al</w:t>
      </w:r>
      <w:r w:rsidRPr="000744F4">
        <w:rPr>
          <w:rFonts w:ascii="Book Antiqua" w:eastAsia="Book Antiqua" w:hAnsi="Book Antiqua" w:cs="Book Antiqua"/>
          <w:color w:val="000000"/>
          <w:vertAlign w:val="superscript"/>
        </w:rPr>
        <w:t>[</w:t>
      </w:r>
      <w:proofErr w:type="gramEnd"/>
      <w:r w:rsidRPr="000744F4">
        <w:rPr>
          <w:rFonts w:ascii="Book Antiqua" w:eastAsia="Book Antiqua" w:hAnsi="Book Antiqua" w:cs="Book Antiqua"/>
          <w:color w:val="000000"/>
          <w:vertAlign w:val="superscript"/>
        </w:rPr>
        <w:t>11]</w:t>
      </w:r>
      <w:r w:rsidRPr="000744F4">
        <w:rPr>
          <w:rFonts w:ascii="Book Antiqua" w:eastAsia="Book Antiqua" w:hAnsi="Book Antiqua" w:cs="Book Antiqua"/>
          <w:color w:val="000000"/>
        </w:rPr>
        <w:t xml:space="preserve"> in his first study up to a 30% in other publications</w:t>
      </w:r>
      <w:r w:rsidRPr="00AD3253">
        <w:rPr>
          <w:rFonts w:ascii="Book Antiqua" w:eastAsia="Book Antiqua" w:hAnsi="Book Antiqua" w:cs="Book Antiqua"/>
          <w:color w:val="000000"/>
          <w:vertAlign w:val="superscript"/>
        </w:rPr>
        <w:t>[21]</w:t>
      </w:r>
      <w:r w:rsidRPr="00260AE7">
        <w:rPr>
          <w:rFonts w:ascii="Book Antiqua" w:eastAsia="Book Antiqua" w:hAnsi="Book Antiqua" w:cs="Book Antiqua"/>
          <w:color w:val="000000"/>
        </w:rPr>
        <w:t>, clearly higher numbers when compare</w:t>
      </w:r>
      <w:r w:rsidR="000740B3">
        <w:rPr>
          <w:rFonts w:ascii="Book Antiqua" w:eastAsia="Book Antiqua" w:hAnsi="Book Antiqua" w:cs="Book Antiqua"/>
          <w:color w:val="000000"/>
        </w:rPr>
        <w:t>d</w:t>
      </w:r>
      <w:r w:rsidRPr="00260AE7">
        <w:rPr>
          <w:rFonts w:ascii="Book Antiqua" w:eastAsia="Book Antiqua" w:hAnsi="Book Antiqua" w:cs="Book Antiqua"/>
          <w:color w:val="000000"/>
        </w:rPr>
        <w:t xml:space="preserve"> to the Brazilian group. It might be due to the exclusion of the first 12 mo of follow-up in the Brazilian group, and consequently the first 12-mo regrowth rate.</w:t>
      </w:r>
    </w:p>
    <w:p w14:paraId="6B093C51" w14:textId="25A86FEC" w:rsidR="009F5BC8" w:rsidRPr="00F12D90" w:rsidRDefault="00A225DB" w:rsidP="002F5916">
      <w:pPr>
        <w:snapToGrid w:val="0"/>
        <w:spacing w:line="360" w:lineRule="auto"/>
        <w:ind w:firstLine="480"/>
        <w:jc w:val="both"/>
        <w:rPr>
          <w:rFonts w:ascii="Book Antiqua" w:hAnsi="Book Antiqua"/>
        </w:rPr>
      </w:pPr>
      <w:r w:rsidRPr="000744F4">
        <w:rPr>
          <w:rFonts w:ascii="Book Antiqua" w:eastAsia="Book Antiqua" w:hAnsi="Book Antiqua" w:cs="Book Antiqua"/>
          <w:color w:val="000000"/>
        </w:rPr>
        <w:t>More recent studies show locoregional recurrence rate of about a 19%</w:t>
      </w:r>
      <w:r w:rsidRPr="000744F4">
        <w:rPr>
          <w:rFonts w:ascii="Book Antiqua" w:eastAsia="Book Antiqua" w:hAnsi="Book Antiqua" w:cs="Book Antiqua"/>
          <w:color w:val="000000"/>
          <w:vertAlign w:val="superscript"/>
        </w:rPr>
        <w:t>[5,20]</w:t>
      </w:r>
      <w:r w:rsidRPr="000744F4">
        <w:rPr>
          <w:rFonts w:ascii="Book Antiqua" w:eastAsia="Book Antiqua" w:hAnsi="Book Antiqua" w:cs="Book Antiqua"/>
          <w:color w:val="000000"/>
        </w:rPr>
        <w:t xml:space="preserve"> as the closest to the real number. This recurrence might occur deep into the mucos</w:t>
      </w:r>
      <w:r w:rsidR="000740B3">
        <w:rPr>
          <w:rFonts w:ascii="Book Antiqua" w:eastAsia="Book Antiqua" w:hAnsi="Book Antiqua" w:cs="Book Antiqua"/>
          <w:color w:val="000000"/>
        </w:rPr>
        <w:t>al</w:t>
      </w:r>
      <w:r w:rsidRPr="000744F4">
        <w:rPr>
          <w:rFonts w:ascii="Book Antiqua" w:eastAsia="Book Antiqua" w:hAnsi="Book Antiqua" w:cs="Book Antiqua"/>
          <w:color w:val="000000"/>
        </w:rPr>
        <w:t xml:space="preserve"> layer and therefore could be difficult to detect before the sphincteric complex is affected. However, in the presence of this scenario, savage surgery can be offered to the patient achieving a similar survival rate as to an initial surgery without a </w:t>
      </w:r>
      <w:r w:rsidR="00260AE7">
        <w:rPr>
          <w:rFonts w:ascii="Book Antiqua" w:eastAsia="Book Antiqua" w:hAnsi="Book Antiqua" w:cs="Book Antiqua"/>
          <w:color w:val="000000"/>
        </w:rPr>
        <w:t>WW</w:t>
      </w:r>
      <w:r w:rsidRPr="00260AE7">
        <w:rPr>
          <w:rFonts w:ascii="Book Antiqua" w:eastAsia="Book Antiqua" w:hAnsi="Book Antiqua" w:cs="Book Antiqua"/>
          <w:color w:val="000000"/>
        </w:rPr>
        <w:t xml:space="preserve"> first step.</w:t>
      </w:r>
    </w:p>
    <w:p w14:paraId="5C5BDFBE" w14:textId="77777777" w:rsidR="009F5BC8" w:rsidRPr="00F12D90" w:rsidRDefault="009F5BC8" w:rsidP="002F5916">
      <w:pPr>
        <w:snapToGrid w:val="0"/>
        <w:spacing w:line="360" w:lineRule="auto"/>
        <w:ind w:firstLine="480"/>
        <w:jc w:val="both"/>
        <w:rPr>
          <w:rFonts w:ascii="Book Antiqua" w:hAnsi="Book Antiqua"/>
        </w:rPr>
      </w:pPr>
    </w:p>
    <w:p w14:paraId="4BA360A7" w14:textId="77777777"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b/>
          <w:caps/>
          <w:color w:val="000000"/>
          <w:u w:val="single"/>
        </w:rPr>
        <w:t>CONCLUSION</w:t>
      </w:r>
    </w:p>
    <w:p w14:paraId="55BFBE55" w14:textId="49DA7059"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color w:val="000000"/>
        </w:rPr>
        <w:t xml:space="preserve">Patients with rectal cancer who undergo neoadjuvant therapy could present a complete clinical response. When this happens, these patients might benefit from a non-surgical strategy associated with an exhaustive follow-up as long as they are aware of the implications of this pathway. In the event of a tumor regrowth, savage surgery can be offered to them with similar oncological results. Nonetheless, future investigations are </w:t>
      </w:r>
      <w:proofErr w:type="gramStart"/>
      <w:r w:rsidRPr="000744F4">
        <w:rPr>
          <w:rFonts w:ascii="Book Antiqua" w:eastAsia="Book Antiqua" w:hAnsi="Book Antiqua" w:cs="Book Antiqua"/>
          <w:color w:val="000000"/>
        </w:rPr>
        <w:t>in order to</w:t>
      </w:r>
      <w:proofErr w:type="gramEnd"/>
      <w:r w:rsidRPr="000744F4">
        <w:rPr>
          <w:rFonts w:ascii="Book Antiqua" w:eastAsia="Book Antiqua" w:hAnsi="Book Antiqua" w:cs="Book Antiqua"/>
          <w:color w:val="000000"/>
        </w:rPr>
        <w:t xml:space="preserve"> </w:t>
      </w:r>
      <w:r w:rsidR="00260AE7">
        <w:rPr>
          <w:rFonts w:ascii="Book Antiqua" w:eastAsia="Book Antiqua" w:hAnsi="Book Antiqua" w:cs="Book Antiqua"/>
          <w:color w:val="000000"/>
        </w:rPr>
        <w:t>elucidate</w:t>
      </w:r>
      <w:r w:rsidR="00260AE7" w:rsidRPr="00260AE7">
        <w:rPr>
          <w:rFonts w:ascii="Book Antiqua" w:eastAsia="Book Antiqua" w:hAnsi="Book Antiqua" w:cs="Book Antiqua"/>
          <w:color w:val="000000"/>
        </w:rPr>
        <w:t xml:space="preserve"> </w:t>
      </w:r>
      <w:r w:rsidRPr="00260AE7">
        <w:rPr>
          <w:rFonts w:ascii="Book Antiqua" w:eastAsia="Book Antiqua" w:hAnsi="Book Antiqua" w:cs="Book Antiqua"/>
          <w:color w:val="000000"/>
        </w:rPr>
        <w:t>the most proper candidates and follow-up methods for this treatment alternative.</w:t>
      </w:r>
    </w:p>
    <w:p w14:paraId="37F5B0A6" w14:textId="77777777" w:rsidR="009F5BC8" w:rsidRPr="00F12D90" w:rsidRDefault="009F5BC8" w:rsidP="002F5916">
      <w:pPr>
        <w:snapToGrid w:val="0"/>
        <w:spacing w:line="360" w:lineRule="auto"/>
        <w:jc w:val="both"/>
        <w:rPr>
          <w:rFonts w:ascii="Book Antiqua" w:hAnsi="Book Antiqua"/>
        </w:rPr>
      </w:pPr>
    </w:p>
    <w:p w14:paraId="6786AE1D" w14:textId="77777777"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b/>
          <w:color w:val="000000"/>
        </w:rPr>
        <w:lastRenderedPageBreak/>
        <w:t>REFERENCES</w:t>
      </w:r>
    </w:p>
    <w:p w14:paraId="34D27843" w14:textId="77777777" w:rsidR="009F5BC8" w:rsidRPr="000744F4" w:rsidRDefault="00A225DB" w:rsidP="002F5916">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0744F4">
        <w:rPr>
          <w:rFonts w:ascii="Book Antiqua" w:hAnsi="Book Antiqua"/>
          <w:color w:val="201F35"/>
        </w:rPr>
        <w:t xml:space="preserve">1 </w:t>
      </w:r>
      <w:r w:rsidRPr="000744F4">
        <w:rPr>
          <w:rFonts w:ascii="Book Antiqua" w:hAnsi="Book Antiqua"/>
          <w:b/>
          <w:bCs/>
          <w:color w:val="201F35"/>
        </w:rPr>
        <w:t>Sauer R</w:t>
      </w:r>
      <w:r w:rsidRPr="000744F4">
        <w:rPr>
          <w:rFonts w:ascii="Book Antiqua" w:hAnsi="Book Antiqua"/>
          <w:color w:val="201F35"/>
        </w:rPr>
        <w:t xml:space="preserve">, Becker H, </w:t>
      </w:r>
      <w:proofErr w:type="spellStart"/>
      <w:r w:rsidRPr="000744F4">
        <w:rPr>
          <w:rFonts w:ascii="Book Antiqua" w:hAnsi="Book Antiqua"/>
          <w:color w:val="201F35"/>
        </w:rPr>
        <w:t>Hohenberger</w:t>
      </w:r>
      <w:proofErr w:type="spellEnd"/>
      <w:r w:rsidRPr="000744F4">
        <w:rPr>
          <w:rFonts w:ascii="Book Antiqua" w:hAnsi="Book Antiqua"/>
          <w:color w:val="201F35"/>
        </w:rPr>
        <w:t xml:space="preserve"> W, </w:t>
      </w:r>
      <w:proofErr w:type="spellStart"/>
      <w:r w:rsidRPr="000744F4">
        <w:rPr>
          <w:rFonts w:ascii="Book Antiqua" w:hAnsi="Book Antiqua"/>
          <w:color w:val="201F35"/>
        </w:rPr>
        <w:t>Rödel</w:t>
      </w:r>
      <w:proofErr w:type="spellEnd"/>
      <w:r w:rsidRPr="000744F4">
        <w:rPr>
          <w:rFonts w:ascii="Book Antiqua" w:hAnsi="Book Antiqua"/>
          <w:color w:val="201F35"/>
        </w:rPr>
        <w:t xml:space="preserve"> C, Wittekind C, </w:t>
      </w:r>
      <w:proofErr w:type="spellStart"/>
      <w:r w:rsidRPr="000744F4">
        <w:rPr>
          <w:rFonts w:ascii="Book Antiqua" w:hAnsi="Book Antiqua"/>
          <w:color w:val="201F35"/>
        </w:rPr>
        <w:t>Fietkau</w:t>
      </w:r>
      <w:proofErr w:type="spellEnd"/>
      <w:r w:rsidRPr="000744F4">
        <w:rPr>
          <w:rFonts w:ascii="Book Antiqua" w:hAnsi="Book Antiqua"/>
          <w:color w:val="201F35"/>
        </w:rPr>
        <w:t xml:space="preserve"> R, </w:t>
      </w:r>
      <w:proofErr w:type="spellStart"/>
      <w:r w:rsidRPr="000744F4">
        <w:rPr>
          <w:rFonts w:ascii="Book Antiqua" w:hAnsi="Book Antiqua"/>
          <w:color w:val="201F35"/>
        </w:rPr>
        <w:t>Martus</w:t>
      </w:r>
      <w:proofErr w:type="spellEnd"/>
      <w:r w:rsidRPr="000744F4">
        <w:rPr>
          <w:rFonts w:ascii="Book Antiqua" w:hAnsi="Book Antiqua"/>
          <w:color w:val="201F35"/>
        </w:rPr>
        <w:t xml:space="preserve"> P, </w:t>
      </w:r>
      <w:proofErr w:type="spellStart"/>
      <w:r w:rsidRPr="000744F4">
        <w:rPr>
          <w:rFonts w:ascii="Book Antiqua" w:hAnsi="Book Antiqua"/>
          <w:color w:val="201F35"/>
        </w:rPr>
        <w:t>Tschmelitsch</w:t>
      </w:r>
      <w:proofErr w:type="spellEnd"/>
      <w:r w:rsidRPr="000744F4">
        <w:rPr>
          <w:rFonts w:ascii="Book Antiqua" w:hAnsi="Book Antiqua"/>
          <w:color w:val="201F35"/>
        </w:rPr>
        <w:t xml:space="preserve"> J, Hager E, Hess CF, </w:t>
      </w:r>
      <w:proofErr w:type="spellStart"/>
      <w:r w:rsidRPr="000744F4">
        <w:rPr>
          <w:rFonts w:ascii="Book Antiqua" w:hAnsi="Book Antiqua"/>
          <w:color w:val="201F35"/>
        </w:rPr>
        <w:t>Karstens</w:t>
      </w:r>
      <w:proofErr w:type="spellEnd"/>
      <w:r w:rsidRPr="000744F4">
        <w:rPr>
          <w:rFonts w:ascii="Book Antiqua" w:hAnsi="Book Antiqua"/>
          <w:color w:val="201F35"/>
        </w:rPr>
        <w:t xml:space="preserve"> JH, </w:t>
      </w:r>
      <w:proofErr w:type="spellStart"/>
      <w:r w:rsidRPr="000744F4">
        <w:rPr>
          <w:rFonts w:ascii="Book Antiqua" w:hAnsi="Book Antiqua"/>
          <w:color w:val="201F35"/>
        </w:rPr>
        <w:t>Liersch</w:t>
      </w:r>
      <w:proofErr w:type="spellEnd"/>
      <w:r w:rsidRPr="000744F4">
        <w:rPr>
          <w:rFonts w:ascii="Book Antiqua" w:hAnsi="Book Antiqua"/>
          <w:color w:val="201F35"/>
        </w:rPr>
        <w:t xml:space="preserve"> T, </w:t>
      </w:r>
      <w:proofErr w:type="spellStart"/>
      <w:r w:rsidRPr="000744F4">
        <w:rPr>
          <w:rFonts w:ascii="Book Antiqua" w:hAnsi="Book Antiqua"/>
          <w:color w:val="201F35"/>
        </w:rPr>
        <w:t>Schmidberger</w:t>
      </w:r>
      <w:proofErr w:type="spellEnd"/>
      <w:r w:rsidRPr="000744F4">
        <w:rPr>
          <w:rFonts w:ascii="Book Antiqua" w:hAnsi="Book Antiqua"/>
          <w:color w:val="201F35"/>
        </w:rPr>
        <w:t xml:space="preserve"> H, </w:t>
      </w:r>
      <w:proofErr w:type="spellStart"/>
      <w:r w:rsidRPr="000744F4">
        <w:rPr>
          <w:rFonts w:ascii="Book Antiqua" w:hAnsi="Book Antiqua"/>
          <w:color w:val="201F35"/>
        </w:rPr>
        <w:t>Raab</w:t>
      </w:r>
      <w:proofErr w:type="spellEnd"/>
      <w:r w:rsidRPr="000744F4">
        <w:rPr>
          <w:rFonts w:ascii="Book Antiqua" w:hAnsi="Book Antiqua"/>
          <w:color w:val="201F35"/>
        </w:rPr>
        <w:t xml:space="preserve"> R; German Rectal Cancer Study Group. Preoperative versus postoperative chemoradiotherapy for rectal cancer.</w:t>
      </w:r>
      <w:r w:rsidRPr="00AD3253">
        <w:rPr>
          <w:rFonts w:ascii="Book Antiqua" w:hAnsi="Book Antiqua"/>
          <w:color w:val="201F35"/>
        </w:rPr>
        <w:t xml:space="preserve"> </w:t>
      </w:r>
      <w:r w:rsidRPr="00AD3253">
        <w:rPr>
          <w:rFonts w:ascii="Book Antiqua" w:hAnsi="Book Antiqua"/>
          <w:i/>
          <w:iCs/>
          <w:color w:val="201F35"/>
        </w:rPr>
        <w:t xml:space="preserve">N </w:t>
      </w:r>
      <w:proofErr w:type="spellStart"/>
      <w:r w:rsidRPr="00AD3253">
        <w:rPr>
          <w:rFonts w:ascii="Book Antiqua" w:hAnsi="Book Antiqua"/>
          <w:i/>
          <w:iCs/>
          <w:color w:val="201F35"/>
        </w:rPr>
        <w:t>Engl</w:t>
      </w:r>
      <w:proofErr w:type="spellEnd"/>
      <w:r w:rsidRPr="00AD3253">
        <w:rPr>
          <w:rFonts w:ascii="Book Antiqua" w:hAnsi="Book Antiqua"/>
          <w:i/>
          <w:iCs/>
          <w:color w:val="201F35"/>
        </w:rPr>
        <w:t xml:space="preserve"> J Med</w:t>
      </w:r>
      <w:r w:rsidRPr="00AD3253">
        <w:rPr>
          <w:rFonts w:ascii="Book Antiqua" w:hAnsi="Book Antiqua"/>
          <w:color w:val="201F35"/>
        </w:rPr>
        <w:t xml:space="preserve"> 2004; </w:t>
      </w:r>
      <w:r w:rsidRPr="00260AE7">
        <w:rPr>
          <w:rFonts w:ascii="Book Antiqua" w:hAnsi="Book Antiqua"/>
          <w:b/>
          <w:bCs/>
          <w:color w:val="201F35"/>
        </w:rPr>
        <w:t>351</w:t>
      </w:r>
      <w:r w:rsidRPr="00260AE7">
        <w:rPr>
          <w:rFonts w:ascii="Book Antiqua" w:hAnsi="Book Antiqua"/>
          <w:color w:val="201F35"/>
        </w:rPr>
        <w:t>: 1731-1740 [PMID: 15496622 DOI: 10.1056/NEJMoa040694]</w:t>
      </w:r>
    </w:p>
    <w:p w14:paraId="095C6122" w14:textId="77777777" w:rsidR="009F5BC8" w:rsidRPr="000744F4" w:rsidRDefault="00A225DB" w:rsidP="002F5916">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0744F4">
        <w:rPr>
          <w:rFonts w:ascii="Book Antiqua" w:hAnsi="Book Antiqua"/>
          <w:color w:val="201F35"/>
        </w:rPr>
        <w:t xml:space="preserve">2 </w:t>
      </w:r>
      <w:r w:rsidRPr="000744F4">
        <w:rPr>
          <w:rFonts w:ascii="Book Antiqua" w:hAnsi="Book Antiqua"/>
          <w:b/>
          <w:bCs/>
          <w:color w:val="201F35"/>
        </w:rPr>
        <w:t>Cunningham D</w:t>
      </w:r>
      <w:r w:rsidRPr="000744F4">
        <w:rPr>
          <w:rFonts w:ascii="Book Antiqua" w:hAnsi="Book Antiqua"/>
          <w:color w:val="201F35"/>
        </w:rPr>
        <w:t xml:space="preserve">, Atkin W, Lenz HJ, Lynch HT, Minsky B, </w:t>
      </w:r>
      <w:proofErr w:type="spellStart"/>
      <w:r w:rsidRPr="000744F4">
        <w:rPr>
          <w:rFonts w:ascii="Book Antiqua" w:hAnsi="Book Antiqua"/>
          <w:color w:val="201F35"/>
        </w:rPr>
        <w:t>Nordlinger</w:t>
      </w:r>
      <w:proofErr w:type="spellEnd"/>
      <w:r w:rsidRPr="000744F4">
        <w:rPr>
          <w:rFonts w:ascii="Book Antiqua" w:hAnsi="Book Antiqua"/>
          <w:color w:val="201F35"/>
        </w:rPr>
        <w:t xml:space="preserve"> B, Starling N. Colorectal cancer. </w:t>
      </w:r>
      <w:r w:rsidRPr="000744F4">
        <w:rPr>
          <w:rFonts w:ascii="Book Antiqua" w:hAnsi="Book Antiqua"/>
          <w:i/>
          <w:iCs/>
          <w:color w:val="201F35"/>
        </w:rPr>
        <w:t>Lancet</w:t>
      </w:r>
      <w:r w:rsidRPr="000744F4">
        <w:rPr>
          <w:rFonts w:ascii="Book Antiqua" w:hAnsi="Book Antiqua"/>
          <w:color w:val="201F35"/>
        </w:rPr>
        <w:t xml:space="preserve"> 2010; </w:t>
      </w:r>
      <w:r w:rsidRPr="000744F4">
        <w:rPr>
          <w:rFonts w:ascii="Book Antiqua" w:hAnsi="Book Antiqua"/>
          <w:b/>
          <w:bCs/>
          <w:color w:val="201F35"/>
        </w:rPr>
        <w:t>375</w:t>
      </w:r>
      <w:r w:rsidRPr="000744F4">
        <w:rPr>
          <w:rFonts w:ascii="Book Antiqua" w:hAnsi="Book Antiqua"/>
          <w:color w:val="201F35"/>
        </w:rPr>
        <w:t>: 1030-1047 [PMID: 20304247 DOI: 10.1016/S0140-6736(10)60353-4]</w:t>
      </w:r>
    </w:p>
    <w:p w14:paraId="38071112" w14:textId="77777777" w:rsidR="009F5BC8" w:rsidRPr="000744F4" w:rsidRDefault="00A225DB" w:rsidP="002F5916">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0744F4">
        <w:rPr>
          <w:rFonts w:ascii="Book Antiqua" w:hAnsi="Book Antiqua"/>
          <w:color w:val="201F35"/>
        </w:rPr>
        <w:t xml:space="preserve">3 </w:t>
      </w:r>
      <w:proofErr w:type="spellStart"/>
      <w:r w:rsidRPr="000744F4">
        <w:rPr>
          <w:rFonts w:ascii="Book Antiqua" w:hAnsi="Book Antiqua"/>
          <w:b/>
          <w:bCs/>
          <w:color w:val="201F35"/>
        </w:rPr>
        <w:t>Pucciarelli</w:t>
      </w:r>
      <w:proofErr w:type="spellEnd"/>
      <w:r w:rsidRPr="000744F4">
        <w:rPr>
          <w:rFonts w:ascii="Book Antiqua" w:hAnsi="Book Antiqua"/>
          <w:b/>
          <w:bCs/>
          <w:color w:val="201F35"/>
        </w:rPr>
        <w:t xml:space="preserve"> S</w:t>
      </w:r>
      <w:r w:rsidRPr="000744F4">
        <w:rPr>
          <w:rFonts w:ascii="Book Antiqua" w:hAnsi="Book Antiqua"/>
          <w:color w:val="201F35"/>
        </w:rPr>
        <w:t xml:space="preserve">, Del Bianco P, </w:t>
      </w:r>
      <w:proofErr w:type="spellStart"/>
      <w:r w:rsidRPr="000744F4">
        <w:rPr>
          <w:rFonts w:ascii="Book Antiqua" w:hAnsi="Book Antiqua"/>
          <w:color w:val="201F35"/>
        </w:rPr>
        <w:t>Efficace</w:t>
      </w:r>
      <w:proofErr w:type="spellEnd"/>
      <w:r w:rsidRPr="000744F4">
        <w:rPr>
          <w:rFonts w:ascii="Book Antiqua" w:hAnsi="Book Antiqua"/>
          <w:color w:val="201F35"/>
        </w:rPr>
        <w:t xml:space="preserve"> F, </w:t>
      </w:r>
      <w:proofErr w:type="spellStart"/>
      <w:r w:rsidRPr="000744F4">
        <w:rPr>
          <w:rFonts w:ascii="Book Antiqua" w:hAnsi="Book Antiqua"/>
          <w:color w:val="201F35"/>
        </w:rPr>
        <w:t>Serpentini</w:t>
      </w:r>
      <w:proofErr w:type="spellEnd"/>
      <w:r w:rsidRPr="000744F4">
        <w:rPr>
          <w:rFonts w:ascii="Book Antiqua" w:hAnsi="Book Antiqua"/>
          <w:color w:val="201F35"/>
        </w:rPr>
        <w:t xml:space="preserve"> S, </w:t>
      </w:r>
      <w:proofErr w:type="spellStart"/>
      <w:r w:rsidRPr="000744F4">
        <w:rPr>
          <w:rFonts w:ascii="Book Antiqua" w:hAnsi="Book Antiqua"/>
          <w:color w:val="201F35"/>
        </w:rPr>
        <w:t>Capirci</w:t>
      </w:r>
      <w:proofErr w:type="spellEnd"/>
      <w:r w:rsidRPr="000744F4">
        <w:rPr>
          <w:rFonts w:ascii="Book Antiqua" w:hAnsi="Book Antiqua"/>
          <w:color w:val="201F35"/>
        </w:rPr>
        <w:t xml:space="preserve"> C, De Paoli A, Amato A, </w:t>
      </w:r>
      <w:proofErr w:type="spellStart"/>
      <w:r w:rsidRPr="000744F4">
        <w:rPr>
          <w:rFonts w:ascii="Book Antiqua" w:hAnsi="Book Antiqua"/>
          <w:color w:val="201F35"/>
        </w:rPr>
        <w:t>Cuicchi</w:t>
      </w:r>
      <w:proofErr w:type="spellEnd"/>
      <w:r w:rsidRPr="000744F4">
        <w:rPr>
          <w:rFonts w:ascii="Book Antiqua" w:hAnsi="Book Antiqua"/>
          <w:color w:val="201F35"/>
        </w:rPr>
        <w:t xml:space="preserve"> D, Nitti D. Patient-reported outcomes after neoadjuvant chemoradiotherapy for rectal cancer: a multicenter prospective observational study. </w:t>
      </w:r>
      <w:r w:rsidRPr="000744F4">
        <w:rPr>
          <w:rFonts w:ascii="Book Antiqua" w:hAnsi="Book Antiqua"/>
          <w:i/>
          <w:iCs/>
          <w:color w:val="201F35"/>
        </w:rPr>
        <w:t>Ann Surg</w:t>
      </w:r>
      <w:r w:rsidRPr="000744F4">
        <w:rPr>
          <w:rFonts w:ascii="Book Antiqua" w:hAnsi="Book Antiqua"/>
          <w:color w:val="201F35"/>
        </w:rPr>
        <w:t xml:space="preserve"> 2011; </w:t>
      </w:r>
      <w:r w:rsidRPr="000744F4">
        <w:rPr>
          <w:rFonts w:ascii="Book Antiqua" w:hAnsi="Book Antiqua"/>
          <w:b/>
          <w:bCs/>
          <w:color w:val="201F35"/>
        </w:rPr>
        <w:t>253</w:t>
      </w:r>
      <w:r w:rsidRPr="000744F4">
        <w:rPr>
          <w:rFonts w:ascii="Book Antiqua" w:hAnsi="Book Antiqua"/>
          <w:color w:val="201F35"/>
        </w:rPr>
        <w:t>: 71-77 [PMID: 21135694 DOI: 10.1097/SLA.0b013e3181fcb856]</w:t>
      </w:r>
    </w:p>
    <w:p w14:paraId="0226B077" w14:textId="77777777" w:rsidR="009F5BC8" w:rsidRPr="000744F4" w:rsidRDefault="00A225DB" w:rsidP="002F5916">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0744F4">
        <w:rPr>
          <w:rFonts w:ascii="Book Antiqua" w:hAnsi="Book Antiqua"/>
          <w:color w:val="201F35"/>
        </w:rPr>
        <w:t xml:space="preserve">4 </w:t>
      </w:r>
      <w:r w:rsidRPr="000744F4">
        <w:rPr>
          <w:rFonts w:ascii="Book Antiqua" w:hAnsi="Book Antiqua"/>
          <w:b/>
          <w:bCs/>
          <w:color w:val="201F35"/>
        </w:rPr>
        <w:t>Chen TY</w:t>
      </w:r>
      <w:r w:rsidRPr="000744F4">
        <w:rPr>
          <w:rFonts w:ascii="Book Antiqua" w:hAnsi="Book Antiqua"/>
          <w:color w:val="201F35"/>
        </w:rPr>
        <w:t xml:space="preserve">, </w:t>
      </w:r>
      <w:proofErr w:type="spellStart"/>
      <w:r w:rsidRPr="000744F4">
        <w:rPr>
          <w:rFonts w:ascii="Book Antiqua" w:hAnsi="Book Antiqua"/>
          <w:color w:val="201F35"/>
        </w:rPr>
        <w:t>Wiltink</w:t>
      </w:r>
      <w:proofErr w:type="spellEnd"/>
      <w:r w:rsidRPr="000744F4">
        <w:rPr>
          <w:rFonts w:ascii="Book Antiqua" w:hAnsi="Book Antiqua"/>
          <w:color w:val="201F35"/>
        </w:rPr>
        <w:t xml:space="preserve"> LM, </w:t>
      </w:r>
      <w:proofErr w:type="spellStart"/>
      <w:r w:rsidRPr="000744F4">
        <w:rPr>
          <w:rFonts w:ascii="Book Antiqua" w:hAnsi="Book Antiqua"/>
          <w:color w:val="201F35"/>
        </w:rPr>
        <w:t>Nout</w:t>
      </w:r>
      <w:proofErr w:type="spellEnd"/>
      <w:r w:rsidRPr="000744F4">
        <w:rPr>
          <w:rFonts w:ascii="Book Antiqua" w:hAnsi="Book Antiqua"/>
          <w:color w:val="201F35"/>
        </w:rPr>
        <w:t xml:space="preserve"> RA, </w:t>
      </w:r>
      <w:proofErr w:type="spellStart"/>
      <w:r w:rsidRPr="000744F4">
        <w:rPr>
          <w:rFonts w:ascii="Book Antiqua" w:hAnsi="Book Antiqua"/>
          <w:color w:val="201F35"/>
        </w:rPr>
        <w:t>Meershoek</w:t>
      </w:r>
      <w:proofErr w:type="spellEnd"/>
      <w:r w:rsidRPr="000744F4">
        <w:rPr>
          <w:rFonts w:ascii="Book Antiqua" w:hAnsi="Book Antiqua"/>
          <w:color w:val="201F35"/>
        </w:rPr>
        <w:t xml:space="preserve">-Klein </w:t>
      </w:r>
      <w:proofErr w:type="spellStart"/>
      <w:r w:rsidRPr="000744F4">
        <w:rPr>
          <w:rFonts w:ascii="Book Antiqua" w:hAnsi="Book Antiqua"/>
          <w:color w:val="201F35"/>
        </w:rPr>
        <w:t>Kranenbarg</w:t>
      </w:r>
      <w:proofErr w:type="spellEnd"/>
      <w:r w:rsidRPr="000744F4">
        <w:rPr>
          <w:rFonts w:ascii="Book Antiqua" w:hAnsi="Book Antiqua"/>
          <w:color w:val="201F35"/>
        </w:rPr>
        <w:t xml:space="preserve"> E, </w:t>
      </w:r>
      <w:proofErr w:type="spellStart"/>
      <w:r w:rsidRPr="000744F4">
        <w:rPr>
          <w:rFonts w:ascii="Book Antiqua" w:hAnsi="Book Antiqua"/>
          <w:color w:val="201F35"/>
        </w:rPr>
        <w:t>Laurberg</w:t>
      </w:r>
      <w:proofErr w:type="spellEnd"/>
      <w:r w:rsidRPr="000744F4">
        <w:rPr>
          <w:rFonts w:ascii="Book Antiqua" w:hAnsi="Book Antiqua"/>
          <w:color w:val="201F35"/>
        </w:rPr>
        <w:t xml:space="preserve"> S, </w:t>
      </w:r>
      <w:proofErr w:type="spellStart"/>
      <w:r w:rsidRPr="000744F4">
        <w:rPr>
          <w:rFonts w:ascii="Book Antiqua" w:hAnsi="Book Antiqua"/>
          <w:color w:val="201F35"/>
        </w:rPr>
        <w:t>Marijnen</w:t>
      </w:r>
      <w:proofErr w:type="spellEnd"/>
      <w:r w:rsidRPr="000744F4">
        <w:rPr>
          <w:rFonts w:ascii="Book Antiqua" w:hAnsi="Book Antiqua"/>
          <w:color w:val="201F35"/>
        </w:rPr>
        <w:t xml:space="preserve"> CA, van de Velde CJ. Bowel function 14 years after preoperative short-course radiotherapy and total </w:t>
      </w:r>
      <w:proofErr w:type="spellStart"/>
      <w:r w:rsidRPr="000744F4">
        <w:rPr>
          <w:rFonts w:ascii="Book Antiqua" w:hAnsi="Book Antiqua"/>
          <w:color w:val="201F35"/>
        </w:rPr>
        <w:t>mesorectal</w:t>
      </w:r>
      <w:proofErr w:type="spellEnd"/>
      <w:r w:rsidRPr="000744F4">
        <w:rPr>
          <w:rFonts w:ascii="Book Antiqua" w:hAnsi="Book Antiqua"/>
          <w:color w:val="201F35"/>
        </w:rPr>
        <w:t xml:space="preserve"> excision for rectal cancer: report of a multicenter randomized trial. </w:t>
      </w:r>
      <w:r w:rsidRPr="000744F4">
        <w:rPr>
          <w:rFonts w:ascii="Book Antiqua" w:hAnsi="Book Antiqua"/>
          <w:i/>
          <w:iCs/>
          <w:color w:val="201F35"/>
        </w:rPr>
        <w:t>Clin Colorectal Cancer</w:t>
      </w:r>
      <w:r w:rsidRPr="000744F4">
        <w:rPr>
          <w:rFonts w:ascii="Book Antiqua" w:hAnsi="Book Antiqua"/>
          <w:color w:val="201F35"/>
        </w:rPr>
        <w:t xml:space="preserve"> 2015; </w:t>
      </w:r>
      <w:r w:rsidRPr="000744F4">
        <w:rPr>
          <w:rFonts w:ascii="Book Antiqua" w:hAnsi="Book Antiqua"/>
          <w:b/>
          <w:bCs/>
          <w:color w:val="201F35"/>
        </w:rPr>
        <w:t>14</w:t>
      </w:r>
      <w:r w:rsidRPr="000744F4">
        <w:rPr>
          <w:rFonts w:ascii="Book Antiqua" w:hAnsi="Book Antiqua"/>
          <w:color w:val="201F35"/>
        </w:rPr>
        <w:t>: 106-114 [PMID: 25677122 DOI: 10.1016/j.clcc.2014.12.007]</w:t>
      </w:r>
    </w:p>
    <w:p w14:paraId="214C7F4D" w14:textId="77777777" w:rsidR="009F5BC8" w:rsidRPr="000744F4" w:rsidRDefault="00A225DB" w:rsidP="002F5916">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0744F4">
        <w:rPr>
          <w:rFonts w:ascii="Book Antiqua" w:hAnsi="Book Antiqua"/>
          <w:color w:val="201F35"/>
        </w:rPr>
        <w:t xml:space="preserve">5 </w:t>
      </w:r>
      <w:r w:rsidRPr="000744F4">
        <w:rPr>
          <w:rFonts w:ascii="Book Antiqua" w:hAnsi="Book Antiqua"/>
          <w:b/>
          <w:bCs/>
          <w:color w:val="201F35"/>
        </w:rPr>
        <w:t>Smith JJ</w:t>
      </w:r>
      <w:r w:rsidRPr="000744F4">
        <w:rPr>
          <w:rFonts w:ascii="Book Antiqua" w:hAnsi="Book Antiqua"/>
          <w:color w:val="201F35"/>
        </w:rPr>
        <w:t xml:space="preserve">, Chow OS, </w:t>
      </w:r>
      <w:proofErr w:type="spellStart"/>
      <w:r w:rsidRPr="000744F4">
        <w:rPr>
          <w:rFonts w:ascii="Book Antiqua" w:hAnsi="Book Antiqua"/>
          <w:color w:val="201F35"/>
        </w:rPr>
        <w:t>Gollub</w:t>
      </w:r>
      <w:proofErr w:type="spellEnd"/>
      <w:r w:rsidRPr="000744F4">
        <w:rPr>
          <w:rFonts w:ascii="Book Antiqua" w:hAnsi="Book Antiqua"/>
          <w:color w:val="201F35"/>
        </w:rPr>
        <w:t xml:space="preserve"> MJ, Nash GM, Temple LK, Weiser MR, </w:t>
      </w:r>
      <w:proofErr w:type="spellStart"/>
      <w:r w:rsidRPr="000744F4">
        <w:rPr>
          <w:rFonts w:ascii="Book Antiqua" w:hAnsi="Book Antiqua"/>
          <w:color w:val="201F35"/>
        </w:rPr>
        <w:t>Guillem</w:t>
      </w:r>
      <w:proofErr w:type="spellEnd"/>
      <w:r w:rsidRPr="000744F4">
        <w:rPr>
          <w:rFonts w:ascii="Book Antiqua" w:hAnsi="Book Antiqua"/>
          <w:color w:val="201F35"/>
        </w:rPr>
        <w:t xml:space="preserve"> JG, </w:t>
      </w:r>
      <w:proofErr w:type="spellStart"/>
      <w:r w:rsidRPr="000744F4">
        <w:rPr>
          <w:rFonts w:ascii="Book Antiqua" w:hAnsi="Book Antiqua"/>
          <w:color w:val="201F35"/>
        </w:rPr>
        <w:t>Paty</w:t>
      </w:r>
      <w:proofErr w:type="spellEnd"/>
      <w:r w:rsidRPr="000744F4">
        <w:rPr>
          <w:rFonts w:ascii="Book Antiqua" w:hAnsi="Book Antiqua"/>
          <w:color w:val="201F35"/>
        </w:rPr>
        <w:t xml:space="preserve"> PB, Avila K, Garcia-Aguilar J; Rectal Cancer Consortium. Organ Preservation in Rectal Adenocarcinoma: a phase II randomized controlled trial evaluating 3-year disease-free survival in patients with locally advanced rectal cancer treated with chemoradiation plus induction or consolidation chemotherapy, and total </w:t>
      </w:r>
      <w:proofErr w:type="spellStart"/>
      <w:r w:rsidRPr="000744F4">
        <w:rPr>
          <w:rFonts w:ascii="Book Antiqua" w:hAnsi="Book Antiqua"/>
          <w:color w:val="201F35"/>
        </w:rPr>
        <w:t>mesorectal</w:t>
      </w:r>
      <w:proofErr w:type="spellEnd"/>
      <w:r w:rsidRPr="000744F4">
        <w:rPr>
          <w:rFonts w:ascii="Book Antiqua" w:hAnsi="Book Antiqua"/>
          <w:color w:val="201F35"/>
        </w:rPr>
        <w:t xml:space="preserve"> excision or nonoperative management. </w:t>
      </w:r>
      <w:r w:rsidRPr="000744F4">
        <w:rPr>
          <w:rFonts w:ascii="Book Antiqua" w:hAnsi="Book Antiqua"/>
          <w:i/>
          <w:iCs/>
          <w:color w:val="201F35"/>
        </w:rPr>
        <w:t>BMC Cancer</w:t>
      </w:r>
      <w:r w:rsidRPr="000744F4">
        <w:rPr>
          <w:rFonts w:ascii="Book Antiqua" w:hAnsi="Book Antiqua"/>
          <w:color w:val="201F35"/>
        </w:rPr>
        <w:t xml:space="preserve"> 2015; </w:t>
      </w:r>
      <w:r w:rsidRPr="000744F4">
        <w:rPr>
          <w:rFonts w:ascii="Book Antiqua" w:hAnsi="Book Antiqua"/>
          <w:b/>
          <w:bCs/>
          <w:color w:val="201F35"/>
        </w:rPr>
        <w:t>15</w:t>
      </w:r>
      <w:r w:rsidRPr="000744F4">
        <w:rPr>
          <w:rFonts w:ascii="Book Antiqua" w:hAnsi="Book Antiqua"/>
          <w:color w:val="201F35"/>
        </w:rPr>
        <w:t>: 767 [PMID: 26497495 DOI: 10.1186/s12885-015-1632-z]</w:t>
      </w:r>
    </w:p>
    <w:p w14:paraId="0EBC7E0D" w14:textId="77777777" w:rsidR="009F5BC8" w:rsidRPr="000744F4" w:rsidRDefault="00A225DB" w:rsidP="002F5916">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0744F4">
        <w:rPr>
          <w:rFonts w:ascii="Book Antiqua" w:hAnsi="Book Antiqua"/>
          <w:color w:val="201F35"/>
        </w:rPr>
        <w:t xml:space="preserve">6 </w:t>
      </w:r>
      <w:proofErr w:type="spellStart"/>
      <w:r w:rsidRPr="000744F4">
        <w:rPr>
          <w:rFonts w:ascii="Book Antiqua" w:hAnsi="Book Antiqua"/>
          <w:b/>
          <w:bCs/>
          <w:color w:val="201F35"/>
        </w:rPr>
        <w:t>Schrag</w:t>
      </w:r>
      <w:proofErr w:type="spellEnd"/>
      <w:r w:rsidRPr="000744F4">
        <w:rPr>
          <w:rFonts w:ascii="Book Antiqua" w:hAnsi="Book Antiqua"/>
          <w:b/>
          <w:bCs/>
          <w:color w:val="201F35"/>
        </w:rPr>
        <w:t xml:space="preserve"> D</w:t>
      </w:r>
      <w:r w:rsidRPr="000744F4">
        <w:rPr>
          <w:rFonts w:ascii="Book Antiqua" w:hAnsi="Book Antiqua"/>
          <w:color w:val="201F35"/>
        </w:rPr>
        <w:t xml:space="preserve">, Weiser M, </w:t>
      </w:r>
      <w:proofErr w:type="spellStart"/>
      <w:r w:rsidRPr="000744F4">
        <w:rPr>
          <w:rFonts w:ascii="Book Antiqua" w:hAnsi="Book Antiqua"/>
          <w:color w:val="201F35"/>
        </w:rPr>
        <w:t>Saltz</w:t>
      </w:r>
      <w:proofErr w:type="spellEnd"/>
      <w:r w:rsidRPr="000744F4">
        <w:rPr>
          <w:rFonts w:ascii="Book Antiqua" w:hAnsi="Book Antiqua"/>
          <w:color w:val="201F35"/>
        </w:rPr>
        <w:t xml:space="preserve"> L, </w:t>
      </w:r>
      <w:proofErr w:type="spellStart"/>
      <w:r w:rsidRPr="000744F4">
        <w:rPr>
          <w:rFonts w:ascii="Book Antiqua" w:hAnsi="Book Antiqua"/>
          <w:color w:val="201F35"/>
        </w:rPr>
        <w:t>Mamon</w:t>
      </w:r>
      <w:proofErr w:type="spellEnd"/>
      <w:r w:rsidRPr="000744F4">
        <w:rPr>
          <w:rFonts w:ascii="Book Antiqua" w:hAnsi="Book Antiqua"/>
          <w:color w:val="201F35"/>
        </w:rPr>
        <w:t xml:space="preserve"> H, </w:t>
      </w:r>
      <w:proofErr w:type="spellStart"/>
      <w:r w:rsidRPr="000744F4">
        <w:rPr>
          <w:rFonts w:ascii="Book Antiqua" w:hAnsi="Book Antiqua"/>
          <w:color w:val="201F35"/>
        </w:rPr>
        <w:t>Gollub</w:t>
      </w:r>
      <w:proofErr w:type="spellEnd"/>
      <w:r w:rsidRPr="000744F4">
        <w:rPr>
          <w:rFonts w:ascii="Book Antiqua" w:hAnsi="Book Antiqua"/>
          <w:color w:val="201F35"/>
        </w:rPr>
        <w:t xml:space="preserve"> M, </w:t>
      </w:r>
      <w:proofErr w:type="spellStart"/>
      <w:r w:rsidRPr="000744F4">
        <w:rPr>
          <w:rFonts w:ascii="Book Antiqua" w:hAnsi="Book Antiqua"/>
          <w:color w:val="201F35"/>
        </w:rPr>
        <w:t>Basch</w:t>
      </w:r>
      <w:proofErr w:type="spellEnd"/>
      <w:r w:rsidRPr="000744F4">
        <w:rPr>
          <w:rFonts w:ascii="Book Antiqua" w:hAnsi="Book Antiqua"/>
          <w:color w:val="201F35"/>
        </w:rPr>
        <w:t xml:space="preserve"> E, </w:t>
      </w:r>
      <w:proofErr w:type="spellStart"/>
      <w:r w:rsidRPr="000744F4">
        <w:rPr>
          <w:rFonts w:ascii="Book Antiqua" w:hAnsi="Book Antiqua"/>
          <w:color w:val="201F35"/>
        </w:rPr>
        <w:t>Venook</w:t>
      </w:r>
      <w:proofErr w:type="spellEnd"/>
      <w:r w:rsidRPr="000744F4">
        <w:rPr>
          <w:rFonts w:ascii="Book Antiqua" w:hAnsi="Book Antiqua"/>
          <w:color w:val="201F35"/>
        </w:rPr>
        <w:t xml:space="preserve"> A, Shi Q. Challenges and solutions in the design and execution of the PROSPECT Phase II/III neoadjuvant rectal cancer trial (NCCTG N1048/Alliance). </w:t>
      </w:r>
      <w:r w:rsidRPr="000744F4">
        <w:rPr>
          <w:rFonts w:ascii="Book Antiqua" w:hAnsi="Book Antiqua"/>
          <w:i/>
          <w:iCs/>
          <w:color w:val="201F35"/>
        </w:rPr>
        <w:t>Clin Trials</w:t>
      </w:r>
      <w:r w:rsidRPr="000744F4">
        <w:rPr>
          <w:rFonts w:ascii="Book Antiqua" w:hAnsi="Book Antiqua"/>
          <w:color w:val="201F35"/>
        </w:rPr>
        <w:t xml:space="preserve"> 2019; </w:t>
      </w:r>
      <w:r w:rsidRPr="000744F4">
        <w:rPr>
          <w:rFonts w:ascii="Book Antiqua" w:hAnsi="Book Antiqua"/>
          <w:b/>
          <w:bCs/>
          <w:color w:val="201F35"/>
        </w:rPr>
        <w:t>16</w:t>
      </w:r>
      <w:r w:rsidRPr="000744F4">
        <w:rPr>
          <w:rFonts w:ascii="Book Antiqua" w:hAnsi="Book Antiqua"/>
          <w:color w:val="201F35"/>
        </w:rPr>
        <w:t>: 165-175 [PMID: 30688523 DOI: 10.1177/1740774518824539]</w:t>
      </w:r>
    </w:p>
    <w:p w14:paraId="703C715E" w14:textId="77777777" w:rsidR="009F5BC8" w:rsidRPr="000744F4" w:rsidRDefault="00A225DB" w:rsidP="002F5916">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0744F4">
        <w:rPr>
          <w:rFonts w:ascii="Book Antiqua" w:hAnsi="Book Antiqua"/>
          <w:color w:val="201F35"/>
        </w:rPr>
        <w:lastRenderedPageBreak/>
        <w:t xml:space="preserve">7 </w:t>
      </w:r>
      <w:r w:rsidRPr="000744F4">
        <w:rPr>
          <w:rFonts w:ascii="Book Antiqua" w:hAnsi="Book Antiqua"/>
          <w:b/>
          <w:bCs/>
          <w:color w:val="201F35"/>
        </w:rPr>
        <w:t>Maas M</w:t>
      </w:r>
      <w:r w:rsidRPr="000744F4">
        <w:rPr>
          <w:rFonts w:ascii="Book Antiqua" w:hAnsi="Book Antiqua"/>
          <w:color w:val="201F35"/>
        </w:rPr>
        <w:t xml:space="preserve">, </w:t>
      </w:r>
      <w:proofErr w:type="spellStart"/>
      <w:r w:rsidRPr="000744F4">
        <w:rPr>
          <w:rFonts w:ascii="Book Antiqua" w:hAnsi="Book Antiqua"/>
          <w:color w:val="201F35"/>
        </w:rPr>
        <w:t>Nelemans</w:t>
      </w:r>
      <w:proofErr w:type="spellEnd"/>
      <w:r w:rsidRPr="000744F4">
        <w:rPr>
          <w:rFonts w:ascii="Book Antiqua" w:hAnsi="Book Antiqua"/>
          <w:color w:val="201F35"/>
        </w:rPr>
        <w:t xml:space="preserve"> PJ, </w:t>
      </w:r>
      <w:proofErr w:type="spellStart"/>
      <w:r w:rsidRPr="000744F4">
        <w:rPr>
          <w:rFonts w:ascii="Book Antiqua" w:hAnsi="Book Antiqua"/>
          <w:color w:val="201F35"/>
        </w:rPr>
        <w:t>Valentini</w:t>
      </w:r>
      <w:proofErr w:type="spellEnd"/>
      <w:r w:rsidRPr="000744F4">
        <w:rPr>
          <w:rFonts w:ascii="Book Antiqua" w:hAnsi="Book Antiqua"/>
          <w:color w:val="201F35"/>
        </w:rPr>
        <w:t xml:space="preserve"> V, Das P, </w:t>
      </w:r>
      <w:proofErr w:type="spellStart"/>
      <w:r w:rsidRPr="000744F4">
        <w:rPr>
          <w:rFonts w:ascii="Book Antiqua" w:hAnsi="Book Antiqua"/>
          <w:color w:val="201F35"/>
        </w:rPr>
        <w:t>Rödel</w:t>
      </w:r>
      <w:proofErr w:type="spellEnd"/>
      <w:r w:rsidRPr="000744F4">
        <w:rPr>
          <w:rFonts w:ascii="Book Antiqua" w:hAnsi="Book Antiqua"/>
          <w:color w:val="201F35"/>
        </w:rPr>
        <w:t xml:space="preserve"> C, </w:t>
      </w:r>
      <w:proofErr w:type="spellStart"/>
      <w:r w:rsidRPr="000744F4">
        <w:rPr>
          <w:rFonts w:ascii="Book Antiqua" w:hAnsi="Book Antiqua"/>
          <w:color w:val="201F35"/>
        </w:rPr>
        <w:t>Kuo</w:t>
      </w:r>
      <w:proofErr w:type="spellEnd"/>
      <w:r w:rsidRPr="000744F4">
        <w:rPr>
          <w:rFonts w:ascii="Book Antiqua" w:hAnsi="Book Antiqua"/>
          <w:color w:val="201F35"/>
        </w:rPr>
        <w:t xml:space="preserve"> LJ, Calvo FA, García-Aguilar J, Glynne-Jones R, </w:t>
      </w:r>
      <w:proofErr w:type="spellStart"/>
      <w:r w:rsidRPr="000744F4">
        <w:rPr>
          <w:rFonts w:ascii="Book Antiqua" w:hAnsi="Book Antiqua"/>
          <w:color w:val="201F35"/>
        </w:rPr>
        <w:t>Haustermans</w:t>
      </w:r>
      <w:proofErr w:type="spellEnd"/>
      <w:r w:rsidRPr="000744F4">
        <w:rPr>
          <w:rFonts w:ascii="Book Antiqua" w:hAnsi="Book Antiqua"/>
          <w:color w:val="201F35"/>
        </w:rPr>
        <w:t xml:space="preserve"> K, Mohiuddin M, </w:t>
      </w:r>
      <w:proofErr w:type="spellStart"/>
      <w:r w:rsidRPr="000744F4">
        <w:rPr>
          <w:rFonts w:ascii="Book Antiqua" w:hAnsi="Book Antiqua"/>
          <w:color w:val="201F35"/>
        </w:rPr>
        <w:t>Pucciarelli</w:t>
      </w:r>
      <w:proofErr w:type="spellEnd"/>
      <w:r w:rsidRPr="000744F4">
        <w:rPr>
          <w:rFonts w:ascii="Book Antiqua" w:hAnsi="Book Antiqua"/>
          <w:color w:val="201F35"/>
        </w:rPr>
        <w:t xml:space="preserve"> S, Small W Jr, Suárez J, </w:t>
      </w:r>
      <w:proofErr w:type="spellStart"/>
      <w:r w:rsidRPr="000744F4">
        <w:rPr>
          <w:rFonts w:ascii="Book Antiqua" w:hAnsi="Book Antiqua"/>
          <w:color w:val="201F35"/>
        </w:rPr>
        <w:t>Theodoropoulos</w:t>
      </w:r>
      <w:proofErr w:type="spellEnd"/>
      <w:r w:rsidRPr="000744F4">
        <w:rPr>
          <w:rFonts w:ascii="Book Antiqua" w:hAnsi="Book Antiqua"/>
          <w:color w:val="201F35"/>
        </w:rPr>
        <w:t xml:space="preserve"> G, Biondo S, Beets-Tan RG, Beets GL. Long-term outcome in patients with a pathological complete response after chemoradiation for rectal cancer: a pooled analysis of individual patient data. </w:t>
      </w:r>
      <w:r w:rsidRPr="000744F4">
        <w:rPr>
          <w:rFonts w:ascii="Book Antiqua" w:hAnsi="Book Antiqua"/>
          <w:i/>
          <w:iCs/>
          <w:color w:val="201F35"/>
        </w:rPr>
        <w:t>Lancet Oncol</w:t>
      </w:r>
      <w:r w:rsidRPr="000744F4">
        <w:rPr>
          <w:rFonts w:ascii="Book Antiqua" w:hAnsi="Book Antiqua"/>
          <w:color w:val="201F35"/>
        </w:rPr>
        <w:t xml:space="preserve"> 2010; </w:t>
      </w:r>
      <w:r w:rsidRPr="000744F4">
        <w:rPr>
          <w:rFonts w:ascii="Book Antiqua" w:hAnsi="Book Antiqua"/>
          <w:b/>
          <w:bCs/>
          <w:color w:val="201F35"/>
        </w:rPr>
        <w:t>11</w:t>
      </w:r>
      <w:r w:rsidRPr="000744F4">
        <w:rPr>
          <w:rFonts w:ascii="Book Antiqua" w:hAnsi="Book Antiqua"/>
          <w:color w:val="201F35"/>
        </w:rPr>
        <w:t>: 835-844 [PMID: 20692872 DOI: 10.1016/S1470-2045(10)70172-8]</w:t>
      </w:r>
    </w:p>
    <w:p w14:paraId="59D60946" w14:textId="77777777" w:rsidR="009F5BC8" w:rsidRPr="000744F4" w:rsidRDefault="00A225DB" w:rsidP="002F5916">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0744F4">
        <w:rPr>
          <w:rFonts w:ascii="Book Antiqua" w:hAnsi="Book Antiqua"/>
          <w:color w:val="201F35"/>
        </w:rPr>
        <w:t xml:space="preserve">8 </w:t>
      </w:r>
      <w:r w:rsidRPr="000744F4">
        <w:rPr>
          <w:rFonts w:ascii="Book Antiqua" w:hAnsi="Book Antiqua"/>
          <w:b/>
          <w:bCs/>
          <w:color w:val="201F35"/>
        </w:rPr>
        <w:t>Garcia-Aguilar J</w:t>
      </w:r>
      <w:r w:rsidRPr="000744F4">
        <w:rPr>
          <w:rFonts w:ascii="Book Antiqua" w:hAnsi="Book Antiqua"/>
          <w:color w:val="201F35"/>
        </w:rPr>
        <w:t xml:space="preserve">, Shi Q, Thomas CR Jr, Chan E, </w:t>
      </w:r>
      <w:proofErr w:type="spellStart"/>
      <w:r w:rsidRPr="000744F4">
        <w:rPr>
          <w:rFonts w:ascii="Book Antiqua" w:hAnsi="Book Antiqua"/>
          <w:color w:val="201F35"/>
        </w:rPr>
        <w:t>Cataldo</w:t>
      </w:r>
      <w:proofErr w:type="spellEnd"/>
      <w:r w:rsidRPr="000744F4">
        <w:rPr>
          <w:rFonts w:ascii="Book Antiqua" w:hAnsi="Book Antiqua"/>
          <w:color w:val="201F35"/>
        </w:rPr>
        <w:t xml:space="preserve"> P, </w:t>
      </w:r>
      <w:proofErr w:type="spellStart"/>
      <w:r w:rsidRPr="000744F4">
        <w:rPr>
          <w:rFonts w:ascii="Book Antiqua" w:hAnsi="Book Antiqua"/>
          <w:color w:val="201F35"/>
        </w:rPr>
        <w:t>Marcet</w:t>
      </w:r>
      <w:proofErr w:type="spellEnd"/>
      <w:r w:rsidRPr="000744F4">
        <w:rPr>
          <w:rFonts w:ascii="Book Antiqua" w:hAnsi="Book Antiqua"/>
          <w:color w:val="201F35"/>
        </w:rPr>
        <w:t xml:space="preserve"> J, </w:t>
      </w:r>
      <w:proofErr w:type="spellStart"/>
      <w:r w:rsidRPr="000744F4">
        <w:rPr>
          <w:rFonts w:ascii="Book Antiqua" w:hAnsi="Book Antiqua"/>
          <w:color w:val="201F35"/>
        </w:rPr>
        <w:t>Medich</w:t>
      </w:r>
      <w:proofErr w:type="spellEnd"/>
      <w:r w:rsidRPr="000744F4">
        <w:rPr>
          <w:rFonts w:ascii="Book Antiqua" w:hAnsi="Book Antiqua"/>
          <w:color w:val="201F35"/>
        </w:rPr>
        <w:t xml:space="preserve"> D, </w:t>
      </w:r>
      <w:proofErr w:type="spellStart"/>
      <w:r w:rsidRPr="000744F4">
        <w:rPr>
          <w:rFonts w:ascii="Book Antiqua" w:hAnsi="Book Antiqua"/>
          <w:color w:val="201F35"/>
        </w:rPr>
        <w:t>Pigazzi</w:t>
      </w:r>
      <w:proofErr w:type="spellEnd"/>
      <w:r w:rsidRPr="000744F4">
        <w:rPr>
          <w:rFonts w:ascii="Book Antiqua" w:hAnsi="Book Antiqua"/>
          <w:color w:val="201F35"/>
        </w:rPr>
        <w:t xml:space="preserve"> A, </w:t>
      </w:r>
      <w:proofErr w:type="spellStart"/>
      <w:r w:rsidRPr="000744F4">
        <w:rPr>
          <w:rFonts w:ascii="Book Antiqua" w:hAnsi="Book Antiqua"/>
          <w:color w:val="201F35"/>
        </w:rPr>
        <w:t>Oommen</w:t>
      </w:r>
      <w:proofErr w:type="spellEnd"/>
      <w:r w:rsidRPr="000744F4">
        <w:rPr>
          <w:rFonts w:ascii="Book Antiqua" w:hAnsi="Book Antiqua"/>
          <w:color w:val="201F35"/>
        </w:rPr>
        <w:t xml:space="preserve"> S, Posner MC. A phase II trial of neoadjuvant chemoradiation and local excision for T2N0 rectal cancer: preliminary results of the ACOSOG Z6041 trial. </w:t>
      </w:r>
      <w:r w:rsidRPr="000744F4">
        <w:rPr>
          <w:rFonts w:ascii="Book Antiqua" w:hAnsi="Book Antiqua"/>
          <w:i/>
          <w:iCs/>
          <w:color w:val="201F35"/>
        </w:rPr>
        <w:t>Ann Surg Oncol</w:t>
      </w:r>
      <w:r w:rsidRPr="000744F4">
        <w:rPr>
          <w:rFonts w:ascii="Book Antiqua" w:hAnsi="Book Antiqua"/>
          <w:color w:val="201F35"/>
        </w:rPr>
        <w:t xml:space="preserve"> 2012; </w:t>
      </w:r>
      <w:r w:rsidRPr="000744F4">
        <w:rPr>
          <w:rFonts w:ascii="Book Antiqua" w:hAnsi="Book Antiqua"/>
          <w:b/>
          <w:bCs/>
          <w:color w:val="201F35"/>
        </w:rPr>
        <w:t>19</w:t>
      </w:r>
      <w:r w:rsidRPr="000744F4">
        <w:rPr>
          <w:rFonts w:ascii="Book Antiqua" w:hAnsi="Book Antiqua"/>
          <w:color w:val="201F35"/>
        </w:rPr>
        <w:t>: 384-391 [PMID: 21755378 DOI: 10.1245/s10434-011-1933-7]</w:t>
      </w:r>
    </w:p>
    <w:p w14:paraId="032EB274" w14:textId="77777777" w:rsidR="009F5BC8" w:rsidRPr="000744F4" w:rsidRDefault="00A225DB" w:rsidP="002F5916">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0744F4">
        <w:rPr>
          <w:rFonts w:ascii="Book Antiqua" w:hAnsi="Book Antiqua"/>
          <w:color w:val="201F35"/>
        </w:rPr>
        <w:t xml:space="preserve">9 </w:t>
      </w:r>
      <w:r w:rsidRPr="000744F4">
        <w:rPr>
          <w:rFonts w:ascii="Book Antiqua" w:hAnsi="Book Antiqua"/>
          <w:b/>
          <w:bCs/>
          <w:color w:val="201F35"/>
        </w:rPr>
        <w:t>Garcia-Aguilar J</w:t>
      </w:r>
      <w:r w:rsidRPr="000744F4">
        <w:rPr>
          <w:rFonts w:ascii="Book Antiqua" w:hAnsi="Book Antiqua"/>
          <w:color w:val="201F35"/>
        </w:rPr>
        <w:t xml:space="preserve">, Chow OS, Smith DD, </w:t>
      </w:r>
      <w:proofErr w:type="spellStart"/>
      <w:r w:rsidRPr="000744F4">
        <w:rPr>
          <w:rFonts w:ascii="Book Antiqua" w:hAnsi="Book Antiqua"/>
          <w:color w:val="201F35"/>
        </w:rPr>
        <w:t>Marcet</w:t>
      </w:r>
      <w:proofErr w:type="spellEnd"/>
      <w:r w:rsidRPr="000744F4">
        <w:rPr>
          <w:rFonts w:ascii="Book Antiqua" w:hAnsi="Book Antiqua"/>
          <w:color w:val="201F35"/>
        </w:rPr>
        <w:t xml:space="preserve"> JE, </w:t>
      </w:r>
      <w:proofErr w:type="spellStart"/>
      <w:r w:rsidRPr="000744F4">
        <w:rPr>
          <w:rFonts w:ascii="Book Antiqua" w:hAnsi="Book Antiqua"/>
          <w:color w:val="201F35"/>
        </w:rPr>
        <w:t>Cataldo</w:t>
      </w:r>
      <w:proofErr w:type="spellEnd"/>
      <w:r w:rsidRPr="000744F4">
        <w:rPr>
          <w:rFonts w:ascii="Book Antiqua" w:hAnsi="Book Antiqua"/>
          <w:color w:val="201F35"/>
        </w:rPr>
        <w:t xml:space="preserve"> PA, Varma MG, Kumar AS, </w:t>
      </w:r>
      <w:proofErr w:type="spellStart"/>
      <w:r w:rsidRPr="000744F4">
        <w:rPr>
          <w:rFonts w:ascii="Book Antiqua" w:hAnsi="Book Antiqua"/>
          <w:color w:val="201F35"/>
        </w:rPr>
        <w:t>Oommen</w:t>
      </w:r>
      <w:proofErr w:type="spellEnd"/>
      <w:r w:rsidRPr="000744F4">
        <w:rPr>
          <w:rFonts w:ascii="Book Antiqua" w:hAnsi="Book Antiqua"/>
          <w:color w:val="201F35"/>
        </w:rPr>
        <w:t xml:space="preserve"> S, </w:t>
      </w:r>
      <w:proofErr w:type="spellStart"/>
      <w:r w:rsidRPr="000744F4">
        <w:rPr>
          <w:rFonts w:ascii="Book Antiqua" w:hAnsi="Book Antiqua"/>
          <w:color w:val="201F35"/>
        </w:rPr>
        <w:t>Coutsoftides</w:t>
      </w:r>
      <w:proofErr w:type="spellEnd"/>
      <w:r w:rsidRPr="000744F4">
        <w:rPr>
          <w:rFonts w:ascii="Book Antiqua" w:hAnsi="Book Antiqua"/>
          <w:color w:val="201F35"/>
        </w:rPr>
        <w:t xml:space="preserve"> T, Hunt SR, Stamos MJ, </w:t>
      </w:r>
      <w:proofErr w:type="spellStart"/>
      <w:r w:rsidRPr="000744F4">
        <w:rPr>
          <w:rFonts w:ascii="Book Antiqua" w:hAnsi="Book Antiqua"/>
          <w:color w:val="201F35"/>
        </w:rPr>
        <w:t>Ternent</w:t>
      </w:r>
      <w:proofErr w:type="spellEnd"/>
      <w:r w:rsidRPr="000744F4">
        <w:rPr>
          <w:rFonts w:ascii="Book Antiqua" w:hAnsi="Book Antiqua"/>
          <w:color w:val="201F35"/>
        </w:rPr>
        <w:t xml:space="preserve"> CA, Herzig DO, </w:t>
      </w:r>
      <w:proofErr w:type="spellStart"/>
      <w:r w:rsidRPr="000744F4">
        <w:rPr>
          <w:rFonts w:ascii="Book Antiqua" w:hAnsi="Book Antiqua"/>
          <w:color w:val="201F35"/>
        </w:rPr>
        <w:t>Fichera</w:t>
      </w:r>
      <w:proofErr w:type="spellEnd"/>
      <w:r w:rsidRPr="000744F4">
        <w:rPr>
          <w:rFonts w:ascii="Book Antiqua" w:hAnsi="Book Antiqua"/>
          <w:color w:val="201F35"/>
        </w:rPr>
        <w:t xml:space="preserve"> A, Polite BN, Dietz DW, Patil S, Avila K; Timing of Rectal Cancer Response to Chemoradiation Consortium. Effect of adding mFOLFOX6 after neoadjuvant chemoradiation in locally advanced rectal cancer: a </w:t>
      </w:r>
      <w:proofErr w:type="spellStart"/>
      <w:r w:rsidRPr="000744F4">
        <w:rPr>
          <w:rFonts w:ascii="Book Antiqua" w:hAnsi="Book Antiqua"/>
          <w:color w:val="201F35"/>
        </w:rPr>
        <w:t>multicentre</w:t>
      </w:r>
      <w:proofErr w:type="spellEnd"/>
      <w:r w:rsidRPr="000744F4">
        <w:rPr>
          <w:rFonts w:ascii="Book Antiqua" w:hAnsi="Book Antiqua"/>
          <w:color w:val="201F35"/>
        </w:rPr>
        <w:t xml:space="preserve">, phase 2 trial. </w:t>
      </w:r>
      <w:r w:rsidRPr="000744F4">
        <w:rPr>
          <w:rFonts w:ascii="Book Antiqua" w:hAnsi="Book Antiqua"/>
          <w:i/>
          <w:iCs/>
          <w:color w:val="201F35"/>
        </w:rPr>
        <w:t>Lancet Oncol</w:t>
      </w:r>
      <w:r w:rsidRPr="000744F4">
        <w:rPr>
          <w:rFonts w:ascii="Book Antiqua" w:hAnsi="Book Antiqua"/>
          <w:color w:val="201F35"/>
        </w:rPr>
        <w:t xml:space="preserve"> 2015; </w:t>
      </w:r>
      <w:r w:rsidRPr="000744F4">
        <w:rPr>
          <w:rFonts w:ascii="Book Antiqua" w:hAnsi="Book Antiqua"/>
          <w:b/>
          <w:bCs/>
          <w:color w:val="201F35"/>
        </w:rPr>
        <w:t>16</w:t>
      </w:r>
      <w:r w:rsidRPr="000744F4">
        <w:rPr>
          <w:rFonts w:ascii="Book Antiqua" w:hAnsi="Book Antiqua"/>
          <w:color w:val="201F35"/>
        </w:rPr>
        <w:t>: 957-966 [PMID: 26187751 DOI: 10.1016/S1470-2045(15)00004-2]</w:t>
      </w:r>
    </w:p>
    <w:p w14:paraId="3180AE76" w14:textId="77777777" w:rsidR="009F5BC8" w:rsidRPr="000744F4" w:rsidRDefault="00A225DB" w:rsidP="002F5916">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0744F4">
        <w:rPr>
          <w:rFonts w:ascii="Book Antiqua" w:hAnsi="Book Antiqua"/>
          <w:color w:val="201F35"/>
        </w:rPr>
        <w:t xml:space="preserve">10 </w:t>
      </w:r>
      <w:r w:rsidRPr="000744F4">
        <w:rPr>
          <w:rFonts w:ascii="Book Antiqua" w:hAnsi="Book Antiqua"/>
          <w:b/>
          <w:bCs/>
          <w:color w:val="201F35"/>
        </w:rPr>
        <w:t>Park IJ</w:t>
      </w:r>
      <w:r w:rsidRPr="000744F4">
        <w:rPr>
          <w:rFonts w:ascii="Book Antiqua" w:hAnsi="Book Antiqua"/>
          <w:color w:val="201F35"/>
        </w:rPr>
        <w:t xml:space="preserve">, You YN, Agarwal A, </w:t>
      </w:r>
      <w:proofErr w:type="spellStart"/>
      <w:r w:rsidRPr="000744F4">
        <w:rPr>
          <w:rFonts w:ascii="Book Antiqua" w:hAnsi="Book Antiqua"/>
          <w:color w:val="201F35"/>
        </w:rPr>
        <w:t>Skibber</w:t>
      </w:r>
      <w:proofErr w:type="spellEnd"/>
      <w:r w:rsidRPr="000744F4">
        <w:rPr>
          <w:rFonts w:ascii="Book Antiqua" w:hAnsi="Book Antiqua"/>
          <w:color w:val="201F35"/>
        </w:rPr>
        <w:t xml:space="preserve"> JM, Rodriguez-Bigas MA, Eng C, Feig BW, Das P, Krishnan S, Crane CH, Hu CY, Chang GJ. Neoadjuvant treatment response as an early response indicator for patients with rectal cancer. </w:t>
      </w:r>
      <w:r w:rsidRPr="000744F4">
        <w:rPr>
          <w:rFonts w:ascii="Book Antiqua" w:hAnsi="Book Antiqua"/>
          <w:i/>
          <w:iCs/>
          <w:color w:val="201F35"/>
        </w:rPr>
        <w:t>J Clin Oncol</w:t>
      </w:r>
      <w:r w:rsidRPr="000744F4">
        <w:rPr>
          <w:rFonts w:ascii="Book Antiqua" w:hAnsi="Book Antiqua"/>
          <w:color w:val="201F35"/>
        </w:rPr>
        <w:t xml:space="preserve"> 2012; </w:t>
      </w:r>
      <w:r w:rsidRPr="000744F4">
        <w:rPr>
          <w:rFonts w:ascii="Book Antiqua" w:hAnsi="Book Antiqua"/>
          <w:b/>
          <w:bCs/>
          <w:color w:val="201F35"/>
        </w:rPr>
        <w:t>30</w:t>
      </w:r>
      <w:r w:rsidRPr="000744F4">
        <w:rPr>
          <w:rFonts w:ascii="Book Antiqua" w:hAnsi="Book Antiqua"/>
          <w:color w:val="201F35"/>
        </w:rPr>
        <w:t>: 1770-1776 [PMID: 22493423 DOI: 10.1200/JCO.2011.39.7901]</w:t>
      </w:r>
    </w:p>
    <w:p w14:paraId="30B19FB1" w14:textId="77777777" w:rsidR="009F5BC8" w:rsidRPr="000744F4" w:rsidRDefault="00A225DB" w:rsidP="002F5916">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0744F4">
        <w:rPr>
          <w:rFonts w:ascii="Book Antiqua" w:hAnsi="Book Antiqua"/>
          <w:color w:val="201F35"/>
        </w:rPr>
        <w:t xml:space="preserve">11 </w:t>
      </w:r>
      <w:r w:rsidRPr="000744F4">
        <w:rPr>
          <w:rFonts w:ascii="Book Antiqua" w:hAnsi="Book Antiqua"/>
          <w:b/>
          <w:bCs/>
          <w:color w:val="201F35"/>
        </w:rPr>
        <w:t>Habr-Gama A</w:t>
      </w:r>
      <w:r w:rsidRPr="000744F4">
        <w:rPr>
          <w:rFonts w:ascii="Book Antiqua" w:hAnsi="Book Antiqua"/>
          <w:color w:val="201F35"/>
        </w:rPr>
        <w:t xml:space="preserve">, Perez RO, </w:t>
      </w:r>
      <w:proofErr w:type="spellStart"/>
      <w:r w:rsidRPr="000744F4">
        <w:rPr>
          <w:rFonts w:ascii="Book Antiqua" w:hAnsi="Book Antiqua"/>
          <w:color w:val="201F35"/>
        </w:rPr>
        <w:t>Nadalin</w:t>
      </w:r>
      <w:proofErr w:type="spellEnd"/>
      <w:r w:rsidRPr="000744F4">
        <w:rPr>
          <w:rFonts w:ascii="Book Antiqua" w:hAnsi="Book Antiqua"/>
          <w:color w:val="201F35"/>
        </w:rPr>
        <w:t xml:space="preserve"> W, </w:t>
      </w:r>
      <w:proofErr w:type="spellStart"/>
      <w:r w:rsidRPr="000744F4">
        <w:rPr>
          <w:rFonts w:ascii="Book Antiqua" w:hAnsi="Book Antiqua"/>
          <w:color w:val="201F35"/>
        </w:rPr>
        <w:t>Sabbaga</w:t>
      </w:r>
      <w:proofErr w:type="spellEnd"/>
      <w:r w:rsidRPr="000744F4">
        <w:rPr>
          <w:rFonts w:ascii="Book Antiqua" w:hAnsi="Book Antiqua"/>
          <w:color w:val="201F35"/>
        </w:rPr>
        <w:t xml:space="preserve"> J, Ribeiro U Jr, Silva e Sousa AH Jr, Campos FG, Kiss DR, Gama-Rodrigues J. Operative versus nonoperative treatment for stage 0 distal rectal cancer following chemoradiation therapy: long-term results. </w:t>
      </w:r>
      <w:r w:rsidRPr="000744F4">
        <w:rPr>
          <w:rFonts w:ascii="Book Antiqua" w:hAnsi="Book Antiqua"/>
          <w:i/>
          <w:iCs/>
          <w:color w:val="201F35"/>
        </w:rPr>
        <w:t>Ann Surg</w:t>
      </w:r>
      <w:r w:rsidRPr="000744F4">
        <w:rPr>
          <w:rFonts w:ascii="Book Antiqua" w:hAnsi="Book Antiqua"/>
          <w:color w:val="201F35"/>
        </w:rPr>
        <w:t xml:space="preserve"> 2004; </w:t>
      </w:r>
      <w:r w:rsidRPr="000744F4">
        <w:rPr>
          <w:rFonts w:ascii="Book Antiqua" w:hAnsi="Book Antiqua"/>
          <w:b/>
          <w:bCs/>
          <w:color w:val="201F35"/>
        </w:rPr>
        <w:t>240</w:t>
      </w:r>
      <w:r w:rsidRPr="000744F4">
        <w:rPr>
          <w:rFonts w:ascii="Book Antiqua" w:hAnsi="Book Antiqua"/>
          <w:color w:val="201F35"/>
        </w:rPr>
        <w:t>: 711-717 [PMID: 15383798 DOI: 10.1097/01.sla.0000141194.27992.32]</w:t>
      </w:r>
    </w:p>
    <w:p w14:paraId="294803F9" w14:textId="77777777" w:rsidR="009F5BC8" w:rsidRPr="000744F4" w:rsidRDefault="00A225DB" w:rsidP="002F5916">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0744F4">
        <w:rPr>
          <w:rFonts w:ascii="Book Antiqua" w:hAnsi="Book Antiqua"/>
          <w:color w:val="201F35"/>
        </w:rPr>
        <w:t xml:space="preserve">12 </w:t>
      </w:r>
      <w:proofErr w:type="spellStart"/>
      <w:r w:rsidRPr="000744F4">
        <w:rPr>
          <w:rFonts w:ascii="Book Antiqua" w:hAnsi="Book Antiqua"/>
          <w:b/>
          <w:bCs/>
          <w:color w:val="201F35"/>
        </w:rPr>
        <w:t>Dattani</w:t>
      </w:r>
      <w:proofErr w:type="spellEnd"/>
      <w:r w:rsidRPr="000744F4">
        <w:rPr>
          <w:rFonts w:ascii="Book Antiqua" w:hAnsi="Book Antiqua"/>
          <w:b/>
          <w:bCs/>
          <w:color w:val="201F35"/>
        </w:rPr>
        <w:t xml:space="preserve"> M</w:t>
      </w:r>
      <w:r w:rsidRPr="000744F4">
        <w:rPr>
          <w:rFonts w:ascii="Book Antiqua" w:hAnsi="Book Antiqua"/>
          <w:color w:val="201F35"/>
        </w:rPr>
        <w:t xml:space="preserve">, Heald RJ, </w:t>
      </w:r>
      <w:proofErr w:type="spellStart"/>
      <w:r w:rsidRPr="000744F4">
        <w:rPr>
          <w:rFonts w:ascii="Book Antiqua" w:hAnsi="Book Antiqua"/>
          <w:color w:val="201F35"/>
        </w:rPr>
        <w:t>Goussous</w:t>
      </w:r>
      <w:proofErr w:type="spellEnd"/>
      <w:r w:rsidRPr="000744F4">
        <w:rPr>
          <w:rFonts w:ascii="Book Antiqua" w:hAnsi="Book Antiqua"/>
          <w:color w:val="201F35"/>
        </w:rPr>
        <w:t xml:space="preserve"> G, Broadhurst J, São </w:t>
      </w:r>
      <w:proofErr w:type="spellStart"/>
      <w:r w:rsidRPr="000744F4">
        <w:rPr>
          <w:rFonts w:ascii="Book Antiqua" w:hAnsi="Book Antiqua"/>
          <w:color w:val="201F35"/>
        </w:rPr>
        <w:t>Julião</w:t>
      </w:r>
      <w:proofErr w:type="spellEnd"/>
      <w:r w:rsidRPr="000744F4">
        <w:rPr>
          <w:rFonts w:ascii="Book Antiqua" w:hAnsi="Book Antiqua"/>
          <w:color w:val="201F35"/>
        </w:rPr>
        <w:t xml:space="preserve"> GP, </w:t>
      </w:r>
      <w:proofErr w:type="spellStart"/>
      <w:r w:rsidRPr="000744F4">
        <w:rPr>
          <w:rFonts w:ascii="Book Antiqua" w:hAnsi="Book Antiqua"/>
          <w:color w:val="201F35"/>
        </w:rPr>
        <w:t>Habr</w:t>
      </w:r>
      <w:proofErr w:type="spellEnd"/>
      <w:r w:rsidRPr="000744F4">
        <w:rPr>
          <w:rFonts w:ascii="Book Antiqua" w:hAnsi="Book Antiqua"/>
          <w:color w:val="201F35"/>
        </w:rPr>
        <w:t xml:space="preserve">-Gama A, Perez RO, Moran BJ. Oncological and Survival Outcomes in Watch and Wait Patients With a Clinical Complete Response After Neoadjuvant Chemoradiotherapy for Rectal Cancer: A Systematic Review and Pooled Analysis. </w:t>
      </w:r>
      <w:r w:rsidRPr="000744F4">
        <w:rPr>
          <w:rFonts w:ascii="Book Antiqua" w:hAnsi="Book Antiqua"/>
          <w:i/>
          <w:iCs/>
          <w:color w:val="201F35"/>
        </w:rPr>
        <w:t>Ann Surg</w:t>
      </w:r>
      <w:r w:rsidRPr="000744F4">
        <w:rPr>
          <w:rFonts w:ascii="Book Antiqua" w:hAnsi="Book Antiqua"/>
          <w:color w:val="201F35"/>
        </w:rPr>
        <w:t xml:space="preserve"> 2018; </w:t>
      </w:r>
      <w:r w:rsidRPr="000744F4">
        <w:rPr>
          <w:rFonts w:ascii="Book Antiqua" w:hAnsi="Book Antiqua"/>
          <w:b/>
          <w:bCs/>
          <w:color w:val="201F35"/>
        </w:rPr>
        <w:t>268</w:t>
      </w:r>
      <w:r w:rsidRPr="000744F4">
        <w:rPr>
          <w:rFonts w:ascii="Book Antiqua" w:hAnsi="Book Antiqua"/>
          <w:color w:val="201F35"/>
        </w:rPr>
        <w:t>: 955-967 [PMID: 29746338 DOI: 10.1097/SLA.0000000000002761]</w:t>
      </w:r>
    </w:p>
    <w:p w14:paraId="4ACD238D" w14:textId="77777777" w:rsidR="009F5BC8" w:rsidRPr="000744F4" w:rsidRDefault="00A225DB" w:rsidP="002F5916">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0744F4">
        <w:rPr>
          <w:rFonts w:ascii="Book Antiqua" w:hAnsi="Book Antiqua"/>
          <w:color w:val="201F35"/>
        </w:rPr>
        <w:lastRenderedPageBreak/>
        <w:t xml:space="preserve">13 </w:t>
      </w:r>
      <w:proofErr w:type="spellStart"/>
      <w:r w:rsidRPr="000744F4">
        <w:rPr>
          <w:rFonts w:ascii="Book Antiqua" w:hAnsi="Book Antiqua"/>
          <w:b/>
          <w:bCs/>
          <w:color w:val="201F35"/>
        </w:rPr>
        <w:t>Bujko</w:t>
      </w:r>
      <w:proofErr w:type="spellEnd"/>
      <w:r w:rsidRPr="000744F4">
        <w:rPr>
          <w:rFonts w:ascii="Book Antiqua" w:hAnsi="Book Antiqua"/>
          <w:b/>
          <w:bCs/>
          <w:color w:val="201F35"/>
        </w:rPr>
        <w:t xml:space="preserve"> K</w:t>
      </w:r>
      <w:r w:rsidRPr="000744F4">
        <w:rPr>
          <w:rFonts w:ascii="Book Antiqua" w:hAnsi="Book Antiqua"/>
          <w:color w:val="201F35"/>
        </w:rPr>
        <w:t xml:space="preserve">, </w:t>
      </w:r>
      <w:proofErr w:type="spellStart"/>
      <w:r w:rsidRPr="000744F4">
        <w:rPr>
          <w:rFonts w:ascii="Book Antiqua" w:hAnsi="Book Antiqua"/>
          <w:color w:val="201F35"/>
        </w:rPr>
        <w:t>Nowacki</w:t>
      </w:r>
      <w:proofErr w:type="spellEnd"/>
      <w:r w:rsidRPr="000744F4">
        <w:rPr>
          <w:rFonts w:ascii="Book Antiqua" w:hAnsi="Book Antiqua"/>
          <w:color w:val="201F35"/>
        </w:rPr>
        <w:t xml:space="preserve"> MP, </w:t>
      </w:r>
      <w:proofErr w:type="spellStart"/>
      <w:r w:rsidRPr="000744F4">
        <w:rPr>
          <w:rFonts w:ascii="Book Antiqua" w:hAnsi="Book Antiqua"/>
          <w:color w:val="201F35"/>
        </w:rPr>
        <w:t>Nasierowska-Guttmejer</w:t>
      </w:r>
      <w:proofErr w:type="spellEnd"/>
      <w:r w:rsidRPr="000744F4">
        <w:rPr>
          <w:rFonts w:ascii="Book Antiqua" w:hAnsi="Book Antiqua"/>
          <w:color w:val="201F35"/>
        </w:rPr>
        <w:t xml:space="preserve"> A, Michalski W, </w:t>
      </w:r>
      <w:proofErr w:type="spellStart"/>
      <w:r w:rsidRPr="000744F4">
        <w:rPr>
          <w:rFonts w:ascii="Book Antiqua" w:hAnsi="Book Antiqua"/>
          <w:color w:val="201F35"/>
        </w:rPr>
        <w:t>Bebenek</w:t>
      </w:r>
      <w:proofErr w:type="spellEnd"/>
      <w:r w:rsidRPr="000744F4">
        <w:rPr>
          <w:rFonts w:ascii="Book Antiqua" w:hAnsi="Book Antiqua"/>
          <w:color w:val="201F35"/>
        </w:rPr>
        <w:t xml:space="preserve"> M, </w:t>
      </w:r>
      <w:proofErr w:type="spellStart"/>
      <w:r w:rsidRPr="000744F4">
        <w:rPr>
          <w:rFonts w:ascii="Book Antiqua" w:hAnsi="Book Antiqua"/>
          <w:color w:val="201F35"/>
        </w:rPr>
        <w:t>Kryj</w:t>
      </w:r>
      <w:proofErr w:type="spellEnd"/>
      <w:r w:rsidRPr="000744F4">
        <w:rPr>
          <w:rFonts w:ascii="Book Antiqua" w:hAnsi="Book Antiqua"/>
          <w:color w:val="201F35"/>
        </w:rPr>
        <w:t xml:space="preserve"> M. Long-term results of a randomized trial comparing preoperative short-course radiotherapy with preoperative conventionally fractionated chemoradiation for rectal cancer. </w:t>
      </w:r>
      <w:r w:rsidRPr="000744F4">
        <w:rPr>
          <w:rFonts w:ascii="Book Antiqua" w:hAnsi="Book Antiqua"/>
          <w:i/>
          <w:iCs/>
          <w:color w:val="201F35"/>
        </w:rPr>
        <w:t>Br J Surg</w:t>
      </w:r>
      <w:r w:rsidRPr="000744F4">
        <w:rPr>
          <w:rFonts w:ascii="Book Antiqua" w:hAnsi="Book Antiqua"/>
          <w:color w:val="201F35"/>
        </w:rPr>
        <w:t xml:space="preserve"> 2006; </w:t>
      </w:r>
      <w:r w:rsidRPr="000744F4">
        <w:rPr>
          <w:rFonts w:ascii="Book Antiqua" w:hAnsi="Book Antiqua"/>
          <w:b/>
          <w:bCs/>
          <w:color w:val="201F35"/>
        </w:rPr>
        <w:t>93</w:t>
      </w:r>
      <w:r w:rsidRPr="000744F4">
        <w:rPr>
          <w:rFonts w:ascii="Book Antiqua" w:hAnsi="Book Antiqua"/>
          <w:color w:val="201F35"/>
        </w:rPr>
        <w:t>: 1215-1223 [PMID: 16983741 DOI: 10.1002/bjs.5506]</w:t>
      </w:r>
    </w:p>
    <w:p w14:paraId="3AD9A5A0" w14:textId="77777777" w:rsidR="009F5BC8" w:rsidRPr="000744F4" w:rsidRDefault="00A225DB" w:rsidP="002F5916">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0744F4">
        <w:rPr>
          <w:rFonts w:ascii="Book Antiqua" w:hAnsi="Book Antiqua"/>
          <w:color w:val="201F35"/>
        </w:rPr>
        <w:t xml:space="preserve">14 </w:t>
      </w:r>
      <w:r w:rsidRPr="000744F4">
        <w:rPr>
          <w:rFonts w:ascii="Book Antiqua" w:hAnsi="Book Antiqua"/>
          <w:b/>
          <w:bCs/>
          <w:color w:val="201F35"/>
        </w:rPr>
        <w:t>Ngan SY</w:t>
      </w:r>
      <w:r w:rsidRPr="000744F4">
        <w:rPr>
          <w:rFonts w:ascii="Book Antiqua" w:hAnsi="Book Antiqua"/>
          <w:color w:val="201F35"/>
        </w:rPr>
        <w:t xml:space="preserve">, Burmeister B, Fisher RJ, Solomon M, Goldstein D, Joseph D, </w:t>
      </w:r>
      <w:proofErr w:type="spellStart"/>
      <w:r w:rsidRPr="000744F4">
        <w:rPr>
          <w:rFonts w:ascii="Book Antiqua" w:hAnsi="Book Antiqua"/>
          <w:color w:val="201F35"/>
        </w:rPr>
        <w:t>Ackland</w:t>
      </w:r>
      <w:proofErr w:type="spellEnd"/>
      <w:r w:rsidRPr="000744F4">
        <w:rPr>
          <w:rFonts w:ascii="Book Antiqua" w:hAnsi="Book Antiqua"/>
          <w:color w:val="201F35"/>
        </w:rPr>
        <w:t xml:space="preserve"> SP, </w:t>
      </w:r>
      <w:proofErr w:type="spellStart"/>
      <w:r w:rsidRPr="000744F4">
        <w:rPr>
          <w:rFonts w:ascii="Book Antiqua" w:hAnsi="Book Antiqua"/>
          <w:color w:val="201F35"/>
        </w:rPr>
        <w:t>Schache</w:t>
      </w:r>
      <w:proofErr w:type="spellEnd"/>
      <w:r w:rsidRPr="000744F4">
        <w:rPr>
          <w:rFonts w:ascii="Book Antiqua" w:hAnsi="Book Antiqua"/>
          <w:color w:val="201F35"/>
        </w:rPr>
        <w:t xml:space="preserve"> D, McClure B, McLachlan SA, McKendrick J, Leong T, </w:t>
      </w:r>
      <w:proofErr w:type="spellStart"/>
      <w:r w:rsidRPr="000744F4">
        <w:rPr>
          <w:rFonts w:ascii="Book Antiqua" w:hAnsi="Book Antiqua"/>
          <w:color w:val="201F35"/>
        </w:rPr>
        <w:t>Hartopeanu</w:t>
      </w:r>
      <w:proofErr w:type="spellEnd"/>
      <w:r w:rsidRPr="000744F4">
        <w:rPr>
          <w:rFonts w:ascii="Book Antiqua" w:hAnsi="Book Antiqua"/>
          <w:color w:val="201F35"/>
        </w:rPr>
        <w:t xml:space="preserve"> C, </w:t>
      </w:r>
      <w:proofErr w:type="spellStart"/>
      <w:r w:rsidRPr="000744F4">
        <w:rPr>
          <w:rFonts w:ascii="Book Antiqua" w:hAnsi="Book Antiqua"/>
          <w:color w:val="201F35"/>
        </w:rPr>
        <w:t>Zalcberg</w:t>
      </w:r>
      <w:proofErr w:type="spellEnd"/>
      <w:r w:rsidRPr="000744F4">
        <w:rPr>
          <w:rFonts w:ascii="Book Antiqua" w:hAnsi="Book Antiqua"/>
          <w:color w:val="201F35"/>
        </w:rPr>
        <w:t xml:space="preserve"> J, Mackay J. Randomized trial of short-course radiotherapy versus long-course chemoradiation comparing rates of local recurrence in patients with T3 rectal cancer: Trans-Tasman Radiation Oncology Group trial 01.04. </w:t>
      </w:r>
      <w:r w:rsidRPr="000744F4">
        <w:rPr>
          <w:rFonts w:ascii="Book Antiqua" w:hAnsi="Book Antiqua"/>
          <w:i/>
          <w:iCs/>
          <w:color w:val="201F35"/>
        </w:rPr>
        <w:t>J Clin Oncol</w:t>
      </w:r>
      <w:r w:rsidRPr="000744F4">
        <w:rPr>
          <w:rFonts w:ascii="Book Antiqua" w:hAnsi="Book Antiqua"/>
          <w:color w:val="201F35"/>
        </w:rPr>
        <w:t xml:space="preserve"> 2012; </w:t>
      </w:r>
      <w:r w:rsidRPr="000744F4">
        <w:rPr>
          <w:rFonts w:ascii="Book Antiqua" w:hAnsi="Book Antiqua"/>
          <w:b/>
          <w:bCs/>
          <w:color w:val="201F35"/>
        </w:rPr>
        <w:t>30</w:t>
      </w:r>
      <w:r w:rsidRPr="000744F4">
        <w:rPr>
          <w:rFonts w:ascii="Book Antiqua" w:hAnsi="Book Antiqua"/>
          <w:color w:val="201F35"/>
        </w:rPr>
        <w:t>: 3827-3833 [PMID: 23008301 DOI: 10.1200/JCO.2012.42.9597]</w:t>
      </w:r>
    </w:p>
    <w:p w14:paraId="4AB3B6F4" w14:textId="77777777" w:rsidR="009F5BC8" w:rsidRPr="000744F4" w:rsidRDefault="00A225DB" w:rsidP="002F5916">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0744F4">
        <w:rPr>
          <w:rFonts w:ascii="Book Antiqua" w:hAnsi="Book Antiqua"/>
          <w:color w:val="201F35"/>
        </w:rPr>
        <w:t xml:space="preserve">15 </w:t>
      </w:r>
      <w:r w:rsidRPr="000744F4">
        <w:rPr>
          <w:rFonts w:ascii="Book Antiqua" w:hAnsi="Book Antiqua"/>
          <w:b/>
          <w:bCs/>
          <w:color w:val="201F35"/>
        </w:rPr>
        <w:t>Cummings MA</w:t>
      </w:r>
      <w:r w:rsidRPr="000744F4">
        <w:rPr>
          <w:rFonts w:ascii="Book Antiqua" w:hAnsi="Book Antiqua"/>
          <w:color w:val="201F35"/>
        </w:rPr>
        <w:t xml:space="preserve">, </w:t>
      </w:r>
      <w:proofErr w:type="spellStart"/>
      <w:r w:rsidRPr="000744F4">
        <w:rPr>
          <w:rFonts w:ascii="Book Antiqua" w:hAnsi="Book Antiqua"/>
          <w:color w:val="201F35"/>
        </w:rPr>
        <w:t>Usuki</w:t>
      </w:r>
      <w:proofErr w:type="spellEnd"/>
      <w:r w:rsidRPr="000744F4">
        <w:rPr>
          <w:rFonts w:ascii="Book Antiqua" w:hAnsi="Book Antiqua"/>
          <w:color w:val="201F35"/>
        </w:rPr>
        <w:t xml:space="preserve"> KY, Fleming FJ, </w:t>
      </w:r>
      <w:proofErr w:type="spellStart"/>
      <w:r w:rsidRPr="000744F4">
        <w:rPr>
          <w:rFonts w:ascii="Book Antiqua" w:hAnsi="Book Antiqua"/>
          <w:color w:val="201F35"/>
        </w:rPr>
        <w:t>Tejani</w:t>
      </w:r>
      <w:proofErr w:type="spellEnd"/>
      <w:r w:rsidRPr="000744F4">
        <w:rPr>
          <w:rFonts w:ascii="Book Antiqua" w:hAnsi="Book Antiqua"/>
          <w:color w:val="201F35"/>
        </w:rPr>
        <w:t xml:space="preserve"> MA, Katz AW. Short course radiation therapy for rectal cancer in the elderly: can radical surgery be avoided? </w:t>
      </w:r>
      <w:r w:rsidRPr="000744F4">
        <w:rPr>
          <w:rFonts w:ascii="Book Antiqua" w:hAnsi="Book Antiqua"/>
          <w:i/>
          <w:iCs/>
          <w:color w:val="201F35"/>
        </w:rPr>
        <w:t>J Gastrointest Oncol</w:t>
      </w:r>
      <w:r w:rsidRPr="000744F4">
        <w:rPr>
          <w:rFonts w:ascii="Book Antiqua" w:hAnsi="Book Antiqua"/>
          <w:color w:val="201F35"/>
        </w:rPr>
        <w:t xml:space="preserve"> 2019; </w:t>
      </w:r>
      <w:r w:rsidRPr="000744F4">
        <w:rPr>
          <w:rFonts w:ascii="Book Antiqua" w:hAnsi="Book Antiqua"/>
          <w:b/>
          <w:bCs/>
          <w:color w:val="201F35"/>
        </w:rPr>
        <w:t>10</w:t>
      </w:r>
      <w:r w:rsidRPr="000744F4">
        <w:rPr>
          <w:rFonts w:ascii="Book Antiqua" w:hAnsi="Book Antiqua"/>
          <w:color w:val="201F35"/>
        </w:rPr>
        <w:t>: 357-361 [PMID: 31032106 DOI: 10.21037/jgo.2018.09.05]</w:t>
      </w:r>
    </w:p>
    <w:p w14:paraId="6B7E8195" w14:textId="77777777" w:rsidR="009F5BC8" w:rsidRPr="000744F4" w:rsidRDefault="00A225DB" w:rsidP="002F5916">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0744F4">
        <w:rPr>
          <w:rFonts w:ascii="Book Antiqua" w:hAnsi="Book Antiqua"/>
          <w:color w:val="201F35"/>
        </w:rPr>
        <w:t xml:space="preserve">16 </w:t>
      </w:r>
      <w:proofErr w:type="spellStart"/>
      <w:r w:rsidRPr="000744F4">
        <w:rPr>
          <w:rFonts w:ascii="Book Antiqua" w:hAnsi="Book Antiqua"/>
          <w:b/>
          <w:bCs/>
          <w:color w:val="201F35"/>
        </w:rPr>
        <w:t>Bahadoer</w:t>
      </w:r>
      <w:proofErr w:type="spellEnd"/>
      <w:r w:rsidRPr="000744F4">
        <w:rPr>
          <w:rFonts w:ascii="Book Antiqua" w:hAnsi="Book Antiqua"/>
          <w:b/>
          <w:bCs/>
          <w:color w:val="201F35"/>
        </w:rPr>
        <w:t xml:space="preserve"> RR</w:t>
      </w:r>
      <w:r w:rsidRPr="000744F4">
        <w:rPr>
          <w:rFonts w:ascii="Book Antiqua" w:hAnsi="Book Antiqua"/>
          <w:color w:val="201F35"/>
        </w:rPr>
        <w:t xml:space="preserve">, Dijkstra EA, van </w:t>
      </w:r>
      <w:proofErr w:type="spellStart"/>
      <w:r w:rsidRPr="000744F4">
        <w:rPr>
          <w:rFonts w:ascii="Book Antiqua" w:hAnsi="Book Antiqua"/>
          <w:color w:val="201F35"/>
        </w:rPr>
        <w:t>Etten</w:t>
      </w:r>
      <w:proofErr w:type="spellEnd"/>
      <w:r w:rsidRPr="000744F4">
        <w:rPr>
          <w:rFonts w:ascii="Book Antiqua" w:hAnsi="Book Antiqua"/>
          <w:color w:val="201F35"/>
        </w:rPr>
        <w:t xml:space="preserve"> B, </w:t>
      </w:r>
      <w:proofErr w:type="spellStart"/>
      <w:r w:rsidRPr="000744F4">
        <w:rPr>
          <w:rFonts w:ascii="Book Antiqua" w:hAnsi="Book Antiqua"/>
          <w:color w:val="201F35"/>
        </w:rPr>
        <w:t>Marijnen</w:t>
      </w:r>
      <w:proofErr w:type="spellEnd"/>
      <w:r w:rsidRPr="000744F4">
        <w:rPr>
          <w:rFonts w:ascii="Book Antiqua" w:hAnsi="Book Antiqua"/>
          <w:color w:val="201F35"/>
        </w:rPr>
        <w:t xml:space="preserve"> CAM, Putter H, </w:t>
      </w:r>
      <w:proofErr w:type="spellStart"/>
      <w:r w:rsidRPr="000744F4">
        <w:rPr>
          <w:rFonts w:ascii="Book Antiqua" w:hAnsi="Book Antiqua"/>
          <w:color w:val="201F35"/>
        </w:rPr>
        <w:t>Kranenbarg</w:t>
      </w:r>
      <w:proofErr w:type="spellEnd"/>
      <w:r w:rsidRPr="000744F4">
        <w:rPr>
          <w:rFonts w:ascii="Book Antiqua" w:hAnsi="Book Antiqua"/>
          <w:color w:val="201F35"/>
        </w:rPr>
        <w:t xml:space="preserve"> EM, </w:t>
      </w:r>
      <w:proofErr w:type="spellStart"/>
      <w:r w:rsidRPr="000744F4">
        <w:rPr>
          <w:rFonts w:ascii="Book Antiqua" w:hAnsi="Book Antiqua"/>
          <w:color w:val="201F35"/>
        </w:rPr>
        <w:t>Roodvoets</w:t>
      </w:r>
      <w:proofErr w:type="spellEnd"/>
      <w:r w:rsidRPr="000744F4">
        <w:rPr>
          <w:rFonts w:ascii="Book Antiqua" w:hAnsi="Book Antiqua"/>
          <w:color w:val="201F35"/>
        </w:rPr>
        <w:t xml:space="preserve"> AGH, </w:t>
      </w:r>
      <w:proofErr w:type="spellStart"/>
      <w:r w:rsidRPr="000744F4">
        <w:rPr>
          <w:rFonts w:ascii="Book Antiqua" w:hAnsi="Book Antiqua"/>
          <w:color w:val="201F35"/>
        </w:rPr>
        <w:t>Nagtegaal</w:t>
      </w:r>
      <w:proofErr w:type="spellEnd"/>
      <w:r w:rsidRPr="000744F4">
        <w:rPr>
          <w:rFonts w:ascii="Book Antiqua" w:hAnsi="Book Antiqua"/>
          <w:color w:val="201F35"/>
        </w:rPr>
        <w:t xml:space="preserve"> ID, Beets-Tan RGH, </w:t>
      </w:r>
      <w:proofErr w:type="spellStart"/>
      <w:r w:rsidRPr="000744F4">
        <w:rPr>
          <w:rFonts w:ascii="Book Antiqua" w:hAnsi="Book Antiqua"/>
          <w:color w:val="201F35"/>
        </w:rPr>
        <w:t>Blomqvist</w:t>
      </w:r>
      <w:proofErr w:type="spellEnd"/>
      <w:r w:rsidRPr="000744F4">
        <w:rPr>
          <w:rFonts w:ascii="Book Antiqua" w:hAnsi="Book Antiqua"/>
          <w:color w:val="201F35"/>
        </w:rPr>
        <w:t xml:space="preserve"> LK, </w:t>
      </w:r>
      <w:proofErr w:type="spellStart"/>
      <w:r w:rsidRPr="000744F4">
        <w:rPr>
          <w:rFonts w:ascii="Book Antiqua" w:hAnsi="Book Antiqua"/>
          <w:color w:val="201F35"/>
        </w:rPr>
        <w:t>Fokstuen</w:t>
      </w:r>
      <w:proofErr w:type="spellEnd"/>
      <w:r w:rsidRPr="000744F4">
        <w:rPr>
          <w:rFonts w:ascii="Book Antiqua" w:hAnsi="Book Antiqua"/>
          <w:color w:val="201F35"/>
        </w:rPr>
        <w:t xml:space="preserve"> T, Ten </w:t>
      </w:r>
      <w:proofErr w:type="spellStart"/>
      <w:r w:rsidRPr="000744F4">
        <w:rPr>
          <w:rFonts w:ascii="Book Antiqua" w:hAnsi="Book Antiqua"/>
          <w:color w:val="201F35"/>
        </w:rPr>
        <w:t>Tije</w:t>
      </w:r>
      <w:proofErr w:type="spellEnd"/>
      <w:r w:rsidRPr="000744F4">
        <w:rPr>
          <w:rFonts w:ascii="Book Antiqua" w:hAnsi="Book Antiqua"/>
          <w:color w:val="201F35"/>
        </w:rPr>
        <w:t xml:space="preserve"> AJ, </w:t>
      </w:r>
      <w:proofErr w:type="spellStart"/>
      <w:r w:rsidRPr="000744F4">
        <w:rPr>
          <w:rFonts w:ascii="Book Antiqua" w:hAnsi="Book Antiqua"/>
          <w:color w:val="201F35"/>
        </w:rPr>
        <w:t>Capdevila</w:t>
      </w:r>
      <w:proofErr w:type="spellEnd"/>
      <w:r w:rsidRPr="000744F4">
        <w:rPr>
          <w:rFonts w:ascii="Book Antiqua" w:hAnsi="Book Antiqua"/>
          <w:color w:val="201F35"/>
        </w:rPr>
        <w:t xml:space="preserve"> J, Hendriks MP, </w:t>
      </w:r>
      <w:proofErr w:type="spellStart"/>
      <w:r w:rsidRPr="000744F4">
        <w:rPr>
          <w:rFonts w:ascii="Book Antiqua" w:hAnsi="Book Antiqua"/>
          <w:color w:val="201F35"/>
        </w:rPr>
        <w:t>Edhemovic</w:t>
      </w:r>
      <w:proofErr w:type="spellEnd"/>
      <w:r w:rsidRPr="000744F4">
        <w:rPr>
          <w:rFonts w:ascii="Book Antiqua" w:hAnsi="Book Antiqua"/>
          <w:color w:val="201F35"/>
        </w:rPr>
        <w:t xml:space="preserve"> I, Cervantes A, Nilsson PJ, </w:t>
      </w:r>
      <w:proofErr w:type="spellStart"/>
      <w:r w:rsidRPr="000744F4">
        <w:rPr>
          <w:rFonts w:ascii="Book Antiqua" w:hAnsi="Book Antiqua"/>
          <w:color w:val="201F35"/>
        </w:rPr>
        <w:t>Glimelius</w:t>
      </w:r>
      <w:proofErr w:type="spellEnd"/>
      <w:r w:rsidRPr="000744F4">
        <w:rPr>
          <w:rFonts w:ascii="Book Antiqua" w:hAnsi="Book Antiqua"/>
          <w:color w:val="201F35"/>
        </w:rPr>
        <w:t xml:space="preserve"> B, van de Velde CJH, Hospers GAP; RAPIDO collaborative investigators. Short-course radiotherapy followed by chemotherapy before total </w:t>
      </w:r>
      <w:proofErr w:type="spellStart"/>
      <w:r w:rsidRPr="000744F4">
        <w:rPr>
          <w:rFonts w:ascii="Book Antiqua" w:hAnsi="Book Antiqua"/>
          <w:color w:val="201F35"/>
        </w:rPr>
        <w:t>mesorectal</w:t>
      </w:r>
      <w:proofErr w:type="spellEnd"/>
      <w:r w:rsidRPr="000744F4">
        <w:rPr>
          <w:rFonts w:ascii="Book Antiqua" w:hAnsi="Book Antiqua"/>
          <w:color w:val="201F35"/>
        </w:rPr>
        <w:t xml:space="preserve"> excision (TME) versus preoperative chemoradiotherapy, TME, and optional adjuvant chemotherapy in locally advanced rectal cancer (RAPIDO): a </w:t>
      </w:r>
      <w:proofErr w:type="spellStart"/>
      <w:r w:rsidRPr="000744F4">
        <w:rPr>
          <w:rFonts w:ascii="Book Antiqua" w:hAnsi="Book Antiqua"/>
          <w:color w:val="201F35"/>
        </w:rPr>
        <w:t>randomised</w:t>
      </w:r>
      <w:proofErr w:type="spellEnd"/>
      <w:r w:rsidRPr="000744F4">
        <w:rPr>
          <w:rFonts w:ascii="Book Antiqua" w:hAnsi="Book Antiqua"/>
          <w:color w:val="201F35"/>
        </w:rPr>
        <w:t xml:space="preserve">, open-label, phase 3 trial. </w:t>
      </w:r>
      <w:r w:rsidRPr="000744F4">
        <w:rPr>
          <w:rFonts w:ascii="Book Antiqua" w:hAnsi="Book Antiqua"/>
          <w:i/>
          <w:iCs/>
          <w:color w:val="201F35"/>
        </w:rPr>
        <w:t>Lancet Oncol</w:t>
      </w:r>
      <w:r w:rsidRPr="000744F4">
        <w:rPr>
          <w:rFonts w:ascii="Book Antiqua" w:hAnsi="Book Antiqua"/>
          <w:color w:val="201F35"/>
        </w:rPr>
        <w:t xml:space="preserve"> 2021; </w:t>
      </w:r>
      <w:r w:rsidRPr="000744F4">
        <w:rPr>
          <w:rFonts w:ascii="Book Antiqua" w:hAnsi="Book Antiqua"/>
          <w:b/>
          <w:bCs/>
          <w:color w:val="201F35"/>
        </w:rPr>
        <w:t>22</w:t>
      </w:r>
      <w:r w:rsidRPr="000744F4">
        <w:rPr>
          <w:rFonts w:ascii="Book Antiqua" w:hAnsi="Book Antiqua"/>
          <w:color w:val="201F35"/>
        </w:rPr>
        <w:t>: 29-42 [PMID: 33301740 DOI: 10.1016/S1470-2045(20)30555-6]</w:t>
      </w:r>
    </w:p>
    <w:p w14:paraId="6F3E3440" w14:textId="77777777" w:rsidR="009F5BC8" w:rsidRPr="000744F4" w:rsidRDefault="00A225DB" w:rsidP="002F5916">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0744F4">
        <w:rPr>
          <w:rFonts w:ascii="Book Antiqua" w:hAnsi="Book Antiqua"/>
          <w:color w:val="201F35"/>
        </w:rPr>
        <w:t xml:space="preserve">17 </w:t>
      </w:r>
      <w:proofErr w:type="spellStart"/>
      <w:r w:rsidRPr="000744F4">
        <w:rPr>
          <w:rFonts w:ascii="Book Antiqua" w:hAnsi="Book Antiqua"/>
          <w:b/>
          <w:bCs/>
          <w:color w:val="201F35"/>
        </w:rPr>
        <w:t>Rödel</w:t>
      </w:r>
      <w:proofErr w:type="spellEnd"/>
      <w:r w:rsidRPr="000744F4">
        <w:rPr>
          <w:rFonts w:ascii="Book Antiqua" w:hAnsi="Book Antiqua"/>
          <w:b/>
          <w:bCs/>
          <w:color w:val="201F35"/>
        </w:rPr>
        <w:t xml:space="preserve"> C</w:t>
      </w:r>
      <w:r w:rsidRPr="000744F4">
        <w:rPr>
          <w:rFonts w:ascii="Book Antiqua" w:hAnsi="Book Antiqua"/>
          <w:color w:val="201F35"/>
        </w:rPr>
        <w:t xml:space="preserve">, </w:t>
      </w:r>
      <w:proofErr w:type="spellStart"/>
      <w:r w:rsidRPr="000744F4">
        <w:rPr>
          <w:rFonts w:ascii="Book Antiqua" w:hAnsi="Book Antiqua"/>
          <w:color w:val="201F35"/>
        </w:rPr>
        <w:t>Graeven</w:t>
      </w:r>
      <w:proofErr w:type="spellEnd"/>
      <w:r w:rsidRPr="000744F4">
        <w:rPr>
          <w:rFonts w:ascii="Book Antiqua" w:hAnsi="Book Antiqua"/>
          <w:color w:val="201F35"/>
        </w:rPr>
        <w:t xml:space="preserve"> U, </w:t>
      </w:r>
      <w:proofErr w:type="spellStart"/>
      <w:r w:rsidRPr="000744F4">
        <w:rPr>
          <w:rFonts w:ascii="Book Antiqua" w:hAnsi="Book Antiqua"/>
          <w:color w:val="201F35"/>
        </w:rPr>
        <w:t>Fietkau</w:t>
      </w:r>
      <w:proofErr w:type="spellEnd"/>
      <w:r w:rsidRPr="000744F4">
        <w:rPr>
          <w:rFonts w:ascii="Book Antiqua" w:hAnsi="Book Antiqua"/>
          <w:color w:val="201F35"/>
        </w:rPr>
        <w:t xml:space="preserve"> R, </w:t>
      </w:r>
      <w:proofErr w:type="spellStart"/>
      <w:r w:rsidRPr="000744F4">
        <w:rPr>
          <w:rFonts w:ascii="Book Antiqua" w:hAnsi="Book Antiqua"/>
          <w:color w:val="201F35"/>
        </w:rPr>
        <w:t>Hohenberger</w:t>
      </w:r>
      <w:proofErr w:type="spellEnd"/>
      <w:r w:rsidRPr="000744F4">
        <w:rPr>
          <w:rFonts w:ascii="Book Antiqua" w:hAnsi="Book Antiqua"/>
          <w:color w:val="201F35"/>
        </w:rPr>
        <w:t xml:space="preserve"> W, </w:t>
      </w:r>
      <w:proofErr w:type="spellStart"/>
      <w:r w:rsidRPr="000744F4">
        <w:rPr>
          <w:rFonts w:ascii="Book Antiqua" w:hAnsi="Book Antiqua"/>
          <w:color w:val="201F35"/>
        </w:rPr>
        <w:t>Hothorn</w:t>
      </w:r>
      <w:proofErr w:type="spellEnd"/>
      <w:r w:rsidRPr="000744F4">
        <w:rPr>
          <w:rFonts w:ascii="Book Antiqua" w:hAnsi="Book Antiqua"/>
          <w:color w:val="201F35"/>
        </w:rPr>
        <w:t xml:space="preserve"> T, Arnold D, </w:t>
      </w:r>
      <w:proofErr w:type="spellStart"/>
      <w:r w:rsidRPr="000744F4">
        <w:rPr>
          <w:rFonts w:ascii="Book Antiqua" w:hAnsi="Book Antiqua"/>
          <w:color w:val="201F35"/>
        </w:rPr>
        <w:t>Hofheinz</w:t>
      </w:r>
      <w:proofErr w:type="spellEnd"/>
      <w:r w:rsidRPr="000744F4">
        <w:rPr>
          <w:rFonts w:ascii="Book Antiqua" w:hAnsi="Book Antiqua"/>
          <w:color w:val="201F35"/>
        </w:rPr>
        <w:t xml:space="preserve"> RD, </w:t>
      </w:r>
      <w:proofErr w:type="spellStart"/>
      <w:r w:rsidRPr="000744F4">
        <w:rPr>
          <w:rFonts w:ascii="Book Antiqua" w:hAnsi="Book Antiqua"/>
          <w:color w:val="201F35"/>
        </w:rPr>
        <w:t>Ghadimi</w:t>
      </w:r>
      <w:proofErr w:type="spellEnd"/>
      <w:r w:rsidRPr="000744F4">
        <w:rPr>
          <w:rFonts w:ascii="Book Antiqua" w:hAnsi="Book Antiqua"/>
          <w:color w:val="201F35"/>
        </w:rPr>
        <w:t xml:space="preserve"> M, Wolff HA, Lang-</w:t>
      </w:r>
      <w:proofErr w:type="spellStart"/>
      <w:r w:rsidRPr="000744F4">
        <w:rPr>
          <w:rFonts w:ascii="Book Antiqua" w:hAnsi="Book Antiqua"/>
          <w:color w:val="201F35"/>
        </w:rPr>
        <w:t>Welzenbach</w:t>
      </w:r>
      <w:proofErr w:type="spellEnd"/>
      <w:r w:rsidRPr="000744F4">
        <w:rPr>
          <w:rFonts w:ascii="Book Antiqua" w:hAnsi="Book Antiqua"/>
          <w:color w:val="201F35"/>
        </w:rPr>
        <w:t xml:space="preserve"> M, </w:t>
      </w:r>
      <w:proofErr w:type="spellStart"/>
      <w:r w:rsidRPr="000744F4">
        <w:rPr>
          <w:rFonts w:ascii="Book Antiqua" w:hAnsi="Book Antiqua"/>
          <w:color w:val="201F35"/>
        </w:rPr>
        <w:t>Raab</w:t>
      </w:r>
      <w:proofErr w:type="spellEnd"/>
      <w:r w:rsidRPr="000744F4">
        <w:rPr>
          <w:rFonts w:ascii="Book Antiqua" w:hAnsi="Book Antiqua"/>
          <w:color w:val="201F35"/>
        </w:rPr>
        <w:t xml:space="preserve"> HR, Wittekind C, </w:t>
      </w:r>
      <w:proofErr w:type="spellStart"/>
      <w:r w:rsidRPr="000744F4">
        <w:rPr>
          <w:rFonts w:ascii="Book Antiqua" w:hAnsi="Book Antiqua"/>
          <w:color w:val="201F35"/>
        </w:rPr>
        <w:t>Ströbel</w:t>
      </w:r>
      <w:proofErr w:type="spellEnd"/>
      <w:r w:rsidRPr="000744F4">
        <w:rPr>
          <w:rFonts w:ascii="Book Antiqua" w:hAnsi="Book Antiqua"/>
          <w:color w:val="201F35"/>
        </w:rPr>
        <w:t xml:space="preserve"> P, </w:t>
      </w:r>
      <w:proofErr w:type="spellStart"/>
      <w:r w:rsidRPr="000744F4">
        <w:rPr>
          <w:rFonts w:ascii="Book Antiqua" w:hAnsi="Book Antiqua"/>
          <w:color w:val="201F35"/>
        </w:rPr>
        <w:t>Staib</w:t>
      </w:r>
      <w:proofErr w:type="spellEnd"/>
      <w:r w:rsidRPr="000744F4">
        <w:rPr>
          <w:rFonts w:ascii="Book Antiqua" w:hAnsi="Book Antiqua"/>
          <w:color w:val="201F35"/>
        </w:rPr>
        <w:t xml:space="preserve"> L, Wilhelm M, </w:t>
      </w:r>
      <w:proofErr w:type="spellStart"/>
      <w:r w:rsidRPr="000744F4">
        <w:rPr>
          <w:rFonts w:ascii="Book Antiqua" w:hAnsi="Book Antiqua"/>
          <w:color w:val="201F35"/>
        </w:rPr>
        <w:t>Grabenbauer</w:t>
      </w:r>
      <w:proofErr w:type="spellEnd"/>
      <w:r w:rsidRPr="000744F4">
        <w:rPr>
          <w:rFonts w:ascii="Book Antiqua" w:hAnsi="Book Antiqua"/>
          <w:color w:val="201F35"/>
        </w:rPr>
        <w:t xml:space="preserve"> GG, </w:t>
      </w:r>
      <w:proofErr w:type="spellStart"/>
      <w:r w:rsidRPr="000744F4">
        <w:rPr>
          <w:rFonts w:ascii="Book Antiqua" w:hAnsi="Book Antiqua"/>
          <w:color w:val="201F35"/>
        </w:rPr>
        <w:t>Hoffmanns</w:t>
      </w:r>
      <w:proofErr w:type="spellEnd"/>
      <w:r w:rsidRPr="000744F4">
        <w:rPr>
          <w:rFonts w:ascii="Book Antiqua" w:hAnsi="Book Antiqua"/>
          <w:color w:val="201F35"/>
        </w:rPr>
        <w:t xml:space="preserve"> H, Lindemann F, </w:t>
      </w:r>
      <w:proofErr w:type="spellStart"/>
      <w:r w:rsidRPr="000744F4">
        <w:rPr>
          <w:rFonts w:ascii="Book Antiqua" w:hAnsi="Book Antiqua"/>
          <w:color w:val="201F35"/>
        </w:rPr>
        <w:t>Schlenska</w:t>
      </w:r>
      <w:proofErr w:type="spellEnd"/>
      <w:r w:rsidRPr="000744F4">
        <w:rPr>
          <w:rFonts w:ascii="Book Antiqua" w:hAnsi="Book Antiqua"/>
          <w:color w:val="201F35"/>
        </w:rPr>
        <w:t xml:space="preserve">-Lange A, </w:t>
      </w:r>
      <w:proofErr w:type="spellStart"/>
      <w:r w:rsidRPr="000744F4">
        <w:rPr>
          <w:rFonts w:ascii="Book Antiqua" w:hAnsi="Book Antiqua"/>
          <w:color w:val="201F35"/>
        </w:rPr>
        <w:t>Folprecht</w:t>
      </w:r>
      <w:proofErr w:type="spellEnd"/>
      <w:r w:rsidRPr="000744F4">
        <w:rPr>
          <w:rFonts w:ascii="Book Antiqua" w:hAnsi="Book Antiqua"/>
          <w:color w:val="201F35"/>
        </w:rPr>
        <w:t xml:space="preserve"> G, Sauer R, </w:t>
      </w:r>
      <w:proofErr w:type="spellStart"/>
      <w:r w:rsidRPr="000744F4">
        <w:rPr>
          <w:rFonts w:ascii="Book Antiqua" w:hAnsi="Book Antiqua"/>
          <w:color w:val="201F35"/>
        </w:rPr>
        <w:t>Liersch</w:t>
      </w:r>
      <w:proofErr w:type="spellEnd"/>
      <w:r w:rsidRPr="000744F4">
        <w:rPr>
          <w:rFonts w:ascii="Book Antiqua" w:hAnsi="Book Antiqua"/>
          <w:color w:val="201F35"/>
        </w:rPr>
        <w:t xml:space="preserve"> T; German Rectal Cancer Study Group. Oxaliplatin added to fluorouracil-based preoperative chemoradiotherapy and postoperative chemotherapy of locally advanced rectal cancer (the German CAO/ARO/AIO-04 study): final results of the </w:t>
      </w:r>
      <w:proofErr w:type="spellStart"/>
      <w:r w:rsidRPr="000744F4">
        <w:rPr>
          <w:rFonts w:ascii="Book Antiqua" w:hAnsi="Book Antiqua"/>
          <w:color w:val="201F35"/>
        </w:rPr>
        <w:t>multicentre</w:t>
      </w:r>
      <w:proofErr w:type="spellEnd"/>
      <w:r w:rsidRPr="000744F4">
        <w:rPr>
          <w:rFonts w:ascii="Book Antiqua" w:hAnsi="Book Antiqua"/>
          <w:color w:val="201F35"/>
        </w:rPr>
        <w:t xml:space="preserve">, open-label, </w:t>
      </w:r>
      <w:proofErr w:type="spellStart"/>
      <w:r w:rsidRPr="000744F4">
        <w:rPr>
          <w:rFonts w:ascii="Book Antiqua" w:hAnsi="Book Antiqua"/>
          <w:color w:val="201F35"/>
        </w:rPr>
        <w:t>randomised</w:t>
      </w:r>
      <w:proofErr w:type="spellEnd"/>
      <w:r w:rsidRPr="000744F4">
        <w:rPr>
          <w:rFonts w:ascii="Book Antiqua" w:hAnsi="Book Antiqua"/>
          <w:color w:val="201F35"/>
        </w:rPr>
        <w:t xml:space="preserve">, phase 3 trial. </w:t>
      </w:r>
      <w:r w:rsidRPr="000744F4">
        <w:rPr>
          <w:rFonts w:ascii="Book Antiqua" w:hAnsi="Book Antiqua"/>
          <w:i/>
          <w:iCs/>
          <w:color w:val="201F35"/>
        </w:rPr>
        <w:t>Lancet Oncol</w:t>
      </w:r>
      <w:r w:rsidRPr="000744F4">
        <w:rPr>
          <w:rFonts w:ascii="Book Antiqua" w:hAnsi="Book Antiqua"/>
          <w:color w:val="201F35"/>
        </w:rPr>
        <w:t xml:space="preserve"> 2015; </w:t>
      </w:r>
      <w:r w:rsidRPr="000744F4">
        <w:rPr>
          <w:rFonts w:ascii="Book Antiqua" w:hAnsi="Book Antiqua"/>
          <w:b/>
          <w:bCs/>
          <w:color w:val="201F35"/>
        </w:rPr>
        <w:t>16</w:t>
      </w:r>
      <w:r w:rsidRPr="000744F4">
        <w:rPr>
          <w:rFonts w:ascii="Book Antiqua" w:hAnsi="Book Antiqua"/>
          <w:color w:val="201F35"/>
        </w:rPr>
        <w:t>: 979-989 [PMID: 26189067 DOI: 10.1016/S1470-2045(15)00159-X]</w:t>
      </w:r>
    </w:p>
    <w:p w14:paraId="406776A8" w14:textId="77777777" w:rsidR="009F5BC8" w:rsidRPr="000744F4" w:rsidRDefault="00A225DB" w:rsidP="002F5916">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0744F4">
        <w:rPr>
          <w:rFonts w:ascii="Book Antiqua" w:hAnsi="Book Antiqua"/>
          <w:color w:val="201F35"/>
        </w:rPr>
        <w:lastRenderedPageBreak/>
        <w:t xml:space="preserve">18 </w:t>
      </w:r>
      <w:proofErr w:type="spellStart"/>
      <w:r w:rsidRPr="000744F4">
        <w:rPr>
          <w:rFonts w:ascii="Book Antiqua" w:hAnsi="Book Antiqua"/>
          <w:b/>
          <w:bCs/>
          <w:color w:val="201F35"/>
        </w:rPr>
        <w:t>Monsellato</w:t>
      </w:r>
      <w:proofErr w:type="spellEnd"/>
      <w:r w:rsidRPr="000744F4">
        <w:rPr>
          <w:rFonts w:ascii="Book Antiqua" w:hAnsi="Book Antiqua"/>
          <w:b/>
          <w:bCs/>
          <w:color w:val="201F35"/>
        </w:rPr>
        <w:t xml:space="preserve"> I</w:t>
      </w:r>
      <w:r w:rsidRPr="000744F4">
        <w:rPr>
          <w:rFonts w:ascii="Book Antiqua" w:hAnsi="Book Antiqua"/>
          <w:color w:val="201F35"/>
        </w:rPr>
        <w:t xml:space="preserve">, </w:t>
      </w:r>
      <w:proofErr w:type="spellStart"/>
      <w:r w:rsidRPr="000744F4">
        <w:rPr>
          <w:rFonts w:ascii="Book Antiqua" w:hAnsi="Book Antiqua"/>
          <w:color w:val="201F35"/>
        </w:rPr>
        <w:t>Alongi</w:t>
      </w:r>
      <w:proofErr w:type="spellEnd"/>
      <w:r w:rsidRPr="000744F4">
        <w:rPr>
          <w:rFonts w:ascii="Book Antiqua" w:hAnsi="Book Antiqua"/>
          <w:color w:val="201F35"/>
        </w:rPr>
        <w:t xml:space="preserve"> F, </w:t>
      </w:r>
      <w:proofErr w:type="spellStart"/>
      <w:r w:rsidRPr="000744F4">
        <w:rPr>
          <w:rFonts w:ascii="Book Antiqua" w:hAnsi="Book Antiqua"/>
          <w:color w:val="201F35"/>
        </w:rPr>
        <w:t>Bertocchi</w:t>
      </w:r>
      <w:proofErr w:type="spellEnd"/>
      <w:r w:rsidRPr="000744F4">
        <w:rPr>
          <w:rFonts w:ascii="Book Antiqua" w:hAnsi="Book Antiqua"/>
          <w:color w:val="201F35"/>
        </w:rPr>
        <w:t xml:space="preserve"> E, Gori S, Ruffo G, </w:t>
      </w:r>
      <w:proofErr w:type="spellStart"/>
      <w:r w:rsidRPr="000744F4">
        <w:rPr>
          <w:rFonts w:ascii="Book Antiqua" w:hAnsi="Book Antiqua"/>
          <w:color w:val="201F35"/>
        </w:rPr>
        <w:t>Cassinotti</w:t>
      </w:r>
      <w:proofErr w:type="spellEnd"/>
      <w:r w:rsidRPr="000744F4">
        <w:rPr>
          <w:rFonts w:ascii="Book Antiqua" w:hAnsi="Book Antiqua"/>
          <w:color w:val="201F35"/>
        </w:rPr>
        <w:t xml:space="preserve"> E, </w:t>
      </w:r>
      <w:proofErr w:type="spellStart"/>
      <w:r w:rsidRPr="000744F4">
        <w:rPr>
          <w:rFonts w:ascii="Book Antiqua" w:hAnsi="Book Antiqua"/>
          <w:color w:val="201F35"/>
        </w:rPr>
        <w:t>Baldari</w:t>
      </w:r>
      <w:proofErr w:type="spellEnd"/>
      <w:r w:rsidRPr="000744F4">
        <w:rPr>
          <w:rFonts w:ascii="Book Antiqua" w:hAnsi="Book Antiqua"/>
          <w:color w:val="201F35"/>
        </w:rPr>
        <w:t xml:space="preserve"> L, </w:t>
      </w:r>
      <w:proofErr w:type="spellStart"/>
      <w:r w:rsidRPr="000744F4">
        <w:rPr>
          <w:rFonts w:ascii="Book Antiqua" w:hAnsi="Book Antiqua"/>
          <w:color w:val="201F35"/>
        </w:rPr>
        <w:t>Boni</w:t>
      </w:r>
      <w:proofErr w:type="spellEnd"/>
      <w:r w:rsidRPr="000744F4">
        <w:rPr>
          <w:rFonts w:ascii="Book Antiqua" w:hAnsi="Book Antiqua"/>
          <w:color w:val="201F35"/>
        </w:rPr>
        <w:t xml:space="preserve"> L, </w:t>
      </w:r>
      <w:proofErr w:type="spellStart"/>
      <w:r w:rsidRPr="000744F4">
        <w:rPr>
          <w:rFonts w:ascii="Book Antiqua" w:hAnsi="Book Antiqua"/>
          <w:color w:val="201F35"/>
        </w:rPr>
        <w:t>Pernazza</w:t>
      </w:r>
      <w:proofErr w:type="spellEnd"/>
      <w:r w:rsidRPr="000744F4">
        <w:rPr>
          <w:rFonts w:ascii="Book Antiqua" w:hAnsi="Book Antiqua"/>
          <w:color w:val="201F35"/>
        </w:rPr>
        <w:t xml:space="preserve"> G, </w:t>
      </w:r>
      <w:proofErr w:type="spellStart"/>
      <w:r w:rsidRPr="000744F4">
        <w:rPr>
          <w:rFonts w:ascii="Book Antiqua" w:hAnsi="Book Antiqua"/>
          <w:color w:val="201F35"/>
        </w:rPr>
        <w:t>Pulighe</w:t>
      </w:r>
      <w:proofErr w:type="spellEnd"/>
      <w:r w:rsidRPr="000744F4">
        <w:rPr>
          <w:rFonts w:ascii="Book Antiqua" w:hAnsi="Book Antiqua"/>
          <w:color w:val="201F35"/>
        </w:rPr>
        <w:t xml:space="preserve"> F, De </w:t>
      </w:r>
      <w:proofErr w:type="spellStart"/>
      <w:r w:rsidRPr="000744F4">
        <w:rPr>
          <w:rFonts w:ascii="Book Antiqua" w:hAnsi="Book Antiqua"/>
          <w:color w:val="201F35"/>
        </w:rPr>
        <w:t>Nisco</w:t>
      </w:r>
      <w:proofErr w:type="spellEnd"/>
      <w:r w:rsidRPr="000744F4">
        <w:rPr>
          <w:rFonts w:ascii="Book Antiqua" w:hAnsi="Book Antiqua"/>
          <w:color w:val="201F35"/>
        </w:rPr>
        <w:t xml:space="preserve"> C, </w:t>
      </w:r>
      <w:proofErr w:type="spellStart"/>
      <w:r w:rsidRPr="000744F4">
        <w:rPr>
          <w:rFonts w:ascii="Book Antiqua" w:hAnsi="Book Antiqua"/>
          <w:color w:val="201F35"/>
        </w:rPr>
        <w:t>Perinotti</w:t>
      </w:r>
      <w:proofErr w:type="spellEnd"/>
      <w:r w:rsidRPr="000744F4">
        <w:rPr>
          <w:rFonts w:ascii="Book Antiqua" w:hAnsi="Book Antiqua"/>
          <w:color w:val="201F35"/>
        </w:rPr>
        <w:t xml:space="preserve"> R, Morpurgo E, </w:t>
      </w:r>
      <w:proofErr w:type="spellStart"/>
      <w:r w:rsidRPr="000744F4">
        <w:rPr>
          <w:rFonts w:ascii="Book Antiqua" w:hAnsi="Book Antiqua"/>
          <w:color w:val="201F35"/>
        </w:rPr>
        <w:t>Contardo</w:t>
      </w:r>
      <w:proofErr w:type="spellEnd"/>
      <w:r w:rsidRPr="000744F4">
        <w:rPr>
          <w:rFonts w:ascii="Book Antiqua" w:hAnsi="Book Antiqua"/>
          <w:color w:val="201F35"/>
        </w:rPr>
        <w:t xml:space="preserve"> T, </w:t>
      </w:r>
      <w:proofErr w:type="spellStart"/>
      <w:r w:rsidRPr="000744F4">
        <w:rPr>
          <w:rFonts w:ascii="Book Antiqua" w:hAnsi="Book Antiqua"/>
          <w:color w:val="201F35"/>
        </w:rPr>
        <w:t>Mammano</w:t>
      </w:r>
      <w:proofErr w:type="spellEnd"/>
      <w:r w:rsidRPr="000744F4">
        <w:rPr>
          <w:rFonts w:ascii="Book Antiqua" w:hAnsi="Book Antiqua"/>
          <w:color w:val="201F35"/>
        </w:rPr>
        <w:t xml:space="preserve"> E, Elmore U, </w:t>
      </w:r>
      <w:proofErr w:type="spellStart"/>
      <w:r w:rsidRPr="000744F4">
        <w:rPr>
          <w:rFonts w:ascii="Book Antiqua" w:hAnsi="Book Antiqua"/>
          <w:color w:val="201F35"/>
        </w:rPr>
        <w:t>Delpini</w:t>
      </w:r>
      <w:proofErr w:type="spellEnd"/>
      <w:r w:rsidRPr="000744F4">
        <w:rPr>
          <w:rFonts w:ascii="Book Antiqua" w:hAnsi="Book Antiqua"/>
          <w:color w:val="201F35"/>
        </w:rPr>
        <w:t xml:space="preserve"> R, Rosati R, </w:t>
      </w:r>
      <w:proofErr w:type="spellStart"/>
      <w:r w:rsidRPr="000744F4">
        <w:rPr>
          <w:rFonts w:ascii="Book Antiqua" w:hAnsi="Book Antiqua"/>
          <w:color w:val="201F35"/>
        </w:rPr>
        <w:t>Perna</w:t>
      </w:r>
      <w:proofErr w:type="spellEnd"/>
      <w:r w:rsidRPr="000744F4">
        <w:rPr>
          <w:rFonts w:ascii="Book Antiqua" w:hAnsi="Book Antiqua"/>
          <w:color w:val="201F35"/>
        </w:rPr>
        <w:t xml:space="preserve"> F, </w:t>
      </w:r>
      <w:proofErr w:type="spellStart"/>
      <w:r w:rsidRPr="000744F4">
        <w:rPr>
          <w:rFonts w:ascii="Book Antiqua" w:hAnsi="Book Antiqua"/>
          <w:color w:val="201F35"/>
        </w:rPr>
        <w:t>Coratti</w:t>
      </w:r>
      <w:proofErr w:type="spellEnd"/>
      <w:r w:rsidRPr="000744F4">
        <w:rPr>
          <w:rFonts w:ascii="Book Antiqua" w:hAnsi="Book Antiqua"/>
          <w:color w:val="201F35"/>
        </w:rPr>
        <w:t xml:space="preserve"> A, </w:t>
      </w:r>
      <w:proofErr w:type="spellStart"/>
      <w:r w:rsidRPr="000744F4">
        <w:rPr>
          <w:rFonts w:ascii="Book Antiqua" w:hAnsi="Book Antiqua"/>
          <w:color w:val="201F35"/>
        </w:rPr>
        <w:t>Menegatti</w:t>
      </w:r>
      <w:proofErr w:type="spellEnd"/>
      <w:r w:rsidRPr="000744F4">
        <w:rPr>
          <w:rFonts w:ascii="Book Antiqua" w:hAnsi="Book Antiqua"/>
          <w:color w:val="201F35"/>
        </w:rPr>
        <w:t xml:space="preserve"> B, </w:t>
      </w:r>
      <w:proofErr w:type="spellStart"/>
      <w:r w:rsidRPr="000744F4">
        <w:rPr>
          <w:rFonts w:ascii="Book Antiqua" w:hAnsi="Book Antiqua"/>
          <w:color w:val="201F35"/>
        </w:rPr>
        <w:t>Gentilli</w:t>
      </w:r>
      <w:proofErr w:type="spellEnd"/>
      <w:r w:rsidRPr="000744F4">
        <w:rPr>
          <w:rFonts w:ascii="Book Antiqua" w:hAnsi="Book Antiqua"/>
          <w:color w:val="201F35"/>
        </w:rPr>
        <w:t xml:space="preserve"> S, </w:t>
      </w:r>
      <w:proofErr w:type="spellStart"/>
      <w:r w:rsidRPr="000744F4">
        <w:rPr>
          <w:rFonts w:ascii="Book Antiqua" w:hAnsi="Book Antiqua"/>
          <w:color w:val="201F35"/>
        </w:rPr>
        <w:t>Baroffio</w:t>
      </w:r>
      <w:proofErr w:type="spellEnd"/>
      <w:r w:rsidRPr="000744F4">
        <w:rPr>
          <w:rFonts w:ascii="Book Antiqua" w:hAnsi="Book Antiqua"/>
          <w:color w:val="201F35"/>
        </w:rPr>
        <w:t xml:space="preserve"> P, </w:t>
      </w:r>
      <w:proofErr w:type="spellStart"/>
      <w:r w:rsidRPr="000744F4">
        <w:rPr>
          <w:rFonts w:ascii="Book Antiqua" w:hAnsi="Book Antiqua"/>
          <w:color w:val="201F35"/>
        </w:rPr>
        <w:t>Buccianti</w:t>
      </w:r>
      <w:proofErr w:type="spellEnd"/>
      <w:r w:rsidRPr="000744F4">
        <w:rPr>
          <w:rFonts w:ascii="Book Antiqua" w:hAnsi="Book Antiqua"/>
          <w:color w:val="201F35"/>
        </w:rPr>
        <w:t xml:space="preserve"> P, Balestri R, </w:t>
      </w:r>
      <w:proofErr w:type="spellStart"/>
      <w:r w:rsidRPr="000744F4">
        <w:rPr>
          <w:rFonts w:ascii="Book Antiqua" w:hAnsi="Book Antiqua"/>
          <w:color w:val="201F35"/>
        </w:rPr>
        <w:t>Ceccarelli</w:t>
      </w:r>
      <w:proofErr w:type="spellEnd"/>
      <w:r w:rsidRPr="000744F4">
        <w:rPr>
          <w:rFonts w:ascii="Book Antiqua" w:hAnsi="Book Antiqua"/>
          <w:color w:val="201F35"/>
        </w:rPr>
        <w:t xml:space="preserve"> C, Torri V, Cavaliere D, </w:t>
      </w:r>
      <w:proofErr w:type="spellStart"/>
      <w:r w:rsidRPr="000744F4">
        <w:rPr>
          <w:rFonts w:ascii="Book Antiqua" w:hAnsi="Book Antiqua"/>
          <w:color w:val="201F35"/>
        </w:rPr>
        <w:t>Solaini</w:t>
      </w:r>
      <w:proofErr w:type="spellEnd"/>
      <w:r w:rsidRPr="000744F4">
        <w:rPr>
          <w:rFonts w:ascii="Book Antiqua" w:hAnsi="Book Antiqua"/>
          <w:color w:val="201F35"/>
        </w:rPr>
        <w:t xml:space="preserve"> L, </w:t>
      </w:r>
      <w:proofErr w:type="spellStart"/>
      <w:r w:rsidRPr="000744F4">
        <w:rPr>
          <w:rFonts w:ascii="Book Antiqua" w:hAnsi="Book Antiqua"/>
          <w:color w:val="201F35"/>
        </w:rPr>
        <w:t>Ercolani</w:t>
      </w:r>
      <w:proofErr w:type="spellEnd"/>
      <w:r w:rsidRPr="000744F4">
        <w:rPr>
          <w:rFonts w:ascii="Book Antiqua" w:hAnsi="Book Antiqua"/>
          <w:color w:val="201F35"/>
        </w:rPr>
        <w:t xml:space="preserve"> G, Traverso E, Fusco V, Rossi M, </w:t>
      </w:r>
      <w:proofErr w:type="spellStart"/>
      <w:r w:rsidRPr="000744F4">
        <w:rPr>
          <w:rFonts w:ascii="Book Antiqua" w:hAnsi="Book Antiqua"/>
          <w:color w:val="201F35"/>
        </w:rPr>
        <w:t>Priora</w:t>
      </w:r>
      <w:proofErr w:type="spellEnd"/>
      <w:r w:rsidRPr="000744F4">
        <w:rPr>
          <w:rFonts w:ascii="Book Antiqua" w:hAnsi="Book Antiqua"/>
          <w:color w:val="201F35"/>
        </w:rPr>
        <w:t xml:space="preserve"> F, </w:t>
      </w:r>
      <w:proofErr w:type="spellStart"/>
      <w:r w:rsidRPr="000744F4">
        <w:rPr>
          <w:rFonts w:ascii="Book Antiqua" w:hAnsi="Book Antiqua"/>
          <w:color w:val="201F35"/>
        </w:rPr>
        <w:t>Numico</w:t>
      </w:r>
      <w:proofErr w:type="spellEnd"/>
      <w:r w:rsidRPr="000744F4">
        <w:rPr>
          <w:rFonts w:ascii="Book Antiqua" w:hAnsi="Book Antiqua"/>
          <w:color w:val="201F35"/>
        </w:rPr>
        <w:t xml:space="preserve"> G, </w:t>
      </w:r>
      <w:proofErr w:type="spellStart"/>
      <w:r w:rsidRPr="000744F4">
        <w:rPr>
          <w:rFonts w:ascii="Book Antiqua" w:hAnsi="Book Antiqua"/>
          <w:color w:val="201F35"/>
        </w:rPr>
        <w:t>Franzone</w:t>
      </w:r>
      <w:proofErr w:type="spellEnd"/>
      <w:r w:rsidRPr="000744F4">
        <w:rPr>
          <w:rFonts w:ascii="Book Antiqua" w:hAnsi="Book Antiqua"/>
          <w:color w:val="201F35"/>
        </w:rPr>
        <w:t xml:space="preserve"> P, </w:t>
      </w:r>
      <w:proofErr w:type="spellStart"/>
      <w:r w:rsidRPr="000744F4">
        <w:rPr>
          <w:rFonts w:ascii="Book Antiqua" w:hAnsi="Book Antiqua"/>
          <w:color w:val="201F35"/>
        </w:rPr>
        <w:t>Orecchia</w:t>
      </w:r>
      <w:proofErr w:type="spellEnd"/>
      <w:r w:rsidRPr="000744F4">
        <w:rPr>
          <w:rFonts w:ascii="Book Antiqua" w:hAnsi="Book Antiqua"/>
          <w:color w:val="201F35"/>
        </w:rPr>
        <w:t xml:space="preserve"> S. Standard (8</w:t>
      </w:r>
      <w:r w:rsidRPr="00F12D90">
        <w:rPr>
          <w:rFonts w:ascii="Times New Roman" w:eastAsia="MS Mincho" w:hAnsi="Times New Roman" w:cs="Times New Roman"/>
          <w:color w:val="201F35"/>
        </w:rPr>
        <w:t> </w:t>
      </w:r>
      <w:r w:rsidRPr="000744F4">
        <w:rPr>
          <w:rFonts w:ascii="Book Antiqua" w:hAnsi="Book Antiqua"/>
          <w:color w:val="201F35"/>
        </w:rPr>
        <w:t>weeks) vs long (12</w:t>
      </w:r>
      <w:r w:rsidRPr="00F12D90">
        <w:rPr>
          <w:rFonts w:ascii="Times New Roman" w:eastAsia="MS Mincho" w:hAnsi="Times New Roman" w:cs="Times New Roman"/>
          <w:color w:val="201F35"/>
        </w:rPr>
        <w:t> </w:t>
      </w:r>
      <w:r w:rsidRPr="000744F4">
        <w:rPr>
          <w:rFonts w:ascii="Book Antiqua" w:hAnsi="Book Antiqua"/>
          <w:color w:val="201F35"/>
        </w:rPr>
        <w:t xml:space="preserve">weeks) timing to minimally-invasive surgery after </w:t>
      </w:r>
      <w:proofErr w:type="spellStart"/>
      <w:r w:rsidRPr="000744F4">
        <w:rPr>
          <w:rFonts w:ascii="Book Antiqua" w:hAnsi="Book Antiqua"/>
          <w:color w:val="201F35"/>
        </w:rPr>
        <w:t>NeoAdjuvant</w:t>
      </w:r>
      <w:proofErr w:type="spellEnd"/>
      <w:r w:rsidRPr="000744F4">
        <w:rPr>
          <w:rFonts w:ascii="Book Antiqua" w:hAnsi="Book Antiqua"/>
          <w:color w:val="201F35"/>
        </w:rPr>
        <w:t xml:space="preserve"> Chemoradiotherapy for rectal cancer: a multicenter randomized controlled parallel group trial (TiMiSNAR). </w:t>
      </w:r>
      <w:r w:rsidRPr="000744F4">
        <w:rPr>
          <w:rFonts w:ascii="Book Antiqua" w:hAnsi="Book Antiqua"/>
          <w:i/>
          <w:iCs/>
          <w:color w:val="201F35"/>
        </w:rPr>
        <w:t>BMC Cancer</w:t>
      </w:r>
      <w:r w:rsidRPr="000744F4">
        <w:rPr>
          <w:rFonts w:ascii="Book Antiqua" w:hAnsi="Book Antiqua"/>
          <w:color w:val="201F35"/>
        </w:rPr>
        <w:t xml:space="preserve"> 2019; </w:t>
      </w:r>
      <w:r w:rsidRPr="000744F4">
        <w:rPr>
          <w:rFonts w:ascii="Book Antiqua" w:hAnsi="Book Antiqua"/>
          <w:b/>
          <w:bCs/>
          <w:color w:val="201F35"/>
        </w:rPr>
        <w:t>19</w:t>
      </w:r>
      <w:r w:rsidRPr="000744F4">
        <w:rPr>
          <w:rFonts w:ascii="Book Antiqua" w:hAnsi="Book Antiqua"/>
          <w:color w:val="201F35"/>
        </w:rPr>
        <w:t>: 1215 [PMID: 31842784 DOI: 10.1186/s12885-019-6271-3]</w:t>
      </w:r>
    </w:p>
    <w:p w14:paraId="5C3FEB2A" w14:textId="77777777" w:rsidR="009F5BC8" w:rsidRPr="000744F4" w:rsidRDefault="00A225DB" w:rsidP="002F5916">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0744F4">
        <w:rPr>
          <w:rFonts w:ascii="Book Antiqua" w:hAnsi="Book Antiqua"/>
          <w:color w:val="201F35"/>
        </w:rPr>
        <w:t xml:space="preserve">19 </w:t>
      </w:r>
      <w:proofErr w:type="spellStart"/>
      <w:r w:rsidRPr="000744F4">
        <w:rPr>
          <w:rFonts w:ascii="Book Antiqua" w:hAnsi="Book Antiqua"/>
          <w:b/>
          <w:bCs/>
          <w:color w:val="201F35"/>
        </w:rPr>
        <w:t>Cercek</w:t>
      </w:r>
      <w:proofErr w:type="spellEnd"/>
      <w:r w:rsidRPr="000744F4">
        <w:rPr>
          <w:rFonts w:ascii="Book Antiqua" w:hAnsi="Book Antiqua"/>
          <w:b/>
          <w:bCs/>
          <w:color w:val="201F35"/>
        </w:rPr>
        <w:t xml:space="preserve"> A</w:t>
      </w:r>
      <w:r w:rsidRPr="000744F4">
        <w:rPr>
          <w:rFonts w:ascii="Book Antiqua" w:hAnsi="Book Antiqua"/>
          <w:color w:val="201F35"/>
        </w:rPr>
        <w:t xml:space="preserve">, Roxburgh CSD, </w:t>
      </w:r>
      <w:proofErr w:type="spellStart"/>
      <w:r w:rsidRPr="000744F4">
        <w:rPr>
          <w:rFonts w:ascii="Book Antiqua" w:hAnsi="Book Antiqua"/>
          <w:color w:val="201F35"/>
        </w:rPr>
        <w:t>Strombom</w:t>
      </w:r>
      <w:proofErr w:type="spellEnd"/>
      <w:r w:rsidRPr="000744F4">
        <w:rPr>
          <w:rFonts w:ascii="Book Antiqua" w:hAnsi="Book Antiqua"/>
          <w:color w:val="201F35"/>
        </w:rPr>
        <w:t xml:space="preserve"> P, Smith JJ, Temple LKF, Nash GM, </w:t>
      </w:r>
      <w:proofErr w:type="spellStart"/>
      <w:r w:rsidRPr="000744F4">
        <w:rPr>
          <w:rFonts w:ascii="Book Antiqua" w:hAnsi="Book Antiqua"/>
          <w:color w:val="201F35"/>
        </w:rPr>
        <w:t>Guillem</w:t>
      </w:r>
      <w:proofErr w:type="spellEnd"/>
      <w:r w:rsidRPr="000744F4">
        <w:rPr>
          <w:rFonts w:ascii="Book Antiqua" w:hAnsi="Book Antiqua"/>
          <w:color w:val="201F35"/>
        </w:rPr>
        <w:t xml:space="preserve"> JG, </w:t>
      </w:r>
      <w:proofErr w:type="spellStart"/>
      <w:r w:rsidRPr="000744F4">
        <w:rPr>
          <w:rFonts w:ascii="Book Antiqua" w:hAnsi="Book Antiqua"/>
          <w:color w:val="201F35"/>
        </w:rPr>
        <w:t>Paty</w:t>
      </w:r>
      <w:proofErr w:type="spellEnd"/>
      <w:r w:rsidRPr="000744F4">
        <w:rPr>
          <w:rFonts w:ascii="Book Antiqua" w:hAnsi="Book Antiqua"/>
          <w:color w:val="201F35"/>
        </w:rPr>
        <w:t xml:space="preserve"> PB, Yaeger R, Stadler ZK, </w:t>
      </w:r>
      <w:proofErr w:type="spellStart"/>
      <w:r w:rsidRPr="000744F4">
        <w:rPr>
          <w:rFonts w:ascii="Book Antiqua" w:hAnsi="Book Antiqua"/>
          <w:color w:val="201F35"/>
        </w:rPr>
        <w:t>Seier</w:t>
      </w:r>
      <w:proofErr w:type="spellEnd"/>
      <w:r w:rsidRPr="000744F4">
        <w:rPr>
          <w:rFonts w:ascii="Book Antiqua" w:hAnsi="Book Antiqua"/>
          <w:color w:val="201F35"/>
        </w:rPr>
        <w:t xml:space="preserve"> K, </w:t>
      </w:r>
      <w:proofErr w:type="spellStart"/>
      <w:r w:rsidRPr="000744F4">
        <w:rPr>
          <w:rFonts w:ascii="Book Antiqua" w:hAnsi="Book Antiqua"/>
          <w:color w:val="201F35"/>
        </w:rPr>
        <w:t>Gonen</w:t>
      </w:r>
      <w:proofErr w:type="spellEnd"/>
      <w:r w:rsidRPr="000744F4">
        <w:rPr>
          <w:rFonts w:ascii="Book Antiqua" w:hAnsi="Book Antiqua"/>
          <w:color w:val="201F35"/>
        </w:rPr>
        <w:t xml:space="preserve"> M, Segal NH, Reidy DL, Varghese A, Shia J, </w:t>
      </w:r>
      <w:proofErr w:type="spellStart"/>
      <w:r w:rsidRPr="000744F4">
        <w:rPr>
          <w:rFonts w:ascii="Book Antiqua" w:hAnsi="Book Antiqua"/>
          <w:color w:val="201F35"/>
        </w:rPr>
        <w:t>Vakiani</w:t>
      </w:r>
      <w:proofErr w:type="spellEnd"/>
      <w:r w:rsidRPr="000744F4">
        <w:rPr>
          <w:rFonts w:ascii="Book Antiqua" w:hAnsi="Book Antiqua"/>
          <w:color w:val="201F35"/>
        </w:rPr>
        <w:t xml:space="preserve"> E, Wu AJ, Crane CH, </w:t>
      </w:r>
      <w:proofErr w:type="spellStart"/>
      <w:r w:rsidRPr="000744F4">
        <w:rPr>
          <w:rFonts w:ascii="Book Antiqua" w:hAnsi="Book Antiqua"/>
          <w:color w:val="201F35"/>
        </w:rPr>
        <w:t>Gollub</w:t>
      </w:r>
      <w:proofErr w:type="spellEnd"/>
      <w:r w:rsidRPr="000744F4">
        <w:rPr>
          <w:rFonts w:ascii="Book Antiqua" w:hAnsi="Book Antiqua"/>
          <w:color w:val="201F35"/>
        </w:rPr>
        <w:t xml:space="preserve"> MJ, Garcia-Aguilar J, </w:t>
      </w:r>
      <w:proofErr w:type="spellStart"/>
      <w:r w:rsidRPr="000744F4">
        <w:rPr>
          <w:rFonts w:ascii="Book Antiqua" w:hAnsi="Book Antiqua"/>
          <w:color w:val="201F35"/>
        </w:rPr>
        <w:t>Saltz</w:t>
      </w:r>
      <w:proofErr w:type="spellEnd"/>
      <w:r w:rsidRPr="000744F4">
        <w:rPr>
          <w:rFonts w:ascii="Book Antiqua" w:hAnsi="Book Antiqua"/>
          <w:color w:val="201F35"/>
        </w:rPr>
        <w:t xml:space="preserve"> LB, Weiser MR. Adoption of Total Neoadjuvant Therapy for Locally Advanced Rectal Cancer. </w:t>
      </w:r>
      <w:r w:rsidRPr="000744F4">
        <w:rPr>
          <w:rFonts w:ascii="Book Antiqua" w:hAnsi="Book Antiqua"/>
          <w:i/>
          <w:iCs/>
          <w:color w:val="201F35"/>
        </w:rPr>
        <w:t>JAMA Oncol</w:t>
      </w:r>
      <w:r w:rsidRPr="000744F4">
        <w:rPr>
          <w:rFonts w:ascii="Book Antiqua" w:hAnsi="Book Antiqua"/>
          <w:color w:val="201F35"/>
        </w:rPr>
        <w:t xml:space="preserve"> 2018; </w:t>
      </w:r>
      <w:r w:rsidRPr="000744F4">
        <w:rPr>
          <w:rFonts w:ascii="Book Antiqua" w:hAnsi="Book Antiqua"/>
          <w:b/>
          <w:bCs/>
          <w:color w:val="201F35"/>
        </w:rPr>
        <w:t>4</w:t>
      </w:r>
      <w:r w:rsidRPr="000744F4">
        <w:rPr>
          <w:rFonts w:ascii="Book Antiqua" w:hAnsi="Book Antiqua"/>
          <w:color w:val="201F35"/>
        </w:rPr>
        <w:t>: e180071 [PMID: 29566109 DOI: 10.1001/jamaoncol.2018.0071]</w:t>
      </w:r>
    </w:p>
    <w:p w14:paraId="1B2D85D3" w14:textId="77777777" w:rsidR="009F5BC8" w:rsidRPr="000744F4" w:rsidRDefault="00A225DB" w:rsidP="002F5916">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0744F4">
        <w:rPr>
          <w:rFonts w:ascii="Book Antiqua" w:hAnsi="Book Antiqua"/>
          <w:color w:val="201F35"/>
        </w:rPr>
        <w:t xml:space="preserve">20 </w:t>
      </w:r>
      <w:r w:rsidRPr="000744F4">
        <w:rPr>
          <w:rFonts w:ascii="Book Antiqua" w:hAnsi="Book Antiqua"/>
          <w:b/>
          <w:bCs/>
          <w:color w:val="201F35"/>
        </w:rPr>
        <w:t>Garcia Aguilar J,</w:t>
      </w:r>
      <w:r w:rsidRPr="000744F4">
        <w:rPr>
          <w:rFonts w:ascii="Book Antiqua" w:hAnsi="Book Antiqua"/>
          <w:color w:val="201F35"/>
        </w:rPr>
        <w:t xml:space="preserve"> Patil S, Kim JK, Yuval JB, </w:t>
      </w:r>
      <w:proofErr w:type="spellStart"/>
      <w:r w:rsidRPr="000744F4">
        <w:rPr>
          <w:rFonts w:ascii="Book Antiqua" w:hAnsi="Book Antiqua"/>
          <w:color w:val="201F35"/>
        </w:rPr>
        <w:t>Thompsom</w:t>
      </w:r>
      <w:proofErr w:type="spellEnd"/>
      <w:r w:rsidRPr="000744F4">
        <w:rPr>
          <w:rFonts w:ascii="Book Antiqua" w:hAnsi="Book Antiqua"/>
          <w:color w:val="201F35"/>
        </w:rPr>
        <w:t xml:space="preserve"> H, </w:t>
      </w:r>
      <w:proofErr w:type="spellStart"/>
      <w:r w:rsidRPr="000744F4">
        <w:rPr>
          <w:rFonts w:ascii="Book Antiqua" w:hAnsi="Book Antiqua"/>
          <w:color w:val="201F35"/>
        </w:rPr>
        <w:t>Verheij</w:t>
      </w:r>
      <w:proofErr w:type="spellEnd"/>
      <w:r w:rsidRPr="000744F4">
        <w:rPr>
          <w:rFonts w:ascii="Book Antiqua" w:hAnsi="Book Antiqua"/>
          <w:color w:val="201F35"/>
        </w:rPr>
        <w:t xml:space="preserve"> F, on behalf of the OPRA Consortium. Preliminary results of the organ preservation of rectal adenocarcinoma (OPRA) trial. </w:t>
      </w:r>
      <w:r w:rsidRPr="000744F4">
        <w:rPr>
          <w:rFonts w:ascii="Book Antiqua" w:hAnsi="Book Antiqua"/>
          <w:i/>
          <w:iCs/>
          <w:color w:val="201F35"/>
        </w:rPr>
        <w:t>J Clin Oncol</w:t>
      </w:r>
      <w:r w:rsidRPr="000744F4">
        <w:rPr>
          <w:rFonts w:ascii="Book Antiqua" w:hAnsi="Book Antiqua"/>
          <w:color w:val="201F35"/>
        </w:rPr>
        <w:t xml:space="preserve"> 2020; </w:t>
      </w:r>
      <w:r w:rsidRPr="000744F4">
        <w:rPr>
          <w:rFonts w:ascii="Book Antiqua" w:hAnsi="Book Antiqua"/>
          <w:b/>
          <w:bCs/>
          <w:color w:val="201F35"/>
        </w:rPr>
        <w:t xml:space="preserve">38 </w:t>
      </w:r>
      <w:r w:rsidRPr="000744F4">
        <w:rPr>
          <w:rFonts w:ascii="Book Antiqua" w:hAnsi="Book Antiqua"/>
          <w:color w:val="201F35"/>
        </w:rPr>
        <w:t>Suppl: 4008 [DOI: 10.1200/JCO.2020.38.15_suppl.4008]</w:t>
      </w:r>
    </w:p>
    <w:p w14:paraId="3C73A1C8" w14:textId="77777777" w:rsidR="009F5BC8" w:rsidRPr="00F12D90" w:rsidRDefault="009F5BC8" w:rsidP="002F5916">
      <w:pPr>
        <w:snapToGrid w:val="0"/>
        <w:spacing w:line="360" w:lineRule="auto"/>
        <w:jc w:val="both"/>
        <w:rPr>
          <w:rFonts w:ascii="Book Antiqua" w:hAnsi="Book Antiqua"/>
        </w:rPr>
      </w:pPr>
    </w:p>
    <w:p w14:paraId="3B123CFD" w14:textId="77777777" w:rsidR="009F5BC8" w:rsidRPr="00F12D90" w:rsidRDefault="009F5BC8" w:rsidP="002F5916">
      <w:pPr>
        <w:snapToGrid w:val="0"/>
        <w:spacing w:line="360" w:lineRule="auto"/>
        <w:jc w:val="both"/>
        <w:rPr>
          <w:rFonts w:ascii="Book Antiqua" w:hAnsi="Book Antiqua"/>
        </w:rPr>
        <w:sectPr w:rsidR="009F5BC8" w:rsidRPr="00F12D90">
          <w:pgSz w:w="12240" w:h="15840"/>
          <w:pgMar w:top="1440" w:right="1440" w:bottom="1440" w:left="1440" w:header="720" w:footer="720" w:gutter="0"/>
          <w:cols w:space="720"/>
          <w:docGrid w:linePitch="360"/>
        </w:sectPr>
      </w:pPr>
    </w:p>
    <w:p w14:paraId="45BA8CC1" w14:textId="77777777"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b/>
          <w:color w:val="000000"/>
        </w:rPr>
        <w:lastRenderedPageBreak/>
        <w:t>Footnotes</w:t>
      </w:r>
    </w:p>
    <w:p w14:paraId="20B68F99" w14:textId="5C14E856"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b/>
          <w:bCs/>
          <w:color w:val="000000"/>
        </w:rPr>
        <w:t xml:space="preserve">Conflict-of-interest statement: </w:t>
      </w:r>
      <w:r w:rsidR="00B131C6">
        <w:rPr>
          <w:rFonts w:ascii="Book Antiqua" w:eastAsia="Book Antiqua" w:hAnsi="Book Antiqua" w:cs="Book Antiqua"/>
          <w:color w:val="000000"/>
        </w:rPr>
        <w:t>The a</w:t>
      </w:r>
      <w:r w:rsidRPr="000744F4">
        <w:rPr>
          <w:rFonts w:ascii="Book Antiqua" w:eastAsia="Book Antiqua" w:hAnsi="Book Antiqua" w:cs="Book Antiqua"/>
          <w:color w:val="000000"/>
        </w:rPr>
        <w:t xml:space="preserve">uthors </w:t>
      </w:r>
      <w:r w:rsidR="00B131C6">
        <w:rPr>
          <w:rFonts w:ascii="Book Antiqua" w:eastAsia="Book Antiqua" w:hAnsi="Book Antiqua" w:cs="Book Antiqua"/>
          <w:color w:val="000000"/>
        </w:rPr>
        <w:t xml:space="preserve">declare that they </w:t>
      </w:r>
      <w:r w:rsidRPr="000744F4">
        <w:rPr>
          <w:rFonts w:ascii="Book Antiqua" w:eastAsia="Book Antiqua" w:hAnsi="Book Antiqua" w:cs="Book Antiqua"/>
          <w:color w:val="000000"/>
        </w:rPr>
        <w:t>have nothing to disclose.</w:t>
      </w:r>
    </w:p>
    <w:p w14:paraId="16AF9F00" w14:textId="77777777" w:rsidR="009F5BC8" w:rsidRPr="00F12D90" w:rsidRDefault="009F5BC8" w:rsidP="002F5916">
      <w:pPr>
        <w:snapToGrid w:val="0"/>
        <w:spacing w:line="360" w:lineRule="auto"/>
        <w:jc w:val="both"/>
        <w:rPr>
          <w:rFonts w:ascii="Book Antiqua" w:hAnsi="Book Antiqua"/>
        </w:rPr>
      </w:pPr>
    </w:p>
    <w:p w14:paraId="6A73823D" w14:textId="77777777"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b/>
          <w:bCs/>
          <w:color w:val="000000"/>
        </w:rPr>
        <w:t xml:space="preserve">Open-Access: </w:t>
      </w:r>
      <w:r w:rsidRPr="000744F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C5843B0" w14:textId="77777777" w:rsidR="009F5BC8" w:rsidRPr="00F12D90" w:rsidRDefault="009F5BC8" w:rsidP="002F5916">
      <w:pPr>
        <w:snapToGrid w:val="0"/>
        <w:spacing w:line="360" w:lineRule="auto"/>
        <w:jc w:val="both"/>
        <w:rPr>
          <w:rFonts w:ascii="Book Antiqua" w:hAnsi="Book Antiqua"/>
        </w:rPr>
      </w:pPr>
    </w:p>
    <w:p w14:paraId="11299580" w14:textId="77777777"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b/>
          <w:color w:val="000000"/>
        </w:rPr>
        <w:t xml:space="preserve">Manuscript source: </w:t>
      </w:r>
      <w:r w:rsidRPr="000744F4">
        <w:rPr>
          <w:rFonts w:ascii="Book Antiqua" w:eastAsia="Book Antiqua" w:hAnsi="Book Antiqua" w:cs="Book Antiqua"/>
          <w:color w:val="000000"/>
        </w:rPr>
        <w:t>Invited manuscript</w:t>
      </w:r>
    </w:p>
    <w:p w14:paraId="03590BF9" w14:textId="77777777" w:rsidR="009F5BC8" w:rsidRPr="00F12D90" w:rsidRDefault="009F5BC8" w:rsidP="002F5916">
      <w:pPr>
        <w:snapToGrid w:val="0"/>
        <w:spacing w:line="360" w:lineRule="auto"/>
        <w:jc w:val="both"/>
        <w:rPr>
          <w:rFonts w:ascii="Book Antiqua" w:hAnsi="Book Antiqua"/>
        </w:rPr>
      </w:pPr>
    </w:p>
    <w:p w14:paraId="0A2CF2FA" w14:textId="77777777"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b/>
          <w:color w:val="000000"/>
        </w:rPr>
        <w:t xml:space="preserve">Peer-review started: </w:t>
      </w:r>
      <w:r w:rsidRPr="000744F4">
        <w:rPr>
          <w:rFonts w:ascii="Book Antiqua" w:eastAsia="Book Antiqua" w:hAnsi="Book Antiqua" w:cs="Book Antiqua"/>
          <w:color w:val="000000"/>
        </w:rPr>
        <w:t>April 30, 2021</w:t>
      </w:r>
    </w:p>
    <w:p w14:paraId="7972180A" w14:textId="77777777"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b/>
          <w:color w:val="000000"/>
        </w:rPr>
        <w:t xml:space="preserve">First decision: </w:t>
      </w:r>
      <w:r w:rsidRPr="000744F4">
        <w:rPr>
          <w:rFonts w:ascii="Book Antiqua" w:eastAsia="Book Antiqua" w:hAnsi="Book Antiqua" w:cs="Book Antiqua"/>
          <w:color w:val="000000"/>
        </w:rPr>
        <w:t>Jul</w:t>
      </w:r>
      <w:r w:rsidRPr="00AD3253">
        <w:rPr>
          <w:rFonts w:ascii="Book Antiqua" w:eastAsia="Book Antiqua" w:hAnsi="Book Antiqua" w:cs="Book Antiqua"/>
          <w:color w:val="000000"/>
        </w:rPr>
        <w:t>y 4, 2021</w:t>
      </w:r>
    </w:p>
    <w:p w14:paraId="291132D1" w14:textId="77777777"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b/>
          <w:color w:val="000000"/>
        </w:rPr>
        <w:t xml:space="preserve">Article in press: </w:t>
      </w:r>
    </w:p>
    <w:p w14:paraId="13D74715" w14:textId="77777777" w:rsidR="009F5BC8" w:rsidRPr="00F12D90" w:rsidRDefault="009F5BC8" w:rsidP="002F5916">
      <w:pPr>
        <w:snapToGrid w:val="0"/>
        <w:spacing w:line="360" w:lineRule="auto"/>
        <w:jc w:val="both"/>
        <w:rPr>
          <w:rFonts w:ascii="Book Antiqua" w:hAnsi="Book Antiqua"/>
        </w:rPr>
      </w:pPr>
    </w:p>
    <w:p w14:paraId="44CEAB39" w14:textId="77777777"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b/>
          <w:color w:val="000000"/>
        </w:rPr>
        <w:t xml:space="preserve">Specialty type: </w:t>
      </w:r>
      <w:r w:rsidRPr="000744F4">
        <w:rPr>
          <w:rFonts w:ascii="Book Antiqua" w:eastAsia="Book Antiqua" w:hAnsi="Book Antiqua" w:cs="Book Antiqua"/>
          <w:color w:val="000000"/>
        </w:rPr>
        <w:t xml:space="preserve">Oncology </w:t>
      </w:r>
    </w:p>
    <w:p w14:paraId="478B8532" w14:textId="77777777"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b/>
          <w:color w:val="000000"/>
        </w:rPr>
        <w:t xml:space="preserve">Country/Territory of origin: </w:t>
      </w:r>
      <w:r w:rsidRPr="000744F4">
        <w:rPr>
          <w:rFonts w:ascii="Book Antiqua" w:eastAsia="Book Antiqua" w:hAnsi="Book Antiqua" w:cs="Book Antiqua"/>
          <w:color w:val="000000"/>
        </w:rPr>
        <w:t>Spain</w:t>
      </w:r>
    </w:p>
    <w:p w14:paraId="4E81A0AF" w14:textId="77777777"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b/>
          <w:color w:val="000000"/>
        </w:rPr>
        <w:t>Peer-review report’s scientific quality classification</w:t>
      </w:r>
    </w:p>
    <w:p w14:paraId="5DFE4B64" w14:textId="77777777"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color w:val="000000"/>
        </w:rPr>
        <w:t>Grade A (Excellent): 0</w:t>
      </w:r>
    </w:p>
    <w:p w14:paraId="7F9F11CB" w14:textId="77777777"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color w:val="000000"/>
        </w:rPr>
        <w:t>Grade B (Very good): 0</w:t>
      </w:r>
    </w:p>
    <w:p w14:paraId="147A8A1E" w14:textId="77777777"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color w:val="000000"/>
        </w:rPr>
        <w:t>Grade C (Good): C</w:t>
      </w:r>
    </w:p>
    <w:p w14:paraId="3C114DA2" w14:textId="77777777"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color w:val="000000"/>
        </w:rPr>
        <w:t>Grade D (Fair): 0</w:t>
      </w:r>
    </w:p>
    <w:p w14:paraId="7EDC042F" w14:textId="77777777" w:rsidR="009F5BC8" w:rsidRPr="00F12D90" w:rsidRDefault="00A225DB" w:rsidP="002F5916">
      <w:pPr>
        <w:snapToGrid w:val="0"/>
        <w:spacing w:line="360" w:lineRule="auto"/>
        <w:jc w:val="both"/>
        <w:rPr>
          <w:rFonts w:ascii="Book Antiqua" w:hAnsi="Book Antiqua"/>
        </w:rPr>
      </w:pPr>
      <w:r w:rsidRPr="000744F4">
        <w:rPr>
          <w:rFonts w:ascii="Book Antiqua" w:eastAsia="Book Antiqua" w:hAnsi="Book Antiqua" w:cs="Book Antiqua"/>
          <w:color w:val="000000"/>
        </w:rPr>
        <w:t>Grade E (Poor): 0</w:t>
      </w:r>
    </w:p>
    <w:p w14:paraId="59997217" w14:textId="77777777" w:rsidR="009F5BC8" w:rsidRPr="00F12D90" w:rsidRDefault="009F5BC8" w:rsidP="002F5916">
      <w:pPr>
        <w:snapToGrid w:val="0"/>
        <w:spacing w:line="360" w:lineRule="auto"/>
        <w:jc w:val="both"/>
        <w:rPr>
          <w:rFonts w:ascii="Book Antiqua" w:hAnsi="Book Antiqua"/>
        </w:rPr>
      </w:pPr>
    </w:p>
    <w:p w14:paraId="6EBAAF4C" w14:textId="2D7A2290" w:rsidR="009F5BC8" w:rsidRPr="00260AE7" w:rsidRDefault="00A225DB" w:rsidP="002F5916">
      <w:pPr>
        <w:snapToGrid w:val="0"/>
        <w:spacing w:line="360" w:lineRule="auto"/>
        <w:jc w:val="both"/>
        <w:rPr>
          <w:rFonts w:ascii="Book Antiqua" w:eastAsia="Book Antiqua" w:hAnsi="Book Antiqua" w:cs="Book Antiqua"/>
          <w:b/>
          <w:color w:val="000000"/>
        </w:rPr>
      </w:pPr>
      <w:r w:rsidRPr="000744F4">
        <w:rPr>
          <w:rFonts w:ascii="Book Antiqua" w:eastAsia="Book Antiqua" w:hAnsi="Book Antiqua" w:cs="Book Antiqua"/>
          <w:b/>
          <w:color w:val="000000"/>
        </w:rPr>
        <w:t xml:space="preserve">P-Reviewer: </w:t>
      </w:r>
      <w:r w:rsidRPr="00AD3253">
        <w:rPr>
          <w:rFonts w:ascii="Book Antiqua" w:eastAsia="Book Antiqua" w:hAnsi="Book Antiqua" w:cs="Book Antiqua"/>
          <w:color w:val="000000"/>
        </w:rPr>
        <w:t>Ergun Y</w:t>
      </w:r>
      <w:r w:rsidRPr="00260AE7">
        <w:rPr>
          <w:rFonts w:ascii="Book Antiqua" w:eastAsia="Book Antiqua" w:hAnsi="Book Antiqua" w:cs="Book Antiqua"/>
          <w:b/>
          <w:color w:val="000000"/>
        </w:rPr>
        <w:t xml:space="preserve"> S-Editor: </w:t>
      </w:r>
      <w:r w:rsidRPr="00260AE7">
        <w:rPr>
          <w:rFonts w:ascii="Book Antiqua" w:eastAsia="Book Antiqua" w:hAnsi="Book Antiqua" w:cs="Book Antiqua"/>
          <w:color w:val="000000"/>
        </w:rPr>
        <w:t>Liu M</w:t>
      </w:r>
      <w:r w:rsidRPr="00260AE7">
        <w:rPr>
          <w:rFonts w:ascii="Book Antiqua" w:eastAsia="Book Antiqua" w:hAnsi="Book Antiqua" w:cs="Book Antiqua"/>
          <w:b/>
          <w:color w:val="000000"/>
        </w:rPr>
        <w:t xml:space="preserve"> L-Editor: </w:t>
      </w:r>
      <w:r w:rsidR="00F07CCB" w:rsidRPr="00260AE7">
        <w:rPr>
          <w:rFonts w:ascii="Book Antiqua" w:eastAsia="Book Antiqua" w:hAnsi="Book Antiqua" w:cs="Book Antiqua"/>
          <w:bCs/>
          <w:color w:val="000000"/>
        </w:rPr>
        <w:t xml:space="preserve">Filipodia </w:t>
      </w:r>
      <w:r w:rsidRPr="00260AE7">
        <w:rPr>
          <w:rFonts w:ascii="Book Antiqua" w:eastAsia="Book Antiqua" w:hAnsi="Book Antiqua" w:cs="Book Antiqua"/>
          <w:b/>
          <w:color w:val="000000"/>
        </w:rPr>
        <w:t xml:space="preserve">P-Editor: </w:t>
      </w:r>
    </w:p>
    <w:p w14:paraId="0AE3F9BD" w14:textId="77777777" w:rsidR="009F5BC8" w:rsidRPr="000744F4" w:rsidRDefault="00A225DB" w:rsidP="002F5916">
      <w:pPr>
        <w:adjustRightInd w:val="0"/>
        <w:snapToGrid w:val="0"/>
        <w:spacing w:line="360" w:lineRule="auto"/>
        <w:jc w:val="both"/>
        <w:rPr>
          <w:rFonts w:ascii="Book Antiqua" w:eastAsia="Book Antiqua" w:hAnsi="Book Antiqua" w:cs="Book Antiqua"/>
          <w:b/>
          <w:bCs/>
          <w:color w:val="000000"/>
        </w:rPr>
      </w:pPr>
      <w:r w:rsidRPr="000744F4">
        <w:rPr>
          <w:rFonts w:ascii="Book Antiqua" w:eastAsia="Book Antiqua" w:hAnsi="Book Antiqua" w:cs="Book Antiqua"/>
          <w:b/>
          <w:color w:val="000000"/>
        </w:rPr>
        <w:br w:type="page"/>
      </w:r>
      <w:r w:rsidRPr="000744F4">
        <w:rPr>
          <w:rFonts w:ascii="Book Antiqua" w:eastAsia="Book Antiqua" w:hAnsi="Book Antiqua" w:cs="Book Antiqua"/>
          <w:b/>
          <w:bCs/>
          <w:color w:val="000000"/>
        </w:rPr>
        <w:lastRenderedPageBreak/>
        <w:t>Table 1 Clinical response criteria regarding findings in rectal exam, endoscopy and magnetic resonance imaging described in OPRA trial</w:t>
      </w:r>
      <w:r w:rsidRPr="000744F4">
        <w:rPr>
          <w:rFonts w:ascii="Book Antiqua" w:eastAsia="Book Antiqua" w:hAnsi="Book Antiqua" w:cs="Book Antiqua"/>
          <w:b/>
          <w:bCs/>
          <w:color w:val="000000"/>
          <w:vertAlign w:val="superscript"/>
        </w:rPr>
        <w:t>[20]</w:t>
      </w:r>
    </w:p>
    <w:tbl>
      <w:tblPr>
        <w:tblStyle w:val="51"/>
        <w:tblW w:w="9747" w:type="dxa"/>
        <w:tblBorders>
          <w:top w:val="single" w:sz="4" w:space="0" w:color="auto"/>
          <w:bottom w:val="single" w:sz="4" w:space="0" w:color="auto"/>
        </w:tblBorders>
        <w:tblLook w:val="04A0" w:firstRow="1" w:lastRow="0" w:firstColumn="1" w:lastColumn="0" w:noHBand="0" w:noVBand="1"/>
      </w:tblPr>
      <w:tblGrid>
        <w:gridCol w:w="1397"/>
        <w:gridCol w:w="2503"/>
        <w:gridCol w:w="3438"/>
        <w:gridCol w:w="2409"/>
      </w:tblGrid>
      <w:tr w:rsidR="009F5BC8" w:rsidRPr="000744F4" w14:paraId="01DE13A9" w14:textId="77777777" w:rsidTr="009F5B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97" w:type="dxa"/>
            <w:tcBorders>
              <w:top w:val="single" w:sz="4" w:space="0" w:color="auto"/>
              <w:bottom w:val="single" w:sz="4" w:space="0" w:color="auto"/>
            </w:tcBorders>
            <w:shd w:val="clear" w:color="auto" w:fill="auto"/>
          </w:tcPr>
          <w:p w14:paraId="66F07657" w14:textId="77777777" w:rsidR="009F5BC8" w:rsidRPr="000744F4" w:rsidRDefault="009F5BC8" w:rsidP="002F5916">
            <w:pPr>
              <w:adjustRightInd w:val="0"/>
              <w:snapToGrid w:val="0"/>
              <w:spacing w:line="360" w:lineRule="auto"/>
              <w:jc w:val="both"/>
              <w:rPr>
                <w:rFonts w:ascii="Book Antiqua" w:eastAsia="Book Antiqua" w:hAnsi="Book Antiqua" w:cs="Book Antiqua"/>
                <w:b/>
                <w:bCs/>
                <w:color w:val="000000"/>
              </w:rPr>
            </w:pPr>
          </w:p>
        </w:tc>
        <w:tc>
          <w:tcPr>
            <w:tcW w:w="2503" w:type="dxa"/>
            <w:tcBorders>
              <w:top w:val="single" w:sz="4" w:space="0" w:color="auto"/>
              <w:bottom w:val="single" w:sz="4" w:space="0" w:color="auto"/>
            </w:tcBorders>
            <w:shd w:val="clear" w:color="auto" w:fill="auto"/>
          </w:tcPr>
          <w:p w14:paraId="31F8C7AA" w14:textId="77777777" w:rsidR="009F5BC8" w:rsidRPr="00F12D90" w:rsidRDefault="00A225DB" w:rsidP="002F591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bCs/>
                <w:i w:val="0"/>
                <w:iCs w:val="0"/>
                <w:color w:val="000000"/>
              </w:rPr>
            </w:pPr>
            <w:r w:rsidRPr="00B131C6">
              <w:rPr>
                <w:rFonts w:ascii="Book Antiqua" w:eastAsia="Book Antiqua" w:hAnsi="Book Antiqua" w:cs="Book Antiqua"/>
                <w:b/>
                <w:bCs/>
                <w:color w:val="000000"/>
              </w:rPr>
              <w:t>Clinical complete response</w:t>
            </w:r>
          </w:p>
        </w:tc>
        <w:tc>
          <w:tcPr>
            <w:tcW w:w="3438" w:type="dxa"/>
            <w:tcBorders>
              <w:top w:val="single" w:sz="4" w:space="0" w:color="auto"/>
              <w:bottom w:val="single" w:sz="4" w:space="0" w:color="auto"/>
            </w:tcBorders>
            <w:shd w:val="clear" w:color="auto" w:fill="auto"/>
          </w:tcPr>
          <w:p w14:paraId="3010995A" w14:textId="77777777" w:rsidR="009F5BC8" w:rsidRPr="00F12D90" w:rsidRDefault="00A225DB" w:rsidP="002F591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bCs/>
                <w:i w:val="0"/>
                <w:iCs w:val="0"/>
                <w:color w:val="000000"/>
              </w:rPr>
            </w:pPr>
            <w:r w:rsidRPr="00B131C6">
              <w:rPr>
                <w:rFonts w:ascii="Book Antiqua" w:eastAsia="Book Antiqua" w:hAnsi="Book Antiqua" w:cs="Book Antiqua"/>
                <w:b/>
                <w:bCs/>
                <w:color w:val="000000"/>
              </w:rPr>
              <w:t>Almost complete response</w:t>
            </w:r>
          </w:p>
        </w:tc>
        <w:tc>
          <w:tcPr>
            <w:tcW w:w="2409" w:type="dxa"/>
            <w:tcBorders>
              <w:top w:val="single" w:sz="4" w:space="0" w:color="auto"/>
              <w:bottom w:val="single" w:sz="4" w:space="0" w:color="auto"/>
            </w:tcBorders>
            <w:shd w:val="clear" w:color="auto" w:fill="auto"/>
          </w:tcPr>
          <w:p w14:paraId="07D7EE4F" w14:textId="77777777" w:rsidR="009F5BC8" w:rsidRPr="00F12D90" w:rsidRDefault="00A225DB" w:rsidP="002F591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bCs/>
                <w:i w:val="0"/>
                <w:iCs w:val="0"/>
                <w:color w:val="000000"/>
              </w:rPr>
            </w:pPr>
            <w:r w:rsidRPr="00B131C6">
              <w:rPr>
                <w:rFonts w:ascii="Book Antiqua" w:eastAsia="Book Antiqua" w:hAnsi="Book Antiqua" w:cs="Book Antiqua"/>
                <w:b/>
                <w:bCs/>
                <w:color w:val="000000"/>
              </w:rPr>
              <w:t>Incomplete response</w:t>
            </w:r>
          </w:p>
        </w:tc>
      </w:tr>
      <w:tr w:rsidR="009F5BC8" w:rsidRPr="000744F4" w14:paraId="239DF30D" w14:textId="77777777" w:rsidTr="009F5BC8">
        <w:trPr>
          <w:trHeight w:val="300"/>
        </w:trPr>
        <w:tc>
          <w:tcPr>
            <w:cnfStyle w:val="001000000000" w:firstRow="0" w:lastRow="0" w:firstColumn="1" w:lastColumn="0" w:oddVBand="0" w:evenVBand="0" w:oddHBand="0" w:evenHBand="0" w:firstRowFirstColumn="0" w:firstRowLastColumn="0" w:lastRowFirstColumn="0" w:lastRowLastColumn="0"/>
            <w:tcW w:w="1397" w:type="dxa"/>
            <w:vMerge w:val="restart"/>
            <w:tcBorders>
              <w:top w:val="single" w:sz="4" w:space="0" w:color="auto"/>
              <w:right w:val="nil"/>
            </w:tcBorders>
            <w:shd w:val="clear" w:color="auto" w:fill="auto"/>
          </w:tcPr>
          <w:p w14:paraId="3FA4EE65"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i w:val="0"/>
                <w:iCs w:val="0"/>
                <w:color w:val="000000"/>
              </w:rPr>
              <w:t>Endoscopy</w:t>
            </w:r>
          </w:p>
        </w:tc>
        <w:tc>
          <w:tcPr>
            <w:tcW w:w="2503" w:type="dxa"/>
            <w:tcBorders>
              <w:top w:val="single" w:sz="4" w:space="0" w:color="auto"/>
            </w:tcBorders>
            <w:shd w:val="clear" w:color="auto" w:fill="auto"/>
          </w:tcPr>
          <w:p w14:paraId="355A74C8" w14:textId="418CB9D7" w:rsidR="009F5BC8" w:rsidRPr="000744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744F4">
              <w:rPr>
                <w:rFonts w:ascii="Book Antiqua" w:eastAsia="Book Antiqua" w:hAnsi="Book Antiqua" w:cs="Book Antiqua"/>
                <w:color w:val="000000"/>
              </w:rPr>
              <w:t>Plain, white scar</w:t>
            </w:r>
          </w:p>
        </w:tc>
        <w:tc>
          <w:tcPr>
            <w:tcW w:w="3438" w:type="dxa"/>
            <w:tcBorders>
              <w:top w:val="single" w:sz="4" w:space="0" w:color="auto"/>
            </w:tcBorders>
            <w:shd w:val="clear" w:color="auto" w:fill="auto"/>
          </w:tcPr>
          <w:p w14:paraId="6A3EF033" w14:textId="0EB27D62" w:rsidR="009F5BC8" w:rsidRPr="000744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744F4">
              <w:rPr>
                <w:rFonts w:ascii="Book Antiqua" w:eastAsia="Book Antiqua" w:hAnsi="Book Antiqua" w:cs="Book Antiqua"/>
                <w:color w:val="000000"/>
              </w:rPr>
              <w:t>Irregular mucos</w:t>
            </w:r>
            <w:r w:rsidR="000740B3">
              <w:rPr>
                <w:rFonts w:ascii="Book Antiqua" w:eastAsia="Book Antiqua" w:hAnsi="Book Antiqua" w:cs="Book Antiqua"/>
                <w:color w:val="000000"/>
              </w:rPr>
              <w:t>al</w:t>
            </w:r>
            <w:r w:rsidRPr="000744F4">
              <w:rPr>
                <w:rFonts w:ascii="Book Antiqua" w:eastAsia="Book Antiqua" w:hAnsi="Book Antiqua" w:cs="Book Antiqua"/>
                <w:color w:val="000000"/>
              </w:rPr>
              <w:t xml:space="preserve"> layer</w:t>
            </w:r>
          </w:p>
        </w:tc>
        <w:tc>
          <w:tcPr>
            <w:tcW w:w="2409" w:type="dxa"/>
            <w:vMerge w:val="restart"/>
            <w:tcBorders>
              <w:top w:val="single" w:sz="4" w:space="0" w:color="auto"/>
            </w:tcBorders>
            <w:shd w:val="clear" w:color="auto" w:fill="auto"/>
          </w:tcPr>
          <w:p w14:paraId="0B91C2AD" w14:textId="7080C5A1" w:rsidR="009F5BC8" w:rsidRPr="000744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744F4">
              <w:rPr>
                <w:rFonts w:ascii="Book Antiqua" w:eastAsia="Book Antiqua" w:hAnsi="Book Antiqua" w:cs="Book Antiqua"/>
                <w:color w:val="000000"/>
              </w:rPr>
              <w:t>Visible tumor</w:t>
            </w:r>
          </w:p>
          <w:p w14:paraId="71E61AC5" w14:textId="77777777" w:rsidR="009F5BC8" w:rsidRPr="000744F4" w:rsidRDefault="009F5BC8" w:rsidP="002F5916">
            <w:pPr>
              <w:pStyle w:val="ListParagraph"/>
              <w:adjustRightInd w:val="0"/>
              <w:snapToGrid w:val="0"/>
              <w:spacing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r>
      <w:tr w:rsidR="009F5BC8" w:rsidRPr="000744F4" w14:paraId="50DA3EEE" w14:textId="77777777" w:rsidTr="009F5BC8">
        <w:trPr>
          <w:trHeight w:val="394"/>
        </w:trPr>
        <w:tc>
          <w:tcPr>
            <w:cnfStyle w:val="001000000000" w:firstRow="0" w:lastRow="0" w:firstColumn="1" w:lastColumn="0" w:oddVBand="0" w:evenVBand="0" w:oddHBand="0" w:evenHBand="0" w:firstRowFirstColumn="0" w:firstRowLastColumn="0" w:lastRowFirstColumn="0" w:lastRowLastColumn="0"/>
            <w:tcW w:w="1397" w:type="dxa"/>
            <w:vMerge/>
            <w:tcBorders>
              <w:right w:val="nil"/>
            </w:tcBorders>
            <w:shd w:val="clear" w:color="auto" w:fill="auto"/>
          </w:tcPr>
          <w:p w14:paraId="7D81FA62" w14:textId="77777777" w:rsidR="009F5BC8" w:rsidRPr="000744F4" w:rsidRDefault="009F5BC8" w:rsidP="002F5916">
            <w:pPr>
              <w:adjustRightInd w:val="0"/>
              <w:snapToGrid w:val="0"/>
              <w:spacing w:line="360" w:lineRule="auto"/>
              <w:jc w:val="both"/>
              <w:rPr>
                <w:rFonts w:ascii="Book Antiqua" w:eastAsia="Book Antiqua" w:hAnsi="Book Antiqua" w:cs="Book Antiqua"/>
                <w:i w:val="0"/>
                <w:iCs w:val="0"/>
                <w:color w:val="000000"/>
              </w:rPr>
            </w:pPr>
          </w:p>
        </w:tc>
        <w:tc>
          <w:tcPr>
            <w:tcW w:w="2503" w:type="dxa"/>
            <w:shd w:val="clear" w:color="auto" w:fill="auto"/>
          </w:tcPr>
          <w:p w14:paraId="7E6F786F" w14:textId="172AB810" w:rsidR="009F5BC8" w:rsidRPr="000744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744F4">
              <w:rPr>
                <w:rFonts w:ascii="Book Antiqua" w:eastAsia="Book Antiqua" w:hAnsi="Book Antiqua" w:cs="Book Antiqua"/>
                <w:color w:val="000000"/>
              </w:rPr>
              <w:t>Telangiectasia</w:t>
            </w:r>
          </w:p>
        </w:tc>
        <w:tc>
          <w:tcPr>
            <w:tcW w:w="3438" w:type="dxa"/>
            <w:vMerge w:val="restart"/>
            <w:shd w:val="clear" w:color="auto" w:fill="auto"/>
          </w:tcPr>
          <w:p w14:paraId="156C3DD4" w14:textId="30F9E68E" w:rsidR="009F5BC8" w:rsidRPr="000744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744F4">
              <w:rPr>
                <w:rFonts w:ascii="Book Antiqua" w:eastAsia="Book Antiqua" w:hAnsi="Book Antiqua" w:cs="Book Antiqua"/>
                <w:color w:val="000000"/>
              </w:rPr>
              <w:t>Minimal nodules or rugosity in the mucos</w:t>
            </w:r>
            <w:r w:rsidR="000740B3">
              <w:rPr>
                <w:rFonts w:ascii="Book Antiqua" w:eastAsia="Book Antiqua" w:hAnsi="Book Antiqua" w:cs="Book Antiqua"/>
                <w:color w:val="000000"/>
              </w:rPr>
              <w:t>al</w:t>
            </w:r>
            <w:r w:rsidRPr="000744F4">
              <w:rPr>
                <w:rFonts w:ascii="Book Antiqua" w:eastAsia="Book Antiqua" w:hAnsi="Book Antiqua" w:cs="Book Antiqua"/>
                <w:color w:val="000000"/>
              </w:rPr>
              <w:t xml:space="preserve"> layer</w:t>
            </w:r>
          </w:p>
        </w:tc>
        <w:tc>
          <w:tcPr>
            <w:tcW w:w="2409" w:type="dxa"/>
            <w:vMerge/>
            <w:shd w:val="clear" w:color="auto" w:fill="auto"/>
          </w:tcPr>
          <w:p w14:paraId="748C9919" w14:textId="77777777" w:rsidR="009F5BC8" w:rsidRPr="000744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r>
      <w:tr w:rsidR="009F5BC8" w:rsidRPr="000744F4" w14:paraId="5368CAFD" w14:textId="77777777" w:rsidTr="009F5BC8">
        <w:trPr>
          <w:trHeight w:val="470"/>
        </w:trPr>
        <w:tc>
          <w:tcPr>
            <w:cnfStyle w:val="001000000000" w:firstRow="0" w:lastRow="0" w:firstColumn="1" w:lastColumn="0" w:oddVBand="0" w:evenVBand="0" w:oddHBand="0" w:evenHBand="0" w:firstRowFirstColumn="0" w:firstRowLastColumn="0" w:lastRowFirstColumn="0" w:lastRowLastColumn="0"/>
            <w:tcW w:w="1397" w:type="dxa"/>
            <w:vMerge/>
            <w:tcBorders>
              <w:right w:val="nil"/>
            </w:tcBorders>
            <w:shd w:val="clear" w:color="auto" w:fill="auto"/>
          </w:tcPr>
          <w:p w14:paraId="5FAD0B33" w14:textId="77777777" w:rsidR="009F5BC8" w:rsidRPr="000744F4" w:rsidRDefault="009F5BC8" w:rsidP="002F5916">
            <w:pPr>
              <w:adjustRightInd w:val="0"/>
              <w:snapToGrid w:val="0"/>
              <w:spacing w:line="360" w:lineRule="auto"/>
              <w:jc w:val="both"/>
              <w:rPr>
                <w:rFonts w:ascii="Book Antiqua" w:eastAsia="Book Antiqua" w:hAnsi="Book Antiqua" w:cs="Book Antiqua"/>
                <w:i w:val="0"/>
                <w:iCs w:val="0"/>
                <w:color w:val="000000"/>
              </w:rPr>
            </w:pPr>
          </w:p>
        </w:tc>
        <w:tc>
          <w:tcPr>
            <w:tcW w:w="2503" w:type="dxa"/>
            <w:vMerge w:val="restart"/>
            <w:shd w:val="clear" w:color="auto" w:fill="auto"/>
          </w:tcPr>
          <w:p w14:paraId="0C937C19" w14:textId="7E0E9D4A" w:rsidR="009F5BC8" w:rsidRPr="000744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744F4">
              <w:rPr>
                <w:rFonts w:ascii="Book Antiqua" w:eastAsia="Book Antiqua" w:hAnsi="Book Antiqua" w:cs="Book Antiqua"/>
                <w:color w:val="000000"/>
              </w:rPr>
              <w:t>Absence of ulceration</w:t>
            </w:r>
          </w:p>
        </w:tc>
        <w:tc>
          <w:tcPr>
            <w:tcW w:w="3438" w:type="dxa"/>
            <w:vMerge/>
            <w:shd w:val="clear" w:color="auto" w:fill="auto"/>
          </w:tcPr>
          <w:p w14:paraId="110C7306" w14:textId="77777777" w:rsidR="009F5BC8" w:rsidRPr="000744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2409" w:type="dxa"/>
            <w:vMerge/>
            <w:shd w:val="clear" w:color="auto" w:fill="auto"/>
          </w:tcPr>
          <w:p w14:paraId="25A5598A" w14:textId="77777777" w:rsidR="009F5BC8" w:rsidRPr="000744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r>
      <w:tr w:rsidR="009F5BC8" w:rsidRPr="000744F4" w14:paraId="105D13DF" w14:textId="77777777" w:rsidTr="009F5BC8">
        <w:trPr>
          <w:trHeight w:val="470"/>
        </w:trPr>
        <w:tc>
          <w:tcPr>
            <w:cnfStyle w:val="001000000000" w:firstRow="0" w:lastRow="0" w:firstColumn="1" w:lastColumn="0" w:oddVBand="0" w:evenVBand="0" w:oddHBand="0" w:evenHBand="0" w:firstRowFirstColumn="0" w:firstRowLastColumn="0" w:lastRowFirstColumn="0" w:lastRowLastColumn="0"/>
            <w:tcW w:w="1397" w:type="dxa"/>
            <w:vMerge/>
            <w:tcBorders>
              <w:right w:val="nil"/>
            </w:tcBorders>
            <w:shd w:val="clear" w:color="auto" w:fill="auto"/>
          </w:tcPr>
          <w:p w14:paraId="76402D2A" w14:textId="77777777" w:rsidR="009F5BC8" w:rsidRPr="000744F4" w:rsidRDefault="009F5BC8" w:rsidP="002F5916">
            <w:pPr>
              <w:adjustRightInd w:val="0"/>
              <w:snapToGrid w:val="0"/>
              <w:spacing w:line="360" w:lineRule="auto"/>
              <w:jc w:val="both"/>
              <w:rPr>
                <w:rFonts w:ascii="Book Antiqua" w:eastAsia="Book Antiqua" w:hAnsi="Book Antiqua" w:cs="Book Antiqua"/>
                <w:i w:val="0"/>
                <w:iCs w:val="0"/>
                <w:color w:val="000000"/>
              </w:rPr>
            </w:pPr>
          </w:p>
        </w:tc>
        <w:tc>
          <w:tcPr>
            <w:tcW w:w="2503" w:type="dxa"/>
            <w:vMerge/>
            <w:shd w:val="clear" w:color="auto" w:fill="auto"/>
          </w:tcPr>
          <w:p w14:paraId="17119B9F" w14:textId="77777777" w:rsidR="009F5BC8" w:rsidRPr="000744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3438" w:type="dxa"/>
            <w:vMerge w:val="restart"/>
            <w:shd w:val="clear" w:color="auto" w:fill="auto"/>
          </w:tcPr>
          <w:p w14:paraId="198BE3E1" w14:textId="11B51992" w:rsidR="009F5BC8" w:rsidRPr="000744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744F4">
              <w:rPr>
                <w:rFonts w:ascii="Book Antiqua" w:eastAsia="Book Antiqua" w:hAnsi="Book Antiqua" w:cs="Book Antiqua"/>
                <w:color w:val="000000"/>
              </w:rPr>
              <w:t>Superficial ulceration</w:t>
            </w:r>
          </w:p>
        </w:tc>
        <w:tc>
          <w:tcPr>
            <w:tcW w:w="2409" w:type="dxa"/>
            <w:vMerge/>
            <w:shd w:val="clear" w:color="auto" w:fill="auto"/>
          </w:tcPr>
          <w:p w14:paraId="26B1DC4C" w14:textId="77777777" w:rsidR="009F5BC8" w:rsidRPr="000744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r>
      <w:tr w:rsidR="009F5BC8" w:rsidRPr="000744F4" w14:paraId="5A2A836A" w14:textId="77777777" w:rsidTr="009F5BC8">
        <w:trPr>
          <w:trHeight w:val="470"/>
        </w:trPr>
        <w:tc>
          <w:tcPr>
            <w:cnfStyle w:val="001000000000" w:firstRow="0" w:lastRow="0" w:firstColumn="1" w:lastColumn="0" w:oddVBand="0" w:evenVBand="0" w:oddHBand="0" w:evenHBand="0" w:firstRowFirstColumn="0" w:firstRowLastColumn="0" w:lastRowFirstColumn="0" w:lastRowLastColumn="0"/>
            <w:tcW w:w="1397" w:type="dxa"/>
            <w:vMerge/>
            <w:tcBorders>
              <w:right w:val="nil"/>
            </w:tcBorders>
            <w:shd w:val="clear" w:color="auto" w:fill="auto"/>
          </w:tcPr>
          <w:p w14:paraId="5DD017B2" w14:textId="77777777" w:rsidR="009F5BC8" w:rsidRPr="000744F4" w:rsidRDefault="009F5BC8" w:rsidP="002F5916">
            <w:pPr>
              <w:adjustRightInd w:val="0"/>
              <w:snapToGrid w:val="0"/>
              <w:spacing w:line="360" w:lineRule="auto"/>
              <w:jc w:val="both"/>
              <w:rPr>
                <w:rFonts w:ascii="Book Antiqua" w:eastAsia="Book Antiqua" w:hAnsi="Book Antiqua" w:cs="Book Antiqua"/>
                <w:i w:val="0"/>
                <w:iCs w:val="0"/>
                <w:color w:val="000000"/>
              </w:rPr>
            </w:pPr>
          </w:p>
        </w:tc>
        <w:tc>
          <w:tcPr>
            <w:tcW w:w="2503" w:type="dxa"/>
            <w:vMerge w:val="restart"/>
            <w:shd w:val="clear" w:color="auto" w:fill="auto"/>
          </w:tcPr>
          <w:p w14:paraId="1329DEA9" w14:textId="6BA2A8EA" w:rsidR="009F5BC8" w:rsidRPr="000744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744F4">
              <w:rPr>
                <w:rFonts w:ascii="Book Antiqua" w:eastAsia="Book Antiqua" w:hAnsi="Book Antiqua" w:cs="Book Antiqua"/>
                <w:color w:val="000000"/>
              </w:rPr>
              <w:t>Absence of nodules</w:t>
            </w:r>
          </w:p>
        </w:tc>
        <w:tc>
          <w:tcPr>
            <w:tcW w:w="3438" w:type="dxa"/>
            <w:vMerge/>
            <w:shd w:val="clear" w:color="auto" w:fill="auto"/>
          </w:tcPr>
          <w:p w14:paraId="484FA873" w14:textId="77777777" w:rsidR="009F5BC8" w:rsidRPr="000744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2409" w:type="dxa"/>
            <w:vMerge/>
            <w:shd w:val="clear" w:color="auto" w:fill="auto"/>
          </w:tcPr>
          <w:p w14:paraId="32FE2051" w14:textId="77777777" w:rsidR="009F5BC8" w:rsidRPr="000744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r>
      <w:tr w:rsidR="009F5BC8" w:rsidRPr="000744F4" w14:paraId="38B5523D" w14:textId="77777777" w:rsidTr="009F5BC8">
        <w:trPr>
          <w:trHeight w:val="1406"/>
        </w:trPr>
        <w:tc>
          <w:tcPr>
            <w:cnfStyle w:val="001000000000" w:firstRow="0" w:lastRow="0" w:firstColumn="1" w:lastColumn="0" w:oddVBand="0" w:evenVBand="0" w:oddHBand="0" w:evenHBand="0" w:firstRowFirstColumn="0" w:firstRowLastColumn="0" w:lastRowFirstColumn="0" w:lastRowLastColumn="0"/>
            <w:tcW w:w="1397" w:type="dxa"/>
            <w:vMerge/>
            <w:tcBorders>
              <w:right w:val="nil"/>
            </w:tcBorders>
            <w:shd w:val="clear" w:color="auto" w:fill="auto"/>
          </w:tcPr>
          <w:p w14:paraId="2C0057FE" w14:textId="77777777" w:rsidR="009F5BC8" w:rsidRPr="000744F4" w:rsidRDefault="009F5BC8" w:rsidP="002F5916">
            <w:pPr>
              <w:adjustRightInd w:val="0"/>
              <w:snapToGrid w:val="0"/>
              <w:spacing w:line="360" w:lineRule="auto"/>
              <w:jc w:val="both"/>
              <w:rPr>
                <w:rFonts w:ascii="Book Antiqua" w:eastAsia="Book Antiqua" w:hAnsi="Book Antiqua" w:cs="Book Antiqua"/>
                <w:i w:val="0"/>
                <w:iCs w:val="0"/>
                <w:color w:val="000000"/>
              </w:rPr>
            </w:pPr>
          </w:p>
        </w:tc>
        <w:tc>
          <w:tcPr>
            <w:tcW w:w="2503" w:type="dxa"/>
            <w:vMerge/>
            <w:shd w:val="clear" w:color="auto" w:fill="auto"/>
          </w:tcPr>
          <w:p w14:paraId="243C86FD" w14:textId="77777777" w:rsidR="009F5BC8" w:rsidRPr="000744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3438" w:type="dxa"/>
            <w:shd w:val="clear" w:color="auto" w:fill="auto"/>
          </w:tcPr>
          <w:p w14:paraId="411357F9" w14:textId="5A36FFA9" w:rsidR="009F5BC8" w:rsidRPr="000744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744F4">
              <w:rPr>
                <w:rFonts w:ascii="Book Antiqua" w:eastAsia="Book Antiqua" w:hAnsi="Book Antiqua" w:cs="Book Antiqua"/>
                <w:color w:val="000000"/>
              </w:rPr>
              <w:t>Light and persistent scar erythema</w:t>
            </w:r>
          </w:p>
        </w:tc>
        <w:tc>
          <w:tcPr>
            <w:tcW w:w="2409" w:type="dxa"/>
            <w:vMerge/>
            <w:shd w:val="clear" w:color="auto" w:fill="auto"/>
          </w:tcPr>
          <w:p w14:paraId="1E22D0EA" w14:textId="77777777" w:rsidR="009F5BC8" w:rsidRPr="000744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r>
      <w:tr w:rsidR="009F5BC8" w:rsidRPr="000744F4" w14:paraId="7392649B" w14:textId="77777777" w:rsidTr="009F5BC8">
        <w:tc>
          <w:tcPr>
            <w:cnfStyle w:val="001000000000" w:firstRow="0" w:lastRow="0" w:firstColumn="1" w:lastColumn="0" w:oddVBand="0" w:evenVBand="0" w:oddHBand="0" w:evenHBand="0" w:firstRowFirstColumn="0" w:firstRowLastColumn="0" w:lastRowFirstColumn="0" w:lastRowLastColumn="0"/>
            <w:tcW w:w="1397" w:type="dxa"/>
            <w:tcBorders>
              <w:right w:val="nil"/>
            </w:tcBorders>
            <w:shd w:val="clear" w:color="auto" w:fill="auto"/>
          </w:tcPr>
          <w:p w14:paraId="1F20AE9A"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i w:val="0"/>
                <w:iCs w:val="0"/>
                <w:color w:val="000000"/>
              </w:rPr>
              <w:t>Digital rectal exam</w:t>
            </w:r>
          </w:p>
        </w:tc>
        <w:tc>
          <w:tcPr>
            <w:tcW w:w="2503" w:type="dxa"/>
            <w:shd w:val="clear" w:color="auto" w:fill="auto"/>
          </w:tcPr>
          <w:p w14:paraId="43D70583" w14:textId="0AFACA8B" w:rsidR="009F5BC8" w:rsidRPr="000744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744F4">
              <w:rPr>
                <w:rFonts w:ascii="Book Antiqua" w:eastAsia="Book Antiqua" w:hAnsi="Book Antiqua" w:cs="Book Antiqua"/>
                <w:color w:val="000000"/>
              </w:rPr>
              <w:t>Normal</w:t>
            </w:r>
          </w:p>
        </w:tc>
        <w:tc>
          <w:tcPr>
            <w:tcW w:w="3438" w:type="dxa"/>
            <w:shd w:val="clear" w:color="auto" w:fill="auto"/>
          </w:tcPr>
          <w:p w14:paraId="2AFB5BF1" w14:textId="6C5AE84A" w:rsidR="009F5BC8" w:rsidRPr="000744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744F4">
              <w:rPr>
                <w:rFonts w:ascii="Book Antiqua" w:eastAsia="Book Antiqua" w:hAnsi="Book Antiqua" w:cs="Book Antiqua"/>
                <w:color w:val="000000"/>
              </w:rPr>
              <w:t>Smooth induration or light mucos</w:t>
            </w:r>
            <w:r w:rsidR="000740B3">
              <w:rPr>
                <w:rFonts w:ascii="Book Antiqua" w:eastAsia="Book Antiqua" w:hAnsi="Book Antiqua" w:cs="Book Antiqua"/>
                <w:color w:val="000000"/>
              </w:rPr>
              <w:t>al</w:t>
            </w:r>
            <w:r w:rsidRPr="000744F4">
              <w:rPr>
                <w:rFonts w:ascii="Book Antiqua" w:eastAsia="Book Antiqua" w:hAnsi="Book Antiqua" w:cs="Book Antiqua"/>
                <w:color w:val="000000"/>
              </w:rPr>
              <w:t xml:space="preserve"> layer alterations</w:t>
            </w:r>
          </w:p>
        </w:tc>
        <w:tc>
          <w:tcPr>
            <w:tcW w:w="2409" w:type="dxa"/>
            <w:shd w:val="clear" w:color="auto" w:fill="auto"/>
          </w:tcPr>
          <w:p w14:paraId="0802EEDE" w14:textId="768E5D5C" w:rsidR="009F5BC8" w:rsidRPr="000744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744F4">
              <w:rPr>
                <w:rFonts w:ascii="Book Antiqua" w:eastAsia="Book Antiqua" w:hAnsi="Book Antiqua" w:cs="Book Antiqua"/>
                <w:color w:val="000000"/>
              </w:rPr>
              <w:t>Palpable nodules</w:t>
            </w:r>
          </w:p>
        </w:tc>
      </w:tr>
      <w:tr w:rsidR="009F5BC8" w:rsidRPr="000744F4" w14:paraId="382EA640" w14:textId="77777777" w:rsidTr="009F5BC8">
        <w:trPr>
          <w:trHeight w:val="746"/>
        </w:trPr>
        <w:tc>
          <w:tcPr>
            <w:cnfStyle w:val="001000000000" w:firstRow="0" w:lastRow="0" w:firstColumn="1" w:lastColumn="0" w:oddVBand="0" w:evenVBand="0" w:oddHBand="0" w:evenHBand="0" w:firstRowFirstColumn="0" w:firstRowLastColumn="0" w:lastRowFirstColumn="0" w:lastRowLastColumn="0"/>
            <w:tcW w:w="1397" w:type="dxa"/>
            <w:vMerge w:val="restart"/>
            <w:tcBorders>
              <w:right w:val="nil"/>
            </w:tcBorders>
            <w:shd w:val="clear" w:color="auto" w:fill="auto"/>
          </w:tcPr>
          <w:p w14:paraId="522A83B8"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i w:val="0"/>
                <w:iCs w:val="0"/>
                <w:color w:val="000000"/>
              </w:rPr>
              <w:t>MRI T2W</w:t>
            </w:r>
          </w:p>
        </w:tc>
        <w:tc>
          <w:tcPr>
            <w:tcW w:w="2503" w:type="dxa"/>
            <w:vMerge w:val="restart"/>
            <w:shd w:val="clear" w:color="auto" w:fill="auto"/>
          </w:tcPr>
          <w:p w14:paraId="440C1BF6" w14:textId="4EA083A3" w:rsidR="009F5BC8" w:rsidRPr="000744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744F4">
              <w:rPr>
                <w:rFonts w:ascii="Book Antiqua" w:eastAsia="Book Antiqua" w:hAnsi="Book Antiqua" w:cs="Book Antiqua"/>
                <w:color w:val="000000"/>
              </w:rPr>
              <w:t xml:space="preserve">Dark signal in T2 without intermedial signal and no visible </w:t>
            </w:r>
            <w:proofErr w:type="spellStart"/>
            <w:r w:rsidRPr="000744F4">
              <w:rPr>
                <w:rFonts w:ascii="Book Antiqua" w:eastAsia="Book Antiqua" w:hAnsi="Book Antiqua" w:cs="Book Antiqua"/>
                <w:color w:val="000000"/>
              </w:rPr>
              <w:t>adenopathies</w:t>
            </w:r>
            <w:proofErr w:type="spellEnd"/>
          </w:p>
        </w:tc>
        <w:tc>
          <w:tcPr>
            <w:tcW w:w="3438" w:type="dxa"/>
            <w:shd w:val="clear" w:color="auto" w:fill="auto"/>
          </w:tcPr>
          <w:p w14:paraId="1F997859" w14:textId="7EE6EFBC" w:rsidR="009F5BC8" w:rsidRPr="000744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744F4">
              <w:rPr>
                <w:rFonts w:ascii="Book Antiqua" w:eastAsia="Book Antiqua" w:hAnsi="Book Antiqua" w:cs="Book Antiqua"/>
                <w:color w:val="000000"/>
              </w:rPr>
              <w:t>Dark signal in T2 with an intermedial signal</w:t>
            </w:r>
          </w:p>
        </w:tc>
        <w:tc>
          <w:tcPr>
            <w:tcW w:w="2409" w:type="dxa"/>
            <w:vMerge w:val="restart"/>
            <w:shd w:val="clear" w:color="auto" w:fill="auto"/>
          </w:tcPr>
          <w:p w14:paraId="5DAAA8D9" w14:textId="7C87F23C" w:rsidR="009F5BC8" w:rsidRPr="000744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744F4">
              <w:rPr>
                <w:rFonts w:ascii="Book Antiqua" w:eastAsia="Book Antiqua" w:hAnsi="Book Antiqua" w:cs="Book Antiqua"/>
                <w:color w:val="000000"/>
              </w:rPr>
              <w:t>More intermediate-dark signal in T2</w:t>
            </w:r>
          </w:p>
          <w:p w14:paraId="771C87B6" w14:textId="0664DA37" w:rsidR="009F5BC8" w:rsidRPr="000744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744F4">
              <w:rPr>
                <w:rFonts w:ascii="Book Antiqua" w:eastAsia="Book Antiqua" w:hAnsi="Book Antiqua" w:cs="Book Antiqua"/>
                <w:color w:val="000000"/>
              </w:rPr>
              <w:t>No scar in T2</w:t>
            </w:r>
          </w:p>
          <w:p w14:paraId="1C8F4D20" w14:textId="6614318A" w:rsidR="009F5BC8" w:rsidRPr="000744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744F4">
              <w:rPr>
                <w:rFonts w:ascii="Book Antiqua" w:eastAsia="Book Antiqua" w:hAnsi="Book Antiqua" w:cs="Book Antiqua"/>
                <w:color w:val="000000"/>
              </w:rPr>
              <w:t>And/or</w:t>
            </w:r>
          </w:p>
          <w:p w14:paraId="408E8FC7" w14:textId="2FBD78DD" w:rsidR="009F5BC8" w:rsidRPr="000744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744F4">
              <w:rPr>
                <w:rFonts w:ascii="Book Antiqua" w:eastAsia="Book Antiqua" w:hAnsi="Book Antiqua" w:cs="Book Antiqua"/>
                <w:color w:val="000000"/>
              </w:rPr>
              <w:t xml:space="preserve">No </w:t>
            </w:r>
            <w:proofErr w:type="spellStart"/>
            <w:r w:rsidRPr="000744F4">
              <w:rPr>
                <w:rFonts w:ascii="Book Antiqua" w:eastAsia="Book Antiqua" w:hAnsi="Book Antiqua" w:cs="Book Antiqua"/>
                <w:color w:val="000000"/>
              </w:rPr>
              <w:t>adenopathies</w:t>
            </w:r>
            <w:proofErr w:type="spellEnd"/>
            <w:r w:rsidRPr="000744F4">
              <w:rPr>
                <w:rFonts w:ascii="Book Antiqua" w:eastAsia="Book Antiqua" w:hAnsi="Book Antiqua" w:cs="Book Antiqua"/>
                <w:color w:val="000000"/>
              </w:rPr>
              <w:t xml:space="preserve"> regression</w:t>
            </w:r>
          </w:p>
        </w:tc>
      </w:tr>
      <w:tr w:rsidR="009F5BC8" w:rsidRPr="000744F4" w14:paraId="46711398" w14:textId="77777777" w:rsidTr="009F5BC8">
        <w:trPr>
          <w:trHeight w:val="351"/>
        </w:trPr>
        <w:tc>
          <w:tcPr>
            <w:cnfStyle w:val="001000000000" w:firstRow="0" w:lastRow="0" w:firstColumn="1" w:lastColumn="0" w:oddVBand="0" w:evenVBand="0" w:oddHBand="0" w:evenHBand="0" w:firstRowFirstColumn="0" w:firstRowLastColumn="0" w:lastRowFirstColumn="0" w:lastRowLastColumn="0"/>
            <w:tcW w:w="1397" w:type="dxa"/>
            <w:vMerge/>
            <w:tcBorders>
              <w:right w:val="nil"/>
            </w:tcBorders>
            <w:shd w:val="clear" w:color="auto" w:fill="auto"/>
          </w:tcPr>
          <w:p w14:paraId="70ACC0BC" w14:textId="77777777" w:rsidR="009F5BC8" w:rsidRPr="000744F4" w:rsidRDefault="009F5BC8" w:rsidP="002F5916">
            <w:pPr>
              <w:adjustRightInd w:val="0"/>
              <w:snapToGrid w:val="0"/>
              <w:spacing w:line="360" w:lineRule="auto"/>
              <w:jc w:val="both"/>
              <w:rPr>
                <w:rFonts w:ascii="Book Antiqua" w:eastAsia="Book Antiqua" w:hAnsi="Book Antiqua" w:cs="Book Antiqua"/>
                <w:i w:val="0"/>
                <w:iCs w:val="0"/>
                <w:color w:val="000000"/>
              </w:rPr>
            </w:pPr>
          </w:p>
        </w:tc>
        <w:tc>
          <w:tcPr>
            <w:tcW w:w="2503" w:type="dxa"/>
            <w:vMerge/>
            <w:shd w:val="clear" w:color="auto" w:fill="auto"/>
          </w:tcPr>
          <w:p w14:paraId="2E6AE42F" w14:textId="77777777" w:rsidR="009F5BC8" w:rsidRPr="000744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3438" w:type="dxa"/>
            <w:shd w:val="clear" w:color="auto" w:fill="auto"/>
          </w:tcPr>
          <w:p w14:paraId="55C0AA87" w14:textId="12D2882F" w:rsidR="009F5BC8" w:rsidRPr="000744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744F4">
              <w:rPr>
                <w:rFonts w:ascii="Book Antiqua" w:eastAsia="Book Antiqua" w:hAnsi="Book Antiqua" w:cs="Book Antiqua"/>
                <w:color w:val="000000"/>
              </w:rPr>
              <w:t>And/or</w:t>
            </w:r>
          </w:p>
        </w:tc>
        <w:tc>
          <w:tcPr>
            <w:tcW w:w="2409" w:type="dxa"/>
            <w:vMerge/>
            <w:shd w:val="clear" w:color="auto" w:fill="auto"/>
          </w:tcPr>
          <w:p w14:paraId="5B5AD382" w14:textId="77777777" w:rsidR="009F5BC8" w:rsidRPr="000744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r>
      <w:tr w:rsidR="009F5BC8" w:rsidRPr="000744F4" w14:paraId="6D544741" w14:textId="77777777" w:rsidTr="009F5BC8">
        <w:trPr>
          <w:trHeight w:val="1577"/>
        </w:trPr>
        <w:tc>
          <w:tcPr>
            <w:cnfStyle w:val="001000000000" w:firstRow="0" w:lastRow="0" w:firstColumn="1" w:lastColumn="0" w:oddVBand="0" w:evenVBand="0" w:oddHBand="0" w:evenHBand="0" w:firstRowFirstColumn="0" w:firstRowLastColumn="0" w:lastRowFirstColumn="0" w:lastRowLastColumn="0"/>
            <w:tcW w:w="1397" w:type="dxa"/>
            <w:vMerge/>
            <w:tcBorders>
              <w:right w:val="nil"/>
            </w:tcBorders>
            <w:shd w:val="clear" w:color="auto" w:fill="auto"/>
          </w:tcPr>
          <w:p w14:paraId="7B09813C" w14:textId="77777777" w:rsidR="009F5BC8" w:rsidRPr="000744F4" w:rsidRDefault="009F5BC8" w:rsidP="002F5916">
            <w:pPr>
              <w:adjustRightInd w:val="0"/>
              <w:snapToGrid w:val="0"/>
              <w:spacing w:line="360" w:lineRule="auto"/>
              <w:jc w:val="both"/>
              <w:rPr>
                <w:rFonts w:ascii="Book Antiqua" w:eastAsia="Book Antiqua" w:hAnsi="Book Antiqua" w:cs="Book Antiqua"/>
                <w:i w:val="0"/>
                <w:iCs w:val="0"/>
                <w:color w:val="000000"/>
              </w:rPr>
            </w:pPr>
          </w:p>
        </w:tc>
        <w:tc>
          <w:tcPr>
            <w:tcW w:w="2503" w:type="dxa"/>
            <w:vMerge/>
            <w:shd w:val="clear" w:color="auto" w:fill="auto"/>
          </w:tcPr>
          <w:p w14:paraId="36AFE4E4" w14:textId="77777777" w:rsidR="009F5BC8" w:rsidRPr="000744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3438" w:type="dxa"/>
            <w:shd w:val="clear" w:color="auto" w:fill="auto"/>
          </w:tcPr>
          <w:p w14:paraId="14ECCFAE" w14:textId="31BF3B02" w:rsidR="009F5BC8" w:rsidRPr="000744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744F4">
              <w:rPr>
                <w:rFonts w:ascii="Book Antiqua" w:eastAsia="Book Antiqua" w:hAnsi="Book Antiqua" w:cs="Book Antiqua"/>
                <w:color w:val="000000"/>
              </w:rPr>
              <w:t xml:space="preserve">Partial regression of the </w:t>
            </w:r>
            <w:proofErr w:type="spellStart"/>
            <w:r w:rsidRPr="000744F4">
              <w:rPr>
                <w:rFonts w:ascii="Book Antiqua" w:eastAsia="Book Antiqua" w:hAnsi="Book Antiqua" w:cs="Book Antiqua"/>
                <w:color w:val="000000"/>
              </w:rPr>
              <w:t>adenopathies</w:t>
            </w:r>
            <w:proofErr w:type="spellEnd"/>
          </w:p>
        </w:tc>
        <w:tc>
          <w:tcPr>
            <w:tcW w:w="2409" w:type="dxa"/>
            <w:vMerge/>
            <w:shd w:val="clear" w:color="auto" w:fill="auto"/>
          </w:tcPr>
          <w:p w14:paraId="5BE7F950" w14:textId="77777777" w:rsidR="009F5BC8" w:rsidRPr="000744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r>
      <w:tr w:rsidR="009F5BC8" w:rsidRPr="000744F4" w14:paraId="3161A9BD" w14:textId="77777777" w:rsidTr="009F5BC8">
        <w:trPr>
          <w:trHeight w:val="762"/>
        </w:trPr>
        <w:tc>
          <w:tcPr>
            <w:cnfStyle w:val="001000000000" w:firstRow="0" w:lastRow="0" w:firstColumn="1" w:lastColumn="0" w:oddVBand="0" w:evenVBand="0" w:oddHBand="0" w:evenHBand="0" w:firstRowFirstColumn="0" w:firstRowLastColumn="0" w:lastRowFirstColumn="0" w:lastRowLastColumn="0"/>
            <w:tcW w:w="1397" w:type="dxa"/>
            <w:vMerge w:val="restart"/>
            <w:tcBorders>
              <w:right w:val="nil"/>
            </w:tcBorders>
            <w:shd w:val="clear" w:color="auto" w:fill="auto"/>
          </w:tcPr>
          <w:p w14:paraId="553E769B"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i w:val="0"/>
                <w:iCs w:val="0"/>
                <w:color w:val="000000"/>
              </w:rPr>
              <w:t>MRI DW</w:t>
            </w:r>
          </w:p>
        </w:tc>
        <w:tc>
          <w:tcPr>
            <w:tcW w:w="2503" w:type="dxa"/>
            <w:vMerge w:val="restart"/>
            <w:shd w:val="clear" w:color="auto" w:fill="auto"/>
          </w:tcPr>
          <w:p w14:paraId="58590B06" w14:textId="10477D97" w:rsidR="009F5BC8" w:rsidRPr="000744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744F4">
              <w:rPr>
                <w:rFonts w:ascii="Book Antiqua" w:eastAsia="Book Antiqua" w:hAnsi="Book Antiqua" w:cs="Book Antiqua"/>
                <w:color w:val="000000"/>
              </w:rPr>
              <w:t>No visible tumor with B800-B1000 signal</w:t>
            </w:r>
          </w:p>
        </w:tc>
        <w:tc>
          <w:tcPr>
            <w:tcW w:w="3438" w:type="dxa"/>
            <w:shd w:val="clear" w:color="auto" w:fill="auto"/>
          </w:tcPr>
          <w:p w14:paraId="6B08C28A" w14:textId="21A9D6BC" w:rsidR="009F5BC8" w:rsidRPr="000744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744F4">
              <w:rPr>
                <w:rFonts w:ascii="Book Antiqua" w:eastAsia="Book Antiqua" w:hAnsi="Book Antiqua" w:cs="Book Antiqua"/>
                <w:color w:val="000000"/>
              </w:rPr>
              <w:t>Significant regression of the signal in B800-B1000</w:t>
            </w:r>
          </w:p>
        </w:tc>
        <w:tc>
          <w:tcPr>
            <w:tcW w:w="2409" w:type="dxa"/>
            <w:vMerge w:val="restart"/>
            <w:shd w:val="clear" w:color="auto" w:fill="auto"/>
          </w:tcPr>
          <w:p w14:paraId="4A1C0E69" w14:textId="0B9FABB6" w:rsidR="009F5BC8" w:rsidRPr="000744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744F4">
              <w:rPr>
                <w:rFonts w:ascii="Book Antiqua" w:eastAsia="Book Antiqua" w:hAnsi="Book Antiqua" w:cs="Book Antiqua"/>
                <w:color w:val="000000"/>
              </w:rPr>
              <w:t>Insignificant signal regression in B800-B1000</w:t>
            </w:r>
          </w:p>
        </w:tc>
      </w:tr>
      <w:tr w:rsidR="009F5BC8" w:rsidRPr="000744F4" w14:paraId="3461661C" w14:textId="77777777" w:rsidTr="009F5BC8">
        <w:trPr>
          <w:trHeight w:val="470"/>
        </w:trPr>
        <w:tc>
          <w:tcPr>
            <w:cnfStyle w:val="001000000000" w:firstRow="0" w:lastRow="0" w:firstColumn="1" w:lastColumn="0" w:oddVBand="0" w:evenVBand="0" w:oddHBand="0" w:evenHBand="0" w:firstRowFirstColumn="0" w:firstRowLastColumn="0" w:lastRowFirstColumn="0" w:lastRowLastColumn="0"/>
            <w:tcW w:w="1397" w:type="dxa"/>
            <w:vMerge/>
            <w:tcBorders>
              <w:right w:val="nil"/>
            </w:tcBorders>
            <w:shd w:val="clear" w:color="auto" w:fill="auto"/>
          </w:tcPr>
          <w:p w14:paraId="0AB9781A" w14:textId="77777777" w:rsidR="009F5BC8" w:rsidRPr="000744F4" w:rsidRDefault="009F5BC8" w:rsidP="002F5916">
            <w:pPr>
              <w:adjustRightInd w:val="0"/>
              <w:snapToGrid w:val="0"/>
              <w:spacing w:line="360" w:lineRule="auto"/>
              <w:jc w:val="both"/>
              <w:rPr>
                <w:rFonts w:ascii="Book Antiqua" w:eastAsia="Book Antiqua" w:hAnsi="Book Antiqua" w:cs="Book Antiqua"/>
                <w:i w:val="0"/>
                <w:iCs w:val="0"/>
                <w:color w:val="000000"/>
              </w:rPr>
            </w:pPr>
          </w:p>
        </w:tc>
        <w:tc>
          <w:tcPr>
            <w:tcW w:w="2503" w:type="dxa"/>
            <w:vMerge/>
            <w:shd w:val="clear" w:color="auto" w:fill="auto"/>
          </w:tcPr>
          <w:p w14:paraId="08413904" w14:textId="77777777" w:rsidR="009F5BC8" w:rsidRPr="000744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3438" w:type="dxa"/>
            <w:vMerge w:val="restart"/>
            <w:shd w:val="clear" w:color="auto" w:fill="auto"/>
          </w:tcPr>
          <w:p w14:paraId="49351170" w14:textId="078B2E8D" w:rsidR="009F5BC8" w:rsidRPr="000744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744F4">
              <w:rPr>
                <w:rFonts w:ascii="Book Antiqua" w:eastAsia="Book Antiqua" w:hAnsi="Book Antiqua" w:cs="Book Antiqua"/>
                <w:color w:val="000000"/>
              </w:rPr>
              <w:t>And/or</w:t>
            </w:r>
          </w:p>
        </w:tc>
        <w:tc>
          <w:tcPr>
            <w:tcW w:w="2409" w:type="dxa"/>
            <w:vMerge/>
            <w:shd w:val="clear" w:color="auto" w:fill="auto"/>
          </w:tcPr>
          <w:p w14:paraId="13EADE5E" w14:textId="77777777" w:rsidR="009F5BC8" w:rsidRPr="000744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r>
      <w:tr w:rsidR="009F5BC8" w:rsidRPr="000744F4" w14:paraId="7D8E9B02" w14:textId="77777777" w:rsidTr="009F5BC8">
        <w:trPr>
          <w:trHeight w:val="274"/>
        </w:trPr>
        <w:tc>
          <w:tcPr>
            <w:cnfStyle w:val="001000000000" w:firstRow="0" w:lastRow="0" w:firstColumn="1" w:lastColumn="0" w:oddVBand="0" w:evenVBand="0" w:oddHBand="0" w:evenHBand="0" w:firstRowFirstColumn="0" w:firstRowLastColumn="0" w:lastRowFirstColumn="0" w:lastRowLastColumn="0"/>
            <w:tcW w:w="1397" w:type="dxa"/>
            <w:vMerge/>
            <w:tcBorders>
              <w:right w:val="nil"/>
            </w:tcBorders>
            <w:shd w:val="clear" w:color="auto" w:fill="auto"/>
          </w:tcPr>
          <w:p w14:paraId="17970F39" w14:textId="77777777" w:rsidR="009F5BC8" w:rsidRPr="000744F4" w:rsidRDefault="009F5BC8" w:rsidP="002F5916">
            <w:pPr>
              <w:adjustRightInd w:val="0"/>
              <w:snapToGrid w:val="0"/>
              <w:spacing w:line="360" w:lineRule="auto"/>
              <w:jc w:val="both"/>
              <w:rPr>
                <w:rFonts w:ascii="Book Antiqua" w:eastAsia="Book Antiqua" w:hAnsi="Book Antiqua" w:cs="Book Antiqua"/>
                <w:i w:val="0"/>
                <w:iCs w:val="0"/>
                <w:color w:val="000000"/>
              </w:rPr>
            </w:pPr>
          </w:p>
        </w:tc>
        <w:tc>
          <w:tcPr>
            <w:tcW w:w="2503" w:type="dxa"/>
            <w:vMerge/>
            <w:shd w:val="clear" w:color="auto" w:fill="auto"/>
          </w:tcPr>
          <w:p w14:paraId="192FC963" w14:textId="77777777" w:rsidR="009F5BC8" w:rsidRPr="000744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3438" w:type="dxa"/>
            <w:vMerge/>
            <w:shd w:val="clear" w:color="auto" w:fill="auto"/>
          </w:tcPr>
          <w:p w14:paraId="594D9FF9" w14:textId="77777777" w:rsidR="009F5BC8" w:rsidRPr="000744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2409" w:type="dxa"/>
            <w:shd w:val="clear" w:color="auto" w:fill="auto"/>
          </w:tcPr>
          <w:p w14:paraId="11FEF877" w14:textId="01858B01" w:rsidR="009F5BC8" w:rsidRPr="000744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744F4">
              <w:rPr>
                <w:rFonts w:ascii="Book Antiqua" w:eastAsia="Book Antiqua" w:hAnsi="Book Antiqua" w:cs="Book Antiqua"/>
                <w:color w:val="000000"/>
              </w:rPr>
              <w:t>And/or</w:t>
            </w:r>
          </w:p>
        </w:tc>
      </w:tr>
      <w:tr w:rsidR="009F5BC8" w:rsidRPr="000744F4" w14:paraId="10AE6C17" w14:textId="77777777" w:rsidTr="009F5BC8">
        <w:trPr>
          <w:trHeight w:val="470"/>
        </w:trPr>
        <w:tc>
          <w:tcPr>
            <w:cnfStyle w:val="001000000000" w:firstRow="0" w:lastRow="0" w:firstColumn="1" w:lastColumn="0" w:oddVBand="0" w:evenVBand="0" w:oddHBand="0" w:evenHBand="0" w:firstRowFirstColumn="0" w:firstRowLastColumn="0" w:lastRowFirstColumn="0" w:lastRowLastColumn="0"/>
            <w:tcW w:w="1397" w:type="dxa"/>
            <w:vMerge/>
            <w:tcBorders>
              <w:right w:val="nil"/>
            </w:tcBorders>
            <w:shd w:val="clear" w:color="auto" w:fill="auto"/>
          </w:tcPr>
          <w:p w14:paraId="62DD9B41" w14:textId="77777777" w:rsidR="009F5BC8" w:rsidRPr="000744F4" w:rsidRDefault="009F5BC8" w:rsidP="002F5916">
            <w:pPr>
              <w:adjustRightInd w:val="0"/>
              <w:snapToGrid w:val="0"/>
              <w:spacing w:line="360" w:lineRule="auto"/>
              <w:jc w:val="both"/>
              <w:rPr>
                <w:rFonts w:ascii="Book Antiqua" w:eastAsia="Book Antiqua" w:hAnsi="Book Antiqua" w:cs="Book Antiqua"/>
                <w:i w:val="0"/>
                <w:iCs w:val="0"/>
                <w:color w:val="000000"/>
              </w:rPr>
            </w:pPr>
          </w:p>
        </w:tc>
        <w:tc>
          <w:tcPr>
            <w:tcW w:w="2503" w:type="dxa"/>
            <w:vMerge/>
            <w:shd w:val="clear" w:color="auto" w:fill="auto"/>
          </w:tcPr>
          <w:p w14:paraId="6A99EC72" w14:textId="77777777" w:rsidR="009F5BC8" w:rsidRPr="000744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3438" w:type="dxa"/>
            <w:vMerge/>
            <w:shd w:val="clear" w:color="auto" w:fill="auto"/>
          </w:tcPr>
          <w:p w14:paraId="2E10B778" w14:textId="77777777" w:rsidR="009F5BC8" w:rsidRPr="000744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2409" w:type="dxa"/>
            <w:vMerge w:val="restart"/>
            <w:shd w:val="clear" w:color="auto" w:fill="auto"/>
          </w:tcPr>
          <w:p w14:paraId="525B3934" w14:textId="7B32462E" w:rsidR="009F5BC8" w:rsidRPr="000744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744F4">
              <w:rPr>
                <w:rFonts w:ascii="Book Antiqua" w:eastAsia="Book Antiqua" w:hAnsi="Book Antiqua" w:cs="Book Antiqua"/>
                <w:color w:val="000000"/>
              </w:rPr>
              <w:t>Clear low signal in ADC map</w:t>
            </w:r>
          </w:p>
        </w:tc>
      </w:tr>
      <w:tr w:rsidR="009F5BC8" w:rsidRPr="000744F4" w14:paraId="1AA26335" w14:textId="77777777" w:rsidTr="009F5BC8">
        <w:trPr>
          <w:trHeight w:val="470"/>
        </w:trPr>
        <w:tc>
          <w:tcPr>
            <w:cnfStyle w:val="001000000000" w:firstRow="0" w:lastRow="0" w:firstColumn="1" w:lastColumn="0" w:oddVBand="0" w:evenVBand="0" w:oddHBand="0" w:evenHBand="0" w:firstRowFirstColumn="0" w:firstRowLastColumn="0" w:lastRowFirstColumn="0" w:lastRowLastColumn="0"/>
            <w:tcW w:w="1397" w:type="dxa"/>
            <w:vMerge/>
            <w:tcBorders>
              <w:right w:val="nil"/>
            </w:tcBorders>
            <w:shd w:val="clear" w:color="auto" w:fill="auto"/>
          </w:tcPr>
          <w:p w14:paraId="0E756CED" w14:textId="77777777" w:rsidR="009F5BC8" w:rsidRPr="000744F4" w:rsidRDefault="009F5BC8" w:rsidP="002F5916">
            <w:pPr>
              <w:adjustRightInd w:val="0"/>
              <w:snapToGrid w:val="0"/>
              <w:spacing w:line="360" w:lineRule="auto"/>
              <w:jc w:val="both"/>
              <w:rPr>
                <w:rFonts w:ascii="Book Antiqua" w:eastAsia="Book Antiqua" w:hAnsi="Book Antiqua" w:cs="Book Antiqua"/>
                <w:i w:val="0"/>
                <w:iCs w:val="0"/>
                <w:color w:val="000000"/>
              </w:rPr>
            </w:pPr>
          </w:p>
        </w:tc>
        <w:tc>
          <w:tcPr>
            <w:tcW w:w="2503" w:type="dxa"/>
            <w:vMerge/>
            <w:shd w:val="clear" w:color="auto" w:fill="auto"/>
          </w:tcPr>
          <w:p w14:paraId="49E066E9" w14:textId="77777777" w:rsidR="009F5BC8" w:rsidRPr="000744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3438" w:type="dxa"/>
            <w:vMerge w:val="restart"/>
            <w:shd w:val="clear" w:color="auto" w:fill="auto"/>
          </w:tcPr>
          <w:p w14:paraId="40D8D5EE" w14:textId="52BB41FB" w:rsidR="009F5BC8" w:rsidRPr="000744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744F4">
              <w:rPr>
                <w:rFonts w:ascii="Book Antiqua" w:eastAsia="Book Antiqua" w:hAnsi="Book Antiqua" w:cs="Book Antiqua"/>
                <w:color w:val="000000"/>
              </w:rPr>
              <w:t>Minimal/ residual signal in ADC map</w:t>
            </w:r>
          </w:p>
        </w:tc>
        <w:tc>
          <w:tcPr>
            <w:tcW w:w="2409" w:type="dxa"/>
            <w:vMerge/>
            <w:shd w:val="clear" w:color="auto" w:fill="auto"/>
          </w:tcPr>
          <w:p w14:paraId="5993EAC5" w14:textId="77777777" w:rsidR="009F5BC8" w:rsidRPr="000744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r>
      <w:tr w:rsidR="009F5BC8" w:rsidRPr="000744F4" w14:paraId="2B7EC80B" w14:textId="77777777" w:rsidTr="009F5BC8">
        <w:trPr>
          <w:trHeight w:val="300"/>
        </w:trPr>
        <w:tc>
          <w:tcPr>
            <w:cnfStyle w:val="001000000000" w:firstRow="0" w:lastRow="0" w:firstColumn="1" w:lastColumn="0" w:oddVBand="0" w:evenVBand="0" w:oddHBand="0" w:evenHBand="0" w:firstRowFirstColumn="0" w:firstRowLastColumn="0" w:lastRowFirstColumn="0" w:lastRowLastColumn="0"/>
            <w:tcW w:w="1397" w:type="dxa"/>
            <w:vMerge/>
            <w:tcBorders>
              <w:right w:val="nil"/>
            </w:tcBorders>
            <w:shd w:val="clear" w:color="auto" w:fill="auto"/>
          </w:tcPr>
          <w:p w14:paraId="62C4A159" w14:textId="77777777" w:rsidR="009F5BC8" w:rsidRPr="000744F4" w:rsidRDefault="009F5BC8" w:rsidP="002F5916">
            <w:pPr>
              <w:adjustRightInd w:val="0"/>
              <w:snapToGrid w:val="0"/>
              <w:spacing w:line="360" w:lineRule="auto"/>
              <w:jc w:val="both"/>
              <w:rPr>
                <w:rFonts w:ascii="Book Antiqua" w:eastAsia="Book Antiqua" w:hAnsi="Book Antiqua" w:cs="Book Antiqua"/>
                <w:i w:val="0"/>
                <w:iCs w:val="0"/>
                <w:color w:val="000000"/>
              </w:rPr>
            </w:pPr>
          </w:p>
        </w:tc>
        <w:tc>
          <w:tcPr>
            <w:tcW w:w="2503" w:type="dxa"/>
            <w:shd w:val="clear" w:color="auto" w:fill="auto"/>
          </w:tcPr>
          <w:p w14:paraId="2C6EBCE8" w14:textId="74DF1585" w:rsidR="009F5BC8" w:rsidRPr="000744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744F4">
              <w:rPr>
                <w:rFonts w:ascii="Book Antiqua" w:eastAsia="Book Antiqua" w:hAnsi="Book Antiqua" w:cs="Book Antiqua"/>
                <w:color w:val="000000"/>
              </w:rPr>
              <w:t>And/or</w:t>
            </w:r>
          </w:p>
        </w:tc>
        <w:tc>
          <w:tcPr>
            <w:tcW w:w="3438" w:type="dxa"/>
            <w:vMerge/>
            <w:shd w:val="clear" w:color="auto" w:fill="auto"/>
          </w:tcPr>
          <w:p w14:paraId="2F51E780" w14:textId="77777777" w:rsidR="009F5BC8" w:rsidRPr="000744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2409" w:type="dxa"/>
            <w:vMerge/>
            <w:shd w:val="clear" w:color="auto" w:fill="auto"/>
          </w:tcPr>
          <w:p w14:paraId="742ADD75" w14:textId="77777777" w:rsidR="009F5BC8" w:rsidRPr="000744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r>
      <w:tr w:rsidR="009F5BC8" w:rsidRPr="000744F4" w14:paraId="5384FD61" w14:textId="77777777" w:rsidTr="009F5BC8">
        <w:trPr>
          <w:trHeight w:val="977"/>
        </w:trPr>
        <w:tc>
          <w:tcPr>
            <w:cnfStyle w:val="001000000000" w:firstRow="0" w:lastRow="0" w:firstColumn="1" w:lastColumn="0" w:oddVBand="0" w:evenVBand="0" w:oddHBand="0" w:evenHBand="0" w:firstRowFirstColumn="0" w:firstRowLastColumn="0" w:lastRowFirstColumn="0" w:lastRowLastColumn="0"/>
            <w:tcW w:w="1397" w:type="dxa"/>
            <w:vMerge/>
            <w:tcBorders>
              <w:right w:val="nil"/>
            </w:tcBorders>
            <w:shd w:val="clear" w:color="auto" w:fill="auto"/>
          </w:tcPr>
          <w:p w14:paraId="39CD0F42" w14:textId="77777777" w:rsidR="009F5BC8" w:rsidRPr="000744F4" w:rsidRDefault="009F5BC8" w:rsidP="002F5916">
            <w:pPr>
              <w:adjustRightInd w:val="0"/>
              <w:snapToGrid w:val="0"/>
              <w:spacing w:line="360" w:lineRule="auto"/>
              <w:jc w:val="both"/>
              <w:rPr>
                <w:rFonts w:ascii="Book Antiqua" w:eastAsia="Book Antiqua" w:hAnsi="Book Antiqua" w:cs="Book Antiqua"/>
                <w:i w:val="0"/>
                <w:iCs w:val="0"/>
                <w:color w:val="000000"/>
              </w:rPr>
            </w:pPr>
          </w:p>
        </w:tc>
        <w:tc>
          <w:tcPr>
            <w:tcW w:w="2503" w:type="dxa"/>
            <w:shd w:val="clear" w:color="auto" w:fill="auto"/>
          </w:tcPr>
          <w:p w14:paraId="0ACF38D6" w14:textId="2D497944" w:rsidR="009F5BC8" w:rsidRPr="000744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744F4">
              <w:rPr>
                <w:rFonts w:ascii="Book Antiqua" w:eastAsia="Book Antiqua" w:hAnsi="Book Antiqua" w:cs="Book Antiqua"/>
                <w:color w:val="000000"/>
              </w:rPr>
              <w:t>Absent/low signal in ADC map</w:t>
            </w:r>
          </w:p>
        </w:tc>
        <w:tc>
          <w:tcPr>
            <w:tcW w:w="3438" w:type="dxa"/>
            <w:vMerge/>
            <w:shd w:val="clear" w:color="auto" w:fill="auto"/>
          </w:tcPr>
          <w:p w14:paraId="4AC425C2" w14:textId="77777777" w:rsidR="009F5BC8" w:rsidRPr="000744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2409" w:type="dxa"/>
            <w:vMerge/>
            <w:shd w:val="clear" w:color="auto" w:fill="auto"/>
          </w:tcPr>
          <w:p w14:paraId="61E97045" w14:textId="77777777" w:rsidR="009F5BC8" w:rsidRPr="000744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r>
      <w:tr w:rsidR="009F5BC8" w:rsidRPr="000744F4" w14:paraId="35E1998B" w14:textId="77777777" w:rsidTr="009F5BC8">
        <w:trPr>
          <w:trHeight w:val="2289"/>
        </w:trPr>
        <w:tc>
          <w:tcPr>
            <w:cnfStyle w:val="001000000000" w:firstRow="0" w:lastRow="0" w:firstColumn="1" w:lastColumn="0" w:oddVBand="0" w:evenVBand="0" w:oddHBand="0" w:evenHBand="0" w:firstRowFirstColumn="0" w:firstRowLastColumn="0" w:lastRowFirstColumn="0" w:lastRowLastColumn="0"/>
            <w:tcW w:w="1397" w:type="dxa"/>
            <w:vMerge/>
            <w:tcBorders>
              <w:right w:val="nil"/>
            </w:tcBorders>
            <w:shd w:val="clear" w:color="auto" w:fill="auto"/>
          </w:tcPr>
          <w:p w14:paraId="2FF944D0" w14:textId="77777777" w:rsidR="009F5BC8" w:rsidRPr="000744F4" w:rsidRDefault="009F5BC8" w:rsidP="002F5916">
            <w:pPr>
              <w:adjustRightInd w:val="0"/>
              <w:snapToGrid w:val="0"/>
              <w:spacing w:line="360" w:lineRule="auto"/>
              <w:jc w:val="both"/>
              <w:rPr>
                <w:rFonts w:ascii="Book Antiqua" w:eastAsia="Book Antiqua" w:hAnsi="Book Antiqua" w:cs="Book Antiqua"/>
                <w:i w:val="0"/>
                <w:iCs w:val="0"/>
                <w:color w:val="000000"/>
              </w:rPr>
            </w:pPr>
          </w:p>
        </w:tc>
        <w:tc>
          <w:tcPr>
            <w:tcW w:w="2503" w:type="dxa"/>
            <w:shd w:val="clear" w:color="auto" w:fill="auto"/>
          </w:tcPr>
          <w:p w14:paraId="08D1997C" w14:textId="711B5383" w:rsidR="009F5BC8" w:rsidRPr="000744F4" w:rsidRDefault="00A225DB"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r w:rsidRPr="000744F4">
              <w:rPr>
                <w:rFonts w:ascii="Book Antiqua" w:eastAsia="Book Antiqua" w:hAnsi="Book Antiqua" w:cs="Book Antiqua"/>
                <w:color w:val="000000"/>
              </w:rPr>
              <w:t xml:space="preserve">A linear uniform signal in the tumor wall is a </w:t>
            </w:r>
            <w:r w:rsidR="000740B3" w:rsidRPr="000744F4">
              <w:rPr>
                <w:rFonts w:ascii="Book Antiqua" w:eastAsia="Book Antiqua" w:hAnsi="Book Antiqua" w:cs="Book Antiqua"/>
                <w:color w:val="000000"/>
              </w:rPr>
              <w:t>non-pathological</w:t>
            </w:r>
            <w:r w:rsidRPr="000744F4">
              <w:rPr>
                <w:rFonts w:ascii="Book Antiqua" w:eastAsia="Book Antiqua" w:hAnsi="Book Antiqua" w:cs="Book Antiqua"/>
                <w:color w:val="000000"/>
              </w:rPr>
              <w:t xml:space="preserve"> sign</w:t>
            </w:r>
          </w:p>
          <w:p w14:paraId="6BF9ED2E" w14:textId="77777777" w:rsidR="009F5BC8" w:rsidRPr="000744F4" w:rsidRDefault="009F5BC8" w:rsidP="002F5916">
            <w:pPr>
              <w:snapToGrid w:val="0"/>
              <w:spacing w:line="360" w:lineRule="auto"/>
              <w:jc w:val="right"/>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c>
          <w:tcPr>
            <w:tcW w:w="3438" w:type="dxa"/>
            <w:vMerge/>
            <w:shd w:val="clear" w:color="auto" w:fill="auto"/>
          </w:tcPr>
          <w:p w14:paraId="6E0CF452" w14:textId="77777777" w:rsidR="009F5BC8" w:rsidRPr="000744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c>
          <w:tcPr>
            <w:tcW w:w="2409" w:type="dxa"/>
            <w:vMerge/>
            <w:shd w:val="clear" w:color="auto" w:fill="auto"/>
          </w:tcPr>
          <w:p w14:paraId="0205DC50" w14:textId="77777777" w:rsidR="009F5BC8" w:rsidRPr="000744F4" w:rsidRDefault="009F5BC8" w:rsidP="002F591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color w:val="000000"/>
              </w:rPr>
            </w:pPr>
          </w:p>
        </w:tc>
      </w:tr>
    </w:tbl>
    <w:p w14:paraId="2ACC30FB" w14:textId="334580E9" w:rsidR="009F5BC8" w:rsidRPr="00F12D90" w:rsidRDefault="00A225DB" w:rsidP="002F5916">
      <w:pPr>
        <w:snapToGrid w:val="0"/>
        <w:spacing w:line="360" w:lineRule="auto"/>
        <w:rPr>
          <w:rFonts w:ascii="Book Antiqua" w:hAnsi="Book Antiqua"/>
        </w:rPr>
      </w:pPr>
      <w:r w:rsidRPr="000744F4">
        <w:rPr>
          <w:rFonts w:ascii="Book Antiqua" w:hAnsi="Book Antiqua"/>
          <w:color w:val="000000"/>
        </w:rPr>
        <w:t>ADC: Apparent diffusion coefficient</w:t>
      </w:r>
      <w:r w:rsidR="00B131C6">
        <w:rPr>
          <w:rFonts w:ascii="Book Antiqua" w:hAnsi="Book Antiqua"/>
          <w:color w:val="000000"/>
        </w:rPr>
        <w:t>;</w:t>
      </w:r>
      <w:r w:rsidR="00B131C6" w:rsidRPr="00B131C6">
        <w:rPr>
          <w:rFonts w:ascii="Book Antiqua" w:hAnsi="Book Antiqua"/>
          <w:color w:val="000000"/>
        </w:rPr>
        <w:t xml:space="preserve"> </w:t>
      </w:r>
      <w:r w:rsidR="00B131C6" w:rsidRPr="000744F4">
        <w:rPr>
          <w:rFonts w:ascii="Book Antiqua" w:hAnsi="Book Antiqua"/>
          <w:color w:val="000000"/>
        </w:rPr>
        <w:t>MRI: Magnetic resonance imaging</w:t>
      </w:r>
      <w:r w:rsidR="00B131C6">
        <w:rPr>
          <w:rFonts w:ascii="Book Antiqua" w:hAnsi="Book Antiqua"/>
          <w:color w:val="000000"/>
        </w:rPr>
        <w:t>.</w:t>
      </w:r>
    </w:p>
    <w:p w14:paraId="767FE299" w14:textId="0C6F4250" w:rsidR="009F5BC8" w:rsidRPr="000744F4" w:rsidRDefault="00A225DB" w:rsidP="002F5916">
      <w:pPr>
        <w:pStyle w:val="ListParagraph"/>
        <w:adjustRightInd w:val="0"/>
        <w:snapToGrid w:val="0"/>
        <w:spacing w:line="360" w:lineRule="auto"/>
        <w:ind w:left="0"/>
        <w:contextualSpacing w:val="0"/>
        <w:jc w:val="both"/>
        <w:rPr>
          <w:rFonts w:ascii="Book Antiqua" w:eastAsia="Book Antiqua" w:hAnsi="Book Antiqua" w:cs="Book Antiqua"/>
          <w:b/>
          <w:bCs/>
          <w:color w:val="000000"/>
        </w:rPr>
      </w:pPr>
      <w:r w:rsidRPr="000744F4">
        <w:rPr>
          <w:rFonts w:ascii="Book Antiqua" w:eastAsia="Book Antiqua" w:hAnsi="Book Antiqua" w:cs="Book Antiqua"/>
          <w:b/>
          <w:color w:val="000000"/>
        </w:rPr>
        <w:br w:type="page"/>
      </w:r>
      <w:r w:rsidRPr="000744F4">
        <w:rPr>
          <w:rFonts w:ascii="Book Antiqua" w:eastAsia="Book Antiqua" w:hAnsi="Book Antiqua" w:cs="Book Antiqua"/>
          <w:b/>
          <w:bCs/>
          <w:color w:val="000000"/>
        </w:rPr>
        <w:lastRenderedPageBreak/>
        <w:t>Table 2 Recommendations for follow</w:t>
      </w:r>
      <w:r w:rsidR="00260AE7">
        <w:rPr>
          <w:rFonts w:ascii="Book Antiqua" w:eastAsia="Book Antiqua" w:hAnsi="Book Antiqua" w:cs="Book Antiqua"/>
          <w:b/>
          <w:bCs/>
          <w:color w:val="000000"/>
        </w:rPr>
        <w:t>-</w:t>
      </w:r>
      <w:r w:rsidRPr="000744F4">
        <w:rPr>
          <w:rFonts w:ascii="Book Antiqua" w:eastAsia="Book Antiqua" w:hAnsi="Book Antiqua" w:cs="Book Antiqua"/>
          <w:b/>
          <w:bCs/>
          <w:color w:val="000000"/>
        </w:rPr>
        <w:t xml:space="preserve">up for patients under a watch and wait strategy regarding OPRA </w:t>
      </w:r>
      <w:proofErr w:type="gramStart"/>
      <w:r w:rsidRPr="000744F4">
        <w:rPr>
          <w:rFonts w:ascii="Book Antiqua" w:eastAsia="Book Antiqua" w:hAnsi="Book Antiqua" w:cs="Book Antiqua"/>
          <w:b/>
          <w:bCs/>
          <w:color w:val="000000"/>
        </w:rPr>
        <w:t>trial</w:t>
      </w:r>
      <w:r w:rsidRPr="000744F4">
        <w:rPr>
          <w:rFonts w:ascii="Book Antiqua" w:eastAsia="Book Antiqua" w:hAnsi="Book Antiqua" w:cs="Book Antiqua"/>
          <w:b/>
          <w:bCs/>
          <w:color w:val="000000"/>
          <w:vertAlign w:val="superscript"/>
        </w:rPr>
        <w:t>[</w:t>
      </w:r>
      <w:proofErr w:type="gramEnd"/>
      <w:r w:rsidRPr="000744F4">
        <w:rPr>
          <w:rFonts w:ascii="Book Antiqua" w:eastAsia="Book Antiqua" w:hAnsi="Book Antiqua" w:cs="Book Antiqua"/>
          <w:b/>
          <w:bCs/>
          <w:color w:val="000000"/>
          <w:vertAlign w:val="superscript"/>
        </w:rPr>
        <w:t>20]</w:t>
      </w:r>
    </w:p>
    <w:tbl>
      <w:tblPr>
        <w:tblStyle w:val="TableGrid"/>
        <w:tblW w:w="9420" w:type="dxa"/>
        <w:tblInd w:w="-14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6"/>
        <w:gridCol w:w="812"/>
        <w:gridCol w:w="961"/>
        <w:gridCol w:w="960"/>
        <w:gridCol w:w="961"/>
        <w:gridCol w:w="640"/>
        <w:gridCol w:w="640"/>
        <w:gridCol w:w="640"/>
        <w:gridCol w:w="640"/>
        <w:gridCol w:w="640"/>
        <w:gridCol w:w="640"/>
      </w:tblGrid>
      <w:tr w:rsidR="009F5BC8" w:rsidRPr="000744F4" w14:paraId="0396815E" w14:textId="77777777" w:rsidTr="00F725CF">
        <w:trPr>
          <w:trHeight w:val="116"/>
        </w:trPr>
        <w:tc>
          <w:tcPr>
            <w:tcW w:w="1886" w:type="dxa"/>
            <w:tcBorders>
              <w:top w:val="single" w:sz="4" w:space="0" w:color="auto"/>
              <w:bottom w:val="single" w:sz="4" w:space="0" w:color="auto"/>
            </w:tcBorders>
          </w:tcPr>
          <w:p w14:paraId="23250A7C" w14:textId="64695C24" w:rsidR="009F5BC8" w:rsidRPr="000744F4" w:rsidRDefault="00A225DB" w:rsidP="002F5916">
            <w:pPr>
              <w:adjustRightInd w:val="0"/>
              <w:snapToGrid w:val="0"/>
              <w:spacing w:line="360" w:lineRule="auto"/>
              <w:jc w:val="both"/>
              <w:rPr>
                <w:rFonts w:ascii="Book Antiqua" w:eastAsia="Book Antiqua" w:hAnsi="Book Antiqua" w:cs="Book Antiqua"/>
                <w:b/>
                <w:bCs/>
                <w:color w:val="000000"/>
              </w:rPr>
            </w:pPr>
            <w:r w:rsidRPr="000744F4">
              <w:rPr>
                <w:rFonts w:ascii="Book Antiqua" w:eastAsia="Book Antiqua" w:hAnsi="Book Antiqua" w:cs="Book Antiqua"/>
                <w:b/>
                <w:bCs/>
                <w:color w:val="000000"/>
              </w:rPr>
              <w:t>Follow</w:t>
            </w:r>
            <w:r w:rsidR="00260AE7">
              <w:rPr>
                <w:rFonts w:ascii="Book Antiqua" w:eastAsia="Book Antiqua" w:hAnsi="Book Antiqua" w:cs="Book Antiqua"/>
                <w:b/>
                <w:bCs/>
                <w:color w:val="000000"/>
              </w:rPr>
              <w:t>-</w:t>
            </w:r>
            <w:r w:rsidRPr="000744F4">
              <w:rPr>
                <w:rFonts w:ascii="Book Antiqua" w:eastAsia="Book Antiqua" w:hAnsi="Book Antiqua" w:cs="Book Antiqua"/>
                <w:b/>
                <w:bCs/>
                <w:color w:val="000000"/>
              </w:rPr>
              <w:t>up</w:t>
            </w:r>
            <w:r w:rsidR="00F725CF" w:rsidRPr="000744F4">
              <w:rPr>
                <w:rFonts w:ascii="Book Antiqua" w:eastAsia="Book Antiqua" w:hAnsi="Book Antiqua" w:cs="Book Antiqua"/>
                <w:b/>
                <w:bCs/>
                <w:color w:val="000000"/>
              </w:rPr>
              <w:t xml:space="preserve"> </w:t>
            </w:r>
            <w:r w:rsidR="00B131C6">
              <w:rPr>
                <w:rFonts w:ascii="Book Antiqua" w:eastAsia="Book Antiqua" w:hAnsi="Book Antiqua" w:cs="Book Antiqua"/>
                <w:b/>
                <w:bCs/>
                <w:color w:val="000000"/>
              </w:rPr>
              <w:t xml:space="preserve">in </w:t>
            </w:r>
            <w:proofErr w:type="spellStart"/>
            <w:r w:rsidR="00F725CF" w:rsidRPr="000744F4">
              <w:rPr>
                <w:rFonts w:ascii="Book Antiqua" w:eastAsia="Book Antiqua" w:hAnsi="Book Antiqua" w:cs="Book Antiqua"/>
                <w:b/>
                <w:bCs/>
                <w:color w:val="000000"/>
              </w:rPr>
              <w:t>mo</w:t>
            </w:r>
            <w:proofErr w:type="spellEnd"/>
          </w:p>
        </w:tc>
        <w:tc>
          <w:tcPr>
            <w:tcW w:w="812" w:type="dxa"/>
            <w:tcBorders>
              <w:top w:val="single" w:sz="4" w:space="0" w:color="auto"/>
              <w:bottom w:val="single" w:sz="4" w:space="0" w:color="auto"/>
            </w:tcBorders>
          </w:tcPr>
          <w:p w14:paraId="5F0FF71C" w14:textId="77777777" w:rsidR="009F5BC8" w:rsidRPr="000744F4" w:rsidRDefault="00A225DB" w:rsidP="002F5916">
            <w:pPr>
              <w:adjustRightInd w:val="0"/>
              <w:snapToGrid w:val="0"/>
              <w:spacing w:line="360" w:lineRule="auto"/>
              <w:jc w:val="both"/>
              <w:rPr>
                <w:rFonts w:ascii="Book Antiqua" w:eastAsia="Book Antiqua" w:hAnsi="Book Antiqua" w:cs="Book Antiqua"/>
                <w:b/>
                <w:bCs/>
                <w:color w:val="000000"/>
              </w:rPr>
            </w:pPr>
            <w:r w:rsidRPr="000744F4">
              <w:rPr>
                <w:rFonts w:ascii="Book Antiqua" w:eastAsia="Book Antiqua" w:hAnsi="Book Antiqua" w:cs="Book Antiqua"/>
                <w:b/>
                <w:bCs/>
                <w:color w:val="000000"/>
              </w:rPr>
              <w:t>3-6</w:t>
            </w:r>
          </w:p>
        </w:tc>
        <w:tc>
          <w:tcPr>
            <w:tcW w:w="961" w:type="dxa"/>
            <w:tcBorders>
              <w:top w:val="single" w:sz="4" w:space="0" w:color="auto"/>
              <w:bottom w:val="single" w:sz="4" w:space="0" w:color="auto"/>
            </w:tcBorders>
          </w:tcPr>
          <w:p w14:paraId="0287D2A1" w14:textId="77777777" w:rsidR="009F5BC8" w:rsidRPr="000744F4" w:rsidRDefault="00A225DB" w:rsidP="002F5916">
            <w:pPr>
              <w:adjustRightInd w:val="0"/>
              <w:snapToGrid w:val="0"/>
              <w:spacing w:line="360" w:lineRule="auto"/>
              <w:jc w:val="both"/>
              <w:rPr>
                <w:rFonts w:ascii="Book Antiqua" w:eastAsia="Book Antiqua" w:hAnsi="Book Antiqua" w:cs="Book Antiqua"/>
                <w:b/>
                <w:bCs/>
                <w:color w:val="000000"/>
              </w:rPr>
            </w:pPr>
            <w:r w:rsidRPr="000744F4">
              <w:rPr>
                <w:rFonts w:ascii="Book Antiqua" w:eastAsia="Book Antiqua" w:hAnsi="Book Antiqua" w:cs="Book Antiqua"/>
                <w:b/>
                <w:bCs/>
                <w:color w:val="000000"/>
              </w:rPr>
              <w:t>9-12</w:t>
            </w:r>
          </w:p>
        </w:tc>
        <w:tc>
          <w:tcPr>
            <w:tcW w:w="960" w:type="dxa"/>
            <w:tcBorders>
              <w:top w:val="single" w:sz="4" w:space="0" w:color="auto"/>
              <w:bottom w:val="single" w:sz="4" w:space="0" w:color="auto"/>
            </w:tcBorders>
          </w:tcPr>
          <w:p w14:paraId="2FA81BB8" w14:textId="77777777" w:rsidR="009F5BC8" w:rsidRPr="000744F4" w:rsidRDefault="00A225DB" w:rsidP="002F5916">
            <w:pPr>
              <w:adjustRightInd w:val="0"/>
              <w:snapToGrid w:val="0"/>
              <w:spacing w:line="360" w:lineRule="auto"/>
              <w:jc w:val="both"/>
              <w:rPr>
                <w:rFonts w:ascii="Book Antiqua" w:eastAsia="Book Antiqua" w:hAnsi="Book Antiqua" w:cs="Book Antiqua"/>
                <w:b/>
                <w:bCs/>
                <w:color w:val="000000"/>
              </w:rPr>
            </w:pPr>
            <w:r w:rsidRPr="000744F4">
              <w:rPr>
                <w:rFonts w:ascii="Book Antiqua" w:eastAsia="Book Antiqua" w:hAnsi="Book Antiqua" w:cs="Book Antiqua"/>
                <w:b/>
                <w:bCs/>
                <w:color w:val="000000"/>
              </w:rPr>
              <w:t>15-18</w:t>
            </w:r>
          </w:p>
        </w:tc>
        <w:tc>
          <w:tcPr>
            <w:tcW w:w="961" w:type="dxa"/>
            <w:tcBorders>
              <w:top w:val="single" w:sz="4" w:space="0" w:color="auto"/>
              <w:bottom w:val="single" w:sz="4" w:space="0" w:color="auto"/>
            </w:tcBorders>
          </w:tcPr>
          <w:p w14:paraId="5F3C2248" w14:textId="77777777" w:rsidR="009F5BC8" w:rsidRPr="000744F4" w:rsidRDefault="00A225DB" w:rsidP="002F5916">
            <w:pPr>
              <w:adjustRightInd w:val="0"/>
              <w:snapToGrid w:val="0"/>
              <w:spacing w:line="360" w:lineRule="auto"/>
              <w:jc w:val="both"/>
              <w:rPr>
                <w:rFonts w:ascii="Book Antiqua" w:eastAsia="Book Antiqua" w:hAnsi="Book Antiqua" w:cs="Book Antiqua"/>
                <w:b/>
                <w:bCs/>
                <w:color w:val="000000"/>
              </w:rPr>
            </w:pPr>
            <w:r w:rsidRPr="000744F4">
              <w:rPr>
                <w:rFonts w:ascii="Book Antiqua" w:eastAsia="Book Antiqua" w:hAnsi="Book Antiqua" w:cs="Book Antiqua"/>
                <w:b/>
                <w:bCs/>
                <w:color w:val="000000"/>
              </w:rPr>
              <w:t>21-24</w:t>
            </w:r>
          </w:p>
        </w:tc>
        <w:tc>
          <w:tcPr>
            <w:tcW w:w="640" w:type="dxa"/>
            <w:tcBorders>
              <w:top w:val="single" w:sz="4" w:space="0" w:color="auto"/>
              <w:bottom w:val="single" w:sz="4" w:space="0" w:color="auto"/>
            </w:tcBorders>
          </w:tcPr>
          <w:p w14:paraId="20FC1D18" w14:textId="77777777" w:rsidR="009F5BC8" w:rsidRPr="000744F4" w:rsidRDefault="00A225DB" w:rsidP="002F5916">
            <w:pPr>
              <w:adjustRightInd w:val="0"/>
              <w:snapToGrid w:val="0"/>
              <w:spacing w:line="360" w:lineRule="auto"/>
              <w:jc w:val="both"/>
              <w:rPr>
                <w:rFonts w:ascii="Book Antiqua" w:eastAsia="Book Antiqua" w:hAnsi="Book Antiqua" w:cs="Book Antiqua"/>
                <w:b/>
                <w:bCs/>
                <w:color w:val="000000"/>
              </w:rPr>
            </w:pPr>
            <w:r w:rsidRPr="000744F4">
              <w:rPr>
                <w:rFonts w:ascii="Book Antiqua" w:eastAsia="Book Antiqua" w:hAnsi="Book Antiqua" w:cs="Book Antiqua"/>
                <w:b/>
                <w:bCs/>
                <w:color w:val="000000"/>
              </w:rPr>
              <w:t>30</w:t>
            </w:r>
          </w:p>
        </w:tc>
        <w:tc>
          <w:tcPr>
            <w:tcW w:w="640" w:type="dxa"/>
            <w:tcBorders>
              <w:top w:val="single" w:sz="4" w:space="0" w:color="auto"/>
              <w:bottom w:val="single" w:sz="4" w:space="0" w:color="auto"/>
            </w:tcBorders>
          </w:tcPr>
          <w:p w14:paraId="02F4DBA4" w14:textId="77777777" w:rsidR="009F5BC8" w:rsidRPr="000744F4" w:rsidRDefault="00A225DB" w:rsidP="002F5916">
            <w:pPr>
              <w:adjustRightInd w:val="0"/>
              <w:snapToGrid w:val="0"/>
              <w:spacing w:line="360" w:lineRule="auto"/>
              <w:jc w:val="both"/>
              <w:rPr>
                <w:rFonts w:ascii="Book Antiqua" w:eastAsia="Book Antiqua" w:hAnsi="Book Antiqua" w:cs="Book Antiqua"/>
                <w:b/>
                <w:bCs/>
                <w:color w:val="000000"/>
              </w:rPr>
            </w:pPr>
            <w:r w:rsidRPr="000744F4">
              <w:rPr>
                <w:rFonts w:ascii="Book Antiqua" w:eastAsia="Book Antiqua" w:hAnsi="Book Antiqua" w:cs="Book Antiqua"/>
                <w:b/>
                <w:bCs/>
                <w:color w:val="000000"/>
              </w:rPr>
              <w:t>36</w:t>
            </w:r>
          </w:p>
        </w:tc>
        <w:tc>
          <w:tcPr>
            <w:tcW w:w="640" w:type="dxa"/>
            <w:tcBorders>
              <w:top w:val="single" w:sz="4" w:space="0" w:color="auto"/>
              <w:bottom w:val="single" w:sz="4" w:space="0" w:color="auto"/>
            </w:tcBorders>
          </w:tcPr>
          <w:p w14:paraId="069AE5B8" w14:textId="77777777" w:rsidR="009F5BC8" w:rsidRPr="000744F4" w:rsidRDefault="00A225DB" w:rsidP="002F5916">
            <w:pPr>
              <w:adjustRightInd w:val="0"/>
              <w:snapToGrid w:val="0"/>
              <w:spacing w:line="360" w:lineRule="auto"/>
              <w:jc w:val="both"/>
              <w:rPr>
                <w:rFonts w:ascii="Book Antiqua" w:eastAsia="Book Antiqua" w:hAnsi="Book Antiqua" w:cs="Book Antiqua"/>
                <w:b/>
                <w:bCs/>
                <w:color w:val="000000"/>
              </w:rPr>
            </w:pPr>
            <w:r w:rsidRPr="000744F4">
              <w:rPr>
                <w:rFonts w:ascii="Book Antiqua" w:eastAsia="Book Antiqua" w:hAnsi="Book Antiqua" w:cs="Book Antiqua"/>
                <w:b/>
                <w:bCs/>
                <w:color w:val="000000"/>
              </w:rPr>
              <w:t>42</w:t>
            </w:r>
          </w:p>
        </w:tc>
        <w:tc>
          <w:tcPr>
            <w:tcW w:w="640" w:type="dxa"/>
            <w:tcBorders>
              <w:top w:val="single" w:sz="4" w:space="0" w:color="auto"/>
              <w:bottom w:val="single" w:sz="4" w:space="0" w:color="auto"/>
            </w:tcBorders>
          </w:tcPr>
          <w:p w14:paraId="7F6B6DBA" w14:textId="77777777" w:rsidR="009F5BC8" w:rsidRPr="000744F4" w:rsidRDefault="00A225DB" w:rsidP="002F5916">
            <w:pPr>
              <w:adjustRightInd w:val="0"/>
              <w:snapToGrid w:val="0"/>
              <w:spacing w:line="360" w:lineRule="auto"/>
              <w:jc w:val="both"/>
              <w:rPr>
                <w:rFonts w:ascii="Book Antiqua" w:eastAsia="Book Antiqua" w:hAnsi="Book Antiqua" w:cs="Book Antiqua"/>
                <w:b/>
                <w:bCs/>
                <w:color w:val="000000"/>
              </w:rPr>
            </w:pPr>
            <w:r w:rsidRPr="000744F4">
              <w:rPr>
                <w:rFonts w:ascii="Book Antiqua" w:eastAsia="Book Antiqua" w:hAnsi="Book Antiqua" w:cs="Book Antiqua"/>
                <w:b/>
                <w:bCs/>
                <w:color w:val="000000"/>
              </w:rPr>
              <w:t>48</w:t>
            </w:r>
          </w:p>
        </w:tc>
        <w:tc>
          <w:tcPr>
            <w:tcW w:w="640" w:type="dxa"/>
            <w:tcBorders>
              <w:top w:val="single" w:sz="4" w:space="0" w:color="auto"/>
              <w:bottom w:val="single" w:sz="4" w:space="0" w:color="auto"/>
            </w:tcBorders>
          </w:tcPr>
          <w:p w14:paraId="575D7E02" w14:textId="77777777" w:rsidR="009F5BC8" w:rsidRPr="000744F4" w:rsidRDefault="00A225DB" w:rsidP="002F5916">
            <w:pPr>
              <w:adjustRightInd w:val="0"/>
              <w:snapToGrid w:val="0"/>
              <w:spacing w:line="360" w:lineRule="auto"/>
              <w:jc w:val="both"/>
              <w:rPr>
                <w:rFonts w:ascii="Book Antiqua" w:eastAsia="Book Antiqua" w:hAnsi="Book Antiqua" w:cs="Book Antiqua"/>
                <w:b/>
                <w:bCs/>
                <w:color w:val="000000"/>
              </w:rPr>
            </w:pPr>
            <w:r w:rsidRPr="000744F4">
              <w:rPr>
                <w:rFonts w:ascii="Book Antiqua" w:eastAsia="Book Antiqua" w:hAnsi="Book Antiqua" w:cs="Book Antiqua"/>
                <w:b/>
                <w:bCs/>
                <w:color w:val="000000"/>
              </w:rPr>
              <w:t>54</w:t>
            </w:r>
          </w:p>
        </w:tc>
        <w:tc>
          <w:tcPr>
            <w:tcW w:w="640" w:type="dxa"/>
            <w:tcBorders>
              <w:top w:val="single" w:sz="4" w:space="0" w:color="auto"/>
              <w:bottom w:val="single" w:sz="4" w:space="0" w:color="auto"/>
            </w:tcBorders>
          </w:tcPr>
          <w:p w14:paraId="38B7F09D" w14:textId="77777777" w:rsidR="009F5BC8" w:rsidRPr="000744F4" w:rsidRDefault="00A225DB" w:rsidP="002F5916">
            <w:pPr>
              <w:adjustRightInd w:val="0"/>
              <w:snapToGrid w:val="0"/>
              <w:spacing w:line="360" w:lineRule="auto"/>
              <w:jc w:val="both"/>
              <w:rPr>
                <w:rFonts w:ascii="Book Antiqua" w:eastAsia="Book Antiqua" w:hAnsi="Book Antiqua" w:cs="Book Antiqua"/>
                <w:b/>
                <w:bCs/>
                <w:color w:val="000000"/>
              </w:rPr>
            </w:pPr>
            <w:r w:rsidRPr="000744F4">
              <w:rPr>
                <w:rFonts w:ascii="Book Antiqua" w:eastAsia="Book Antiqua" w:hAnsi="Book Antiqua" w:cs="Book Antiqua"/>
                <w:b/>
                <w:bCs/>
                <w:color w:val="000000"/>
              </w:rPr>
              <w:t>60</w:t>
            </w:r>
          </w:p>
        </w:tc>
      </w:tr>
      <w:tr w:rsidR="009F5BC8" w:rsidRPr="000744F4" w14:paraId="741E46EE" w14:textId="77777777" w:rsidTr="00F725CF">
        <w:trPr>
          <w:trHeight w:val="441"/>
        </w:trPr>
        <w:tc>
          <w:tcPr>
            <w:tcW w:w="1886" w:type="dxa"/>
            <w:tcBorders>
              <w:top w:val="single" w:sz="4" w:space="0" w:color="auto"/>
            </w:tcBorders>
          </w:tcPr>
          <w:p w14:paraId="3FEDADD1"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t>PE</w:t>
            </w:r>
          </w:p>
        </w:tc>
        <w:tc>
          <w:tcPr>
            <w:tcW w:w="812" w:type="dxa"/>
            <w:tcBorders>
              <w:top w:val="single" w:sz="4" w:space="0" w:color="auto"/>
            </w:tcBorders>
          </w:tcPr>
          <w:p w14:paraId="1C320D62"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961" w:type="dxa"/>
            <w:tcBorders>
              <w:top w:val="single" w:sz="4" w:space="0" w:color="auto"/>
            </w:tcBorders>
          </w:tcPr>
          <w:p w14:paraId="47383601"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960" w:type="dxa"/>
            <w:tcBorders>
              <w:top w:val="single" w:sz="4" w:space="0" w:color="auto"/>
            </w:tcBorders>
          </w:tcPr>
          <w:p w14:paraId="527C9031"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961" w:type="dxa"/>
            <w:tcBorders>
              <w:top w:val="single" w:sz="4" w:space="0" w:color="auto"/>
            </w:tcBorders>
          </w:tcPr>
          <w:p w14:paraId="0FB47AC0"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640" w:type="dxa"/>
            <w:tcBorders>
              <w:top w:val="single" w:sz="4" w:space="0" w:color="auto"/>
            </w:tcBorders>
          </w:tcPr>
          <w:p w14:paraId="19D5CE27"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640" w:type="dxa"/>
            <w:tcBorders>
              <w:top w:val="single" w:sz="4" w:space="0" w:color="auto"/>
            </w:tcBorders>
          </w:tcPr>
          <w:p w14:paraId="3A525CB3"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640" w:type="dxa"/>
            <w:tcBorders>
              <w:top w:val="single" w:sz="4" w:space="0" w:color="auto"/>
            </w:tcBorders>
          </w:tcPr>
          <w:p w14:paraId="04BB1127"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640" w:type="dxa"/>
            <w:tcBorders>
              <w:top w:val="single" w:sz="4" w:space="0" w:color="auto"/>
            </w:tcBorders>
          </w:tcPr>
          <w:p w14:paraId="178DBBA5"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640" w:type="dxa"/>
            <w:tcBorders>
              <w:top w:val="single" w:sz="4" w:space="0" w:color="auto"/>
            </w:tcBorders>
          </w:tcPr>
          <w:p w14:paraId="33645E71"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640" w:type="dxa"/>
            <w:tcBorders>
              <w:top w:val="single" w:sz="4" w:space="0" w:color="auto"/>
            </w:tcBorders>
          </w:tcPr>
          <w:p w14:paraId="2C87E30D"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r>
      <w:tr w:rsidR="009F5BC8" w:rsidRPr="000744F4" w14:paraId="35695B3A" w14:textId="77777777" w:rsidTr="00F725CF">
        <w:trPr>
          <w:trHeight w:val="429"/>
        </w:trPr>
        <w:tc>
          <w:tcPr>
            <w:tcW w:w="1886" w:type="dxa"/>
          </w:tcPr>
          <w:p w14:paraId="4894172A"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t>Endoscopy</w:t>
            </w:r>
          </w:p>
        </w:tc>
        <w:tc>
          <w:tcPr>
            <w:tcW w:w="812" w:type="dxa"/>
          </w:tcPr>
          <w:p w14:paraId="74498617"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961" w:type="dxa"/>
          </w:tcPr>
          <w:p w14:paraId="43AA0668"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960" w:type="dxa"/>
          </w:tcPr>
          <w:p w14:paraId="6CC4ACE7"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961" w:type="dxa"/>
          </w:tcPr>
          <w:p w14:paraId="502A140D"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640" w:type="dxa"/>
          </w:tcPr>
          <w:p w14:paraId="7950138E"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640" w:type="dxa"/>
          </w:tcPr>
          <w:p w14:paraId="100B30D1"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640" w:type="dxa"/>
          </w:tcPr>
          <w:p w14:paraId="185C69B7"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640" w:type="dxa"/>
          </w:tcPr>
          <w:p w14:paraId="2C505644"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640" w:type="dxa"/>
          </w:tcPr>
          <w:p w14:paraId="210A3ECE"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640" w:type="dxa"/>
          </w:tcPr>
          <w:p w14:paraId="21181EFC"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r>
      <w:tr w:rsidR="009F5BC8" w:rsidRPr="000744F4" w14:paraId="21BA7B12" w14:textId="77777777" w:rsidTr="00F725CF">
        <w:trPr>
          <w:trHeight w:val="441"/>
        </w:trPr>
        <w:tc>
          <w:tcPr>
            <w:tcW w:w="1886" w:type="dxa"/>
          </w:tcPr>
          <w:p w14:paraId="25DD83F5"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t>MRI</w:t>
            </w:r>
          </w:p>
        </w:tc>
        <w:tc>
          <w:tcPr>
            <w:tcW w:w="812" w:type="dxa"/>
          </w:tcPr>
          <w:p w14:paraId="3E1C1736"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961" w:type="dxa"/>
          </w:tcPr>
          <w:p w14:paraId="56B337DA"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960" w:type="dxa"/>
          </w:tcPr>
          <w:p w14:paraId="347279BE" w14:textId="77777777" w:rsidR="009F5BC8" w:rsidRPr="000744F4" w:rsidRDefault="009F5BC8" w:rsidP="002F5916">
            <w:pPr>
              <w:adjustRightInd w:val="0"/>
              <w:snapToGrid w:val="0"/>
              <w:spacing w:line="360" w:lineRule="auto"/>
              <w:jc w:val="both"/>
              <w:rPr>
                <w:rFonts w:ascii="Book Antiqua" w:eastAsia="Book Antiqua" w:hAnsi="Book Antiqua" w:cs="Book Antiqua"/>
                <w:color w:val="000000"/>
              </w:rPr>
            </w:pPr>
          </w:p>
        </w:tc>
        <w:tc>
          <w:tcPr>
            <w:tcW w:w="961" w:type="dxa"/>
          </w:tcPr>
          <w:p w14:paraId="26B535CE"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640" w:type="dxa"/>
          </w:tcPr>
          <w:p w14:paraId="10DDFA21" w14:textId="77777777" w:rsidR="009F5BC8" w:rsidRPr="000744F4" w:rsidRDefault="009F5BC8" w:rsidP="002F5916">
            <w:pPr>
              <w:adjustRightInd w:val="0"/>
              <w:snapToGrid w:val="0"/>
              <w:spacing w:line="360" w:lineRule="auto"/>
              <w:jc w:val="both"/>
              <w:rPr>
                <w:rFonts w:ascii="Book Antiqua" w:eastAsia="Book Antiqua" w:hAnsi="Book Antiqua" w:cs="Book Antiqua"/>
                <w:color w:val="000000"/>
              </w:rPr>
            </w:pPr>
          </w:p>
        </w:tc>
        <w:tc>
          <w:tcPr>
            <w:tcW w:w="640" w:type="dxa"/>
          </w:tcPr>
          <w:p w14:paraId="2ED172BF"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640" w:type="dxa"/>
          </w:tcPr>
          <w:p w14:paraId="342BCA0D" w14:textId="77777777" w:rsidR="009F5BC8" w:rsidRPr="000744F4" w:rsidRDefault="009F5BC8" w:rsidP="002F5916">
            <w:pPr>
              <w:adjustRightInd w:val="0"/>
              <w:snapToGrid w:val="0"/>
              <w:spacing w:line="360" w:lineRule="auto"/>
              <w:jc w:val="both"/>
              <w:rPr>
                <w:rFonts w:ascii="Book Antiqua" w:eastAsia="Book Antiqua" w:hAnsi="Book Antiqua" w:cs="Book Antiqua"/>
                <w:color w:val="000000"/>
              </w:rPr>
            </w:pPr>
          </w:p>
        </w:tc>
        <w:tc>
          <w:tcPr>
            <w:tcW w:w="640" w:type="dxa"/>
          </w:tcPr>
          <w:p w14:paraId="0EF32533"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640" w:type="dxa"/>
          </w:tcPr>
          <w:p w14:paraId="20E6CC27" w14:textId="77777777" w:rsidR="009F5BC8" w:rsidRPr="000744F4" w:rsidRDefault="009F5BC8" w:rsidP="002F5916">
            <w:pPr>
              <w:adjustRightInd w:val="0"/>
              <w:snapToGrid w:val="0"/>
              <w:spacing w:line="360" w:lineRule="auto"/>
              <w:jc w:val="both"/>
              <w:rPr>
                <w:rFonts w:ascii="Book Antiqua" w:eastAsia="Book Antiqua" w:hAnsi="Book Antiqua" w:cs="Book Antiqua"/>
                <w:color w:val="000000"/>
              </w:rPr>
            </w:pPr>
          </w:p>
        </w:tc>
        <w:tc>
          <w:tcPr>
            <w:tcW w:w="640" w:type="dxa"/>
          </w:tcPr>
          <w:p w14:paraId="5132B79A"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r>
      <w:tr w:rsidR="009F5BC8" w:rsidRPr="000744F4" w14:paraId="4C6F2161" w14:textId="77777777" w:rsidTr="00F725CF">
        <w:trPr>
          <w:trHeight w:val="441"/>
        </w:trPr>
        <w:tc>
          <w:tcPr>
            <w:tcW w:w="1886" w:type="dxa"/>
          </w:tcPr>
          <w:p w14:paraId="0A101924"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t>CT CAP</w:t>
            </w:r>
          </w:p>
        </w:tc>
        <w:tc>
          <w:tcPr>
            <w:tcW w:w="812" w:type="dxa"/>
          </w:tcPr>
          <w:p w14:paraId="26A12504" w14:textId="77777777" w:rsidR="009F5BC8" w:rsidRPr="000744F4" w:rsidRDefault="009F5BC8" w:rsidP="002F5916">
            <w:pPr>
              <w:adjustRightInd w:val="0"/>
              <w:snapToGrid w:val="0"/>
              <w:spacing w:line="360" w:lineRule="auto"/>
              <w:jc w:val="both"/>
              <w:rPr>
                <w:rFonts w:ascii="Book Antiqua" w:eastAsia="Book Antiqua" w:hAnsi="Book Antiqua" w:cs="Book Antiqua"/>
                <w:color w:val="000000"/>
              </w:rPr>
            </w:pPr>
          </w:p>
        </w:tc>
        <w:tc>
          <w:tcPr>
            <w:tcW w:w="961" w:type="dxa"/>
          </w:tcPr>
          <w:p w14:paraId="0F15C101"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960" w:type="dxa"/>
          </w:tcPr>
          <w:p w14:paraId="5099FFD4" w14:textId="77777777" w:rsidR="009F5BC8" w:rsidRPr="000744F4" w:rsidRDefault="009F5BC8" w:rsidP="002F5916">
            <w:pPr>
              <w:adjustRightInd w:val="0"/>
              <w:snapToGrid w:val="0"/>
              <w:spacing w:line="360" w:lineRule="auto"/>
              <w:jc w:val="both"/>
              <w:rPr>
                <w:rFonts w:ascii="Book Antiqua" w:eastAsia="Book Antiqua" w:hAnsi="Book Antiqua" w:cs="Book Antiqua"/>
                <w:color w:val="000000"/>
              </w:rPr>
            </w:pPr>
          </w:p>
        </w:tc>
        <w:tc>
          <w:tcPr>
            <w:tcW w:w="961" w:type="dxa"/>
          </w:tcPr>
          <w:p w14:paraId="3EF85842"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640" w:type="dxa"/>
          </w:tcPr>
          <w:p w14:paraId="585EB990" w14:textId="77777777" w:rsidR="009F5BC8" w:rsidRPr="000744F4" w:rsidRDefault="009F5BC8" w:rsidP="002F5916">
            <w:pPr>
              <w:adjustRightInd w:val="0"/>
              <w:snapToGrid w:val="0"/>
              <w:spacing w:line="360" w:lineRule="auto"/>
              <w:jc w:val="both"/>
              <w:rPr>
                <w:rFonts w:ascii="Book Antiqua" w:eastAsia="Book Antiqua" w:hAnsi="Book Antiqua" w:cs="Book Antiqua"/>
                <w:color w:val="000000"/>
              </w:rPr>
            </w:pPr>
          </w:p>
        </w:tc>
        <w:tc>
          <w:tcPr>
            <w:tcW w:w="640" w:type="dxa"/>
          </w:tcPr>
          <w:p w14:paraId="45019E22"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640" w:type="dxa"/>
          </w:tcPr>
          <w:p w14:paraId="6A1C4981" w14:textId="77777777" w:rsidR="009F5BC8" w:rsidRPr="000744F4" w:rsidRDefault="009F5BC8" w:rsidP="002F5916">
            <w:pPr>
              <w:adjustRightInd w:val="0"/>
              <w:snapToGrid w:val="0"/>
              <w:spacing w:line="360" w:lineRule="auto"/>
              <w:jc w:val="both"/>
              <w:rPr>
                <w:rFonts w:ascii="Book Antiqua" w:eastAsia="Book Antiqua" w:hAnsi="Book Antiqua" w:cs="Book Antiqua"/>
                <w:color w:val="000000"/>
              </w:rPr>
            </w:pPr>
          </w:p>
        </w:tc>
        <w:tc>
          <w:tcPr>
            <w:tcW w:w="640" w:type="dxa"/>
          </w:tcPr>
          <w:p w14:paraId="5A3CBAD2"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640" w:type="dxa"/>
          </w:tcPr>
          <w:p w14:paraId="66D7E5C6" w14:textId="77777777" w:rsidR="009F5BC8" w:rsidRPr="000744F4" w:rsidRDefault="009F5BC8" w:rsidP="002F5916">
            <w:pPr>
              <w:adjustRightInd w:val="0"/>
              <w:snapToGrid w:val="0"/>
              <w:spacing w:line="360" w:lineRule="auto"/>
              <w:jc w:val="both"/>
              <w:rPr>
                <w:rFonts w:ascii="Book Antiqua" w:eastAsia="Book Antiqua" w:hAnsi="Book Antiqua" w:cs="Book Antiqua"/>
                <w:color w:val="000000"/>
              </w:rPr>
            </w:pPr>
          </w:p>
        </w:tc>
        <w:tc>
          <w:tcPr>
            <w:tcW w:w="640" w:type="dxa"/>
          </w:tcPr>
          <w:p w14:paraId="0396D4D2"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r>
      <w:tr w:rsidR="009F5BC8" w:rsidRPr="000744F4" w14:paraId="377E66F7" w14:textId="77777777" w:rsidTr="00F725CF">
        <w:trPr>
          <w:trHeight w:val="429"/>
        </w:trPr>
        <w:tc>
          <w:tcPr>
            <w:tcW w:w="1886" w:type="dxa"/>
          </w:tcPr>
          <w:p w14:paraId="5E605CB4"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t>TM</w:t>
            </w:r>
          </w:p>
        </w:tc>
        <w:tc>
          <w:tcPr>
            <w:tcW w:w="812" w:type="dxa"/>
          </w:tcPr>
          <w:p w14:paraId="31D156C2"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961" w:type="dxa"/>
          </w:tcPr>
          <w:p w14:paraId="46FA237F"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960" w:type="dxa"/>
          </w:tcPr>
          <w:p w14:paraId="0530A2DF"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961" w:type="dxa"/>
          </w:tcPr>
          <w:p w14:paraId="35E4EF6C"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640" w:type="dxa"/>
          </w:tcPr>
          <w:p w14:paraId="2AC1D4BB"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640" w:type="dxa"/>
          </w:tcPr>
          <w:p w14:paraId="690AE33F"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640" w:type="dxa"/>
          </w:tcPr>
          <w:p w14:paraId="61BCD581"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640" w:type="dxa"/>
          </w:tcPr>
          <w:p w14:paraId="2457AC1A"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640" w:type="dxa"/>
          </w:tcPr>
          <w:p w14:paraId="52722D0C"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c>
          <w:tcPr>
            <w:tcW w:w="640" w:type="dxa"/>
          </w:tcPr>
          <w:p w14:paraId="013709C4" w14:textId="77777777" w:rsidR="009F5BC8" w:rsidRPr="000744F4" w:rsidRDefault="00A225DB" w:rsidP="002F5916">
            <w:pPr>
              <w:adjustRightInd w:val="0"/>
              <w:snapToGrid w:val="0"/>
              <w:spacing w:line="360" w:lineRule="auto"/>
              <w:jc w:val="both"/>
              <w:rPr>
                <w:rFonts w:ascii="Book Antiqua" w:eastAsia="Book Antiqua" w:hAnsi="Book Antiqua" w:cs="Book Antiqua"/>
                <w:color w:val="000000"/>
              </w:rPr>
            </w:pPr>
            <w:r w:rsidRPr="000744F4">
              <w:rPr>
                <w:rFonts w:ascii="Book Antiqua" w:eastAsia="Book Antiqua" w:hAnsi="Book Antiqua" w:cs="Book Antiqua"/>
                <w:color w:val="000000"/>
              </w:rPr>
              <w:sym w:font="Symbol" w:char="F0D6"/>
            </w:r>
          </w:p>
        </w:tc>
      </w:tr>
    </w:tbl>
    <w:p w14:paraId="0740E581" w14:textId="6B5BD783" w:rsidR="009F5BC8" w:rsidRPr="000744F4" w:rsidRDefault="00A225DB" w:rsidP="002F5916">
      <w:pPr>
        <w:snapToGrid w:val="0"/>
        <w:spacing w:line="360" w:lineRule="auto"/>
        <w:rPr>
          <w:rFonts w:ascii="Book Antiqua" w:hAnsi="Book Antiqua"/>
        </w:rPr>
      </w:pPr>
      <w:r w:rsidRPr="000744F4">
        <w:rPr>
          <w:rFonts w:ascii="Book Antiqua" w:hAnsi="Book Antiqua"/>
          <w:lang w:eastAsia="zh-CN"/>
        </w:rPr>
        <w:t xml:space="preserve">CT CAP: </w:t>
      </w:r>
      <w:r w:rsidRPr="000744F4">
        <w:rPr>
          <w:rFonts w:ascii="Book Antiqua" w:hAnsi="Book Antiqua"/>
        </w:rPr>
        <w:t xml:space="preserve">Computed tomography </w:t>
      </w:r>
      <w:r w:rsidRPr="000744F4">
        <w:rPr>
          <w:rFonts w:ascii="Book Antiqua" w:hAnsi="Book Antiqua"/>
          <w:lang w:eastAsia="zh-CN"/>
        </w:rPr>
        <w:t>c</w:t>
      </w:r>
      <w:r w:rsidRPr="000744F4">
        <w:rPr>
          <w:rFonts w:ascii="Book Antiqua" w:hAnsi="Book Antiqua"/>
        </w:rPr>
        <w:t xml:space="preserve">hest, </w:t>
      </w:r>
      <w:proofErr w:type="gramStart"/>
      <w:r w:rsidRPr="000744F4">
        <w:rPr>
          <w:rFonts w:ascii="Book Antiqua" w:hAnsi="Book Antiqua"/>
        </w:rPr>
        <w:t>abdomen</w:t>
      </w:r>
      <w:proofErr w:type="gramEnd"/>
      <w:r w:rsidRPr="000744F4">
        <w:rPr>
          <w:rFonts w:ascii="Book Antiqua" w:hAnsi="Book Antiqua"/>
        </w:rPr>
        <w:t xml:space="preserve"> and pelvis; </w:t>
      </w:r>
      <w:r w:rsidR="00B131C6" w:rsidRPr="000744F4">
        <w:rPr>
          <w:rFonts w:ascii="Book Antiqua" w:hAnsi="Book Antiqua"/>
        </w:rPr>
        <w:t>MRI: Magnetic resonance imaging;</w:t>
      </w:r>
      <w:r w:rsidR="00B131C6" w:rsidRPr="000744F4">
        <w:rPr>
          <w:rFonts w:ascii="Book Antiqua" w:hAnsi="Book Antiqua"/>
          <w:lang w:eastAsia="zh-CN"/>
        </w:rPr>
        <w:t xml:space="preserve"> </w:t>
      </w:r>
      <w:r w:rsidRPr="000744F4">
        <w:rPr>
          <w:rFonts w:ascii="Book Antiqua" w:hAnsi="Book Antiqua"/>
        </w:rPr>
        <w:t xml:space="preserve">PE: Positron emission; TM: Tumor </w:t>
      </w:r>
      <w:r w:rsidRPr="000744F4">
        <w:rPr>
          <w:rFonts w:ascii="Book Antiqua" w:hAnsi="Book Antiqua"/>
          <w:lang w:eastAsia="zh-CN"/>
        </w:rPr>
        <w:t>m</w:t>
      </w:r>
      <w:r w:rsidRPr="000744F4">
        <w:rPr>
          <w:rFonts w:ascii="Book Antiqua" w:hAnsi="Book Antiqua"/>
        </w:rPr>
        <w:t>arkers.</w:t>
      </w:r>
    </w:p>
    <w:sectPr w:rsidR="009F5BC8" w:rsidRPr="000744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D782" w14:textId="77777777" w:rsidR="00F25A56" w:rsidRDefault="00F25A56">
      <w:r>
        <w:separator/>
      </w:r>
    </w:p>
  </w:endnote>
  <w:endnote w:type="continuationSeparator" w:id="0">
    <w:p w14:paraId="49A8089E" w14:textId="77777777" w:rsidR="00F25A56" w:rsidRDefault="00F2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451971"/>
      <w:docPartObj>
        <w:docPartGallery w:val="AutoText"/>
      </w:docPartObj>
    </w:sdtPr>
    <w:sdtEndPr/>
    <w:sdtContent>
      <w:sdt>
        <w:sdtPr>
          <w:id w:val="-1705238520"/>
          <w:docPartObj>
            <w:docPartGallery w:val="AutoText"/>
          </w:docPartObj>
        </w:sdtPr>
        <w:sdtEndPr/>
        <w:sdtContent>
          <w:p w14:paraId="3F4EB9F9" w14:textId="77777777" w:rsidR="009F5BC8" w:rsidRPr="00260AE7" w:rsidRDefault="00A225DB">
            <w:pPr>
              <w:pStyle w:val="Footer"/>
              <w:jc w:val="right"/>
            </w:pPr>
            <w:r w:rsidRPr="00260AE7">
              <w:rPr>
                <w:rFonts w:ascii="Book Antiqua" w:hAnsi="Book Antiqua"/>
                <w:sz w:val="24"/>
                <w:szCs w:val="24"/>
                <w:lang w:val="zh-CN" w:eastAsia="zh-CN"/>
              </w:rPr>
              <w:t xml:space="preserve"> </w:t>
            </w:r>
            <w:r w:rsidRPr="00F12D90">
              <w:rPr>
                <w:rFonts w:ascii="Book Antiqua" w:hAnsi="Book Antiqua"/>
                <w:sz w:val="24"/>
                <w:szCs w:val="24"/>
              </w:rPr>
              <w:fldChar w:fldCharType="begin"/>
            </w:r>
            <w:r w:rsidRPr="00F12D90">
              <w:rPr>
                <w:rFonts w:ascii="Book Antiqua" w:hAnsi="Book Antiqua"/>
                <w:sz w:val="24"/>
                <w:szCs w:val="24"/>
              </w:rPr>
              <w:instrText>PAGE</w:instrText>
            </w:r>
            <w:r w:rsidRPr="00F12D90">
              <w:rPr>
                <w:rFonts w:ascii="Book Antiqua" w:hAnsi="Book Antiqua"/>
                <w:sz w:val="24"/>
                <w:szCs w:val="24"/>
              </w:rPr>
              <w:fldChar w:fldCharType="separate"/>
            </w:r>
            <w:r w:rsidR="002F5916" w:rsidRPr="00F12D90">
              <w:rPr>
                <w:rFonts w:ascii="Book Antiqua" w:hAnsi="Book Antiqua"/>
                <w:noProof/>
                <w:sz w:val="24"/>
                <w:szCs w:val="24"/>
              </w:rPr>
              <w:t>7</w:t>
            </w:r>
            <w:r w:rsidRPr="00F12D90">
              <w:rPr>
                <w:rFonts w:ascii="Book Antiqua" w:hAnsi="Book Antiqua"/>
                <w:sz w:val="24"/>
                <w:szCs w:val="24"/>
              </w:rPr>
              <w:fldChar w:fldCharType="end"/>
            </w:r>
            <w:r w:rsidRPr="00260AE7">
              <w:rPr>
                <w:rFonts w:ascii="Book Antiqua" w:hAnsi="Book Antiqua"/>
                <w:sz w:val="24"/>
                <w:szCs w:val="24"/>
                <w:lang w:val="zh-CN" w:eastAsia="zh-CN"/>
              </w:rPr>
              <w:t xml:space="preserve"> / </w:t>
            </w:r>
            <w:r w:rsidRPr="00F12D90">
              <w:rPr>
                <w:rFonts w:ascii="Book Antiqua" w:hAnsi="Book Antiqua"/>
                <w:sz w:val="24"/>
                <w:szCs w:val="24"/>
              </w:rPr>
              <w:fldChar w:fldCharType="begin"/>
            </w:r>
            <w:r w:rsidRPr="00F12D90">
              <w:rPr>
                <w:rFonts w:ascii="Book Antiqua" w:hAnsi="Book Antiqua"/>
                <w:sz w:val="24"/>
                <w:szCs w:val="24"/>
              </w:rPr>
              <w:instrText>NUMPAGES</w:instrText>
            </w:r>
            <w:r w:rsidRPr="00F12D90">
              <w:rPr>
                <w:rFonts w:ascii="Book Antiqua" w:hAnsi="Book Antiqua"/>
                <w:sz w:val="24"/>
                <w:szCs w:val="24"/>
              </w:rPr>
              <w:fldChar w:fldCharType="separate"/>
            </w:r>
            <w:r w:rsidR="002F5916" w:rsidRPr="00F12D90">
              <w:rPr>
                <w:rFonts w:ascii="Book Antiqua" w:hAnsi="Book Antiqua"/>
                <w:noProof/>
                <w:sz w:val="24"/>
                <w:szCs w:val="24"/>
              </w:rPr>
              <w:t>15</w:t>
            </w:r>
            <w:r w:rsidRPr="00F12D90">
              <w:rPr>
                <w:rFonts w:ascii="Book Antiqua" w:hAnsi="Book Antiqua"/>
                <w:sz w:val="24"/>
                <w:szCs w:val="24"/>
              </w:rPr>
              <w:fldChar w:fldCharType="end"/>
            </w:r>
          </w:p>
        </w:sdtContent>
      </w:sdt>
    </w:sdtContent>
  </w:sdt>
  <w:p w14:paraId="4A4149A4" w14:textId="77777777" w:rsidR="009F5BC8" w:rsidRDefault="009F5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0A843" w14:textId="77777777" w:rsidR="00F25A56" w:rsidRDefault="00F25A56">
      <w:r>
        <w:separator/>
      </w:r>
    </w:p>
  </w:footnote>
  <w:footnote w:type="continuationSeparator" w:id="0">
    <w:p w14:paraId="2632E28E" w14:textId="77777777" w:rsidR="00F25A56" w:rsidRDefault="00F25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740B3"/>
    <w:rsid w:val="000744F4"/>
    <w:rsid w:val="00081792"/>
    <w:rsid w:val="0008635C"/>
    <w:rsid w:val="001174E5"/>
    <w:rsid w:val="00260AE7"/>
    <w:rsid w:val="002F5916"/>
    <w:rsid w:val="003060D9"/>
    <w:rsid w:val="003E2E94"/>
    <w:rsid w:val="00512035"/>
    <w:rsid w:val="0054358D"/>
    <w:rsid w:val="005A6D2A"/>
    <w:rsid w:val="005F7ECF"/>
    <w:rsid w:val="006E3A03"/>
    <w:rsid w:val="00810435"/>
    <w:rsid w:val="00831D0D"/>
    <w:rsid w:val="00987F43"/>
    <w:rsid w:val="009F5BC8"/>
    <w:rsid w:val="00A225DB"/>
    <w:rsid w:val="00A77B3E"/>
    <w:rsid w:val="00AD3253"/>
    <w:rsid w:val="00B131C6"/>
    <w:rsid w:val="00CA2A55"/>
    <w:rsid w:val="00F07CCB"/>
    <w:rsid w:val="00F12D90"/>
    <w:rsid w:val="00F25A56"/>
    <w:rsid w:val="00F725CF"/>
    <w:rsid w:val="43A33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78E2E"/>
  <w15:docId w15:val="{3F83A4F5-CE5D-4033-96E9-21FF46D7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style>
  <w:style w:type="paragraph" w:styleId="BalloonText">
    <w:name w:val="Balloon Text"/>
    <w:basedOn w:val="Normal"/>
    <w:link w:val="BalloonTextChar"/>
    <w:qFormat/>
    <w:rPr>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spacing w:before="100" w:beforeAutospacing="1" w:after="100" w:afterAutospacing="1"/>
    </w:pPr>
    <w:rPr>
      <w:rFonts w:ascii="SimSun" w:eastAsia="SimSun" w:hAnsi="SimSun" w:cs="SimSun"/>
      <w:lang w:eastAsia="zh-CN"/>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59"/>
    <w:qFormat/>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Pr>
      <w:sz w:val="21"/>
      <w:szCs w:val="21"/>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rPr>
      <w:sz w:val="18"/>
      <w:szCs w:val="18"/>
    </w:rPr>
  </w:style>
  <w:style w:type="character" w:customStyle="1" w:styleId="CommentTextChar">
    <w:name w:val="Comment Text Char"/>
    <w:basedOn w:val="DefaultParagraphFont"/>
    <w:link w:val="CommentText"/>
    <w:semiHidden/>
    <w:qFormat/>
    <w:rPr>
      <w:sz w:val="24"/>
      <w:szCs w:val="24"/>
    </w:rPr>
  </w:style>
  <w:style w:type="character" w:customStyle="1" w:styleId="CommentSubjectChar">
    <w:name w:val="Comment Subject Char"/>
    <w:basedOn w:val="CommentTextChar"/>
    <w:link w:val="CommentSubject"/>
    <w:semiHidden/>
    <w:qFormat/>
    <w:rPr>
      <w:b/>
      <w:bCs/>
      <w:sz w:val="24"/>
      <w:szCs w:val="24"/>
    </w:rPr>
  </w:style>
  <w:style w:type="paragraph" w:styleId="ListParagraph">
    <w:name w:val="List Paragraph"/>
    <w:basedOn w:val="Normal"/>
    <w:uiPriority w:val="34"/>
    <w:qFormat/>
    <w:pPr>
      <w:ind w:left="720"/>
      <w:contextualSpacing/>
    </w:pPr>
    <w:rPr>
      <w:rFonts w:asciiTheme="minorHAnsi" w:eastAsiaTheme="minorHAnsi" w:hAnsiTheme="minorHAnsi" w:cstheme="minorBidi"/>
    </w:rPr>
  </w:style>
  <w:style w:type="table" w:customStyle="1" w:styleId="51">
    <w:name w:val="无格式表格 51"/>
    <w:basedOn w:val="TableNormal"/>
    <w:uiPriority w:val="45"/>
    <w:rPr>
      <w:rFonts w:asciiTheme="minorHAnsi" w:eastAsiaTheme="minorHAnsi" w:hAnsiTheme="minorHAnsi" w:cstheme="minorBidi"/>
      <w:sz w:val="24"/>
      <w:szCs w:val="24"/>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alloonTextChar">
    <w:name w:val="Balloon Text Char"/>
    <w:basedOn w:val="DefaultParagraphFont"/>
    <w:link w:val="BalloonText"/>
    <w:rPr>
      <w:sz w:val="18"/>
      <w:szCs w:val="18"/>
    </w:rPr>
  </w:style>
  <w:style w:type="paragraph" w:styleId="Revision">
    <w:name w:val="Revision"/>
    <w:hidden/>
    <w:uiPriority w:val="99"/>
    <w:semiHidden/>
    <w:rsid w:val="00F12D9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40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3563</Words>
  <Characters>20312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Man</dc:creator>
  <cp:lastModifiedBy>Donna Fox</cp:lastModifiedBy>
  <cp:revision>2</cp:revision>
  <dcterms:created xsi:type="dcterms:W3CDTF">2021-08-25T22:07:00Z</dcterms:created>
  <dcterms:modified xsi:type="dcterms:W3CDTF">2021-08-25T22:07:00Z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B53CBD986BFD45E6A2F9F5F931D1974C</vt:lpwstr>
  </property>
</Properties>
</file>